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360" w:lineRule="auto"/>
        <w:jc w:val="center"/>
        <w:rPr>
          <w:rFonts w:ascii="Times New Roman" w:cs="Times New Roman" w:hAnsi="Times New Roman" w:eastAsia="Times New Roman"/>
          <w:sz w:val="28"/>
          <w:szCs w:val="28"/>
        </w:rPr>
      </w:pPr>
      <w:r>
        <w:rPr>
          <w:rFonts w:ascii="Times New Roman" w:hAnsi="Times New Roman"/>
          <w:sz w:val="28"/>
          <w:szCs w:val="28"/>
          <w:rtl w:val="0"/>
          <w:lang w:val="en-US"/>
        </w:rPr>
        <w:t xml:space="preserve">Testing the efficacy of pattern recognition training technique in comparison to </w:t>
      </w:r>
    </w:p>
    <w:p>
      <w:pPr>
        <w:pStyle w:val="Body A"/>
        <w:spacing w:line="360" w:lineRule="auto"/>
        <w:jc w:val="center"/>
        <w:rPr>
          <w:rFonts w:ascii="Times New Roman" w:cs="Times New Roman" w:hAnsi="Times New Roman" w:eastAsia="Times New Roman"/>
          <w:sz w:val="28"/>
          <w:szCs w:val="28"/>
        </w:rPr>
      </w:pPr>
      <w:r>
        <w:rPr>
          <w:rFonts w:ascii="Times New Roman" w:hAnsi="Times New Roman"/>
          <w:sz w:val="28"/>
          <w:szCs w:val="28"/>
          <w:rtl w:val="0"/>
          <w:lang w:val="en-US"/>
        </w:rPr>
        <w:t>re</w:t>
      </w:r>
      <w:r>
        <w:rPr>
          <w:rFonts w:ascii="Times New Roman" w:hAnsi="Times New Roman"/>
          <w:sz w:val="28"/>
          <w:szCs w:val="28"/>
          <w:rtl w:val="0"/>
          <w:lang w:val="en-US"/>
        </w:rPr>
        <w:t>me</w:t>
      </w:r>
      <w:r>
        <w:rPr>
          <w:rFonts w:ascii="Times New Roman" w:hAnsi="Times New Roman"/>
          <w:sz w:val="28"/>
          <w:szCs w:val="28"/>
          <w:rtl w:val="0"/>
          <w:lang w:val="en-US"/>
        </w:rPr>
        <w:t>dial</w:t>
      </w:r>
      <w:r>
        <w:rPr>
          <w:rFonts w:ascii="Times New Roman" w:hAnsi="Times New Roman"/>
          <w:sz w:val="28"/>
          <w:szCs w:val="28"/>
          <w:rtl w:val="0"/>
          <w:lang w:val="en-US"/>
        </w:rPr>
        <w:t xml:space="preserve"> </w:t>
      </w:r>
      <w:r>
        <w:rPr>
          <w:rFonts w:ascii="Times New Roman" w:hAnsi="Times New Roman"/>
          <w:sz w:val="28"/>
          <w:szCs w:val="28"/>
          <w:rtl w:val="0"/>
          <w:lang w:val="en-US"/>
        </w:rPr>
        <w:t>teaching in learning difficulty</w:t>
      </w:r>
    </w:p>
    <w:p>
      <w:pPr>
        <w:pStyle w:val="Body A"/>
        <w:spacing w:line="360" w:lineRule="auto"/>
        <w:rPr>
          <w:rFonts w:ascii="Times New Roman" w:cs="Times New Roman" w:hAnsi="Times New Roman" w:eastAsia="Times New Roman"/>
          <w:sz w:val="28"/>
          <w:szCs w:val="28"/>
        </w:rPr>
      </w:pPr>
    </w:p>
    <w:p>
      <w:pPr>
        <w:pStyle w:val="Body A"/>
        <w:spacing w:line="360" w:lineRule="auto"/>
        <w:jc w:val="center"/>
        <w:rPr>
          <w:rFonts w:ascii="Times New Roman" w:cs="Times New Roman" w:hAnsi="Times New Roman" w:eastAsia="Times New Roman"/>
          <w:sz w:val="28"/>
          <w:szCs w:val="28"/>
          <w:lang w:val="de-DE"/>
        </w:rPr>
      </w:pPr>
      <w:r>
        <w:rPr>
          <w:rFonts w:ascii="Times New Roman" w:hAnsi="Times New Roman"/>
          <w:sz w:val="28"/>
          <w:szCs w:val="28"/>
          <w:rtl w:val="0"/>
          <w:lang w:val="de-DE"/>
        </w:rPr>
        <w:t>Dr. Anwesha Chakrabarti*</w:t>
      </w:r>
    </w:p>
    <w:p>
      <w:pPr>
        <w:pStyle w:val="Body A"/>
        <w:spacing w:line="360" w:lineRule="auto"/>
        <w:jc w:val="center"/>
        <w:rPr>
          <w:rFonts w:ascii="Times New Roman" w:cs="Times New Roman" w:hAnsi="Times New Roman" w:eastAsia="Times New Roman"/>
          <w:sz w:val="28"/>
          <w:szCs w:val="28"/>
        </w:rPr>
      </w:pPr>
      <w:r>
        <w:rPr>
          <w:rFonts w:ascii="Times New Roman" w:hAnsi="Times New Roman"/>
          <w:sz w:val="28"/>
          <w:szCs w:val="28"/>
          <w:rtl w:val="0"/>
          <w:lang w:val="en-US"/>
        </w:rPr>
        <w:t>Assistant Professor, Department of Psychology, Sarojini Naidu College for Women</w:t>
      </w:r>
    </w:p>
    <w:p>
      <w:pPr>
        <w:pStyle w:val="Body A"/>
        <w:spacing w:line="360" w:lineRule="auto"/>
        <w:jc w:val="center"/>
        <w:rPr>
          <w:rFonts w:ascii="Times New Roman" w:cs="Times New Roman" w:hAnsi="Times New Roman" w:eastAsia="Times New Roman"/>
          <w:sz w:val="28"/>
          <w:szCs w:val="28"/>
        </w:rPr>
      </w:pPr>
    </w:p>
    <w:p>
      <w:pPr>
        <w:pStyle w:val="Body A"/>
        <w:spacing w:line="360" w:lineRule="auto"/>
        <w:jc w:val="center"/>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The present study wants to investigate some intervention techniques in three groups of adolescent girls (age range 12-14 years) having learning difficulty. The aim was to test the efficacy of pattern recognition training (Chakrabarti and Banerjee, 2018). A total of 21 participants were taken from different psychological clinics. The were grouped into three groups based on different intervention planning.</w:t>
      </w: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The first group (n= 7) was given a training on pattern recognition in a software. The second group (n=7) was given remedial reaching technique.  The third group (n=7) was given no intervention. the first two groups received intervention for 1 months, 8 sessions. The pre -post comparison was measured on the basis of Diagnostic Test for Learning Disabilities.The result was analysed by nonparametric statical techniques which suggests that both the intervention techniques are almost equally effective than the control group. But the parental report suggests use of pattern recognition training is helpful to increase interest and confidence among the students of learning difficulty.</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Key word- learning difficulty, pattern recognition training, remedial teaching</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p>
    <w:p>
      <w:pPr>
        <w:pStyle w:val="Body A A"/>
        <w:spacing w:line="360" w:lineRule="auto"/>
      </w:pPr>
    </w:p>
    <w:p>
      <w:pPr>
        <w:pStyle w:val="Body A A"/>
        <w:spacing w:line="360" w:lineRule="auto"/>
      </w:pPr>
    </w:p>
    <w:p>
      <w:pPr>
        <w:pStyle w:val="Body A A"/>
        <w:spacing w:line="360" w:lineRule="auto"/>
      </w:pP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Learning disorder or learning difficulty is a condition where individuals are suffering from the difficulty in one or more academic skills despite having no deficit in intellectual capacity. The terms </w:t>
      </w:r>
      <w:r>
        <w:rPr>
          <w:rFonts w:ascii="Times New Roman" w:hAnsi="Times New Roman" w:hint="default"/>
          <w:sz w:val="28"/>
          <w:szCs w:val="28"/>
          <w:rtl w:val="0"/>
          <w:lang w:val="en-US"/>
        </w:rPr>
        <w:t>‘</w:t>
      </w:r>
      <w:r>
        <w:rPr>
          <w:rFonts w:ascii="Times New Roman" w:hAnsi="Times New Roman"/>
          <w:sz w:val="28"/>
          <w:szCs w:val="28"/>
          <w:rtl w:val="0"/>
          <w:lang w:val="en-US"/>
        </w:rPr>
        <w:t>dyslexia</w:t>
      </w:r>
      <w:r>
        <w:rPr>
          <w:rFonts w:ascii="Times New Roman" w:hAnsi="Times New Roman" w:hint="default"/>
          <w:sz w:val="28"/>
          <w:szCs w:val="28"/>
          <w:rtl w:val="0"/>
          <w:lang w:val="en-US"/>
        </w:rPr>
        <w:t>’</w:t>
      </w:r>
      <w:r>
        <w:rPr>
          <w:rFonts w:ascii="Times New Roman" w:hAnsi="Times New Roman"/>
          <w:sz w:val="28"/>
          <w:szCs w:val="28"/>
          <w:rtl w:val="0"/>
          <w:lang w:val="en-US"/>
        </w:rPr>
        <w:t xml:space="preserve">, </w:t>
      </w:r>
      <w:r>
        <w:rPr>
          <w:rFonts w:ascii="Times New Roman" w:hAnsi="Times New Roman" w:hint="default"/>
          <w:sz w:val="28"/>
          <w:szCs w:val="28"/>
          <w:rtl w:val="0"/>
          <w:lang w:val="en-US"/>
        </w:rPr>
        <w:t>‘</w:t>
      </w:r>
      <w:r>
        <w:rPr>
          <w:rFonts w:ascii="Times New Roman" w:hAnsi="Times New Roman"/>
          <w:sz w:val="28"/>
          <w:szCs w:val="28"/>
          <w:rtl w:val="0"/>
          <w:lang w:val="en-US"/>
        </w:rPr>
        <w:t>dysgraphia</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and </w:t>
      </w:r>
      <w:r>
        <w:rPr>
          <w:rFonts w:ascii="Times New Roman" w:hAnsi="Times New Roman" w:hint="default"/>
          <w:sz w:val="28"/>
          <w:szCs w:val="28"/>
          <w:rtl w:val="0"/>
          <w:lang w:val="en-US"/>
        </w:rPr>
        <w:t>‘</w:t>
      </w:r>
      <w:r>
        <w:rPr>
          <w:rFonts w:ascii="Times New Roman" w:hAnsi="Times New Roman"/>
          <w:sz w:val="28"/>
          <w:szCs w:val="28"/>
          <w:rtl w:val="0"/>
          <w:lang w:val="en-US"/>
        </w:rPr>
        <w:t xml:space="preserve">dyscalculia' are used to denote the difficulty in reading, writing and mathematical skills respectively. But it is not so easy to classify the groups only in terms of a single deficit. In most of the cases  of learning difficulty reading , writing, mathematical skills are impaired hand in hand.  </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Among the the existing intervention techniques phonic training, special education and morphological training (Bahr et al, 2012; Berninger et al, 2010) are very much used. All these techniques are basically breaking down the learning process into smaller cognitive units then sensitising each steps. Some interventions are focusing on auditory units of the associated letter sounds, some are designed for visual units of the written materials. The approach differers from one technique to another. To enhance phonemic awareness and decoding skills, the bulk of intervention treatments concentrated on phonological ability (Blachman, 1997; Lyon et al., 2001). Although many academics have acknowledged the value of doing so, relatively few research have concentrated on honing orthographic skills. According to Pressley (1998), ineffective readers have problems detecting words and filtering out irrelevant information. A large practice of special educational techniques are successfully going on. Wolf and his colleagues (2000) developed a thorough fluency-based intervention technique that emphasised each of the cognitive processes, including retrieval, automaticity, vocabulary, elaboration, and orthography (RAVE-O).</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Few literature are also supporting the fact that there is a possible explanation of  working memory deficit in learning disability. Holmes as al. (2012) claim that training in WM has utilised either of the two approaches for certain learning impairments. The first seeks to hasten learning for children with memory impairments by altering the learning environment, whereas the second focuses on providing specific working memory training. Classroom teachers are frequently asked to modify their methods of instruction in order to lighten the cognitive load of kids with weak WM. There are computerised training paradigms like Cogmed, Jungle Memory, Cognifit, and N-Back that can be used to train WM over time. However, it is unknown how these strategies will affect learning over the long term. According to studies, cognitive training programmes can accelerate the development of working memory skills as well as generalise their effects to other non-trained areas. </w:t>
      </w: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Visual processing of written units are also shown to be impaired in certain cases. Chakrabarti &amp; Banerjee (2018) noted that pattern recognition training is beneficial for the individuals to improve their learning scores. Here it is assumed to the fact that when the reader is confused with a visual pattern with similar other patterns then the therapeutic goal should include the agenda of sensitising the readers regarding various visual patterns. If they can be able to differentiate various patterns then their confusion regarding the written units will be reduced. However, there are scarcity of researches in the area of efficacy study of pattern recognition training in the field of learning difficulty. </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Thus, the present study aims at testing the efficacy of pattern recognition training in comparison to special educational training and a control group with no such structured intervention.</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Method:</w:t>
      </w:r>
    </w:p>
    <w:p>
      <w:pPr>
        <w:pStyle w:val="Body A A"/>
        <w:spacing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participants: </w:t>
      </w: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21 girls (12</w:t>
      </w:r>
      <w:r>
        <w:rPr>
          <w:rFonts w:ascii="Times New Roman" w:hAnsi="Times New Roman" w:hint="default"/>
          <w:sz w:val="28"/>
          <w:szCs w:val="28"/>
          <w:rtl w:val="0"/>
          <w:lang w:val="en-US"/>
        </w:rPr>
        <w:t>–</w:t>
      </w:r>
      <w:r>
        <w:rPr>
          <w:rFonts w:ascii="Times New Roman" w:hAnsi="Times New Roman"/>
          <w:sz w:val="28"/>
          <w:szCs w:val="28"/>
          <w:rtl w:val="0"/>
          <w:lang w:val="en-US"/>
        </w:rPr>
        <w:t xml:space="preserve">14 years old) who had been diagnosed with a specific learning issue were all taken, and three experimental groups were then assigned to them. </w:t>
      </w: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Bengali was the native language of each participant, while English was their first language at school. The sample was collected from several clinics in Kolkata. All of the subjects received the IQ and specialised learning issue screening tools. First-generation students weren't taken into account in this study. The IQ range was 89 to 105 of all the participants. All of them were having at least two grade deficit in terms of academic skills.</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b w:val="1"/>
          <w:bCs w:val="1"/>
          <w:sz w:val="28"/>
          <w:szCs w:val="28"/>
        </w:rPr>
      </w:pPr>
    </w:p>
    <w:p>
      <w:pPr>
        <w:pStyle w:val="Body A A"/>
        <w:spacing w:line="360" w:lineRule="auto"/>
        <w:rPr>
          <w:rFonts w:ascii="Times New Roman" w:cs="Times New Roman" w:hAnsi="Times New Roman" w:eastAsia="Times New Roman"/>
          <w:b w:val="1"/>
          <w:bCs w:val="1"/>
          <w:sz w:val="28"/>
          <w:szCs w:val="28"/>
        </w:rPr>
      </w:pPr>
    </w:p>
    <w:p>
      <w:pPr>
        <w:pStyle w:val="Body A A"/>
        <w:spacing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Tools:</w:t>
      </w: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Screening: Screening of the participants were done by NIMHANS INDEX for specific learning disability and Malins Intelligence Scale for Indian Children (Malin, 1969). </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Interventions techniques:</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b w:val="1"/>
          <w:bCs w:val="1"/>
          <w:sz w:val="28"/>
          <w:szCs w:val="28"/>
          <w:rtl w:val="0"/>
          <w:lang w:val="en-US"/>
        </w:rPr>
        <w:t>Pattern recognition</w:t>
      </w:r>
      <w:r>
        <w:rPr>
          <w:rFonts w:ascii="Times New Roman" w:hAnsi="Times New Roman"/>
          <w:sz w:val="28"/>
          <w:szCs w:val="28"/>
          <w:rtl w:val="0"/>
          <w:lang w:val="en-US"/>
        </w:rPr>
        <w:t>- This software was created primarily for testing cognitive abilities, which essentially involve tasks involving pattern detection under various stimuli settings.Direct RT software was used to design the complete software code. Every single WM task is a type of pattern recognition task in which the subject must identify the target pattern and distinguish it from any other non-target patterns.After the software was ready, three professionals from the domains of psychiatry, special education, and clinical psychology offered helpful suggestions. They were to rate the software's suitability for a specific learning challenge on a scale of 1 to 5. These three judges gave each other a score, with an average of 4.</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Pattern recognition training :</w:t>
      </w: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The training module included two different kinds of pattern identification tasks for  reading and writing. Alphabet identification, which requires the respondent to recognise a single letter in several words, and alphabet rotation, which asks them to recognise the mirror image of a letter, were two reading-related tasks. Subjects were required to identify a certain letter font and letter size among different fonts and sizes individually in writing-related tasks.</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Remedial teaching techniques: </w:t>
      </w: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For the purpose of remedial teaching the following techniques were followed. </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For reading: Phonic training was provided to increase phonic awareness in readers. For phonic awareness examples were given and the phonic sounds associated with each alphabet in first and second languages were demonstrated. Demonstration of reading was also done in each session followed by engaging the participant in active reading. Prompting was done in case of each small step of difficulty faced by her.  each small step of successful reading is followed by verbal reinforcement. Spelling rules were explained. participants were engaged in reading and preparing spelling hand in hand.</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For writing: Demonstration of participants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sitting posture was done. It was explained to hold the pencil in correct angel for effective handwriting. Space covered by each alphabet was also explained. Handwriting, copying from books, writing to dictation, creative writing tasks were given. Grammar rules were explained. </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b w:val="1"/>
          <w:bCs w:val="1"/>
          <w:sz w:val="28"/>
          <w:szCs w:val="28"/>
          <w:rtl w:val="0"/>
          <w:lang w:val="en-US"/>
        </w:rPr>
        <w:t xml:space="preserve">Procedure: </w:t>
      </w:r>
      <w:r>
        <w:rPr>
          <w:rFonts w:ascii="Times New Roman" w:hAnsi="Times New Roman"/>
          <w:sz w:val="28"/>
          <w:szCs w:val="28"/>
          <w:rtl w:val="0"/>
          <w:lang w:val="en-US"/>
        </w:rPr>
        <w:t xml:space="preserve">Participants were assigned to three groups equally. Group 1 was a control group who did not receive any intervention, Group 2 received pattern recognition training and group 3 received the remedial teaching techniques. Each group was exposed to pre and post testing conditions where Diagnostic Test for Learning Disability were administered. After the training the parental reports were also collected and their verbatim helped to understand and interpret the result. </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b w:val="1"/>
          <w:bCs w:val="1"/>
          <w:sz w:val="28"/>
          <w:szCs w:val="28"/>
          <w:rtl w:val="0"/>
          <w:lang w:val="en-US"/>
        </w:rPr>
        <w:t xml:space="preserve">Result: </w:t>
      </w:r>
      <w:r>
        <w:rPr>
          <w:rFonts w:ascii="Times New Roman" w:hAnsi="Times New Roman"/>
          <w:sz w:val="28"/>
          <w:szCs w:val="28"/>
          <w:rtl w:val="0"/>
          <w:lang w:val="en-US"/>
        </w:rPr>
        <w:t>pre and post test scores for Diagnostic Test for Learning Disability were collected. Due to the small sample sizes in each group, the results were analysed using non-parametric statistical techniques. The Kruskal-Wallis and Friedman tests were used to determine group differences in both the pre- and post-testing phases.</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Table 1: Mean, Kruskal Wallis  and Friedman test value for pre and post testing conditions.</w:t>
      </w:r>
    </w:p>
    <w:p>
      <w:pPr>
        <w:pStyle w:val="Body A A"/>
        <w:spacing w:line="360" w:lineRule="auto"/>
        <w:rPr>
          <w:rFonts w:ascii="Times New Roman" w:cs="Times New Roman" w:hAnsi="Times New Roman" w:eastAsia="Times New Roman"/>
          <w:sz w:val="28"/>
          <w:szCs w:val="28"/>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408"/>
        <w:gridCol w:w="2408"/>
        <w:gridCol w:w="2408"/>
        <w:gridCol w:w="2408"/>
      </w:tblGrid>
      <w:tr>
        <w:tblPrEx>
          <w:shd w:val="clear" w:color="auto" w:fill="499bc9"/>
        </w:tblPrEx>
        <w:trPr>
          <w:trHeight w:val="297" w:hRule="atLeast"/>
          <w:tblHeader/>
        </w:trPr>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cs="Arial Unicode MS" w:hAnsi="Helvetica" w:eastAsia="Arial Unicode MS"/>
                <w:rtl w:val="0"/>
              </w:rPr>
              <w:t xml:space="preserve">Pre test </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cs="Arial Unicode MS" w:hAnsi="Helvetica" w:eastAsia="Arial Unicode MS"/>
                <w:rtl w:val="0"/>
              </w:rPr>
              <w:t>Post test</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ceddeb"/>
        </w:tblPrEx>
        <w:trPr>
          <w:trHeight w:val="289" w:hRule="atLeast"/>
        </w:trPr>
        <w:tc>
          <w:tcPr>
            <w:tcW w:type="dxa" w:w="2408"/>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cs="Arial Unicode MS" w:hAnsi="Helvetica" w:eastAsia="Arial Unicode MS"/>
                <w:rtl w:val="0"/>
              </w:rPr>
              <w:t xml:space="preserve">Group 1 </w:t>
            </w:r>
          </w:p>
        </w:tc>
        <w:tc>
          <w:tcPr>
            <w:tcW w:type="dxa" w:w="2408"/>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w:hAnsi="Helvetica"/>
                <w:sz w:val="20"/>
                <w:szCs w:val="20"/>
                <w:rtl w:val="0"/>
                <w:lang w:val="en-US"/>
              </w:rPr>
              <w:t>5.5</w:t>
            </w: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w:hAnsi="Helvetica"/>
                <w:sz w:val="20"/>
                <w:szCs w:val="20"/>
                <w:rtl w:val="0"/>
                <w:lang w:val="en-US"/>
              </w:rPr>
              <w:t>5.8</w:t>
            </w: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w:hAnsi="Helvetica"/>
                <w:sz w:val="20"/>
                <w:szCs w:val="20"/>
                <w:rtl w:val="0"/>
                <w:lang w:val="en-US"/>
              </w:rPr>
              <w:t>0.31</w:t>
            </w:r>
          </w:p>
        </w:tc>
      </w:tr>
      <w:tr>
        <w:tblPrEx>
          <w:shd w:val="clear" w:color="auto" w:fill="ceddeb"/>
        </w:tblPrEx>
        <w:trPr>
          <w:trHeight w:val="284"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cs="Arial Unicode MS" w:hAnsi="Helvetica" w:eastAsia="Arial Unicode MS"/>
                <w:rtl w:val="0"/>
              </w:rPr>
              <w:t>Group 2</w:t>
            </w: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w:hAnsi="Helvetica"/>
                <w:sz w:val="20"/>
                <w:szCs w:val="20"/>
                <w:rtl w:val="0"/>
                <w:lang w:val="en-US"/>
              </w:rPr>
              <w:t>5.1</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w:hAnsi="Helvetica"/>
                <w:sz w:val="20"/>
                <w:szCs w:val="20"/>
                <w:rtl w:val="0"/>
                <w:lang w:val="en-US"/>
              </w:rPr>
              <w:t>6.7</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right"/>
            </w:pPr>
            <w:r>
              <w:rPr>
                <w:rFonts w:ascii="Helvetica" w:hAnsi="Helvetica"/>
                <w:rtl w:val="0"/>
              </w:rPr>
              <w:t>0. 03</w:t>
            </w:r>
          </w:p>
        </w:tc>
      </w:tr>
      <w:tr>
        <w:tblPrEx>
          <w:shd w:val="clear" w:color="auto" w:fill="ceddeb"/>
        </w:tblPrEx>
        <w:trPr>
          <w:trHeight w:val="284"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cs="Arial Unicode MS" w:hAnsi="Helvetica" w:eastAsia="Arial Unicode MS"/>
                <w:rtl w:val="0"/>
              </w:rPr>
              <w:t>Group 3</w:t>
            </w: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w:hAnsi="Helvetica"/>
                <w:sz w:val="20"/>
                <w:szCs w:val="20"/>
                <w:rtl w:val="0"/>
                <w:lang w:val="en-US"/>
              </w:rPr>
              <w:t>5.3</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w:hAnsi="Helvetica"/>
                <w:sz w:val="20"/>
                <w:szCs w:val="20"/>
                <w:rtl w:val="0"/>
                <w:lang w:val="en-US"/>
              </w:rPr>
              <w:t>7.1</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w:hAnsi="Helvetica"/>
                <w:sz w:val="20"/>
                <w:szCs w:val="20"/>
                <w:rtl w:val="0"/>
                <w:lang w:val="en-US"/>
              </w:rPr>
              <w:t>0.02</w:t>
            </w:r>
          </w:p>
        </w:tc>
      </w:tr>
      <w:tr>
        <w:tblPrEx>
          <w:shd w:val="clear" w:color="auto" w:fill="ceddeb"/>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w:hAnsi="Helvetica"/>
                <w:sz w:val="20"/>
                <w:szCs w:val="20"/>
                <w:rtl w:val="0"/>
                <w:lang w:val="en-US"/>
              </w:rPr>
              <w:t>0.35</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w:hAnsi="Helvetica"/>
                <w:sz w:val="20"/>
                <w:szCs w:val="20"/>
                <w:rtl w:val="0"/>
                <w:lang w:val="en-US"/>
              </w:rPr>
              <w:t>0.04</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A"/>
        <w:widowControl w:val="0"/>
        <w:ind w:left="108" w:hanging="108"/>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p &gt; 0.01**, p &gt; 0.05*</w:t>
      </w: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The result shows greater differences between pre and post testing conditions in case of Group 2 and 3 with increment in later conditions. the group difference is neither significant in pre testing conditions, nor in post testing conditions. However, pre and post test difference is significant at .05 level only for group 2 and group 3.</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Table 2: Post hoc comparison between each pair of groups:</w:t>
      </w: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979"/>
        <w:gridCol w:w="5653"/>
      </w:tblGrid>
      <w:tr>
        <w:tblPrEx>
          <w:shd w:val="clear" w:color="auto" w:fill="499bc9"/>
        </w:tblPrEx>
        <w:trPr>
          <w:trHeight w:val="297" w:hRule="atLeast"/>
          <w:tblHeader/>
        </w:trPr>
        <w:tc>
          <w:tcPr>
            <w:tcW w:type="dxa" w:w="39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565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cs="Arial Unicode MS" w:hAnsi="Helvetica" w:eastAsia="Arial Unicode MS"/>
                <w:rtl w:val="0"/>
              </w:rPr>
              <w:t>Man whitney test significance</w:t>
            </w:r>
          </w:p>
        </w:tc>
      </w:tr>
      <w:tr>
        <w:tblPrEx>
          <w:shd w:val="clear" w:color="auto" w:fill="ceddeb"/>
        </w:tblPrEx>
        <w:trPr>
          <w:trHeight w:val="289" w:hRule="atLeast"/>
        </w:trPr>
        <w:tc>
          <w:tcPr>
            <w:tcW w:type="dxa" w:w="397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cs="Arial Unicode MS" w:hAnsi="Helvetica" w:eastAsia="Arial Unicode MS"/>
                <w:rtl w:val="0"/>
              </w:rPr>
              <w:t>Group 1&amp; 2</w:t>
            </w:r>
          </w:p>
        </w:tc>
        <w:tc>
          <w:tcPr>
            <w:tcW w:type="dxa" w:w="5653"/>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w:hAnsi="Helvetica"/>
                <w:b w:val="1"/>
                <w:bCs w:val="1"/>
                <w:sz w:val="20"/>
                <w:szCs w:val="20"/>
                <w:rtl w:val="0"/>
                <w:lang w:val="en-US"/>
              </w:rPr>
              <w:t>0.05</w:t>
            </w:r>
          </w:p>
        </w:tc>
      </w:tr>
      <w:tr>
        <w:tblPrEx>
          <w:shd w:val="clear" w:color="auto" w:fill="ceddeb"/>
        </w:tblPrEx>
        <w:trPr>
          <w:trHeight w:val="284" w:hRule="atLeast"/>
        </w:trPr>
        <w:tc>
          <w:tcPr>
            <w:tcW w:type="dxa" w:w="39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cs="Arial Unicode MS" w:hAnsi="Helvetica" w:eastAsia="Arial Unicode MS"/>
                <w:rtl w:val="0"/>
              </w:rPr>
              <w:t>Group 1&amp; 3</w:t>
            </w:r>
          </w:p>
        </w:tc>
        <w:tc>
          <w:tcPr>
            <w:tcW w:type="dxa" w:w="565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w:hAnsi="Helvetica"/>
                <w:b w:val="1"/>
                <w:bCs w:val="1"/>
                <w:sz w:val="20"/>
                <w:szCs w:val="20"/>
                <w:rtl w:val="0"/>
                <w:lang w:val="en-US"/>
              </w:rPr>
              <w:t>0.03</w:t>
            </w:r>
          </w:p>
        </w:tc>
      </w:tr>
      <w:tr>
        <w:tblPrEx>
          <w:shd w:val="clear" w:color="auto" w:fill="ceddeb"/>
        </w:tblPrEx>
        <w:trPr>
          <w:trHeight w:val="284" w:hRule="atLeast"/>
        </w:trPr>
        <w:tc>
          <w:tcPr>
            <w:tcW w:type="dxa" w:w="39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cs="Arial Unicode MS" w:hAnsi="Helvetica" w:eastAsia="Arial Unicode MS"/>
                <w:rtl w:val="0"/>
              </w:rPr>
              <w:t>Group 2&amp; 3</w:t>
            </w:r>
          </w:p>
        </w:tc>
        <w:tc>
          <w:tcPr>
            <w:tcW w:type="dxa" w:w="565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w:hAnsi="Helvetica"/>
                <w:sz w:val="20"/>
                <w:szCs w:val="20"/>
                <w:rtl w:val="0"/>
                <w:lang w:val="en-US"/>
              </w:rPr>
              <w:t>0.23</w:t>
            </w:r>
          </w:p>
        </w:tc>
      </w:tr>
    </w:tbl>
    <w:p>
      <w:pPr>
        <w:pStyle w:val="Body A A"/>
        <w:widowControl w:val="0"/>
        <w:ind w:left="108" w:hanging="108"/>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p &gt; 0.01**, p &gt; 0.05*</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Discussion:  </w:t>
      </w:r>
    </w:p>
    <w:p>
      <w:pPr>
        <w:pStyle w:val="Body A A"/>
        <w:spacing w:line="36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The result shows that in comparison to the normal control group, group 2 and 3 has scored significantly higher. Thus intervention is necessary for the group of children having learning difficulty. Without any specialised remedial plan it is hard for the  children to overcome learning problem. </w:t>
      </w:r>
    </w:p>
    <w:p>
      <w:pPr>
        <w:pStyle w:val="Body A A"/>
        <w:spacing w:line="36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Among the two intervention strategies the pattern recognition training is an indirect one which tries to sensitise the participants for the visual units necessary for processing the written letters. However, the remedial teaching technique is a direct intervention for reading and writing tasks. In both the cases the participants scored higher. Computer and software projects seem to be more engaging and inspiring for the kids than tasks requiring paper and pencil, according to experts like Kline and Lerner (2006). Therefore, both strategies can be used to raise one's learning score. Pattern recognition training, however, has significant impact on learning, as shown by the results. Working memory training has been shown to be successful in enhancing cognitive abilities, according to Dunning et al. (2012). Training in visual perception can aid since dyslexic readers are less sensitive to auditory and visual signals than regular readers are (Stein and Talcott, 1999).</w:t>
      </w: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Alkahtani (2016) has discussed the need for special education in learning problem.  Stanovich (1988,1992) noted that reading process and phonemic understanding is more important in learning than intelligence or listening comprehension. Harrell and Jackson (2008) has also demonstrated the effectiveness of individualised education plan in learning difficulty. The present study also support that intervention based on special education and remedial teaching is producing highest benefit during the first one month in learning difficulty. As revealed by Table 2 there is no significant difference between Group 2 and 3. That suggests  both the techniques are working almost equally to impact on learning scores</w:t>
      </w: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Apart from the learning scores the change in behaviour of the adolescent girls were also recorded from the parental reports. From parental report it has been revealed that the groups who are given the pattern recognition tasks were more motivated to be engaged in pattern recognition task even when it is related to reading and writing.  Using pattern recognition tasks seems to be more interesting as it resembles computer games and it does not directly propel the children to sit in front of books. But when they are practised in differing the two patterns who are close to each other, it helps them to read or write small units of written informations. The next step includes replicating the same task in paper and pencil mode, i.e. whatever pattern recognition task was given in computer screen, the same task of letter identification, word reversal, letter font identification etc are also given in reading writing material.  It seems the initial phase of reading and writing. Then gradually the targets shift from one stage to the other. Thus the present study suggests that both remedial teaching and pattern recognition training are helpful to improve the learning of children with difficulty in learning. </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b w:val="1"/>
          <w:bCs w:val="1"/>
          <w:sz w:val="28"/>
          <w:szCs w:val="28"/>
          <w:rtl w:val="0"/>
          <w:lang w:val="en-US"/>
        </w:rPr>
        <w:t>Conclusion</w:t>
      </w:r>
      <w:r>
        <w:rPr>
          <w:rFonts w:ascii="Times New Roman" w:hAnsi="Times New Roman"/>
          <w:sz w:val="28"/>
          <w:szCs w:val="28"/>
          <w:rtl w:val="0"/>
          <w:lang w:val="en-US"/>
        </w:rPr>
        <w:t>:</w:t>
      </w: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From the above study it can be stated that learning difficulty needs intervention. It can not be overcome without any therapeutic intervention. Comparing remedial teaching and training in pattern recognition, both are effective almost equally. Both of them ultimately aims at reducing difficulty in reading and writing and both are facilitating learning. The parental report suggests that the group which received the pattern recognition training has its effect on motivation and interest in engaging in the therapeutic tasks as well as in learning activity.</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r>
        <w:rPr>
          <w:rFonts w:ascii="Times New Roman" w:hAnsi="Times New Roman"/>
          <w:b w:val="1"/>
          <w:bCs w:val="1"/>
          <w:sz w:val="28"/>
          <w:szCs w:val="28"/>
          <w:rtl w:val="0"/>
          <w:lang w:val="en-US"/>
        </w:rPr>
        <w:t>Limitation</w:t>
      </w:r>
      <w:r>
        <w:rPr>
          <w:rFonts w:ascii="Times New Roman" w:hAnsi="Times New Roman"/>
          <w:sz w:val="28"/>
          <w:szCs w:val="28"/>
          <w:rtl w:val="0"/>
          <w:lang w:val="en-US"/>
        </w:rPr>
        <w:t xml:space="preserve">: </w:t>
      </w: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The study has only taken the first one month of the therapy report, when the study will be extended for longer then it is expected to see the difference more prominently. </w:t>
      </w:r>
    </w:p>
    <w:p>
      <w:pPr>
        <w:pStyle w:val="Body A A"/>
        <w:spacing w:line="360" w:lineRule="auto"/>
        <w:rPr>
          <w:rFonts w:ascii="Times New Roman" w:cs="Times New Roman" w:hAnsi="Times New Roman" w:eastAsia="Times New Roman"/>
          <w:sz w:val="28"/>
          <w:szCs w:val="28"/>
        </w:rPr>
      </w:pPr>
      <w:r>
        <w:rPr>
          <w:rFonts w:ascii="Times New Roman" w:hAnsi="Times New Roman"/>
          <w:sz w:val="28"/>
          <w:szCs w:val="28"/>
          <w:rtl w:val="0"/>
          <w:lang w:val="en-US"/>
        </w:rPr>
        <w:t>The sample size too small in each group. The severity level of learning difficulty could not be held constant among the groups.</w:t>
      </w: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Reference:</w:t>
      </w:r>
    </w:p>
    <w:p>
      <w:pPr>
        <w:pStyle w:val="Body A A"/>
        <w:spacing w:line="360" w:lineRule="auto"/>
        <w:rPr>
          <w:rFonts w:ascii="Times New Roman" w:cs="Times New Roman" w:hAnsi="Times New Roman" w:eastAsia="Times New Roman"/>
          <w:sz w:val="28"/>
          <w:szCs w:val="28"/>
        </w:rPr>
      </w:pPr>
    </w:p>
    <w:p>
      <w:pPr>
        <w:pStyle w:val="List Paragraph"/>
        <w:numPr>
          <w:ilvl w:val="0"/>
          <w:numId w:val="2"/>
        </w:numPr>
        <w:shd w:val="clear" w:color="auto" w:fill="f1f1f1"/>
        <w:bidi w:val="0"/>
        <w:spacing w:before="240" w:line="360" w:lineRule="auto"/>
        <w:ind w:right="0"/>
        <w:jc w:val="both"/>
        <w:rPr>
          <w:rFonts w:ascii="Times New Roman" w:cs="Times New Roman" w:hAnsi="Times New Roman" w:eastAsia="Times New Roman"/>
          <w:sz w:val="28"/>
          <w:szCs w:val="28"/>
          <w:rtl w:val="0"/>
          <w:lang w:val="en-US"/>
        </w:rPr>
      </w:pPr>
      <w:r>
        <w:rPr>
          <w:rFonts w:ascii="Times New Roman" w:hAnsi="Times New Roman"/>
          <w:sz w:val="28"/>
          <w:szCs w:val="28"/>
          <w:shd w:val="clear" w:color="auto" w:fill="ffffff"/>
          <w:rtl w:val="0"/>
          <w:lang w:val="en-US"/>
        </w:rPr>
        <w:t xml:space="preserve">Alkahtani, M. A. (2016).Review of literature on children with special educational need. </w:t>
      </w:r>
      <w:r>
        <w:rPr>
          <w:rFonts w:ascii="Times New Roman" w:hAnsi="Times New Roman"/>
          <w:i w:val="1"/>
          <w:iCs w:val="1"/>
          <w:sz w:val="28"/>
          <w:szCs w:val="28"/>
          <w:shd w:val="clear" w:color="auto" w:fill="ffffff"/>
          <w:rtl w:val="0"/>
          <w:lang w:val="en-US"/>
        </w:rPr>
        <w:t>Journal of Education and Practice</w:t>
      </w:r>
      <w:r>
        <w:rPr>
          <w:rFonts w:ascii="Times New Roman" w:hAnsi="Times New Roman"/>
          <w:sz w:val="28"/>
          <w:szCs w:val="28"/>
          <w:shd w:val="clear" w:color="auto" w:fill="ffffff"/>
          <w:rtl w:val="0"/>
          <w:lang w:val="en-US"/>
        </w:rPr>
        <w:t>. Vol-7, no- 35.</w:t>
      </w:r>
    </w:p>
    <w:p>
      <w:pPr>
        <w:pStyle w:val="List Paragraph"/>
        <w:numPr>
          <w:ilvl w:val="0"/>
          <w:numId w:val="2"/>
        </w:numPr>
        <w:bidi w:val="0"/>
        <w:spacing w:before="240" w:line="360" w:lineRule="auto"/>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Bahr, R. H., Silliman, E. R., Berninger, V. W., &amp; Dow, M. (2012). Linguistic pattern analysis of misspellings of typically developing writers in grades 1-9. J</w:t>
      </w:r>
      <w:r>
        <w:rPr>
          <w:rFonts w:ascii="Times New Roman" w:hAnsi="Times New Roman"/>
          <w:i w:val="1"/>
          <w:iCs w:val="1"/>
          <w:sz w:val="28"/>
          <w:szCs w:val="28"/>
          <w:rtl w:val="0"/>
          <w:lang w:val="en-US"/>
        </w:rPr>
        <w:t>ournal of Speech, Language, and Hearing Research, 55</w:t>
      </w:r>
      <w:r>
        <w:rPr>
          <w:rFonts w:ascii="Times New Roman" w:hAnsi="Times New Roman"/>
          <w:sz w:val="28"/>
          <w:szCs w:val="28"/>
          <w:rtl w:val="0"/>
          <w:lang w:val="en-US"/>
        </w:rPr>
        <w:t>, 1587-1599.</w:t>
      </w:r>
    </w:p>
    <w:p>
      <w:pPr>
        <w:pStyle w:val="List Paragraph"/>
        <w:numPr>
          <w:ilvl w:val="0"/>
          <w:numId w:val="2"/>
        </w:numPr>
        <w:bidi w:val="0"/>
        <w:spacing w:before="240" w:line="360" w:lineRule="auto"/>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 xml:space="preserve">Berninger, V. W., Abbott, R. D., Nagy, W., &amp; Carlisle, J. (2010). Growth in phonological, orthographic, and morphological awareness in grades 1 to 6. </w:t>
      </w:r>
      <w:r>
        <w:rPr>
          <w:rFonts w:ascii="Times New Roman" w:hAnsi="Times New Roman"/>
          <w:i w:val="1"/>
          <w:iCs w:val="1"/>
          <w:sz w:val="28"/>
          <w:szCs w:val="28"/>
          <w:rtl w:val="0"/>
          <w:lang w:val="en-US"/>
        </w:rPr>
        <w:t>Journal of Psycholinguistic Research</w:t>
      </w:r>
      <w:r>
        <w:rPr>
          <w:rFonts w:ascii="Times New Roman" w:hAnsi="Times New Roman"/>
          <w:sz w:val="28"/>
          <w:szCs w:val="28"/>
          <w:rtl w:val="0"/>
          <w:lang w:val="en-US"/>
        </w:rPr>
        <w:t xml:space="preserve">, </w:t>
      </w:r>
      <w:r>
        <w:rPr>
          <w:rFonts w:ascii="Times New Roman" w:hAnsi="Times New Roman"/>
          <w:i w:val="1"/>
          <w:iCs w:val="1"/>
          <w:sz w:val="28"/>
          <w:szCs w:val="28"/>
          <w:rtl w:val="0"/>
          <w:lang w:val="en-US"/>
        </w:rPr>
        <w:t>39</w:t>
      </w:r>
      <w:r>
        <w:rPr>
          <w:rFonts w:ascii="Times New Roman" w:hAnsi="Times New Roman"/>
          <w:sz w:val="28"/>
          <w:szCs w:val="28"/>
          <w:rtl w:val="0"/>
          <w:lang w:val="en-US"/>
        </w:rPr>
        <w:t>, 141</w:t>
      </w:r>
      <w:r>
        <w:rPr>
          <w:rFonts w:ascii="Times New Roman" w:hAnsi="Times New Roman" w:hint="default"/>
          <w:sz w:val="28"/>
          <w:szCs w:val="28"/>
          <w:rtl w:val="0"/>
          <w:lang w:val="en-US"/>
        </w:rPr>
        <w:t>–</w:t>
      </w:r>
      <w:r>
        <w:rPr>
          <w:rFonts w:ascii="Times New Roman" w:hAnsi="Times New Roman"/>
          <w:sz w:val="28"/>
          <w:szCs w:val="28"/>
          <w:rtl w:val="0"/>
          <w:lang w:val="en-US"/>
        </w:rPr>
        <w:t>163.</w:t>
      </w:r>
    </w:p>
    <w:p>
      <w:pPr>
        <w:pStyle w:val="List Paragraph"/>
        <w:numPr>
          <w:ilvl w:val="0"/>
          <w:numId w:val="2"/>
        </w:numPr>
        <w:bidi w:val="0"/>
        <w:spacing w:before="240" w:line="360" w:lineRule="auto"/>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Blachman, B. A. (1997). Early intervention and phonological awareness: A cautionary tale. In B. A. Blachman (Ed.), Foundations of reading acquisition and dyslexia: Implications for early intervention (pp. 409</w:t>
      </w:r>
      <w:r>
        <w:rPr>
          <w:rFonts w:ascii="Times New Roman" w:hAnsi="Times New Roman" w:hint="default"/>
          <w:sz w:val="28"/>
          <w:szCs w:val="28"/>
          <w:rtl w:val="0"/>
          <w:lang w:val="en-US"/>
        </w:rPr>
        <w:t>–</w:t>
      </w:r>
      <w:r>
        <w:rPr>
          <w:rFonts w:ascii="Times New Roman" w:hAnsi="Times New Roman"/>
          <w:sz w:val="28"/>
          <w:szCs w:val="28"/>
          <w:rtl w:val="0"/>
          <w:lang w:val="en-US"/>
        </w:rPr>
        <w:t xml:space="preserve">430). Lawrence Erlbaum Associates Publishers. </w:t>
      </w:r>
    </w:p>
    <w:p>
      <w:pPr>
        <w:pStyle w:val="List Paragraph"/>
        <w:numPr>
          <w:ilvl w:val="0"/>
          <w:numId w:val="2"/>
        </w:numPr>
        <w:bidi w:val="0"/>
        <w:spacing w:before="240" w:line="360" w:lineRule="auto"/>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 xml:space="preserve">Chakrabarti, A., &amp; Banerjee, M. (2017). Intervention based on training in pattern recognition in learning disability: a case study appoach. </w:t>
      </w:r>
      <w:r>
        <w:rPr>
          <w:rFonts w:ascii="Times New Roman" w:hAnsi="Times New Roman"/>
          <w:i w:val="1"/>
          <w:iCs w:val="1"/>
          <w:sz w:val="28"/>
          <w:szCs w:val="28"/>
          <w:rtl w:val="0"/>
          <w:lang w:val="en-US"/>
        </w:rPr>
        <w:t xml:space="preserve">International Journal of Current Research. </w:t>
      </w:r>
      <w:r>
        <w:rPr>
          <w:rFonts w:ascii="Times New Roman" w:hAnsi="Times New Roman"/>
          <w:sz w:val="28"/>
          <w:szCs w:val="28"/>
          <w:rtl w:val="0"/>
          <w:lang w:val="en-US"/>
        </w:rPr>
        <w:t>Vol. 9, Issue, 06, pp.52702-52709 .</w:t>
      </w:r>
    </w:p>
    <w:p>
      <w:pPr>
        <w:pStyle w:val="List Paragraph"/>
        <w:numPr>
          <w:ilvl w:val="0"/>
          <w:numId w:val="2"/>
        </w:numPr>
        <w:bidi w:val="0"/>
        <w:spacing w:before="240" w:line="360" w:lineRule="auto"/>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Cogmed Cognitive Medical Systems. (2009). Coaching manual. Retrieved from:C. G. (2005). Computerized training of working memory in children with ADHD: A randomized, controlled trial.</w:t>
      </w:r>
      <w:r>
        <w:rPr>
          <w:rFonts w:ascii="Times New Roman" w:hAnsi="Times New Roman"/>
          <w:i w:val="1"/>
          <w:iCs w:val="1"/>
          <w:sz w:val="28"/>
          <w:szCs w:val="28"/>
          <w:rtl w:val="0"/>
          <w:lang w:val="en-US"/>
        </w:rPr>
        <w:t xml:space="preserve"> Journal of the American Academy of Child and Adolescent Psychiatry, 44,</w:t>
      </w:r>
      <w:r>
        <w:rPr>
          <w:rFonts w:ascii="Times New Roman" w:hAnsi="Times New Roman"/>
          <w:sz w:val="28"/>
          <w:szCs w:val="28"/>
          <w:rtl w:val="0"/>
          <w:lang w:val="en-US"/>
        </w:rPr>
        <w:t xml:space="preserve"> 177-186. doi: 10.1097/00004583</w:t>
      </w:r>
    </w:p>
    <w:p>
      <w:pPr>
        <w:pStyle w:val="List Paragraph"/>
        <w:numPr>
          <w:ilvl w:val="0"/>
          <w:numId w:val="2"/>
        </w:numPr>
        <w:bidi w:val="0"/>
        <w:spacing w:before="240" w:line="360" w:lineRule="auto"/>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Dunning, D. L., Holmes, J., &amp; Gathercole, S.E. (2012). Does working memory training improve the classroom performance of children with poor working memory? A randomized control trial.  In Working memory and Learning difficulties (2012) by Holmes J., Dyslexia review Summer.</w:t>
      </w:r>
    </w:p>
    <w:p>
      <w:pPr>
        <w:pStyle w:val="Heading"/>
        <w:keepNext w:val="0"/>
        <w:numPr>
          <w:ilvl w:val="0"/>
          <w:numId w:val="2"/>
        </w:numPr>
        <w:shd w:val="clear" w:color="auto" w:fill="ffffff"/>
        <w:bidi w:val="0"/>
        <w:spacing w:before="240" w:after="200" w:line="360" w:lineRule="auto"/>
        <w:ind w:right="0"/>
        <w:jc w:val="both"/>
        <w:rPr>
          <w:rFonts w:ascii="Times New Roman" w:cs="Times New Roman" w:hAnsi="Times New Roman" w:eastAsia="Times New Roman"/>
          <w:b w:val="0"/>
          <w:bCs w:val="0"/>
          <w:kern w:val="36"/>
          <w:sz w:val="28"/>
          <w:szCs w:val="28"/>
          <w:u w:color="000000"/>
          <w:rtl w:val="0"/>
          <w:lang w:val="en-US"/>
        </w:rPr>
      </w:pPr>
      <w:r>
        <w:rPr>
          <w:rFonts w:ascii="Times New Roman" w:hAnsi="Times New Roman"/>
          <w:b w:val="0"/>
          <w:bCs w:val="0"/>
          <w:kern w:val="36"/>
          <w:sz w:val="28"/>
          <w:szCs w:val="28"/>
          <w:u w:color="000000"/>
          <w:rtl w:val="0"/>
          <w:lang w:val="en-US"/>
        </w:rPr>
        <w:t xml:space="preserve">Harwell J.M. &amp; Jackson R.W. (2008). </w:t>
      </w:r>
      <w:r>
        <w:rPr>
          <w:rFonts w:ascii="Times New Roman" w:hAnsi="Times New Roman"/>
          <w:b w:val="0"/>
          <w:bCs w:val="0"/>
          <w:i w:val="1"/>
          <w:iCs w:val="1"/>
          <w:kern w:val="36"/>
          <w:sz w:val="28"/>
          <w:szCs w:val="28"/>
          <w:u w:color="000000"/>
          <w:rtl w:val="0"/>
          <w:lang w:val="en-US"/>
        </w:rPr>
        <w:t>The complete Learning Disabilities Handbook:</w:t>
      </w:r>
      <w:r>
        <w:rPr>
          <w:rFonts w:ascii="Times New Roman" w:hAnsi="Times New Roman" w:hint="default"/>
          <w:b w:val="0"/>
          <w:bCs w:val="0"/>
          <w:i w:val="1"/>
          <w:iCs w:val="1"/>
          <w:kern w:val="36"/>
          <w:sz w:val="28"/>
          <w:szCs w:val="28"/>
          <w:u w:color="000000"/>
          <w:rtl w:val="0"/>
          <w:lang w:val="en-US"/>
        </w:rPr>
        <w:t> </w:t>
      </w:r>
      <w:r>
        <w:rPr>
          <w:rFonts w:ascii="Times New Roman" w:hAnsi="Times New Roman"/>
          <w:b w:val="0"/>
          <w:bCs w:val="0"/>
          <w:i w:val="1"/>
          <w:iCs w:val="1"/>
          <w:kern w:val="36"/>
          <w:sz w:val="28"/>
          <w:szCs w:val="28"/>
          <w:u w:color="000000"/>
          <w:rtl w:val="0"/>
          <w:lang w:val="en-US"/>
        </w:rPr>
        <w:t>Ready-to-Use Strategies and Activities for Teaching Students with Learning Disabilities,</w:t>
      </w:r>
      <w:r>
        <w:rPr>
          <w:rFonts w:ascii="Times New Roman" w:hAnsi="Times New Roman"/>
          <w:b w:val="0"/>
          <w:bCs w:val="0"/>
          <w:kern w:val="36"/>
          <w:sz w:val="28"/>
          <w:szCs w:val="28"/>
          <w:u w:color="000000"/>
          <w:rtl w:val="0"/>
          <w:lang w:val="en-US"/>
        </w:rPr>
        <w:t xml:space="preserve"> 3rd Edition, Jossey-Bass: A Wiley Imprint.</w:t>
      </w:r>
    </w:p>
    <w:p>
      <w:pPr>
        <w:pStyle w:val="List Paragraph"/>
        <w:numPr>
          <w:ilvl w:val="0"/>
          <w:numId w:val="2"/>
        </w:numPr>
        <w:bidi w:val="0"/>
        <w:spacing w:before="240" w:line="360" w:lineRule="auto"/>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 xml:space="preserve">Holmes, J. &amp; Gathercole, S.E. (2012). Taking working memory training from the laboratory into schools. </w:t>
      </w:r>
      <w:r>
        <w:rPr>
          <w:rFonts w:ascii="Times New Roman" w:hAnsi="Times New Roman"/>
          <w:i w:val="1"/>
          <w:iCs w:val="1"/>
          <w:sz w:val="28"/>
          <w:szCs w:val="28"/>
          <w:rtl w:val="0"/>
          <w:lang w:val="en-US"/>
        </w:rPr>
        <w:t xml:space="preserve">In Working memory and Learning difficulties </w:t>
      </w:r>
      <w:r>
        <w:rPr>
          <w:rFonts w:ascii="Times New Roman" w:hAnsi="Times New Roman"/>
          <w:sz w:val="28"/>
          <w:szCs w:val="28"/>
          <w:rtl w:val="0"/>
          <w:lang w:val="en-US"/>
        </w:rPr>
        <w:t>(2012) by Holmes J., Dyslexia review Summer.</w:t>
      </w:r>
    </w:p>
    <w:p>
      <w:pPr>
        <w:pStyle w:val="List Paragraph"/>
        <w:numPr>
          <w:ilvl w:val="0"/>
          <w:numId w:val="2"/>
        </w:numPr>
        <w:bidi w:val="0"/>
        <w:spacing w:before="240" w:line="360" w:lineRule="auto"/>
        <w:ind w:right="0"/>
        <w:jc w:val="both"/>
        <w:rPr>
          <w:rFonts w:ascii="Times New Roman" w:cs="Times New Roman" w:hAnsi="Times New Roman" w:eastAsia="Times New Roman"/>
          <w:sz w:val="28"/>
          <w:szCs w:val="28"/>
          <w:shd w:val="clear" w:color="auto" w:fill="ffffff"/>
          <w:rtl w:val="0"/>
          <w:lang w:val="en-US"/>
        </w:rPr>
      </w:pPr>
      <w:r>
        <w:rPr>
          <w:rFonts w:ascii="Times New Roman" w:hAnsi="Times New Roman"/>
          <w:sz w:val="28"/>
          <w:szCs w:val="28"/>
          <w:rtl w:val="0"/>
          <w:lang w:val="en-US"/>
        </w:rPr>
        <w:t>Lerner J.W. &amp; Kline F. (2006).</w:t>
      </w:r>
      <w:r>
        <w:rPr>
          <w:rFonts w:ascii="Times New Roman" w:hAnsi="Times New Roman"/>
          <w:i w:val="1"/>
          <w:iCs w:val="1"/>
          <w:sz w:val="28"/>
          <w:szCs w:val="28"/>
          <w:rtl w:val="0"/>
          <w:lang w:val="en-US"/>
        </w:rPr>
        <w:t xml:space="preserve"> Learning disabilities and related disorders: Characteristics and Teaching Strategies.</w:t>
      </w:r>
      <w:r>
        <w:rPr>
          <w:rFonts w:ascii="Times New Roman" w:hAnsi="Times New Roman"/>
          <w:sz w:val="28"/>
          <w:szCs w:val="28"/>
          <w:rtl w:val="0"/>
          <w:lang w:val="en-US"/>
        </w:rPr>
        <w:t xml:space="preserve"> Tenth edition.Houghton Miffin Co. New York</w:t>
      </w:r>
    </w:p>
    <w:p>
      <w:pPr>
        <w:pStyle w:val="Normal (Web)"/>
        <w:numPr>
          <w:ilvl w:val="0"/>
          <w:numId w:val="2"/>
        </w:numPr>
        <w:bidi w:val="0"/>
        <w:spacing w:before="240" w:after="200" w:line="360" w:lineRule="auto"/>
        <w:ind w:right="0"/>
        <w:jc w:val="both"/>
        <w:rPr>
          <w:sz w:val="28"/>
          <w:szCs w:val="28"/>
          <w:rtl w:val="0"/>
          <w:lang w:val="en-US"/>
        </w:rPr>
      </w:pPr>
      <w:r>
        <w:rPr>
          <w:sz w:val="28"/>
          <w:szCs w:val="28"/>
          <w:rtl w:val="0"/>
          <w:lang w:val="en-US"/>
        </w:rPr>
        <w:t xml:space="preserve">Lyon, G. R., Fletcher, J. M., Shaywitz, S. E., Shaywitz, B. A., Torgesen, J. K., Wood, F., et al. (200l). </w:t>
      </w:r>
      <w:r>
        <w:rPr>
          <w:i w:val="1"/>
          <w:iCs w:val="1"/>
          <w:sz w:val="28"/>
          <w:szCs w:val="28"/>
          <w:rtl w:val="0"/>
          <w:lang w:val="en-US"/>
        </w:rPr>
        <w:t>Rethinking learning disabilities</w:t>
      </w:r>
      <w:r>
        <w:rPr>
          <w:sz w:val="28"/>
          <w:szCs w:val="28"/>
          <w:rtl w:val="0"/>
          <w:lang w:val="en-US"/>
        </w:rPr>
        <w:t xml:space="preserve">. In C. E. Finn Jr., A. J. Rotherham, &amp; C. R. Hokanson Jr. (Eds.), </w:t>
      </w:r>
      <w:r>
        <w:rPr>
          <w:i w:val="1"/>
          <w:iCs w:val="1"/>
          <w:sz w:val="28"/>
          <w:szCs w:val="28"/>
          <w:rtl w:val="0"/>
          <w:lang w:val="en-US"/>
        </w:rPr>
        <w:t>Rethinking special education for a new century</w:t>
      </w:r>
      <w:r>
        <w:rPr>
          <w:sz w:val="28"/>
          <w:szCs w:val="28"/>
          <w:rtl w:val="0"/>
          <w:lang w:val="en-US"/>
        </w:rPr>
        <w:t xml:space="preserve"> (pp. 259</w:t>
      </w:r>
      <w:r>
        <w:rPr>
          <w:sz w:val="28"/>
          <w:szCs w:val="28"/>
          <w:rtl w:val="0"/>
          <w:lang w:val="en-US"/>
        </w:rPr>
        <w:t>–</w:t>
      </w:r>
      <w:r>
        <w:rPr>
          <w:sz w:val="28"/>
          <w:szCs w:val="28"/>
          <w:rtl w:val="0"/>
          <w:lang w:val="en-US"/>
        </w:rPr>
        <w:t>287). Washington, DC: Thomas B. Fordham Foundation. Retrieved from http://www.excellence.net/library/special ed/index.html</w:t>
      </w:r>
    </w:p>
    <w:p>
      <w:pPr>
        <w:pStyle w:val="List Paragraph"/>
        <w:numPr>
          <w:ilvl w:val="0"/>
          <w:numId w:val="2"/>
        </w:numPr>
        <w:bidi w:val="0"/>
        <w:spacing w:before="240" w:line="360" w:lineRule="auto"/>
        <w:ind w:right="0"/>
        <w:jc w:val="both"/>
        <w:rPr>
          <w:rFonts w:ascii="Times New Roman" w:cs="Times New Roman" w:hAnsi="Times New Roman" w:eastAsia="Times New Roman"/>
          <w:sz w:val="28"/>
          <w:szCs w:val="28"/>
          <w:shd w:val="clear" w:color="auto" w:fill="ffffff"/>
          <w:rtl w:val="0"/>
          <w:lang w:val="en-US"/>
        </w:rPr>
      </w:pPr>
      <w:r>
        <w:rPr>
          <w:rFonts w:ascii="Times New Roman" w:hAnsi="Times New Roman"/>
          <w:sz w:val="28"/>
          <w:szCs w:val="28"/>
          <w:shd w:val="clear" w:color="auto" w:fill="ffffff"/>
          <w:rtl w:val="0"/>
          <w:lang w:val="en-US"/>
        </w:rPr>
        <w:t xml:space="preserve">Malin, A.J. (1969). </w:t>
      </w:r>
      <w:r>
        <w:rPr>
          <w:rFonts w:ascii="Times New Roman" w:hAnsi="Times New Roman"/>
          <w:i w:val="1"/>
          <w:iCs w:val="1"/>
          <w:sz w:val="28"/>
          <w:szCs w:val="28"/>
          <w:shd w:val="clear" w:color="auto" w:fill="ffffff"/>
          <w:rtl w:val="0"/>
          <w:lang w:val="en-US"/>
        </w:rPr>
        <w:t>Malin</w:t>
      </w:r>
      <w:r>
        <w:rPr>
          <w:rFonts w:ascii="Times New Roman" w:hAnsi="Times New Roman" w:hint="default"/>
          <w:i w:val="1"/>
          <w:iCs w:val="1"/>
          <w:sz w:val="28"/>
          <w:szCs w:val="28"/>
          <w:shd w:val="clear" w:color="auto" w:fill="ffffff"/>
          <w:rtl w:val="0"/>
          <w:lang w:val="en-US"/>
        </w:rPr>
        <w:t>’</w:t>
      </w:r>
      <w:r>
        <w:rPr>
          <w:rFonts w:ascii="Times New Roman" w:hAnsi="Times New Roman"/>
          <w:i w:val="1"/>
          <w:iCs w:val="1"/>
          <w:sz w:val="28"/>
          <w:szCs w:val="28"/>
          <w:shd w:val="clear" w:color="auto" w:fill="ffffff"/>
          <w:rtl w:val="0"/>
          <w:lang w:val="en-US"/>
        </w:rPr>
        <w:t>s Intelligence Scale for Indian Children (MISIC).</w:t>
      </w:r>
      <w:r>
        <w:rPr>
          <w:rFonts w:ascii="Times New Roman" w:hAnsi="Times New Roman"/>
          <w:sz w:val="28"/>
          <w:szCs w:val="28"/>
          <w:shd w:val="clear" w:color="auto" w:fill="ffffff"/>
          <w:rtl w:val="0"/>
          <w:lang w:val="en-US"/>
        </w:rPr>
        <w:t xml:space="preserve"> Indian Psychological Corporation, Lucknow.</w:t>
      </w:r>
    </w:p>
    <w:p>
      <w:pPr>
        <w:pStyle w:val="List Paragraph"/>
        <w:numPr>
          <w:ilvl w:val="0"/>
          <w:numId w:val="2"/>
        </w:numPr>
        <w:bidi w:val="0"/>
        <w:spacing w:before="240" w:line="360" w:lineRule="auto"/>
        <w:ind w:right="0"/>
        <w:jc w:val="both"/>
        <w:rPr>
          <w:rFonts w:ascii="Times New Roman" w:cs="Times New Roman" w:hAnsi="Times New Roman" w:eastAsia="Times New Roman"/>
          <w:sz w:val="28"/>
          <w:szCs w:val="28"/>
          <w:rtl w:val="0"/>
          <w:lang w:val="en-US"/>
        </w:rPr>
      </w:pPr>
      <w:r>
        <w:rPr>
          <w:rFonts w:ascii="Times New Roman" w:hAnsi="Times New Roman"/>
          <w:sz w:val="28"/>
          <w:szCs w:val="28"/>
          <w:shd w:val="clear" w:color="auto" w:fill="ffffff"/>
          <w:rtl w:val="0"/>
          <w:lang w:val="en-US"/>
        </w:rPr>
        <w:t>Pressley, M. (1998).</w:t>
      </w:r>
      <w:r>
        <w:rPr>
          <w:rFonts w:ascii="Times New Roman" w:hAnsi="Times New Roman"/>
          <w:i w:val="1"/>
          <w:iCs w:val="1"/>
          <w:sz w:val="28"/>
          <w:szCs w:val="28"/>
          <w:shd w:val="clear" w:color="auto" w:fill="ffffff"/>
          <w:rtl w:val="0"/>
          <w:lang w:val="en-US"/>
        </w:rPr>
        <w:t xml:space="preserve"> Reading Instructions that works: the case for balanced teaching</w:t>
      </w:r>
      <w:r>
        <w:rPr>
          <w:rFonts w:ascii="Times New Roman" w:hAnsi="Times New Roman"/>
          <w:sz w:val="28"/>
          <w:szCs w:val="28"/>
          <w:shd w:val="clear" w:color="auto" w:fill="ffffff"/>
          <w:rtl w:val="0"/>
          <w:lang w:val="en-US"/>
        </w:rPr>
        <w:t>. New York: Guilford.</w:t>
      </w:r>
    </w:p>
    <w:p>
      <w:pPr>
        <w:pStyle w:val="List Paragraph"/>
        <w:numPr>
          <w:ilvl w:val="0"/>
          <w:numId w:val="2"/>
        </w:numPr>
        <w:bidi w:val="0"/>
        <w:spacing w:before="240" w:line="360" w:lineRule="auto"/>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 xml:space="preserve">Stanovich, K.E. (1988). Explaining the differences between the dyslexic and the garden variety poor reader: The phonological-core variable-difference model, </w:t>
      </w:r>
      <w:r>
        <w:rPr>
          <w:rFonts w:ascii="Times New Roman" w:hAnsi="Times New Roman"/>
          <w:i w:val="1"/>
          <w:iCs w:val="1"/>
          <w:sz w:val="28"/>
          <w:szCs w:val="28"/>
          <w:rtl w:val="0"/>
          <w:lang w:val="en-US"/>
        </w:rPr>
        <w:t>Journal of Learning Disabilities, 21</w:t>
      </w:r>
      <w:r>
        <w:rPr>
          <w:rFonts w:ascii="Times New Roman" w:hAnsi="Times New Roman"/>
          <w:sz w:val="28"/>
          <w:szCs w:val="28"/>
          <w:rtl w:val="0"/>
          <w:lang w:val="en-US"/>
        </w:rPr>
        <w:t>, 590</w:t>
      </w:r>
      <w:r>
        <w:rPr>
          <w:rFonts w:ascii="Times New Roman" w:hAnsi="Times New Roman" w:hint="default"/>
          <w:sz w:val="28"/>
          <w:szCs w:val="28"/>
          <w:rtl w:val="0"/>
          <w:lang w:val="en-US"/>
        </w:rPr>
        <w:t>–</w:t>
      </w:r>
      <w:r>
        <w:rPr>
          <w:rFonts w:ascii="Times New Roman" w:hAnsi="Times New Roman"/>
          <w:sz w:val="28"/>
          <w:szCs w:val="28"/>
          <w:rtl w:val="0"/>
          <w:lang w:val="en-US"/>
        </w:rPr>
        <w:t>612.</w:t>
      </w:r>
    </w:p>
    <w:p>
      <w:pPr>
        <w:pStyle w:val="List Paragraph"/>
        <w:numPr>
          <w:ilvl w:val="0"/>
          <w:numId w:val="2"/>
        </w:numPr>
        <w:bidi w:val="0"/>
        <w:spacing w:before="240" w:line="360" w:lineRule="auto"/>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 xml:space="preserve">Stanovich, K. (1992). </w:t>
      </w:r>
      <w:r>
        <w:rPr>
          <w:rFonts w:ascii="Times New Roman" w:hAnsi="Times New Roman"/>
          <w:i w:val="1"/>
          <w:iCs w:val="1"/>
          <w:sz w:val="28"/>
          <w:szCs w:val="28"/>
          <w:rtl w:val="0"/>
          <w:lang w:val="en-US"/>
        </w:rPr>
        <w:t>Speculation in the causes and consequences of individual differences in early reading acquisition.</w:t>
      </w:r>
      <w:r>
        <w:rPr>
          <w:rFonts w:ascii="Times New Roman" w:hAnsi="Times New Roman"/>
          <w:sz w:val="28"/>
          <w:szCs w:val="28"/>
          <w:rtl w:val="0"/>
          <w:lang w:val="en-US"/>
        </w:rPr>
        <w:t xml:space="preserve"> In P. Gough, L. Ehri, &amp; R. Treiman (Eds.), Reading acquisition (pp. 307</w:t>
      </w:r>
      <w:r>
        <w:rPr>
          <w:rFonts w:ascii="Times New Roman" w:hAnsi="Times New Roman" w:hint="default"/>
          <w:sz w:val="28"/>
          <w:szCs w:val="28"/>
          <w:rtl w:val="0"/>
          <w:lang w:val="en-US"/>
        </w:rPr>
        <w:t>–</w:t>
      </w:r>
      <w:r>
        <w:rPr>
          <w:rFonts w:ascii="Times New Roman" w:hAnsi="Times New Roman"/>
          <w:sz w:val="28"/>
          <w:szCs w:val="28"/>
          <w:rtl w:val="0"/>
          <w:lang w:val="en-US"/>
        </w:rPr>
        <w:t>342). Hillsdale, NJ: Erlbaum.</w:t>
      </w:r>
    </w:p>
    <w:p>
      <w:pPr>
        <w:pStyle w:val="List Paragraph"/>
        <w:numPr>
          <w:ilvl w:val="0"/>
          <w:numId w:val="2"/>
        </w:numPr>
        <w:shd w:val="clear" w:color="auto" w:fill="f1f1f1"/>
        <w:bidi w:val="0"/>
        <w:spacing w:before="240" w:line="360" w:lineRule="auto"/>
        <w:ind w:right="0"/>
        <w:jc w:val="both"/>
        <w:rPr>
          <w:rStyle w:val="None"/>
          <w:rFonts w:ascii="Times New Roman" w:cs="Times New Roman" w:hAnsi="Times New Roman" w:eastAsia="Times New Roman"/>
          <w:sz w:val="28"/>
          <w:szCs w:val="28"/>
          <w:rtl w:val="0"/>
          <w:lang w:val="en-US"/>
        </w:rPr>
      </w:pPr>
      <w:r>
        <w:rPr>
          <w:rFonts w:ascii="Times New Roman" w:hAnsi="Times New Roman"/>
          <w:sz w:val="28"/>
          <w:szCs w:val="28"/>
          <w:shd w:val="clear" w:color="auto" w:fill="ffffff"/>
          <w:rtl w:val="0"/>
          <w:lang w:val="en-US"/>
        </w:rPr>
        <w:t xml:space="preserve">Stein, J. &amp; Talcott, J. (1999). </w:t>
      </w:r>
      <w:r>
        <w:rPr>
          <w:rStyle w:val="Hyperlink.0"/>
          <w:rFonts w:ascii="Times New Roman" w:cs="Times New Roman" w:hAnsi="Times New Roman" w:eastAsia="Times New Roman"/>
          <w:sz w:val="28"/>
          <w:szCs w:val="28"/>
        </w:rPr>
        <w:fldChar w:fldCharType="begin" w:fldLock="0"/>
      </w:r>
      <w:r>
        <w:rPr>
          <w:rStyle w:val="Hyperlink.0"/>
          <w:rFonts w:ascii="Times New Roman" w:cs="Times New Roman" w:hAnsi="Times New Roman" w:eastAsia="Times New Roman"/>
          <w:sz w:val="28"/>
          <w:szCs w:val="28"/>
        </w:rPr>
        <w:instrText xml:space="preserve"> HYPERLINK "https://scholar.google.co.in/citations?view_op=view_citation&amp;hl=en&amp;user=CgqFJr8AAAAJ&amp;citation_for_view=CgqFJr8AAAAJ:9yKSN-GCB0IC"</w:instrText>
      </w:r>
      <w:r>
        <w:rPr>
          <w:rStyle w:val="Hyperlink.0"/>
          <w:rFonts w:ascii="Times New Roman" w:cs="Times New Roman" w:hAnsi="Times New Roman" w:eastAsia="Times New Roman"/>
          <w:sz w:val="28"/>
          <w:szCs w:val="28"/>
        </w:rPr>
        <w:fldChar w:fldCharType="separate" w:fldLock="0"/>
      </w:r>
      <w:r>
        <w:rPr>
          <w:rStyle w:val="Hyperlink.0"/>
          <w:rFonts w:ascii="Times New Roman" w:hAnsi="Times New Roman"/>
          <w:sz w:val="28"/>
          <w:szCs w:val="28"/>
          <w:rtl w:val="0"/>
          <w:lang w:val="en-US"/>
        </w:rPr>
        <w:t>Impaired neuronal timing in developmental dyslexia</w:t>
      </w:r>
      <w:r>
        <w:rPr>
          <w:rStyle w:val="Hyperlink.0"/>
          <w:rFonts w:ascii="Times New Roman" w:hAnsi="Times New Roman" w:hint="default"/>
          <w:sz w:val="28"/>
          <w:szCs w:val="28"/>
          <w:rtl w:val="0"/>
          <w:lang w:val="en-US"/>
        </w:rPr>
        <w:t>—</w:t>
      </w:r>
      <w:r>
        <w:rPr>
          <w:rStyle w:val="Hyperlink.0"/>
          <w:rFonts w:ascii="Times New Roman" w:hAnsi="Times New Roman"/>
          <w:sz w:val="28"/>
          <w:szCs w:val="28"/>
          <w:rtl w:val="0"/>
          <w:lang w:val="en-US"/>
        </w:rPr>
        <w:t>the magnocellular hypothesis</w:t>
      </w:r>
      <w:r>
        <w:rPr>
          <w:rFonts w:ascii="Times New Roman" w:cs="Times New Roman" w:hAnsi="Times New Roman" w:eastAsia="Times New Roman"/>
          <w:sz w:val="28"/>
          <w:szCs w:val="28"/>
        </w:rPr>
        <w:fldChar w:fldCharType="end" w:fldLock="0"/>
      </w:r>
      <w:r>
        <w:rPr>
          <w:rStyle w:val="None"/>
          <w:rFonts w:ascii="Times New Roman" w:hAnsi="Times New Roman"/>
          <w:sz w:val="28"/>
          <w:szCs w:val="28"/>
          <w:rtl w:val="0"/>
          <w:lang w:val="en-US"/>
        </w:rPr>
        <w:t>.</w:t>
      </w:r>
      <w:r>
        <w:rPr>
          <w:rStyle w:val="None"/>
          <w:rFonts w:ascii="Times New Roman" w:hAnsi="Times New Roman"/>
          <w:i w:val="1"/>
          <w:iCs w:val="1"/>
          <w:sz w:val="28"/>
          <w:szCs w:val="28"/>
          <w:shd w:val="clear" w:color="auto" w:fill="ffffff"/>
          <w:rtl w:val="0"/>
          <w:lang w:val="en-US"/>
        </w:rPr>
        <w:t xml:space="preserve"> Dyslexia</w:t>
      </w:r>
      <w:r>
        <w:rPr>
          <w:rStyle w:val="None"/>
          <w:rFonts w:ascii="Times New Roman" w:hAnsi="Times New Roman"/>
          <w:sz w:val="28"/>
          <w:szCs w:val="28"/>
          <w:shd w:val="clear" w:color="auto" w:fill="ffffff"/>
          <w:rtl w:val="0"/>
          <w:lang w:val="en-US"/>
        </w:rPr>
        <w:t xml:space="preserve"> 5 (2), 59.</w:t>
      </w:r>
    </w:p>
    <w:p>
      <w:pPr>
        <w:pStyle w:val="List Paragraph"/>
        <w:spacing w:before="240" w:line="360" w:lineRule="auto"/>
        <w:ind w:left="0" w:firstLine="0"/>
        <w:jc w:val="both"/>
        <w:rPr>
          <w:rFonts w:ascii="Times New Roman" w:cs="Times New Roman" w:hAnsi="Times New Roman" w:eastAsia="Times New Roman"/>
          <w:sz w:val="28"/>
          <w:szCs w:val="28"/>
        </w:rPr>
      </w:pPr>
    </w:p>
    <w:p>
      <w:pPr>
        <w:pStyle w:val="List Paragraph"/>
        <w:spacing w:line="360" w:lineRule="auto"/>
        <w:jc w:val="both"/>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p>
    <w:p>
      <w:pPr>
        <w:pStyle w:val="Body A A"/>
        <w:spacing w:line="360" w:lineRule="auto"/>
        <w:rPr>
          <w:rFonts w:ascii="Times New Roman" w:cs="Times New Roman" w:hAnsi="Times New Roman" w:eastAsia="Times New Roman"/>
          <w:sz w:val="28"/>
          <w:szCs w:val="28"/>
        </w:rPr>
      </w:pPr>
    </w:p>
    <w:p>
      <w:pPr>
        <w:pStyle w:val="Body A A"/>
        <w:spacing w:line="360" w:lineRule="auto"/>
      </w:pPr>
      <w:r>
        <w:rPr>
          <w:rFonts w:ascii="Times New Roman" w:cs="Times New Roman" w:hAnsi="Times New Roman" w:eastAsia="Times New Roman"/>
          <w:sz w:val="28"/>
          <w:szCs w:val="28"/>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89"/>
  </w:abstractNum>
  <w:abstractNum w:abstractNumId="1">
    <w:multiLevelType w:val="hybridMultilevel"/>
    <w:styleLink w:val="Imported Style 8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40" w:hanging="4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100" w:hanging="4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4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89">
    <w:name w:val="Imported Style 89"/>
    <w:pPr>
      <w:numPr>
        <w:numId w:val="1"/>
      </w:numPr>
    </w:p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00"/>
      <w:u w:val="none" w:color="000000"/>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