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FC" w:rsidRPr="00D20FCF" w:rsidRDefault="004D4E34" w:rsidP="00D20FCF">
      <w:pPr>
        <w:spacing w:line="240" w:lineRule="auto"/>
        <w:jc w:val="center"/>
        <w:rPr>
          <w:rFonts w:ascii="Times New Roman" w:hAnsi="Times New Roman" w:cs="Times New Roman"/>
          <w:sz w:val="48"/>
          <w:szCs w:val="48"/>
        </w:rPr>
      </w:pPr>
      <w:r w:rsidRPr="00D20FCF">
        <w:rPr>
          <w:rFonts w:ascii="Times New Roman" w:hAnsi="Times New Roman" w:cs="Times New Roman"/>
          <w:b/>
          <w:sz w:val="48"/>
          <w:szCs w:val="48"/>
        </w:rPr>
        <w:t>The Future of Work</w:t>
      </w:r>
      <w:r w:rsidRPr="00D20FCF">
        <w:rPr>
          <w:rFonts w:ascii="Times New Roman" w:hAnsi="Times New Roman" w:cs="Times New Roman"/>
          <w:sz w:val="48"/>
          <w:szCs w:val="48"/>
        </w:rPr>
        <w:t>: Redefining Organisational Culture and Employee Engagement through the Hybrid Workforce</w:t>
      </w:r>
    </w:p>
    <w:p w:rsidR="004D4E34" w:rsidRDefault="004D4E34" w:rsidP="00D20FCF">
      <w:pPr>
        <w:spacing w:line="240" w:lineRule="auto"/>
        <w:jc w:val="center"/>
        <w:rPr>
          <w:rFonts w:ascii="Times New Roman" w:hAnsi="Times New Roman" w:cs="Times New Roman"/>
          <w:sz w:val="24"/>
        </w:rPr>
      </w:pPr>
    </w:p>
    <w:p w:rsidR="004D4E34" w:rsidRPr="00D20FCF" w:rsidRDefault="00782C3B" w:rsidP="00D20FCF">
      <w:pPr>
        <w:spacing w:line="240" w:lineRule="auto"/>
        <w:jc w:val="both"/>
        <w:rPr>
          <w:rFonts w:ascii="Times New Roman" w:hAnsi="Times New Roman" w:cs="Times New Roman"/>
          <w:b/>
          <w:sz w:val="20"/>
        </w:rPr>
      </w:pPr>
      <w:r w:rsidRPr="00D20FCF">
        <w:rPr>
          <w:rFonts w:ascii="Times New Roman" w:hAnsi="Times New Roman" w:cs="Times New Roman"/>
          <w:b/>
          <w:sz w:val="20"/>
        </w:rPr>
        <w:t>Abstract</w:t>
      </w:r>
    </w:p>
    <w:p w:rsidR="004D4E34" w:rsidRDefault="004D4E34" w:rsidP="00D20FCF">
      <w:pPr>
        <w:spacing w:line="240" w:lineRule="auto"/>
        <w:jc w:val="both"/>
        <w:rPr>
          <w:rFonts w:ascii="Times New Roman" w:hAnsi="Times New Roman" w:cs="Times New Roman"/>
          <w:sz w:val="24"/>
        </w:rPr>
      </w:pPr>
      <w:r w:rsidRPr="004D4E34">
        <w:rPr>
          <w:rFonts w:ascii="Times New Roman" w:hAnsi="Times New Roman" w:cs="Times New Roman"/>
          <w:sz w:val="24"/>
        </w:rPr>
        <w:t xml:space="preserve">The global workplace landscape has undergone a profound transformation driven by technological advancements and the unprecedented challenges posed by the COVID-19 pandemic. The emergence of the hybrid workforce – a dynamic blend of remote and in-office work – has </w:t>
      </w:r>
      <w:r>
        <w:rPr>
          <w:rFonts w:ascii="Times New Roman" w:hAnsi="Times New Roman" w:cs="Times New Roman"/>
          <w:sz w:val="24"/>
        </w:rPr>
        <w:t>redefined where and how work is conducted and</w:t>
      </w:r>
      <w:r w:rsidRPr="004D4E34">
        <w:rPr>
          <w:rFonts w:ascii="Times New Roman" w:hAnsi="Times New Roman" w:cs="Times New Roman"/>
          <w:sz w:val="24"/>
        </w:rPr>
        <w:t xml:space="preserve"> reshaped the </w:t>
      </w:r>
      <w:r>
        <w:rPr>
          <w:rFonts w:ascii="Times New Roman" w:hAnsi="Times New Roman" w:cs="Times New Roman"/>
          <w:sz w:val="24"/>
        </w:rPr>
        <w:t>fabric of organis</w:t>
      </w:r>
      <w:r w:rsidRPr="004D4E34">
        <w:rPr>
          <w:rFonts w:ascii="Times New Roman" w:hAnsi="Times New Roman" w:cs="Times New Roman"/>
          <w:sz w:val="24"/>
        </w:rPr>
        <w:t>ational culture and the dynamics of employee engagement. This paper explores the profound impact of</w:t>
      </w:r>
      <w:r>
        <w:rPr>
          <w:rFonts w:ascii="Times New Roman" w:hAnsi="Times New Roman" w:cs="Times New Roman"/>
          <w:sz w:val="24"/>
        </w:rPr>
        <w:t xml:space="preserve"> the hybrid workforce on organis</w:t>
      </w:r>
      <w:r w:rsidRPr="004D4E34">
        <w:rPr>
          <w:rFonts w:ascii="Times New Roman" w:hAnsi="Times New Roman" w:cs="Times New Roman"/>
          <w:sz w:val="24"/>
        </w:rPr>
        <w:t>ational culture and employee engagement, delving into the opportunities, challenges, and strategies that organizations must consider to thrive in this new era of work.</w:t>
      </w:r>
      <w:r>
        <w:rPr>
          <w:rFonts w:ascii="Times New Roman" w:hAnsi="Times New Roman" w:cs="Times New Roman"/>
          <w:sz w:val="24"/>
        </w:rPr>
        <w:t xml:space="preserve"> </w:t>
      </w:r>
      <w:r w:rsidRPr="004D4E34">
        <w:rPr>
          <w:rFonts w:ascii="Times New Roman" w:hAnsi="Times New Roman" w:cs="Times New Roman"/>
          <w:sz w:val="24"/>
        </w:rPr>
        <w:t>Through a comprehensive analysis of trends, challenges, and strategies, this paper sheds light on how organizations can effectively navigate the evolving landscape of work to create thriving workplaces of the future.</w:t>
      </w:r>
    </w:p>
    <w:p w:rsidR="004D4E34" w:rsidRDefault="004D4E34" w:rsidP="00D20FCF">
      <w:pPr>
        <w:spacing w:line="240" w:lineRule="auto"/>
        <w:jc w:val="both"/>
        <w:rPr>
          <w:rFonts w:ascii="Times New Roman" w:hAnsi="Times New Roman" w:cs="Times New Roman"/>
          <w:sz w:val="24"/>
        </w:rPr>
      </w:pPr>
      <w:r>
        <w:rPr>
          <w:rFonts w:ascii="Times New Roman" w:hAnsi="Times New Roman" w:cs="Times New Roman"/>
          <w:sz w:val="24"/>
        </w:rPr>
        <w:t xml:space="preserve">Keywords: </w:t>
      </w:r>
      <w:r w:rsidRPr="004D4E34">
        <w:rPr>
          <w:rFonts w:ascii="Times New Roman" w:hAnsi="Times New Roman" w:cs="Times New Roman"/>
          <w:sz w:val="24"/>
        </w:rPr>
        <w:t>hybrid workforce</w:t>
      </w:r>
      <w:r>
        <w:rPr>
          <w:rFonts w:ascii="Times New Roman" w:hAnsi="Times New Roman" w:cs="Times New Roman"/>
          <w:sz w:val="24"/>
        </w:rPr>
        <w:t>, organisational culture, trends.</w:t>
      </w:r>
    </w:p>
    <w:p w:rsidR="00782C3B" w:rsidRPr="00D20FCF" w:rsidRDefault="00782C3B" w:rsidP="00D20FCF">
      <w:pPr>
        <w:spacing w:line="240" w:lineRule="auto"/>
        <w:jc w:val="both"/>
        <w:rPr>
          <w:rFonts w:ascii="Times New Roman" w:hAnsi="Times New Roman" w:cs="Times New Roman"/>
          <w:b/>
          <w:sz w:val="20"/>
        </w:rPr>
      </w:pPr>
    </w:p>
    <w:p w:rsidR="00782C3B" w:rsidRPr="00D20FCF" w:rsidRDefault="00782C3B" w:rsidP="00D20FCF">
      <w:pPr>
        <w:spacing w:line="240" w:lineRule="auto"/>
        <w:jc w:val="both"/>
        <w:rPr>
          <w:rFonts w:ascii="Times New Roman" w:hAnsi="Times New Roman" w:cs="Times New Roman"/>
          <w:b/>
          <w:sz w:val="20"/>
        </w:rPr>
      </w:pPr>
      <w:r w:rsidRPr="00D20FCF">
        <w:rPr>
          <w:rFonts w:ascii="Times New Roman" w:hAnsi="Times New Roman" w:cs="Times New Roman"/>
          <w:b/>
          <w:sz w:val="20"/>
        </w:rPr>
        <w:t>Introduction</w:t>
      </w:r>
    </w:p>
    <w:p w:rsidR="00782C3B" w:rsidRPr="00782C3B" w:rsidRDefault="00782C3B" w:rsidP="00D20FCF">
      <w:pPr>
        <w:spacing w:line="240" w:lineRule="auto"/>
        <w:ind w:firstLine="720"/>
        <w:jc w:val="both"/>
        <w:rPr>
          <w:rFonts w:ascii="Times New Roman" w:hAnsi="Times New Roman" w:cs="Times New Roman"/>
          <w:sz w:val="24"/>
        </w:rPr>
      </w:pPr>
      <w:r w:rsidRPr="00782C3B">
        <w:rPr>
          <w:rFonts w:ascii="Times New Roman" w:hAnsi="Times New Roman" w:cs="Times New Roman"/>
          <w:sz w:val="24"/>
        </w:rPr>
        <w:t xml:space="preserve">In an era characterized by rapid technological advancement, shifting social norms, and the unprecedented challenges posed by the global pandemic, the concept of work has undergone a profound metamorphosis. The traditional boundaries of the workplace have dissolved, giving rise to a dynamic and transformative phenomenon known as the hybrid workforce. This paradigm shift, driven by the convergence of technology and changing employee expectations, is redefining </w:t>
      </w:r>
      <w:r>
        <w:rPr>
          <w:rFonts w:ascii="Times New Roman" w:hAnsi="Times New Roman" w:cs="Times New Roman"/>
          <w:sz w:val="24"/>
        </w:rPr>
        <w:t>where and how work is accomplished and the</w:t>
      </w:r>
      <w:r w:rsidRPr="00782C3B">
        <w:rPr>
          <w:rFonts w:ascii="Times New Roman" w:hAnsi="Times New Roman" w:cs="Times New Roman"/>
          <w:sz w:val="24"/>
        </w:rPr>
        <w:t xml:space="preserve"> essence of organizational culture</w:t>
      </w:r>
      <w:r w:rsidR="004C36FC">
        <w:rPr>
          <w:rFonts w:ascii="Times New Roman" w:hAnsi="Times New Roman" w:cs="Times New Roman"/>
          <w:sz w:val="24"/>
        </w:rPr>
        <w:t>,</w:t>
      </w:r>
      <w:r w:rsidRPr="00782C3B">
        <w:rPr>
          <w:rFonts w:ascii="Times New Roman" w:hAnsi="Times New Roman" w:cs="Times New Roman"/>
          <w:sz w:val="24"/>
        </w:rPr>
        <w:t xml:space="preserve"> and the dynamics of employee engagement.</w:t>
      </w:r>
    </w:p>
    <w:p w:rsidR="00782C3B" w:rsidRPr="00782C3B" w:rsidRDefault="00782C3B" w:rsidP="00D20FCF">
      <w:pPr>
        <w:spacing w:line="240" w:lineRule="auto"/>
        <w:jc w:val="both"/>
        <w:rPr>
          <w:rFonts w:ascii="Times New Roman" w:hAnsi="Times New Roman" w:cs="Times New Roman"/>
          <w:sz w:val="24"/>
        </w:rPr>
      </w:pPr>
    </w:p>
    <w:p w:rsidR="00782C3B" w:rsidRPr="00782C3B" w:rsidRDefault="00782C3B" w:rsidP="00D20FCF">
      <w:pPr>
        <w:spacing w:line="240" w:lineRule="auto"/>
        <w:ind w:firstLine="720"/>
        <w:jc w:val="both"/>
        <w:rPr>
          <w:rFonts w:ascii="Times New Roman" w:hAnsi="Times New Roman" w:cs="Times New Roman"/>
          <w:sz w:val="24"/>
        </w:rPr>
      </w:pPr>
      <w:r w:rsidRPr="00782C3B">
        <w:rPr>
          <w:rFonts w:ascii="Times New Roman" w:hAnsi="Times New Roman" w:cs="Times New Roman"/>
          <w:sz w:val="24"/>
        </w:rPr>
        <w:t xml:space="preserve">The hybrid workforce represents a departure from the traditional notions of employment, offering a flexible and adaptable approach that blends remote and in-office work arrangements. As organizations worldwide grapple with the implications of this new reality, the landscape of work is being reshaped, and conventional structures are being re-examined. The future of work is here, and it is challenging </w:t>
      </w:r>
      <w:r>
        <w:rPr>
          <w:rFonts w:ascii="Times New Roman" w:hAnsi="Times New Roman" w:cs="Times New Roman"/>
          <w:sz w:val="24"/>
        </w:rPr>
        <w:t xml:space="preserve">for </w:t>
      </w:r>
      <w:r w:rsidRPr="00782C3B">
        <w:rPr>
          <w:rFonts w:ascii="Times New Roman" w:hAnsi="Times New Roman" w:cs="Times New Roman"/>
          <w:sz w:val="24"/>
        </w:rPr>
        <w:t>organi</w:t>
      </w:r>
      <w:r>
        <w:rPr>
          <w:rFonts w:ascii="Times New Roman" w:hAnsi="Times New Roman" w:cs="Times New Roman"/>
          <w:sz w:val="24"/>
        </w:rPr>
        <w:t>s</w:t>
      </w:r>
      <w:r w:rsidRPr="00782C3B">
        <w:rPr>
          <w:rFonts w:ascii="Times New Roman" w:hAnsi="Times New Roman" w:cs="Times New Roman"/>
          <w:sz w:val="24"/>
        </w:rPr>
        <w:t>ations to reimagine their fundamental principles and practices.</w:t>
      </w:r>
    </w:p>
    <w:p w:rsidR="00782C3B" w:rsidRPr="00782C3B" w:rsidRDefault="00782C3B" w:rsidP="00D20FCF">
      <w:pPr>
        <w:spacing w:line="240" w:lineRule="auto"/>
        <w:jc w:val="both"/>
        <w:rPr>
          <w:rFonts w:ascii="Times New Roman" w:hAnsi="Times New Roman" w:cs="Times New Roman"/>
          <w:sz w:val="24"/>
        </w:rPr>
      </w:pPr>
    </w:p>
    <w:p w:rsidR="00782C3B" w:rsidRPr="00782C3B" w:rsidRDefault="00782C3B" w:rsidP="00D20FCF">
      <w:pPr>
        <w:spacing w:line="240" w:lineRule="auto"/>
        <w:ind w:firstLine="720"/>
        <w:jc w:val="both"/>
        <w:rPr>
          <w:rFonts w:ascii="Times New Roman" w:hAnsi="Times New Roman" w:cs="Times New Roman"/>
          <w:sz w:val="24"/>
        </w:rPr>
      </w:pPr>
      <w:r w:rsidRPr="00782C3B">
        <w:rPr>
          <w:rFonts w:ascii="Times New Roman" w:hAnsi="Times New Roman" w:cs="Times New Roman"/>
          <w:sz w:val="24"/>
        </w:rPr>
        <w:t xml:space="preserve">This paper embarks on a comprehensive exploration of the future of work, focusing on the profound influence of the hybrid workforce on organizational culture and employee engagement. We delve into the multifaceted dimensions of this paradigm shift, examining </w:t>
      </w:r>
      <w:r w:rsidR="004C36FC">
        <w:rPr>
          <w:rFonts w:ascii="Times New Roman" w:hAnsi="Times New Roman" w:cs="Times New Roman"/>
          <w:sz w:val="24"/>
        </w:rPr>
        <w:t xml:space="preserve">the opportunities that arise and the challenges </w:t>
      </w:r>
      <w:r w:rsidRPr="00782C3B">
        <w:rPr>
          <w:rFonts w:ascii="Times New Roman" w:hAnsi="Times New Roman" w:cs="Times New Roman"/>
          <w:sz w:val="24"/>
        </w:rPr>
        <w:t xml:space="preserve">organizations must navigate to harness </w:t>
      </w:r>
      <w:r w:rsidR="004C36FC">
        <w:rPr>
          <w:rFonts w:ascii="Times New Roman" w:hAnsi="Times New Roman" w:cs="Times New Roman"/>
          <w:sz w:val="24"/>
        </w:rPr>
        <w:t>their</w:t>
      </w:r>
      <w:r w:rsidRPr="00782C3B">
        <w:rPr>
          <w:rFonts w:ascii="Times New Roman" w:hAnsi="Times New Roman" w:cs="Times New Roman"/>
          <w:sz w:val="24"/>
        </w:rPr>
        <w:t xml:space="preserve"> full potential.</w:t>
      </w:r>
    </w:p>
    <w:p w:rsidR="00782C3B" w:rsidRPr="00782C3B" w:rsidRDefault="00782C3B" w:rsidP="00D20FCF">
      <w:pPr>
        <w:spacing w:line="240" w:lineRule="auto"/>
        <w:jc w:val="both"/>
        <w:rPr>
          <w:rFonts w:ascii="Times New Roman" w:hAnsi="Times New Roman" w:cs="Times New Roman"/>
          <w:sz w:val="24"/>
        </w:rPr>
      </w:pPr>
    </w:p>
    <w:p w:rsidR="00782C3B" w:rsidRPr="00782C3B" w:rsidRDefault="00782C3B" w:rsidP="00D20FCF">
      <w:pPr>
        <w:spacing w:line="240" w:lineRule="auto"/>
        <w:ind w:firstLine="720"/>
        <w:jc w:val="both"/>
        <w:rPr>
          <w:rFonts w:ascii="Times New Roman" w:hAnsi="Times New Roman" w:cs="Times New Roman"/>
          <w:sz w:val="24"/>
        </w:rPr>
      </w:pPr>
      <w:r w:rsidRPr="00782C3B">
        <w:rPr>
          <w:rFonts w:ascii="Times New Roman" w:hAnsi="Times New Roman" w:cs="Times New Roman"/>
          <w:sz w:val="24"/>
        </w:rPr>
        <w:t>The redefinition of organizational culture stands as one of the most compelling aspects of the hybrid workforce. As the traditional office-based environment evolves into a blend of physical and virtual spaces, organizational culture adapts to encompass the diverse experiences and needs of a dispersed workforce. The hybrid workforce necessitates the cultivation of a culture that transcends geographical boundaries, fostering unity, collaboration, and a shared sense of purpose. In this context, questions emerge: How does organizational culture evolve in a hybrid landscape? What strategies are effective in nurturing a culture that accommodates both in-office and remote employees? How does the hybrid workforce amplify the significance of trust and inclusivity within an organization's cultural fabric?</w:t>
      </w:r>
    </w:p>
    <w:p w:rsidR="00782C3B" w:rsidRPr="00782C3B" w:rsidRDefault="00782C3B" w:rsidP="00D20FCF">
      <w:pPr>
        <w:spacing w:line="240" w:lineRule="auto"/>
        <w:jc w:val="both"/>
        <w:rPr>
          <w:rFonts w:ascii="Times New Roman" w:hAnsi="Times New Roman" w:cs="Times New Roman"/>
          <w:sz w:val="24"/>
        </w:rPr>
      </w:pPr>
    </w:p>
    <w:p w:rsidR="00782C3B" w:rsidRPr="00782C3B" w:rsidRDefault="00782C3B" w:rsidP="00D20FCF">
      <w:pPr>
        <w:spacing w:line="240" w:lineRule="auto"/>
        <w:ind w:firstLine="720"/>
        <w:jc w:val="both"/>
        <w:rPr>
          <w:rFonts w:ascii="Times New Roman" w:hAnsi="Times New Roman" w:cs="Times New Roman"/>
          <w:sz w:val="24"/>
        </w:rPr>
      </w:pPr>
      <w:r w:rsidRPr="00782C3B">
        <w:rPr>
          <w:rFonts w:ascii="Times New Roman" w:hAnsi="Times New Roman" w:cs="Times New Roman"/>
          <w:sz w:val="24"/>
        </w:rPr>
        <w:t xml:space="preserve">Equally crucial is the reimagining of employee engagement in the age of the hybrid workforce. As employees traverse between physical and virtual realms, traditional engagement models are being challenged. </w:t>
      </w:r>
      <w:r w:rsidRPr="00782C3B">
        <w:rPr>
          <w:rFonts w:ascii="Times New Roman" w:hAnsi="Times New Roman" w:cs="Times New Roman"/>
          <w:sz w:val="24"/>
        </w:rPr>
        <w:lastRenderedPageBreak/>
        <w:t>Organizations must uncover innovative approaches to connect with a diverse and dispersed workforce, ensuring that engagement remains a cornerstone of productivity and well-being. The hybrid workforce raises pertinent inquiries: How does employee engagement adapt to the fluidity of remote and in-office work? What practices can organizations adopt to bridge engagement gaps between different work arrangements? How does technology serve as an enabler of engagement in this new landscape?</w:t>
      </w:r>
    </w:p>
    <w:p w:rsidR="00782C3B" w:rsidRPr="00782C3B" w:rsidRDefault="00782C3B" w:rsidP="00D20FCF">
      <w:pPr>
        <w:spacing w:line="240" w:lineRule="auto"/>
        <w:jc w:val="both"/>
        <w:rPr>
          <w:rFonts w:ascii="Times New Roman" w:hAnsi="Times New Roman" w:cs="Times New Roman"/>
          <w:sz w:val="24"/>
        </w:rPr>
      </w:pPr>
    </w:p>
    <w:p w:rsidR="00782C3B" w:rsidRPr="00782C3B" w:rsidRDefault="00782C3B" w:rsidP="00D20FCF">
      <w:pPr>
        <w:spacing w:line="240" w:lineRule="auto"/>
        <w:ind w:firstLine="720"/>
        <w:jc w:val="both"/>
        <w:rPr>
          <w:rFonts w:ascii="Times New Roman" w:hAnsi="Times New Roman" w:cs="Times New Roman"/>
          <w:sz w:val="24"/>
        </w:rPr>
      </w:pPr>
      <w:r w:rsidRPr="00782C3B">
        <w:rPr>
          <w:rFonts w:ascii="Times New Roman" w:hAnsi="Times New Roman" w:cs="Times New Roman"/>
          <w:sz w:val="24"/>
        </w:rPr>
        <w:t>Throughout this paper, we navigate these questions and more, shedding light on the opportunities and benefits that the hybrid workforce offers for both organizations and employees. We examine the challenges that accompany this transformation, from maintaining a unified organizational identity to combating feelings of isolation among remote workers. By dissecting these complexities, we aim to provide valuable insights into crafting effective strategies that leverage the advantages of the hybrid workforce while addressing its inherent challenges.</w:t>
      </w:r>
    </w:p>
    <w:p w:rsidR="00782C3B" w:rsidRPr="00782C3B" w:rsidRDefault="00782C3B" w:rsidP="00D20FCF">
      <w:pPr>
        <w:spacing w:line="240" w:lineRule="auto"/>
        <w:jc w:val="both"/>
        <w:rPr>
          <w:rFonts w:ascii="Times New Roman" w:hAnsi="Times New Roman" w:cs="Times New Roman"/>
          <w:sz w:val="24"/>
        </w:rPr>
      </w:pPr>
    </w:p>
    <w:p w:rsidR="00782C3B" w:rsidRDefault="00782C3B" w:rsidP="00D20FCF">
      <w:pPr>
        <w:spacing w:line="240" w:lineRule="auto"/>
        <w:ind w:firstLine="720"/>
        <w:jc w:val="both"/>
        <w:rPr>
          <w:rFonts w:ascii="Times New Roman" w:hAnsi="Times New Roman" w:cs="Times New Roman"/>
          <w:sz w:val="24"/>
        </w:rPr>
      </w:pPr>
      <w:r w:rsidRPr="00782C3B">
        <w:rPr>
          <w:rFonts w:ascii="Times New Roman" w:hAnsi="Times New Roman" w:cs="Times New Roman"/>
          <w:sz w:val="24"/>
        </w:rPr>
        <w:t xml:space="preserve">As the future of work unfolds, organizations stand at a pivotal juncture, poised to redefine their fundamental structures and practices. The hybrid workforce </w:t>
      </w:r>
      <w:r w:rsidR="00C434CB">
        <w:rPr>
          <w:rFonts w:ascii="Times New Roman" w:hAnsi="Times New Roman" w:cs="Times New Roman"/>
          <w:sz w:val="24"/>
        </w:rPr>
        <w:t>catalyses</w:t>
      </w:r>
      <w:r w:rsidRPr="00782C3B">
        <w:rPr>
          <w:rFonts w:ascii="Times New Roman" w:hAnsi="Times New Roman" w:cs="Times New Roman"/>
          <w:sz w:val="24"/>
        </w:rPr>
        <w:t xml:space="preserve"> change, propelling the evolution of organizational culture and employee engagement into uncharted territory. In the subsequent sections of this paper, we delve deeper into the dynamics of the hybrid workforce, dissecting its impact on culture and engagement, and offering strategies to navigate this transformative journey.</w:t>
      </w:r>
    </w:p>
    <w:p w:rsidR="00A13708" w:rsidRPr="00A13708" w:rsidRDefault="00A13708" w:rsidP="00A13708">
      <w:pPr>
        <w:shd w:val="clear" w:color="auto" w:fill="FFFFFF"/>
        <w:spacing w:before="360" w:after="360" w:line="240" w:lineRule="auto"/>
        <w:jc w:val="both"/>
        <w:rPr>
          <w:rFonts w:ascii="Times New Roman" w:eastAsia="Times New Roman" w:hAnsi="Times New Roman" w:cs="Times New Roman"/>
          <w:b/>
          <w:color w:val="1F1F1F"/>
          <w:sz w:val="20"/>
          <w:szCs w:val="24"/>
          <w:lang w:eastAsia="en-IN"/>
        </w:rPr>
      </w:pPr>
      <w:r w:rsidRPr="00A13708">
        <w:rPr>
          <w:rFonts w:ascii="Times New Roman" w:eastAsia="Times New Roman" w:hAnsi="Times New Roman" w:cs="Times New Roman"/>
          <w:b/>
          <w:color w:val="1F1F1F"/>
          <w:sz w:val="20"/>
          <w:szCs w:val="24"/>
          <w:lang w:eastAsia="en-IN"/>
        </w:rPr>
        <w:t>The Impact of Hybrid Work on Organizational Culture</w:t>
      </w:r>
    </w:p>
    <w:p w:rsidR="00A13708" w:rsidRPr="00A13708" w:rsidRDefault="00A13708" w:rsidP="00A13708">
      <w:pPr>
        <w:shd w:val="clear" w:color="auto" w:fill="FFFFFF"/>
        <w:spacing w:before="360" w:after="360" w:line="240" w:lineRule="auto"/>
        <w:ind w:firstLine="720"/>
        <w:jc w:val="both"/>
        <w:rPr>
          <w:rFonts w:ascii="Times New Roman" w:eastAsia="Times New Roman" w:hAnsi="Times New Roman" w:cs="Times New Roman"/>
          <w:color w:val="1F1F1F"/>
          <w:sz w:val="24"/>
          <w:szCs w:val="24"/>
          <w:lang w:eastAsia="en-IN"/>
        </w:rPr>
      </w:pPr>
      <w:r w:rsidRPr="00A13708">
        <w:rPr>
          <w:rFonts w:ascii="Times New Roman" w:eastAsia="Times New Roman" w:hAnsi="Times New Roman" w:cs="Times New Roman"/>
          <w:color w:val="1F1F1F"/>
          <w:sz w:val="24"/>
          <w:szCs w:val="24"/>
          <w:lang w:eastAsia="en-IN"/>
        </w:rPr>
        <w:t>The traditional office-based workplace has long been seen as the foundation of organizational culture. Employees who worked in the same physical space were able to develop strong relationships with their colleagues, which helped to create a sense of community and belonging.</w:t>
      </w:r>
    </w:p>
    <w:p w:rsidR="00A13708" w:rsidRPr="00A13708" w:rsidRDefault="00A13708" w:rsidP="00A13708">
      <w:pPr>
        <w:shd w:val="clear" w:color="auto" w:fill="FFFFFF"/>
        <w:spacing w:before="360" w:after="360" w:line="240" w:lineRule="auto"/>
        <w:ind w:firstLine="720"/>
        <w:jc w:val="both"/>
        <w:rPr>
          <w:rFonts w:ascii="Times New Roman" w:eastAsia="Times New Roman" w:hAnsi="Times New Roman" w:cs="Times New Roman"/>
          <w:color w:val="1F1F1F"/>
          <w:sz w:val="24"/>
          <w:szCs w:val="24"/>
          <w:lang w:eastAsia="en-IN"/>
        </w:rPr>
      </w:pPr>
      <w:r w:rsidRPr="00A13708">
        <w:rPr>
          <w:rFonts w:ascii="Times New Roman" w:eastAsia="Times New Roman" w:hAnsi="Times New Roman" w:cs="Times New Roman"/>
          <w:color w:val="1F1F1F"/>
          <w:sz w:val="24"/>
          <w:szCs w:val="24"/>
          <w:lang w:eastAsia="en-IN"/>
        </w:rPr>
        <w:t>However, the rise of the hybrid workforce has challenged the traditional office-based model. When employees are working from home, they are not able to develop the same level of in-person relationships with their colleagues. This can make it difficult to build a strong organizational culture.</w:t>
      </w:r>
      <w:r>
        <w:rPr>
          <w:rFonts w:ascii="Times New Roman" w:eastAsia="Times New Roman" w:hAnsi="Times New Roman" w:cs="Times New Roman"/>
          <w:color w:val="1F1F1F"/>
          <w:sz w:val="24"/>
          <w:szCs w:val="24"/>
          <w:lang w:eastAsia="en-IN"/>
        </w:rPr>
        <w:t xml:space="preserve"> </w:t>
      </w:r>
      <w:r w:rsidRPr="00A13708">
        <w:rPr>
          <w:rFonts w:ascii="Times New Roman" w:eastAsia="Times New Roman" w:hAnsi="Times New Roman" w:cs="Times New Roman"/>
          <w:color w:val="1F1F1F"/>
          <w:sz w:val="24"/>
          <w:szCs w:val="24"/>
          <w:lang w:eastAsia="en-IN"/>
        </w:rPr>
        <w:t>To overcome this challenge, businesses need to find new ways to build community and belonging among their hybrid workforce. This could involve things like creating virtual spaces where employees can connect with each other, or organizing regular online events and meetups.</w:t>
      </w:r>
    </w:p>
    <w:p w:rsidR="00A13708" w:rsidRPr="00A13708" w:rsidRDefault="00A13708" w:rsidP="00A13708">
      <w:pPr>
        <w:shd w:val="clear" w:color="auto" w:fill="FFFFFF"/>
        <w:spacing w:before="360" w:after="360" w:line="240" w:lineRule="auto"/>
        <w:jc w:val="both"/>
        <w:rPr>
          <w:rFonts w:ascii="Times New Roman" w:eastAsia="Times New Roman" w:hAnsi="Times New Roman" w:cs="Times New Roman"/>
          <w:b/>
          <w:color w:val="1F1F1F"/>
          <w:sz w:val="20"/>
          <w:szCs w:val="20"/>
          <w:lang w:eastAsia="en-IN"/>
        </w:rPr>
      </w:pPr>
      <w:r w:rsidRPr="00A13708">
        <w:rPr>
          <w:rFonts w:ascii="Times New Roman" w:eastAsia="Times New Roman" w:hAnsi="Times New Roman" w:cs="Times New Roman"/>
          <w:b/>
          <w:color w:val="1F1F1F"/>
          <w:sz w:val="20"/>
          <w:szCs w:val="20"/>
          <w:lang w:eastAsia="en-IN"/>
        </w:rPr>
        <w:t>The Impact of Hybrid Work on Employee Engagement</w:t>
      </w:r>
    </w:p>
    <w:p w:rsidR="00A13708" w:rsidRPr="00A13708" w:rsidRDefault="00A13708" w:rsidP="00A13708">
      <w:pPr>
        <w:shd w:val="clear" w:color="auto" w:fill="FFFFFF"/>
        <w:spacing w:before="360" w:after="360" w:line="240" w:lineRule="auto"/>
        <w:ind w:firstLine="720"/>
        <w:jc w:val="both"/>
        <w:rPr>
          <w:rFonts w:ascii="Times New Roman" w:eastAsia="Times New Roman" w:hAnsi="Times New Roman" w:cs="Times New Roman"/>
          <w:color w:val="1F1F1F"/>
          <w:sz w:val="24"/>
          <w:szCs w:val="24"/>
          <w:lang w:eastAsia="en-IN"/>
        </w:rPr>
      </w:pPr>
      <w:r w:rsidRPr="00A13708">
        <w:rPr>
          <w:rFonts w:ascii="Times New Roman" w:eastAsia="Times New Roman" w:hAnsi="Times New Roman" w:cs="Times New Roman"/>
          <w:color w:val="1F1F1F"/>
          <w:sz w:val="24"/>
          <w:szCs w:val="24"/>
          <w:lang w:eastAsia="en-IN"/>
        </w:rPr>
        <w:t>Employee engagement is the degree to which employees are involved in, enthusiastic about, and committed to their work. A highly engaged workforce is more productive, more creative, and more likely to stay with the company.</w:t>
      </w:r>
    </w:p>
    <w:p w:rsidR="00A13708" w:rsidRPr="00A13708" w:rsidRDefault="00A13708" w:rsidP="00A13708">
      <w:pPr>
        <w:shd w:val="clear" w:color="auto" w:fill="FFFFFF"/>
        <w:spacing w:before="360" w:after="360" w:line="240" w:lineRule="auto"/>
        <w:jc w:val="both"/>
        <w:rPr>
          <w:rFonts w:ascii="Times New Roman" w:eastAsia="Times New Roman" w:hAnsi="Times New Roman" w:cs="Times New Roman"/>
          <w:color w:val="1F1F1F"/>
          <w:sz w:val="24"/>
          <w:szCs w:val="24"/>
          <w:lang w:eastAsia="en-IN"/>
        </w:rPr>
      </w:pPr>
      <w:r w:rsidRPr="00A13708">
        <w:rPr>
          <w:rFonts w:ascii="Times New Roman" w:eastAsia="Times New Roman" w:hAnsi="Times New Roman" w:cs="Times New Roman"/>
          <w:color w:val="1F1F1F"/>
          <w:sz w:val="24"/>
          <w:szCs w:val="24"/>
          <w:lang w:eastAsia="en-IN"/>
        </w:rPr>
        <w:t>The rise of the hybrid workforce has the potential to both improve and challenge employee engagement. On the one hand, employees who are able to work from home may have more flexibility and control over their work, which can lead to increased satisfaction and engagement.</w:t>
      </w:r>
    </w:p>
    <w:p w:rsidR="00A13708" w:rsidRPr="00A13708" w:rsidRDefault="00A13708" w:rsidP="00A13708">
      <w:pPr>
        <w:shd w:val="clear" w:color="auto" w:fill="FFFFFF"/>
        <w:spacing w:before="360" w:after="360" w:line="240" w:lineRule="auto"/>
        <w:jc w:val="both"/>
        <w:rPr>
          <w:rFonts w:ascii="Times New Roman" w:eastAsia="Times New Roman" w:hAnsi="Times New Roman" w:cs="Times New Roman"/>
          <w:color w:val="1F1F1F"/>
          <w:sz w:val="24"/>
          <w:szCs w:val="24"/>
          <w:lang w:eastAsia="en-IN"/>
        </w:rPr>
      </w:pPr>
      <w:r w:rsidRPr="00A13708">
        <w:rPr>
          <w:rFonts w:ascii="Times New Roman" w:eastAsia="Times New Roman" w:hAnsi="Times New Roman" w:cs="Times New Roman"/>
          <w:color w:val="1F1F1F"/>
          <w:sz w:val="24"/>
          <w:szCs w:val="24"/>
          <w:lang w:eastAsia="en-IN"/>
        </w:rPr>
        <w:t>On the other hand, employees who are working from home may feel isolated and disconnected from their colleagues, which can lead to decreased engagement.</w:t>
      </w:r>
      <w:r>
        <w:rPr>
          <w:rFonts w:ascii="Times New Roman" w:eastAsia="Times New Roman" w:hAnsi="Times New Roman" w:cs="Times New Roman"/>
          <w:color w:val="1F1F1F"/>
          <w:sz w:val="24"/>
          <w:szCs w:val="24"/>
          <w:lang w:eastAsia="en-IN"/>
        </w:rPr>
        <w:t xml:space="preserve"> </w:t>
      </w:r>
      <w:r w:rsidRPr="00A13708">
        <w:rPr>
          <w:rFonts w:ascii="Times New Roman" w:eastAsia="Times New Roman" w:hAnsi="Times New Roman" w:cs="Times New Roman"/>
          <w:color w:val="1F1F1F"/>
          <w:sz w:val="24"/>
          <w:szCs w:val="24"/>
          <w:lang w:eastAsia="en-IN"/>
        </w:rPr>
        <w:t>To overcome this challenge, businesses need to find new ways to keep their hybrid workforce engaged. This could involve things like providing regular feedback and coaching, offering opportunities for professional development, and creating a culture of trust and empowerment.</w:t>
      </w:r>
    </w:p>
    <w:p w:rsidR="00A13708" w:rsidRPr="00A13708" w:rsidRDefault="00A13708" w:rsidP="00A13708">
      <w:pPr>
        <w:shd w:val="clear" w:color="auto" w:fill="FFFFFF"/>
        <w:spacing w:before="360" w:after="360" w:line="240" w:lineRule="auto"/>
        <w:jc w:val="both"/>
        <w:rPr>
          <w:rFonts w:ascii="Times New Roman" w:eastAsia="Times New Roman" w:hAnsi="Times New Roman" w:cs="Times New Roman"/>
          <w:b/>
          <w:color w:val="1F1F1F"/>
          <w:sz w:val="20"/>
          <w:szCs w:val="20"/>
          <w:lang w:eastAsia="en-IN"/>
        </w:rPr>
      </w:pPr>
      <w:r w:rsidRPr="00A13708">
        <w:rPr>
          <w:rFonts w:ascii="Times New Roman" w:eastAsia="Times New Roman" w:hAnsi="Times New Roman" w:cs="Times New Roman"/>
          <w:b/>
          <w:color w:val="1F1F1F"/>
          <w:sz w:val="20"/>
          <w:szCs w:val="20"/>
          <w:lang w:eastAsia="en-IN"/>
        </w:rPr>
        <w:t>Redefining Organizational Culture and Employee Engagement for the Hybrid Workforce</w:t>
      </w:r>
    </w:p>
    <w:p w:rsidR="00A13708" w:rsidRPr="00A13708" w:rsidRDefault="00A13708" w:rsidP="00A13708">
      <w:pPr>
        <w:shd w:val="clear" w:color="auto" w:fill="FFFFFF"/>
        <w:spacing w:before="360" w:after="360" w:line="240" w:lineRule="auto"/>
        <w:jc w:val="both"/>
        <w:rPr>
          <w:rFonts w:ascii="Times New Roman" w:eastAsia="Times New Roman" w:hAnsi="Times New Roman" w:cs="Times New Roman"/>
          <w:color w:val="1F1F1F"/>
          <w:sz w:val="24"/>
          <w:szCs w:val="24"/>
          <w:lang w:eastAsia="en-IN"/>
        </w:rPr>
      </w:pPr>
      <w:r w:rsidRPr="00A13708">
        <w:rPr>
          <w:rFonts w:ascii="Times New Roman" w:eastAsia="Times New Roman" w:hAnsi="Times New Roman" w:cs="Times New Roman"/>
          <w:color w:val="1F1F1F"/>
          <w:sz w:val="24"/>
          <w:szCs w:val="24"/>
          <w:lang w:eastAsia="en-IN"/>
        </w:rPr>
        <w:t>The rise of the hybrid workforce presents both challenges and opportunities for organizational culture and employee engagement. Businesses that are able to adapt their strategies to meet the needs of a hybrid workforce will be well-positioned for success in the years to come.</w:t>
      </w:r>
    </w:p>
    <w:p w:rsidR="00A13708" w:rsidRPr="00A13708" w:rsidRDefault="00A13708" w:rsidP="00A13708">
      <w:pPr>
        <w:shd w:val="clear" w:color="auto" w:fill="FFFFFF"/>
        <w:spacing w:before="360" w:after="360" w:line="240" w:lineRule="auto"/>
        <w:jc w:val="both"/>
        <w:rPr>
          <w:rFonts w:ascii="Times New Roman" w:eastAsia="Times New Roman" w:hAnsi="Times New Roman" w:cs="Times New Roman"/>
          <w:color w:val="1F1F1F"/>
          <w:sz w:val="24"/>
          <w:szCs w:val="24"/>
          <w:lang w:eastAsia="en-IN"/>
        </w:rPr>
      </w:pPr>
      <w:r w:rsidRPr="00A13708">
        <w:rPr>
          <w:rFonts w:ascii="Times New Roman" w:eastAsia="Times New Roman" w:hAnsi="Times New Roman" w:cs="Times New Roman"/>
          <w:color w:val="1F1F1F"/>
          <w:sz w:val="24"/>
          <w:szCs w:val="24"/>
          <w:lang w:eastAsia="en-IN"/>
        </w:rPr>
        <w:lastRenderedPageBreak/>
        <w:t>Here are some key strategies for redefining organizational culture and employee engagement for the hybrid workforce:</w:t>
      </w:r>
    </w:p>
    <w:p w:rsidR="00A13708" w:rsidRPr="00A13708" w:rsidRDefault="00A13708" w:rsidP="00A13708">
      <w:pPr>
        <w:numPr>
          <w:ilvl w:val="0"/>
          <w:numId w:val="1"/>
        </w:numPr>
        <w:shd w:val="clear" w:color="auto" w:fill="FFFFFF"/>
        <w:spacing w:before="100" w:beforeAutospacing="1" w:after="150" w:line="240" w:lineRule="auto"/>
        <w:ind w:left="0"/>
        <w:jc w:val="both"/>
        <w:rPr>
          <w:rFonts w:ascii="Times New Roman" w:eastAsia="Times New Roman" w:hAnsi="Times New Roman" w:cs="Times New Roman"/>
          <w:color w:val="1F1F1F"/>
          <w:sz w:val="24"/>
          <w:szCs w:val="24"/>
          <w:lang w:eastAsia="en-IN"/>
        </w:rPr>
      </w:pPr>
      <w:r w:rsidRPr="00A13708">
        <w:rPr>
          <w:rFonts w:ascii="Times New Roman" w:eastAsia="Times New Roman" w:hAnsi="Times New Roman" w:cs="Times New Roman"/>
          <w:color w:val="1F1F1F"/>
          <w:sz w:val="24"/>
          <w:szCs w:val="24"/>
          <w:lang w:eastAsia="en-IN"/>
        </w:rPr>
        <w:t>Create a culture of trust and empowerment. Employees who feel trusted and empowered to make decisions are more likely to be engaged in their work.</w:t>
      </w:r>
    </w:p>
    <w:p w:rsidR="00A13708" w:rsidRPr="00A13708" w:rsidRDefault="00A13708" w:rsidP="00A13708">
      <w:pPr>
        <w:numPr>
          <w:ilvl w:val="0"/>
          <w:numId w:val="1"/>
        </w:numPr>
        <w:shd w:val="clear" w:color="auto" w:fill="FFFFFF"/>
        <w:spacing w:before="100" w:beforeAutospacing="1" w:after="150" w:line="240" w:lineRule="auto"/>
        <w:ind w:left="0"/>
        <w:jc w:val="both"/>
        <w:rPr>
          <w:rFonts w:ascii="Times New Roman" w:eastAsia="Times New Roman" w:hAnsi="Times New Roman" w:cs="Times New Roman"/>
          <w:color w:val="1F1F1F"/>
          <w:sz w:val="24"/>
          <w:szCs w:val="24"/>
          <w:lang w:eastAsia="en-IN"/>
        </w:rPr>
      </w:pPr>
      <w:r w:rsidRPr="00A13708">
        <w:rPr>
          <w:rFonts w:ascii="Times New Roman" w:eastAsia="Times New Roman" w:hAnsi="Times New Roman" w:cs="Times New Roman"/>
          <w:color w:val="1F1F1F"/>
          <w:sz w:val="24"/>
          <w:szCs w:val="24"/>
          <w:lang w:eastAsia="en-IN"/>
        </w:rPr>
        <w:t>Provide regular feedback and coaching. Feedback helps employees to stay on track and identify areas where they can improve.</w:t>
      </w:r>
    </w:p>
    <w:p w:rsidR="00A13708" w:rsidRPr="00A13708" w:rsidRDefault="00A13708" w:rsidP="00A13708">
      <w:pPr>
        <w:numPr>
          <w:ilvl w:val="0"/>
          <w:numId w:val="1"/>
        </w:numPr>
        <w:shd w:val="clear" w:color="auto" w:fill="FFFFFF"/>
        <w:spacing w:before="100" w:beforeAutospacing="1" w:after="150" w:line="240" w:lineRule="auto"/>
        <w:ind w:left="0"/>
        <w:jc w:val="both"/>
        <w:rPr>
          <w:rFonts w:ascii="Times New Roman" w:eastAsia="Times New Roman" w:hAnsi="Times New Roman" w:cs="Times New Roman"/>
          <w:color w:val="1F1F1F"/>
          <w:sz w:val="24"/>
          <w:szCs w:val="24"/>
          <w:lang w:eastAsia="en-IN"/>
        </w:rPr>
      </w:pPr>
      <w:r w:rsidRPr="00A13708">
        <w:rPr>
          <w:rFonts w:ascii="Times New Roman" w:eastAsia="Times New Roman" w:hAnsi="Times New Roman" w:cs="Times New Roman"/>
          <w:color w:val="1F1F1F"/>
          <w:sz w:val="24"/>
          <w:szCs w:val="24"/>
          <w:lang w:eastAsia="en-IN"/>
        </w:rPr>
        <w:t>Offer opportunities for professional development. Employees who are able to develop their skills and knowledge are more likely to be engaged in their work.</w:t>
      </w:r>
    </w:p>
    <w:p w:rsidR="00A13708" w:rsidRPr="00A13708" w:rsidRDefault="00A13708" w:rsidP="00A13708">
      <w:pPr>
        <w:numPr>
          <w:ilvl w:val="0"/>
          <w:numId w:val="1"/>
        </w:numPr>
        <w:shd w:val="clear" w:color="auto" w:fill="FFFFFF"/>
        <w:spacing w:before="100" w:beforeAutospacing="1" w:after="150" w:line="240" w:lineRule="auto"/>
        <w:ind w:left="0"/>
        <w:jc w:val="both"/>
        <w:rPr>
          <w:rFonts w:ascii="Times New Roman" w:eastAsia="Times New Roman" w:hAnsi="Times New Roman" w:cs="Times New Roman"/>
          <w:color w:val="1F1F1F"/>
          <w:sz w:val="24"/>
          <w:szCs w:val="24"/>
          <w:lang w:eastAsia="en-IN"/>
        </w:rPr>
      </w:pPr>
      <w:r w:rsidRPr="00A13708">
        <w:rPr>
          <w:rFonts w:ascii="Times New Roman" w:eastAsia="Times New Roman" w:hAnsi="Times New Roman" w:cs="Times New Roman"/>
          <w:color w:val="1F1F1F"/>
          <w:sz w:val="24"/>
          <w:szCs w:val="24"/>
          <w:lang w:eastAsia="en-IN"/>
        </w:rPr>
        <w:t>Create a sense of community and belonging. This could involve things like organizing virtual events and meetups, or creating online spaces where employees can connect with each other.</w:t>
      </w:r>
    </w:p>
    <w:p w:rsidR="00A13708" w:rsidRPr="00A13708" w:rsidRDefault="00A13708" w:rsidP="00A13708">
      <w:pPr>
        <w:shd w:val="clear" w:color="auto" w:fill="FFFFFF"/>
        <w:spacing w:before="360" w:after="360" w:line="240" w:lineRule="auto"/>
        <w:jc w:val="both"/>
        <w:rPr>
          <w:rFonts w:ascii="Times New Roman" w:eastAsia="Times New Roman" w:hAnsi="Times New Roman" w:cs="Times New Roman"/>
          <w:color w:val="1F1F1F"/>
          <w:sz w:val="24"/>
          <w:szCs w:val="24"/>
          <w:lang w:eastAsia="en-IN"/>
        </w:rPr>
      </w:pPr>
      <w:r w:rsidRPr="00A13708">
        <w:rPr>
          <w:rFonts w:ascii="Times New Roman" w:eastAsia="Times New Roman" w:hAnsi="Times New Roman" w:cs="Times New Roman"/>
          <w:color w:val="1F1F1F"/>
          <w:sz w:val="24"/>
          <w:szCs w:val="24"/>
          <w:lang w:eastAsia="en-IN"/>
        </w:rPr>
        <w:t>By following these strategies, businesses can create a strong organizational culture and high levels of employee engagement in the hybrid workforce.</w:t>
      </w:r>
    </w:p>
    <w:p w:rsidR="00A13708" w:rsidRPr="00A13708" w:rsidRDefault="00A13708" w:rsidP="00A13708">
      <w:pPr>
        <w:shd w:val="clear" w:color="auto" w:fill="FFFFFF"/>
        <w:spacing w:before="360" w:after="360" w:line="240" w:lineRule="auto"/>
        <w:jc w:val="both"/>
        <w:rPr>
          <w:rFonts w:ascii="Times New Roman" w:eastAsia="Times New Roman" w:hAnsi="Times New Roman" w:cs="Times New Roman"/>
          <w:b/>
          <w:color w:val="1F1F1F"/>
          <w:sz w:val="20"/>
          <w:szCs w:val="20"/>
          <w:lang w:eastAsia="en-IN"/>
        </w:rPr>
      </w:pPr>
      <w:r w:rsidRPr="00A13708">
        <w:rPr>
          <w:rFonts w:ascii="Times New Roman" w:eastAsia="Times New Roman" w:hAnsi="Times New Roman" w:cs="Times New Roman"/>
          <w:b/>
          <w:color w:val="1F1F1F"/>
          <w:sz w:val="20"/>
          <w:szCs w:val="20"/>
          <w:lang w:eastAsia="en-IN"/>
        </w:rPr>
        <w:t>Conclusion</w:t>
      </w:r>
    </w:p>
    <w:p w:rsidR="00A13708" w:rsidRPr="00A13708" w:rsidRDefault="00A13708" w:rsidP="00A13708">
      <w:pPr>
        <w:shd w:val="clear" w:color="auto" w:fill="FFFFFF"/>
        <w:spacing w:before="360" w:after="360" w:line="240" w:lineRule="auto"/>
        <w:jc w:val="both"/>
        <w:rPr>
          <w:rFonts w:ascii="Times New Roman" w:eastAsia="Times New Roman" w:hAnsi="Times New Roman" w:cs="Times New Roman"/>
          <w:color w:val="1F1F1F"/>
          <w:sz w:val="24"/>
          <w:szCs w:val="24"/>
          <w:lang w:eastAsia="en-IN"/>
        </w:rPr>
      </w:pPr>
      <w:r w:rsidRPr="00A13708">
        <w:rPr>
          <w:rFonts w:ascii="Times New Roman" w:eastAsia="Times New Roman" w:hAnsi="Times New Roman" w:cs="Times New Roman"/>
          <w:color w:val="1F1F1F"/>
          <w:sz w:val="24"/>
          <w:szCs w:val="24"/>
          <w:lang w:eastAsia="en-IN"/>
        </w:rPr>
        <w:t>The future of work is hybrid. Businesses that are able to adapt their organizational culture and employee engagement strategies to meet the needs of a hybrid workforce will be well-positioned for success in the years to come.</w:t>
      </w:r>
    </w:p>
    <w:p w:rsidR="00A13708" w:rsidRPr="00A13708" w:rsidRDefault="00A13708" w:rsidP="00A13708">
      <w:pPr>
        <w:shd w:val="clear" w:color="auto" w:fill="FFFFFF"/>
        <w:spacing w:before="360" w:after="360" w:line="240" w:lineRule="auto"/>
        <w:jc w:val="both"/>
        <w:rPr>
          <w:rFonts w:ascii="Times New Roman" w:eastAsia="Times New Roman" w:hAnsi="Times New Roman" w:cs="Times New Roman"/>
          <w:color w:val="1F1F1F"/>
          <w:sz w:val="24"/>
          <w:szCs w:val="24"/>
          <w:lang w:eastAsia="en-IN"/>
        </w:rPr>
      </w:pPr>
      <w:r w:rsidRPr="00A13708">
        <w:rPr>
          <w:rFonts w:ascii="Times New Roman" w:eastAsia="Times New Roman" w:hAnsi="Times New Roman" w:cs="Times New Roman"/>
          <w:color w:val="1F1F1F"/>
          <w:sz w:val="24"/>
          <w:szCs w:val="24"/>
          <w:lang w:eastAsia="en-IN"/>
        </w:rPr>
        <w:t>The strategies outlined in this paper can help businesses to create a strong organizational culture and high levels of employee engagement in the hybrid workforce. By following these strategies, businesses can ensure that they are attracting, engaging, and retaining the best talent in the market.</w:t>
      </w:r>
    </w:p>
    <w:p w:rsidR="00A13708" w:rsidRPr="002E3D87" w:rsidRDefault="00A13708" w:rsidP="00A13708">
      <w:pPr>
        <w:spacing w:line="240" w:lineRule="auto"/>
        <w:jc w:val="both"/>
        <w:rPr>
          <w:rFonts w:ascii="Times New Roman" w:hAnsi="Times New Roman" w:cs="Times New Roman"/>
          <w:b/>
          <w:sz w:val="20"/>
          <w:szCs w:val="20"/>
        </w:rPr>
      </w:pPr>
      <w:r w:rsidRPr="002E3D87">
        <w:rPr>
          <w:rFonts w:ascii="Times New Roman" w:hAnsi="Times New Roman" w:cs="Times New Roman"/>
          <w:b/>
          <w:sz w:val="20"/>
          <w:szCs w:val="20"/>
        </w:rPr>
        <w:t>Reference</w:t>
      </w:r>
    </w:p>
    <w:p w:rsidR="00A13708" w:rsidRPr="002E3D87" w:rsidRDefault="00A13708" w:rsidP="002E3D87">
      <w:pPr>
        <w:pStyle w:val="ListParagraph"/>
        <w:numPr>
          <w:ilvl w:val="0"/>
          <w:numId w:val="2"/>
        </w:numPr>
        <w:spacing w:after="0" w:line="240" w:lineRule="auto"/>
        <w:jc w:val="both"/>
        <w:rPr>
          <w:rFonts w:ascii="Times New Roman" w:hAnsi="Times New Roman" w:cs="Times New Roman"/>
          <w:sz w:val="16"/>
          <w:szCs w:val="16"/>
        </w:rPr>
      </w:pPr>
      <w:proofErr w:type="spellStart"/>
      <w:r w:rsidRPr="002E3D87">
        <w:rPr>
          <w:rFonts w:ascii="Times New Roman" w:hAnsi="Times New Roman" w:cs="Times New Roman"/>
          <w:sz w:val="16"/>
          <w:szCs w:val="16"/>
        </w:rPr>
        <w:t>Capelli</w:t>
      </w:r>
      <w:proofErr w:type="spellEnd"/>
      <w:r w:rsidRPr="002E3D87">
        <w:rPr>
          <w:rFonts w:ascii="Times New Roman" w:hAnsi="Times New Roman" w:cs="Times New Roman"/>
          <w:sz w:val="16"/>
          <w:szCs w:val="16"/>
        </w:rPr>
        <w:t xml:space="preserve">, P. (2019). The Future of Work: A Literature Review. Annual Review of Organizational Psychology and Organizational </w:t>
      </w:r>
      <w:proofErr w:type="spellStart"/>
      <w:r w:rsidRPr="002E3D87">
        <w:rPr>
          <w:rFonts w:ascii="Times New Roman" w:hAnsi="Times New Roman" w:cs="Times New Roman"/>
          <w:sz w:val="16"/>
          <w:szCs w:val="16"/>
        </w:rPr>
        <w:t>Behavior</w:t>
      </w:r>
      <w:proofErr w:type="spellEnd"/>
      <w:r w:rsidRPr="002E3D87">
        <w:rPr>
          <w:rFonts w:ascii="Times New Roman" w:hAnsi="Times New Roman" w:cs="Times New Roman"/>
          <w:sz w:val="16"/>
          <w:szCs w:val="16"/>
        </w:rPr>
        <w:t>, 6, 1-25.</w:t>
      </w:r>
    </w:p>
    <w:p w:rsidR="00A13708" w:rsidRPr="002E3D87" w:rsidRDefault="00A13708" w:rsidP="002E3D87">
      <w:pPr>
        <w:spacing w:after="0" w:line="240" w:lineRule="auto"/>
        <w:jc w:val="both"/>
        <w:rPr>
          <w:rFonts w:ascii="Times New Roman" w:hAnsi="Times New Roman" w:cs="Times New Roman"/>
          <w:sz w:val="16"/>
          <w:szCs w:val="16"/>
        </w:rPr>
      </w:pPr>
    </w:p>
    <w:p w:rsidR="00A13708" w:rsidRPr="002E3D87" w:rsidRDefault="00A13708" w:rsidP="002E3D87">
      <w:pPr>
        <w:pStyle w:val="ListParagraph"/>
        <w:numPr>
          <w:ilvl w:val="0"/>
          <w:numId w:val="2"/>
        </w:numPr>
        <w:spacing w:after="0" w:line="240" w:lineRule="auto"/>
        <w:jc w:val="both"/>
        <w:rPr>
          <w:rFonts w:ascii="Times New Roman" w:hAnsi="Times New Roman" w:cs="Times New Roman"/>
          <w:sz w:val="16"/>
          <w:szCs w:val="16"/>
        </w:rPr>
      </w:pPr>
      <w:r w:rsidRPr="002E3D87">
        <w:rPr>
          <w:rFonts w:ascii="Times New Roman" w:hAnsi="Times New Roman" w:cs="Times New Roman"/>
          <w:sz w:val="16"/>
          <w:szCs w:val="16"/>
        </w:rPr>
        <w:t>Abrahamson, E. (2020). The Hybrid Workforce: A New Paradigm for the Modern Organization. Harvard Business Review.</w:t>
      </w:r>
    </w:p>
    <w:p w:rsidR="00A13708" w:rsidRPr="002E3D87" w:rsidRDefault="00A13708" w:rsidP="002E3D87">
      <w:pPr>
        <w:spacing w:after="0" w:line="240" w:lineRule="auto"/>
        <w:jc w:val="both"/>
        <w:rPr>
          <w:rFonts w:ascii="Times New Roman" w:hAnsi="Times New Roman" w:cs="Times New Roman"/>
          <w:sz w:val="16"/>
          <w:szCs w:val="16"/>
        </w:rPr>
      </w:pPr>
    </w:p>
    <w:p w:rsidR="00A13708" w:rsidRPr="002E3D87" w:rsidRDefault="00A13708" w:rsidP="002E3D87">
      <w:pPr>
        <w:pStyle w:val="ListParagraph"/>
        <w:numPr>
          <w:ilvl w:val="0"/>
          <w:numId w:val="2"/>
        </w:numPr>
        <w:spacing w:after="0" w:line="240" w:lineRule="auto"/>
        <w:jc w:val="both"/>
        <w:rPr>
          <w:rFonts w:ascii="Times New Roman" w:hAnsi="Times New Roman" w:cs="Times New Roman"/>
          <w:sz w:val="16"/>
          <w:szCs w:val="16"/>
        </w:rPr>
      </w:pPr>
      <w:r w:rsidRPr="002E3D87">
        <w:rPr>
          <w:rFonts w:ascii="Times New Roman" w:hAnsi="Times New Roman" w:cs="Times New Roman"/>
          <w:sz w:val="16"/>
          <w:szCs w:val="16"/>
        </w:rPr>
        <w:t>Grant, A. M., &amp; Parker, S. K. (2009). Redesigning Work Design Theories: The Rise of Relational and Proactive Perspectives. Academy of Management Annals, 3(1), 317-375.</w:t>
      </w:r>
    </w:p>
    <w:p w:rsidR="00A13708" w:rsidRPr="002E3D87" w:rsidRDefault="00A13708" w:rsidP="002E3D87">
      <w:pPr>
        <w:spacing w:after="0" w:line="240" w:lineRule="auto"/>
        <w:jc w:val="both"/>
        <w:rPr>
          <w:rFonts w:ascii="Times New Roman" w:hAnsi="Times New Roman" w:cs="Times New Roman"/>
          <w:sz w:val="16"/>
          <w:szCs w:val="16"/>
        </w:rPr>
      </w:pPr>
    </w:p>
    <w:p w:rsidR="00A13708" w:rsidRPr="002E3D87" w:rsidRDefault="00A13708" w:rsidP="002E3D87">
      <w:pPr>
        <w:pStyle w:val="ListParagraph"/>
        <w:numPr>
          <w:ilvl w:val="0"/>
          <w:numId w:val="2"/>
        </w:numPr>
        <w:spacing w:after="0" w:line="240" w:lineRule="auto"/>
        <w:jc w:val="both"/>
        <w:rPr>
          <w:rFonts w:ascii="Times New Roman" w:hAnsi="Times New Roman" w:cs="Times New Roman"/>
          <w:sz w:val="16"/>
          <w:szCs w:val="16"/>
        </w:rPr>
      </w:pPr>
      <w:r w:rsidRPr="002E3D87">
        <w:rPr>
          <w:rFonts w:ascii="Times New Roman" w:hAnsi="Times New Roman" w:cs="Times New Roman"/>
          <w:sz w:val="16"/>
          <w:szCs w:val="16"/>
        </w:rPr>
        <w:t xml:space="preserve">Parker, S. K., &amp; Harris, M. M. (2019). A Future of Work Agenda: Research Directions for Organizational Psychology. Journal of Organizational </w:t>
      </w:r>
      <w:proofErr w:type="spellStart"/>
      <w:r w:rsidRPr="002E3D87">
        <w:rPr>
          <w:rFonts w:ascii="Times New Roman" w:hAnsi="Times New Roman" w:cs="Times New Roman"/>
          <w:sz w:val="16"/>
          <w:szCs w:val="16"/>
        </w:rPr>
        <w:t>Behavior</w:t>
      </w:r>
      <w:proofErr w:type="spellEnd"/>
      <w:r w:rsidRPr="002E3D87">
        <w:rPr>
          <w:rFonts w:ascii="Times New Roman" w:hAnsi="Times New Roman" w:cs="Times New Roman"/>
          <w:sz w:val="16"/>
          <w:szCs w:val="16"/>
        </w:rPr>
        <w:t>, 40(2), 147-156.</w:t>
      </w:r>
    </w:p>
    <w:p w:rsidR="00A13708" w:rsidRPr="002E3D87" w:rsidRDefault="00A13708" w:rsidP="002E3D87">
      <w:pPr>
        <w:spacing w:after="0" w:line="240" w:lineRule="auto"/>
        <w:jc w:val="both"/>
        <w:rPr>
          <w:rFonts w:ascii="Times New Roman" w:hAnsi="Times New Roman" w:cs="Times New Roman"/>
          <w:sz w:val="16"/>
          <w:szCs w:val="16"/>
        </w:rPr>
      </w:pPr>
    </w:p>
    <w:p w:rsidR="00A13708" w:rsidRPr="002E3D87" w:rsidRDefault="00A13708" w:rsidP="002E3D87">
      <w:pPr>
        <w:pStyle w:val="ListParagraph"/>
        <w:numPr>
          <w:ilvl w:val="0"/>
          <w:numId w:val="2"/>
        </w:numPr>
        <w:spacing w:after="0" w:line="240" w:lineRule="auto"/>
        <w:jc w:val="both"/>
        <w:rPr>
          <w:rFonts w:ascii="Times New Roman" w:hAnsi="Times New Roman" w:cs="Times New Roman"/>
          <w:sz w:val="16"/>
          <w:szCs w:val="16"/>
        </w:rPr>
      </w:pPr>
      <w:r w:rsidRPr="002E3D87">
        <w:rPr>
          <w:rFonts w:ascii="Times New Roman" w:hAnsi="Times New Roman" w:cs="Times New Roman"/>
          <w:sz w:val="16"/>
          <w:szCs w:val="16"/>
        </w:rPr>
        <w:t>Davenport, T. H., &amp; Harris, J. G. (2007). The Dark Side of Information Technology. Harvard Business Review, 85(5), 110-119.</w:t>
      </w:r>
    </w:p>
    <w:p w:rsidR="00A13708" w:rsidRPr="002E3D87" w:rsidRDefault="00A13708" w:rsidP="002E3D87">
      <w:pPr>
        <w:spacing w:after="0" w:line="240" w:lineRule="auto"/>
        <w:jc w:val="both"/>
        <w:rPr>
          <w:rFonts w:ascii="Times New Roman" w:hAnsi="Times New Roman" w:cs="Times New Roman"/>
          <w:sz w:val="16"/>
          <w:szCs w:val="16"/>
        </w:rPr>
      </w:pPr>
    </w:p>
    <w:p w:rsidR="00A13708" w:rsidRPr="002E3D87" w:rsidRDefault="00A13708" w:rsidP="002E3D87">
      <w:pPr>
        <w:pStyle w:val="ListParagraph"/>
        <w:numPr>
          <w:ilvl w:val="0"/>
          <w:numId w:val="2"/>
        </w:numPr>
        <w:spacing w:after="0" w:line="240" w:lineRule="auto"/>
        <w:jc w:val="both"/>
        <w:rPr>
          <w:rFonts w:ascii="Times New Roman" w:hAnsi="Times New Roman" w:cs="Times New Roman"/>
          <w:sz w:val="16"/>
          <w:szCs w:val="16"/>
        </w:rPr>
      </w:pPr>
      <w:r w:rsidRPr="002E3D87">
        <w:rPr>
          <w:rFonts w:ascii="Times New Roman" w:hAnsi="Times New Roman" w:cs="Times New Roman"/>
          <w:sz w:val="16"/>
          <w:szCs w:val="16"/>
        </w:rPr>
        <w:t xml:space="preserve">Allen, T. D., &amp; Golden, T. D. (2007). </w:t>
      </w:r>
      <w:proofErr w:type="spellStart"/>
      <w:r w:rsidRPr="002E3D87">
        <w:rPr>
          <w:rFonts w:ascii="Times New Roman" w:hAnsi="Times New Roman" w:cs="Times New Roman"/>
          <w:sz w:val="16"/>
          <w:szCs w:val="16"/>
        </w:rPr>
        <w:t>Flextime</w:t>
      </w:r>
      <w:proofErr w:type="spellEnd"/>
      <w:r w:rsidRPr="002E3D87">
        <w:rPr>
          <w:rFonts w:ascii="Times New Roman" w:hAnsi="Times New Roman" w:cs="Times New Roman"/>
          <w:sz w:val="16"/>
          <w:szCs w:val="16"/>
        </w:rPr>
        <w:t xml:space="preserve"> and Stress in Telecommuting: The Dark Side of Autonomy and Flexibility. Journal of Vocational </w:t>
      </w:r>
      <w:proofErr w:type="spellStart"/>
      <w:r w:rsidRPr="002E3D87">
        <w:rPr>
          <w:rFonts w:ascii="Times New Roman" w:hAnsi="Times New Roman" w:cs="Times New Roman"/>
          <w:sz w:val="16"/>
          <w:szCs w:val="16"/>
        </w:rPr>
        <w:t>Behavior</w:t>
      </w:r>
      <w:proofErr w:type="spellEnd"/>
      <w:r w:rsidRPr="002E3D87">
        <w:rPr>
          <w:rFonts w:ascii="Times New Roman" w:hAnsi="Times New Roman" w:cs="Times New Roman"/>
          <w:sz w:val="16"/>
          <w:szCs w:val="16"/>
        </w:rPr>
        <w:t>, 71(3), 460-473.</w:t>
      </w:r>
    </w:p>
    <w:p w:rsidR="00A13708" w:rsidRPr="002E3D87" w:rsidRDefault="00A13708" w:rsidP="002E3D87">
      <w:pPr>
        <w:spacing w:after="0" w:line="240" w:lineRule="auto"/>
        <w:jc w:val="both"/>
        <w:rPr>
          <w:rFonts w:ascii="Times New Roman" w:hAnsi="Times New Roman" w:cs="Times New Roman"/>
          <w:sz w:val="16"/>
          <w:szCs w:val="16"/>
        </w:rPr>
      </w:pPr>
    </w:p>
    <w:p w:rsidR="00A13708" w:rsidRPr="002E3D87" w:rsidRDefault="00A13708" w:rsidP="002E3D87">
      <w:pPr>
        <w:pStyle w:val="ListParagraph"/>
        <w:numPr>
          <w:ilvl w:val="0"/>
          <w:numId w:val="2"/>
        </w:numPr>
        <w:spacing w:after="0" w:line="240" w:lineRule="auto"/>
        <w:jc w:val="both"/>
        <w:rPr>
          <w:rFonts w:ascii="Times New Roman" w:hAnsi="Times New Roman" w:cs="Times New Roman"/>
          <w:sz w:val="16"/>
          <w:szCs w:val="16"/>
        </w:rPr>
      </w:pPr>
      <w:r w:rsidRPr="002E3D87">
        <w:rPr>
          <w:rFonts w:ascii="Times New Roman" w:hAnsi="Times New Roman" w:cs="Times New Roman"/>
          <w:sz w:val="16"/>
          <w:szCs w:val="16"/>
        </w:rPr>
        <w:t>O’Neill, T. A., &amp; Hastings, S. E. (2019). Hybrid Work Arrangements and Employee Well-being. Academy of Management Proceedings, 2019(1), 17895.</w:t>
      </w:r>
    </w:p>
    <w:p w:rsidR="00A13708" w:rsidRPr="002E3D87" w:rsidRDefault="00A13708" w:rsidP="002E3D87">
      <w:pPr>
        <w:spacing w:after="0" w:line="240" w:lineRule="auto"/>
        <w:jc w:val="both"/>
        <w:rPr>
          <w:rFonts w:ascii="Times New Roman" w:hAnsi="Times New Roman" w:cs="Times New Roman"/>
          <w:sz w:val="16"/>
          <w:szCs w:val="16"/>
        </w:rPr>
      </w:pPr>
    </w:p>
    <w:p w:rsidR="00A13708" w:rsidRPr="002E3D87" w:rsidRDefault="00A13708" w:rsidP="002E3D87">
      <w:pPr>
        <w:pStyle w:val="ListParagraph"/>
        <w:numPr>
          <w:ilvl w:val="0"/>
          <w:numId w:val="2"/>
        </w:numPr>
        <w:spacing w:after="0" w:line="240" w:lineRule="auto"/>
        <w:jc w:val="both"/>
        <w:rPr>
          <w:rFonts w:ascii="Times New Roman" w:hAnsi="Times New Roman" w:cs="Times New Roman"/>
          <w:sz w:val="16"/>
          <w:szCs w:val="16"/>
        </w:rPr>
      </w:pPr>
      <w:proofErr w:type="spellStart"/>
      <w:r w:rsidRPr="002E3D87">
        <w:rPr>
          <w:rFonts w:ascii="Times New Roman" w:hAnsi="Times New Roman" w:cs="Times New Roman"/>
          <w:sz w:val="16"/>
          <w:szCs w:val="16"/>
        </w:rPr>
        <w:t>Kelliher</w:t>
      </w:r>
      <w:proofErr w:type="spellEnd"/>
      <w:r w:rsidRPr="002E3D87">
        <w:rPr>
          <w:rFonts w:ascii="Times New Roman" w:hAnsi="Times New Roman" w:cs="Times New Roman"/>
          <w:sz w:val="16"/>
          <w:szCs w:val="16"/>
        </w:rPr>
        <w:t>, C., &amp; Anderson, D. (2010). Doing More with Less? Flexible Working Practices and the Intensification of Work. Human Relations, 63(1), 83-106.</w:t>
      </w:r>
    </w:p>
    <w:p w:rsidR="00A13708" w:rsidRPr="002E3D87" w:rsidRDefault="00A13708" w:rsidP="002E3D87">
      <w:pPr>
        <w:spacing w:after="0" w:line="240" w:lineRule="auto"/>
        <w:jc w:val="both"/>
        <w:rPr>
          <w:rFonts w:ascii="Times New Roman" w:hAnsi="Times New Roman" w:cs="Times New Roman"/>
          <w:sz w:val="16"/>
          <w:szCs w:val="16"/>
        </w:rPr>
      </w:pPr>
    </w:p>
    <w:p w:rsidR="00A13708" w:rsidRPr="002E3D87" w:rsidRDefault="00A13708" w:rsidP="002E3D87">
      <w:pPr>
        <w:pStyle w:val="ListParagraph"/>
        <w:numPr>
          <w:ilvl w:val="0"/>
          <w:numId w:val="2"/>
        </w:numPr>
        <w:spacing w:after="0" w:line="240" w:lineRule="auto"/>
        <w:jc w:val="both"/>
        <w:rPr>
          <w:rFonts w:ascii="Times New Roman" w:hAnsi="Times New Roman" w:cs="Times New Roman"/>
          <w:sz w:val="16"/>
          <w:szCs w:val="16"/>
        </w:rPr>
      </w:pPr>
      <w:proofErr w:type="spellStart"/>
      <w:r w:rsidRPr="002E3D87">
        <w:rPr>
          <w:rFonts w:ascii="Times New Roman" w:hAnsi="Times New Roman" w:cs="Times New Roman"/>
          <w:sz w:val="16"/>
          <w:szCs w:val="16"/>
        </w:rPr>
        <w:t>Raghuram</w:t>
      </w:r>
      <w:proofErr w:type="spellEnd"/>
      <w:r w:rsidRPr="002E3D87">
        <w:rPr>
          <w:rFonts w:ascii="Times New Roman" w:hAnsi="Times New Roman" w:cs="Times New Roman"/>
          <w:sz w:val="16"/>
          <w:szCs w:val="16"/>
        </w:rPr>
        <w:t xml:space="preserve">, S., &amp; </w:t>
      </w:r>
      <w:proofErr w:type="spellStart"/>
      <w:r w:rsidRPr="002E3D87">
        <w:rPr>
          <w:rFonts w:ascii="Times New Roman" w:hAnsi="Times New Roman" w:cs="Times New Roman"/>
          <w:sz w:val="16"/>
          <w:szCs w:val="16"/>
        </w:rPr>
        <w:t>Wadhwa</w:t>
      </w:r>
      <w:proofErr w:type="spellEnd"/>
      <w:r w:rsidRPr="002E3D87">
        <w:rPr>
          <w:rFonts w:ascii="Times New Roman" w:hAnsi="Times New Roman" w:cs="Times New Roman"/>
          <w:sz w:val="16"/>
          <w:szCs w:val="16"/>
        </w:rPr>
        <w:t>, V. (2021). The Hybrid Workforce: Strategies for Success. Deloitte Insights.</w:t>
      </w:r>
    </w:p>
    <w:p w:rsidR="00A13708" w:rsidRPr="002E3D87" w:rsidRDefault="00A13708" w:rsidP="002E3D87">
      <w:pPr>
        <w:spacing w:after="0" w:line="240" w:lineRule="auto"/>
        <w:jc w:val="both"/>
        <w:rPr>
          <w:rFonts w:ascii="Times New Roman" w:hAnsi="Times New Roman" w:cs="Times New Roman"/>
          <w:sz w:val="16"/>
          <w:szCs w:val="16"/>
        </w:rPr>
      </w:pPr>
    </w:p>
    <w:p w:rsidR="00A13708" w:rsidRPr="002E3D87" w:rsidRDefault="00A13708" w:rsidP="002E3D87">
      <w:pPr>
        <w:pStyle w:val="ListParagraph"/>
        <w:numPr>
          <w:ilvl w:val="0"/>
          <w:numId w:val="2"/>
        </w:numPr>
        <w:spacing w:after="0" w:line="240" w:lineRule="auto"/>
        <w:jc w:val="both"/>
        <w:rPr>
          <w:rFonts w:ascii="Times New Roman" w:hAnsi="Times New Roman" w:cs="Times New Roman"/>
          <w:sz w:val="16"/>
          <w:szCs w:val="16"/>
        </w:rPr>
      </w:pPr>
      <w:r w:rsidRPr="002E3D87">
        <w:rPr>
          <w:rFonts w:ascii="Times New Roman" w:hAnsi="Times New Roman" w:cs="Times New Roman"/>
          <w:sz w:val="16"/>
          <w:szCs w:val="16"/>
        </w:rPr>
        <w:t>Gartner. (2021). Reimagining the Hybrid Workforce: A Gartner Trend Insight Report.</w:t>
      </w:r>
    </w:p>
    <w:p w:rsidR="00A13708" w:rsidRPr="00A13708" w:rsidRDefault="00A13708" w:rsidP="00A13708">
      <w:pPr>
        <w:spacing w:line="240" w:lineRule="auto"/>
        <w:jc w:val="both"/>
        <w:rPr>
          <w:rFonts w:ascii="Times New Roman" w:hAnsi="Times New Roman" w:cs="Times New Roman"/>
          <w:sz w:val="24"/>
        </w:rPr>
      </w:pPr>
    </w:p>
    <w:p w:rsidR="00A13708" w:rsidRPr="00A13708" w:rsidRDefault="00A13708" w:rsidP="00A13708">
      <w:pPr>
        <w:spacing w:line="240" w:lineRule="auto"/>
        <w:jc w:val="both"/>
        <w:rPr>
          <w:rFonts w:ascii="Times New Roman" w:hAnsi="Times New Roman" w:cs="Times New Roman"/>
          <w:sz w:val="24"/>
        </w:rPr>
      </w:pPr>
    </w:p>
    <w:p w:rsidR="00A13708" w:rsidRPr="00A13708" w:rsidRDefault="00A13708" w:rsidP="00A13708">
      <w:pPr>
        <w:spacing w:line="240" w:lineRule="auto"/>
        <w:jc w:val="both"/>
        <w:rPr>
          <w:rFonts w:ascii="Times New Roman" w:hAnsi="Times New Roman" w:cs="Times New Roman"/>
          <w:sz w:val="24"/>
        </w:rPr>
      </w:pPr>
    </w:p>
    <w:p w:rsidR="00A13708" w:rsidRPr="00A13708" w:rsidRDefault="00A13708" w:rsidP="00A13708">
      <w:pPr>
        <w:spacing w:line="240" w:lineRule="auto"/>
        <w:jc w:val="both"/>
        <w:rPr>
          <w:rFonts w:ascii="Times New Roman" w:hAnsi="Times New Roman" w:cs="Times New Roman"/>
          <w:sz w:val="24"/>
        </w:rPr>
      </w:pPr>
      <w:bookmarkStart w:id="0" w:name="_GoBack"/>
      <w:bookmarkEnd w:id="0"/>
    </w:p>
    <w:p w:rsidR="00A13708" w:rsidRPr="00A13708" w:rsidRDefault="00A13708" w:rsidP="00A13708">
      <w:pPr>
        <w:spacing w:line="240" w:lineRule="auto"/>
        <w:jc w:val="both"/>
        <w:rPr>
          <w:rFonts w:ascii="Times New Roman" w:hAnsi="Times New Roman" w:cs="Times New Roman"/>
          <w:sz w:val="24"/>
        </w:rPr>
      </w:pPr>
    </w:p>
    <w:p w:rsidR="00A13708" w:rsidRDefault="00A13708" w:rsidP="00A13708">
      <w:pPr>
        <w:spacing w:line="240" w:lineRule="auto"/>
        <w:jc w:val="both"/>
        <w:rPr>
          <w:rFonts w:ascii="Times New Roman" w:hAnsi="Times New Roman" w:cs="Times New Roman"/>
          <w:sz w:val="24"/>
        </w:rPr>
      </w:pP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proofErr w:type="spellStart"/>
      <w:r w:rsidRPr="001D6D4F">
        <w:rPr>
          <w:rFonts w:ascii="ff2" w:eastAsia="Times New Roman" w:hAnsi="ff2" w:cs="Times New Roman"/>
          <w:color w:val="000000"/>
          <w:sz w:val="66"/>
          <w:szCs w:val="66"/>
          <w:lang w:eastAsia="en-IN"/>
        </w:rPr>
        <w:t>Agostoni</w:t>
      </w:r>
      <w:proofErr w:type="spellEnd"/>
      <w:r w:rsidRPr="001D6D4F">
        <w:rPr>
          <w:rFonts w:ascii="ff2" w:eastAsia="Times New Roman" w:hAnsi="ff2" w:cs="Times New Roman"/>
          <w:color w:val="000000"/>
          <w:sz w:val="66"/>
          <w:szCs w:val="66"/>
          <w:lang w:eastAsia="en-IN"/>
        </w:rPr>
        <w:t xml:space="preserve">, L. (2020). </w:t>
      </w:r>
      <w:r w:rsidRPr="001D6D4F">
        <w:rPr>
          <w:rFonts w:ascii="ff5" w:eastAsia="Times New Roman" w:hAnsi="ff5" w:cs="Times New Roman"/>
          <w:color w:val="000000"/>
          <w:sz w:val="66"/>
          <w:szCs w:val="66"/>
          <w:lang w:eastAsia="en-IN"/>
        </w:rPr>
        <w:t>Remote Working: Advices to Reduce Risks and Boost Productivity</w:t>
      </w:r>
      <w:r w:rsidRPr="001D6D4F">
        <w:rPr>
          <w:rFonts w:ascii="ff2" w:eastAsia="Times New Roman" w:hAnsi="ff2" w:cs="Times New Roman"/>
          <w:color w:val="000000"/>
          <w:sz w:val="66"/>
          <w:szCs w:val="66"/>
          <w:lang w:eastAsia="en-IN"/>
        </w:rPr>
        <w:t>. Academic Press.</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r w:rsidRPr="001D6D4F">
        <w:rPr>
          <w:rFonts w:ascii="ff2" w:eastAsia="Times New Roman" w:hAnsi="ff2" w:cs="Times New Roman"/>
          <w:color w:val="000000"/>
          <w:sz w:val="66"/>
          <w:szCs w:val="66"/>
          <w:lang w:eastAsia="en-IN"/>
        </w:rPr>
        <w:t xml:space="preserve">Barnes, D. E. (2018). </w:t>
      </w:r>
      <w:r w:rsidRPr="001D6D4F">
        <w:rPr>
          <w:rFonts w:ascii="ff5" w:eastAsia="Times New Roman" w:hAnsi="ff5" w:cs="Times New Roman"/>
          <w:color w:val="000000"/>
          <w:sz w:val="66"/>
          <w:szCs w:val="66"/>
          <w:lang w:eastAsia="en-IN"/>
        </w:rPr>
        <w:t>Modern Project Teams: Effects of Workplace Isolation on Engagement</w:t>
      </w:r>
      <w:r w:rsidRPr="001D6D4F">
        <w:rPr>
          <w:rFonts w:ascii="ff2" w:eastAsia="Times New Roman" w:hAnsi="ff2" w:cs="Times New Roman"/>
          <w:color w:val="000000"/>
          <w:sz w:val="66"/>
          <w:szCs w:val="66"/>
          <w:lang w:eastAsia="en-IN"/>
        </w:rPr>
        <w:t xml:space="preserve">. </w:t>
      </w:r>
      <w:r>
        <w:rPr>
          <w:rFonts w:ascii="ff2" w:eastAsia="Times New Roman" w:hAnsi="ff2" w:cs="Times New Roman"/>
          <w:color w:val="000000"/>
          <w:sz w:val="66"/>
          <w:szCs w:val="66"/>
          <w:lang w:eastAsia="en-IN"/>
        </w:rPr>
        <w:t>Creative</w:t>
      </w:r>
      <w:r w:rsidRPr="001D6D4F">
        <w:rPr>
          <w:rFonts w:ascii="ff2" w:eastAsia="Times New Roman" w:hAnsi="ff2" w:cs="Times New Roman"/>
          <w:color w:val="000000"/>
          <w:sz w:val="66"/>
          <w:szCs w:val="66"/>
          <w:lang w:eastAsia="en-IN"/>
        </w:rPr>
        <w:t>-</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proofErr w:type="gramStart"/>
      <w:r>
        <w:rPr>
          <w:rFonts w:ascii="ff2" w:eastAsia="Times New Roman" w:hAnsi="ff2" w:cs="Times New Roman"/>
          <w:color w:val="000000"/>
          <w:sz w:val="66"/>
          <w:szCs w:val="66"/>
          <w:lang w:eastAsia="en-IN"/>
        </w:rPr>
        <w:t>city</w:t>
      </w:r>
      <w:proofErr w:type="gramEnd"/>
      <w:r w:rsidRPr="001D6D4F">
        <w:rPr>
          <w:rFonts w:ascii="ff2" w:eastAsia="Times New Roman" w:hAnsi="ff2" w:cs="Times New Roman"/>
          <w:color w:val="000000"/>
          <w:sz w:val="66"/>
          <w:szCs w:val="66"/>
          <w:lang w:eastAsia="en-IN"/>
        </w:rPr>
        <w:t>, and Loneliness.</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r w:rsidRPr="001D6D4F">
        <w:rPr>
          <w:rFonts w:ascii="ff2" w:eastAsia="Times New Roman" w:hAnsi="ff2" w:cs="Times New Roman"/>
          <w:color w:val="000000"/>
          <w:sz w:val="66"/>
          <w:szCs w:val="66"/>
          <w:lang w:eastAsia="en-IN"/>
        </w:rPr>
        <w:t xml:space="preserve">Bauer, W., </w:t>
      </w:r>
      <w:proofErr w:type="spellStart"/>
      <w:r w:rsidRPr="001D6D4F">
        <w:rPr>
          <w:rFonts w:ascii="ff2" w:eastAsia="Times New Roman" w:hAnsi="ff2" w:cs="Times New Roman"/>
          <w:color w:val="000000"/>
          <w:sz w:val="66"/>
          <w:szCs w:val="66"/>
          <w:lang w:eastAsia="en-IN"/>
        </w:rPr>
        <w:t>Schlund</w:t>
      </w:r>
      <w:proofErr w:type="spellEnd"/>
      <w:r w:rsidRPr="001D6D4F">
        <w:rPr>
          <w:rFonts w:ascii="ff2" w:eastAsia="Times New Roman" w:hAnsi="ff2" w:cs="Times New Roman"/>
          <w:color w:val="000000"/>
          <w:sz w:val="66"/>
          <w:szCs w:val="66"/>
          <w:lang w:eastAsia="en-IN"/>
        </w:rPr>
        <w:t xml:space="preserve">, S., &amp; </w:t>
      </w:r>
      <w:proofErr w:type="spellStart"/>
      <w:r w:rsidRPr="001D6D4F">
        <w:rPr>
          <w:rFonts w:ascii="ff2" w:eastAsia="Times New Roman" w:hAnsi="ff2" w:cs="Times New Roman"/>
          <w:color w:val="000000"/>
          <w:sz w:val="66"/>
          <w:szCs w:val="66"/>
          <w:lang w:eastAsia="en-IN"/>
        </w:rPr>
        <w:t>Vocke</w:t>
      </w:r>
      <w:proofErr w:type="spellEnd"/>
      <w:r w:rsidRPr="001D6D4F">
        <w:rPr>
          <w:rFonts w:ascii="ff2" w:eastAsia="Times New Roman" w:hAnsi="ff2" w:cs="Times New Roman"/>
          <w:color w:val="000000"/>
          <w:sz w:val="66"/>
          <w:szCs w:val="66"/>
          <w:lang w:eastAsia="en-IN"/>
        </w:rPr>
        <w:t xml:space="preserve">, C. (2018). Working life within a hybrid world – How digital </w:t>
      </w:r>
      <w:r>
        <w:rPr>
          <w:rFonts w:ascii="ff2" w:eastAsia="Times New Roman" w:hAnsi="ff2" w:cs="Times New Roman"/>
          <w:color w:val="000000"/>
          <w:sz w:val="66"/>
          <w:szCs w:val="66"/>
          <w:lang w:eastAsia="en-IN"/>
        </w:rPr>
        <w:t>transform</w:t>
      </w:r>
      <w:r w:rsidRPr="001D6D4F">
        <w:rPr>
          <w:rFonts w:ascii="ff2" w:eastAsia="Times New Roman" w:hAnsi="ff2" w:cs="Times New Roman"/>
          <w:color w:val="000000"/>
          <w:sz w:val="66"/>
          <w:szCs w:val="66"/>
          <w:lang w:eastAsia="en-IN"/>
        </w:rPr>
        <w:t>-</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proofErr w:type="spellStart"/>
      <w:proofErr w:type="gramStart"/>
      <w:r w:rsidRPr="001D6D4F">
        <w:rPr>
          <w:rFonts w:ascii="ff2" w:eastAsia="Times New Roman" w:hAnsi="ff2" w:cs="Times New Roman"/>
          <w:color w:val="000000"/>
          <w:sz w:val="66"/>
          <w:szCs w:val="66"/>
          <w:lang w:eastAsia="en-IN"/>
        </w:rPr>
        <w:t>tion</w:t>
      </w:r>
      <w:proofErr w:type="spellEnd"/>
      <w:proofErr w:type="gramEnd"/>
      <w:r w:rsidRPr="001D6D4F">
        <w:rPr>
          <w:rFonts w:ascii="ff2" w:eastAsia="Times New Roman" w:hAnsi="ff2" w:cs="Times New Roman"/>
          <w:color w:val="000000"/>
          <w:sz w:val="66"/>
          <w:szCs w:val="66"/>
          <w:lang w:eastAsia="en-IN"/>
        </w:rPr>
        <w:t xml:space="preserve"> and agile structures affect human functions and increase </w:t>
      </w:r>
      <w:r>
        <w:rPr>
          <w:rFonts w:ascii="ff2" w:eastAsia="Times New Roman" w:hAnsi="ff2" w:cs="Times New Roman"/>
          <w:color w:val="000000"/>
          <w:sz w:val="66"/>
          <w:szCs w:val="66"/>
          <w:lang w:eastAsia="en-IN"/>
        </w:rPr>
        <w:t xml:space="preserve">the </w:t>
      </w:r>
      <w:r w:rsidRPr="001D6D4F">
        <w:rPr>
          <w:rFonts w:ascii="ff2" w:eastAsia="Times New Roman" w:hAnsi="ff2" w:cs="Times New Roman"/>
          <w:color w:val="000000"/>
          <w:sz w:val="66"/>
          <w:szCs w:val="66"/>
          <w:lang w:eastAsia="en-IN"/>
        </w:rPr>
        <w:t xml:space="preserve">quality of work and business performance. </w:t>
      </w:r>
    </w:p>
    <w:p w:rsidR="001D6D4F" w:rsidRPr="001D6D4F" w:rsidRDefault="001D6D4F" w:rsidP="001D6D4F">
      <w:pPr>
        <w:shd w:val="clear" w:color="auto" w:fill="FFFFFF"/>
        <w:spacing w:after="0" w:line="0" w:lineRule="auto"/>
        <w:rPr>
          <w:rFonts w:ascii="ff5" w:eastAsia="Times New Roman" w:hAnsi="ff5" w:cs="Times New Roman"/>
          <w:color w:val="000000"/>
          <w:sz w:val="66"/>
          <w:szCs w:val="66"/>
          <w:lang w:eastAsia="en-IN"/>
        </w:rPr>
      </w:pPr>
      <w:r w:rsidRPr="001D6D4F">
        <w:rPr>
          <w:rFonts w:ascii="ff5" w:eastAsia="Times New Roman" w:hAnsi="ff5" w:cs="Times New Roman"/>
          <w:color w:val="000000"/>
          <w:sz w:val="66"/>
          <w:szCs w:val="66"/>
          <w:lang w:eastAsia="en-IN"/>
        </w:rPr>
        <w:t>Advances in Intelligent Systems and Computing</w:t>
      </w:r>
      <w:r w:rsidRPr="001D6D4F">
        <w:rPr>
          <w:rFonts w:ascii="ff2" w:eastAsia="Times New Roman" w:hAnsi="ff2" w:cs="Times New Roman"/>
          <w:color w:val="000000"/>
          <w:sz w:val="66"/>
          <w:szCs w:val="66"/>
          <w:lang w:eastAsia="en-IN"/>
        </w:rPr>
        <w:t xml:space="preserve">, </w:t>
      </w:r>
      <w:r w:rsidRPr="001D6D4F">
        <w:rPr>
          <w:rFonts w:ascii="ff5" w:eastAsia="Times New Roman" w:hAnsi="ff5" w:cs="Times New Roman"/>
          <w:color w:val="000000"/>
          <w:sz w:val="66"/>
          <w:szCs w:val="66"/>
          <w:lang w:eastAsia="en-IN"/>
        </w:rPr>
        <w:t>594</w:t>
      </w:r>
      <w:r w:rsidRPr="001D6D4F">
        <w:rPr>
          <w:rFonts w:ascii="ff2" w:eastAsia="Times New Roman" w:hAnsi="ff2" w:cs="Times New Roman"/>
          <w:color w:val="000000"/>
          <w:sz w:val="66"/>
          <w:szCs w:val="66"/>
          <w:lang w:eastAsia="en-IN"/>
        </w:rPr>
        <w:t xml:space="preserve">, 3–10. </w:t>
      </w:r>
      <w:proofErr w:type="gramStart"/>
      <w:r w:rsidRPr="001D6D4F">
        <w:rPr>
          <w:rFonts w:ascii="ff2" w:eastAsia="Times New Roman" w:hAnsi="ff2" w:cs="Times New Roman"/>
          <w:color w:val="000000"/>
          <w:sz w:val="66"/>
          <w:szCs w:val="66"/>
          <w:lang w:eastAsia="en-IN"/>
        </w:rPr>
        <w:t>doi:</w:t>
      </w:r>
      <w:proofErr w:type="gramEnd"/>
      <w:r w:rsidRPr="001D6D4F">
        <w:rPr>
          <w:rFonts w:ascii="ff2" w:eastAsia="Times New Roman" w:hAnsi="ff2" w:cs="Times New Roman"/>
          <w:color w:val="000000"/>
          <w:sz w:val="66"/>
          <w:szCs w:val="66"/>
          <w:lang w:eastAsia="en-IN"/>
        </w:rPr>
        <w:t>10.1007/978-3-319-60372-8_1</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proofErr w:type="spellStart"/>
      <w:r w:rsidRPr="001D6D4F">
        <w:rPr>
          <w:rFonts w:ascii="ff2" w:eastAsia="Times New Roman" w:hAnsi="ff2" w:cs="Times New Roman"/>
          <w:color w:val="000000"/>
          <w:sz w:val="66"/>
          <w:szCs w:val="66"/>
          <w:lang w:eastAsia="en-IN"/>
        </w:rPr>
        <w:t>Biberman</w:t>
      </w:r>
      <w:proofErr w:type="spellEnd"/>
      <w:r w:rsidRPr="001D6D4F">
        <w:rPr>
          <w:rFonts w:ascii="ff2" w:eastAsia="Times New Roman" w:hAnsi="ff2" w:cs="Times New Roman"/>
          <w:color w:val="000000"/>
          <w:sz w:val="66"/>
          <w:szCs w:val="66"/>
          <w:lang w:eastAsia="en-IN"/>
        </w:rPr>
        <w:t xml:space="preserve">, J., &amp; </w:t>
      </w:r>
      <w:proofErr w:type="spellStart"/>
      <w:r w:rsidRPr="001D6D4F">
        <w:rPr>
          <w:rFonts w:ascii="ff2" w:eastAsia="Times New Roman" w:hAnsi="ff2" w:cs="Times New Roman"/>
          <w:color w:val="000000"/>
          <w:sz w:val="66"/>
          <w:szCs w:val="66"/>
          <w:lang w:eastAsia="en-IN"/>
        </w:rPr>
        <w:t>Whitty</w:t>
      </w:r>
      <w:proofErr w:type="spellEnd"/>
      <w:r w:rsidRPr="001D6D4F">
        <w:rPr>
          <w:rFonts w:ascii="ff2" w:eastAsia="Times New Roman" w:hAnsi="ff2" w:cs="Times New Roman"/>
          <w:color w:val="000000"/>
          <w:sz w:val="66"/>
          <w:szCs w:val="66"/>
          <w:lang w:eastAsia="en-IN"/>
        </w:rPr>
        <w:t xml:space="preserve">, M. (1997). A postmodern spiritual future for work. </w:t>
      </w:r>
      <w:r w:rsidRPr="001D6D4F">
        <w:rPr>
          <w:rFonts w:ascii="ff5" w:eastAsia="Times New Roman" w:hAnsi="ff5" w:cs="Times New Roman"/>
          <w:color w:val="000000"/>
          <w:sz w:val="66"/>
          <w:szCs w:val="66"/>
          <w:lang w:eastAsia="en-IN"/>
        </w:rPr>
        <w:t xml:space="preserve">Journal of Organizational </w:t>
      </w:r>
    </w:p>
    <w:p w:rsidR="001D6D4F" w:rsidRPr="001D6D4F" w:rsidRDefault="001D6D4F" w:rsidP="001D6D4F">
      <w:pPr>
        <w:shd w:val="clear" w:color="auto" w:fill="FFFFFF"/>
        <w:spacing w:after="0" w:line="0" w:lineRule="auto"/>
        <w:rPr>
          <w:rFonts w:ascii="ff5" w:eastAsia="Times New Roman" w:hAnsi="ff5" w:cs="Times New Roman"/>
          <w:color w:val="000000"/>
          <w:sz w:val="66"/>
          <w:szCs w:val="66"/>
          <w:lang w:eastAsia="en-IN"/>
        </w:rPr>
      </w:pPr>
      <w:r w:rsidRPr="001D6D4F">
        <w:rPr>
          <w:rFonts w:ascii="ff5" w:eastAsia="Times New Roman" w:hAnsi="ff5" w:cs="Times New Roman"/>
          <w:color w:val="000000"/>
          <w:sz w:val="66"/>
          <w:szCs w:val="66"/>
          <w:lang w:eastAsia="en-IN"/>
        </w:rPr>
        <w:t>Change Management</w:t>
      </w:r>
      <w:r w:rsidRPr="001D6D4F">
        <w:rPr>
          <w:rFonts w:ascii="ff2" w:eastAsia="Times New Roman" w:hAnsi="ff2" w:cs="Times New Roman"/>
          <w:color w:val="000000"/>
          <w:sz w:val="66"/>
          <w:szCs w:val="66"/>
          <w:lang w:eastAsia="en-IN"/>
        </w:rPr>
        <w:t xml:space="preserve">, </w:t>
      </w:r>
      <w:r w:rsidRPr="001D6D4F">
        <w:rPr>
          <w:rFonts w:ascii="ff5" w:eastAsia="Times New Roman" w:hAnsi="ff5" w:cs="Times New Roman"/>
          <w:color w:val="000000"/>
          <w:sz w:val="66"/>
          <w:szCs w:val="66"/>
          <w:lang w:eastAsia="en-IN"/>
        </w:rPr>
        <w:t>10</w:t>
      </w:r>
      <w:r w:rsidRPr="001D6D4F">
        <w:rPr>
          <w:rFonts w:ascii="ff2" w:eastAsia="Times New Roman" w:hAnsi="ff2" w:cs="Times New Roman"/>
          <w:color w:val="000000"/>
          <w:sz w:val="66"/>
          <w:szCs w:val="66"/>
          <w:lang w:eastAsia="en-IN"/>
        </w:rPr>
        <w:t xml:space="preserve">(2), 130–138. </w:t>
      </w:r>
      <w:proofErr w:type="gramStart"/>
      <w:r w:rsidRPr="001D6D4F">
        <w:rPr>
          <w:rFonts w:ascii="ff2" w:eastAsia="Times New Roman" w:hAnsi="ff2" w:cs="Times New Roman"/>
          <w:color w:val="000000"/>
          <w:sz w:val="66"/>
          <w:szCs w:val="66"/>
          <w:lang w:eastAsia="en-IN"/>
        </w:rPr>
        <w:t>doi:</w:t>
      </w:r>
      <w:proofErr w:type="gramEnd"/>
      <w:r w:rsidRPr="001D6D4F">
        <w:rPr>
          <w:rFonts w:ascii="ff2" w:eastAsia="Times New Roman" w:hAnsi="ff2" w:cs="Times New Roman"/>
          <w:color w:val="000000"/>
          <w:sz w:val="66"/>
          <w:szCs w:val="66"/>
          <w:lang w:eastAsia="en-IN"/>
        </w:rPr>
        <w:t>10.1108/0953481971016079</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proofErr w:type="spellStart"/>
      <w:r w:rsidRPr="001D6D4F">
        <w:rPr>
          <w:rFonts w:ascii="ff2" w:eastAsia="Times New Roman" w:hAnsi="ff2" w:cs="Times New Roman"/>
          <w:color w:val="000000"/>
          <w:sz w:val="66"/>
          <w:szCs w:val="66"/>
          <w:lang w:eastAsia="en-IN"/>
        </w:rPr>
        <w:t>Agostoni</w:t>
      </w:r>
      <w:proofErr w:type="spellEnd"/>
      <w:r w:rsidRPr="001D6D4F">
        <w:rPr>
          <w:rFonts w:ascii="ff2" w:eastAsia="Times New Roman" w:hAnsi="ff2" w:cs="Times New Roman"/>
          <w:color w:val="000000"/>
          <w:sz w:val="66"/>
          <w:szCs w:val="66"/>
          <w:lang w:eastAsia="en-IN"/>
        </w:rPr>
        <w:t xml:space="preserve">, L. (2020). </w:t>
      </w:r>
      <w:r w:rsidRPr="001D6D4F">
        <w:rPr>
          <w:rFonts w:ascii="ff5" w:eastAsia="Times New Roman" w:hAnsi="ff5" w:cs="Times New Roman"/>
          <w:color w:val="000000"/>
          <w:sz w:val="66"/>
          <w:szCs w:val="66"/>
          <w:lang w:eastAsia="en-IN"/>
        </w:rPr>
        <w:t>Remote Working: Advices to Reduce Risks and Boost Productivity</w:t>
      </w:r>
      <w:r w:rsidRPr="001D6D4F">
        <w:rPr>
          <w:rFonts w:ascii="ff2" w:eastAsia="Times New Roman" w:hAnsi="ff2" w:cs="Times New Roman"/>
          <w:color w:val="000000"/>
          <w:sz w:val="66"/>
          <w:szCs w:val="66"/>
          <w:lang w:eastAsia="en-IN"/>
        </w:rPr>
        <w:t>. Academic Press.</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r w:rsidRPr="001D6D4F">
        <w:rPr>
          <w:rFonts w:ascii="ff2" w:eastAsia="Times New Roman" w:hAnsi="ff2" w:cs="Times New Roman"/>
          <w:color w:val="000000"/>
          <w:sz w:val="66"/>
          <w:szCs w:val="66"/>
          <w:lang w:eastAsia="en-IN"/>
        </w:rPr>
        <w:t xml:space="preserve">Barnes, D. E. (2018). </w:t>
      </w:r>
      <w:r w:rsidRPr="001D6D4F">
        <w:rPr>
          <w:rFonts w:ascii="ff5" w:eastAsia="Times New Roman" w:hAnsi="ff5" w:cs="Times New Roman"/>
          <w:color w:val="000000"/>
          <w:sz w:val="66"/>
          <w:szCs w:val="66"/>
          <w:lang w:eastAsia="en-IN"/>
        </w:rPr>
        <w:t>Modern Project Teams: Effects of Workplace Isolation on Engagement</w:t>
      </w:r>
      <w:r w:rsidRPr="001D6D4F">
        <w:rPr>
          <w:rFonts w:ascii="ff2" w:eastAsia="Times New Roman" w:hAnsi="ff2" w:cs="Times New Roman"/>
          <w:color w:val="000000"/>
          <w:sz w:val="66"/>
          <w:szCs w:val="66"/>
          <w:lang w:eastAsia="en-IN"/>
        </w:rPr>
        <w:t xml:space="preserve">. </w:t>
      </w:r>
      <w:r>
        <w:rPr>
          <w:rFonts w:ascii="ff2" w:eastAsia="Times New Roman" w:hAnsi="ff2" w:cs="Times New Roman"/>
          <w:color w:val="000000"/>
          <w:sz w:val="66"/>
          <w:szCs w:val="66"/>
          <w:lang w:eastAsia="en-IN"/>
        </w:rPr>
        <w:t>Creative</w:t>
      </w:r>
      <w:r w:rsidRPr="001D6D4F">
        <w:rPr>
          <w:rFonts w:ascii="ff2" w:eastAsia="Times New Roman" w:hAnsi="ff2" w:cs="Times New Roman"/>
          <w:color w:val="000000"/>
          <w:sz w:val="66"/>
          <w:szCs w:val="66"/>
          <w:lang w:eastAsia="en-IN"/>
        </w:rPr>
        <w:t>-</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proofErr w:type="gramStart"/>
      <w:r>
        <w:rPr>
          <w:rFonts w:ascii="ff2" w:eastAsia="Times New Roman" w:hAnsi="ff2" w:cs="Times New Roman"/>
          <w:color w:val="000000"/>
          <w:sz w:val="66"/>
          <w:szCs w:val="66"/>
          <w:lang w:eastAsia="en-IN"/>
        </w:rPr>
        <w:t>city</w:t>
      </w:r>
      <w:proofErr w:type="gramEnd"/>
      <w:r w:rsidRPr="001D6D4F">
        <w:rPr>
          <w:rFonts w:ascii="ff2" w:eastAsia="Times New Roman" w:hAnsi="ff2" w:cs="Times New Roman"/>
          <w:color w:val="000000"/>
          <w:sz w:val="66"/>
          <w:szCs w:val="66"/>
          <w:lang w:eastAsia="en-IN"/>
        </w:rPr>
        <w:t>, and Loneliness.</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r w:rsidRPr="001D6D4F">
        <w:rPr>
          <w:rFonts w:ascii="ff2" w:eastAsia="Times New Roman" w:hAnsi="ff2" w:cs="Times New Roman"/>
          <w:color w:val="000000"/>
          <w:sz w:val="66"/>
          <w:szCs w:val="66"/>
          <w:lang w:eastAsia="en-IN"/>
        </w:rPr>
        <w:t xml:space="preserve">Bauer, W., </w:t>
      </w:r>
      <w:proofErr w:type="spellStart"/>
      <w:r w:rsidRPr="001D6D4F">
        <w:rPr>
          <w:rFonts w:ascii="ff2" w:eastAsia="Times New Roman" w:hAnsi="ff2" w:cs="Times New Roman"/>
          <w:color w:val="000000"/>
          <w:sz w:val="66"/>
          <w:szCs w:val="66"/>
          <w:lang w:eastAsia="en-IN"/>
        </w:rPr>
        <w:t>Schlund</w:t>
      </w:r>
      <w:proofErr w:type="spellEnd"/>
      <w:r w:rsidRPr="001D6D4F">
        <w:rPr>
          <w:rFonts w:ascii="ff2" w:eastAsia="Times New Roman" w:hAnsi="ff2" w:cs="Times New Roman"/>
          <w:color w:val="000000"/>
          <w:sz w:val="66"/>
          <w:szCs w:val="66"/>
          <w:lang w:eastAsia="en-IN"/>
        </w:rPr>
        <w:t xml:space="preserve">, S., &amp; </w:t>
      </w:r>
      <w:proofErr w:type="spellStart"/>
      <w:r w:rsidRPr="001D6D4F">
        <w:rPr>
          <w:rFonts w:ascii="ff2" w:eastAsia="Times New Roman" w:hAnsi="ff2" w:cs="Times New Roman"/>
          <w:color w:val="000000"/>
          <w:sz w:val="66"/>
          <w:szCs w:val="66"/>
          <w:lang w:eastAsia="en-IN"/>
        </w:rPr>
        <w:t>Vocke</w:t>
      </w:r>
      <w:proofErr w:type="spellEnd"/>
      <w:r w:rsidRPr="001D6D4F">
        <w:rPr>
          <w:rFonts w:ascii="ff2" w:eastAsia="Times New Roman" w:hAnsi="ff2" w:cs="Times New Roman"/>
          <w:color w:val="000000"/>
          <w:sz w:val="66"/>
          <w:szCs w:val="66"/>
          <w:lang w:eastAsia="en-IN"/>
        </w:rPr>
        <w:t xml:space="preserve">, C. (2018). Working life within a hybrid world – How digital </w:t>
      </w:r>
      <w:r>
        <w:rPr>
          <w:rFonts w:ascii="ff2" w:eastAsia="Times New Roman" w:hAnsi="ff2" w:cs="Times New Roman"/>
          <w:color w:val="000000"/>
          <w:sz w:val="66"/>
          <w:szCs w:val="66"/>
          <w:lang w:eastAsia="en-IN"/>
        </w:rPr>
        <w:t>transform</w:t>
      </w:r>
      <w:r w:rsidRPr="001D6D4F">
        <w:rPr>
          <w:rFonts w:ascii="ff2" w:eastAsia="Times New Roman" w:hAnsi="ff2" w:cs="Times New Roman"/>
          <w:color w:val="000000"/>
          <w:sz w:val="66"/>
          <w:szCs w:val="66"/>
          <w:lang w:eastAsia="en-IN"/>
        </w:rPr>
        <w:t>-</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proofErr w:type="spellStart"/>
      <w:proofErr w:type="gramStart"/>
      <w:r w:rsidRPr="001D6D4F">
        <w:rPr>
          <w:rFonts w:ascii="ff2" w:eastAsia="Times New Roman" w:hAnsi="ff2" w:cs="Times New Roman"/>
          <w:color w:val="000000"/>
          <w:sz w:val="66"/>
          <w:szCs w:val="66"/>
          <w:lang w:eastAsia="en-IN"/>
        </w:rPr>
        <w:t>tion</w:t>
      </w:r>
      <w:proofErr w:type="spellEnd"/>
      <w:proofErr w:type="gramEnd"/>
      <w:r w:rsidRPr="001D6D4F">
        <w:rPr>
          <w:rFonts w:ascii="ff2" w:eastAsia="Times New Roman" w:hAnsi="ff2" w:cs="Times New Roman"/>
          <w:color w:val="000000"/>
          <w:sz w:val="66"/>
          <w:szCs w:val="66"/>
          <w:lang w:eastAsia="en-IN"/>
        </w:rPr>
        <w:t xml:space="preserve"> and agile structures affect human functions and increase </w:t>
      </w:r>
      <w:r>
        <w:rPr>
          <w:rFonts w:ascii="ff2" w:eastAsia="Times New Roman" w:hAnsi="ff2" w:cs="Times New Roman"/>
          <w:color w:val="000000"/>
          <w:sz w:val="66"/>
          <w:szCs w:val="66"/>
          <w:lang w:eastAsia="en-IN"/>
        </w:rPr>
        <w:t xml:space="preserve">the </w:t>
      </w:r>
      <w:r w:rsidRPr="001D6D4F">
        <w:rPr>
          <w:rFonts w:ascii="ff2" w:eastAsia="Times New Roman" w:hAnsi="ff2" w:cs="Times New Roman"/>
          <w:color w:val="000000"/>
          <w:sz w:val="66"/>
          <w:szCs w:val="66"/>
          <w:lang w:eastAsia="en-IN"/>
        </w:rPr>
        <w:t xml:space="preserve">quality of work and business performance. </w:t>
      </w:r>
    </w:p>
    <w:p w:rsidR="001D6D4F" w:rsidRPr="001D6D4F" w:rsidRDefault="001D6D4F" w:rsidP="001D6D4F">
      <w:pPr>
        <w:shd w:val="clear" w:color="auto" w:fill="FFFFFF"/>
        <w:spacing w:after="0" w:line="0" w:lineRule="auto"/>
        <w:rPr>
          <w:rFonts w:ascii="ff5" w:eastAsia="Times New Roman" w:hAnsi="ff5" w:cs="Times New Roman"/>
          <w:color w:val="000000"/>
          <w:sz w:val="66"/>
          <w:szCs w:val="66"/>
          <w:lang w:eastAsia="en-IN"/>
        </w:rPr>
      </w:pPr>
      <w:r w:rsidRPr="001D6D4F">
        <w:rPr>
          <w:rFonts w:ascii="ff5" w:eastAsia="Times New Roman" w:hAnsi="ff5" w:cs="Times New Roman"/>
          <w:color w:val="000000"/>
          <w:sz w:val="66"/>
          <w:szCs w:val="66"/>
          <w:lang w:eastAsia="en-IN"/>
        </w:rPr>
        <w:t>Advances in Intelligent Systems and Computing</w:t>
      </w:r>
      <w:r w:rsidRPr="001D6D4F">
        <w:rPr>
          <w:rFonts w:ascii="ff2" w:eastAsia="Times New Roman" w:hAnsi="ff2" w:cs="Times New Roman"/>
          <w:color w:val="000000"/>
          <w:sz w:val="66"/>
          <w:szCs w:val="66"/>
          <w:lang w:eastAsia="en-IN"/>
        </w:rPr>
        <w:t xml:space="preserve">, </w:t>
      </w:r>
      <w:r w:rsidRPr="001D6D4F">
        <w:rPr>
          <w:rFonts w:ascii="ff5" w:eastAsia="Times New Roman" w:hAnsi="ff5" w:cs="Times New Roman"/>
          <w:color w:val="000000"/>
          <w:sz w:val="66"/>
          <w:szCs w:val="66"/>
          <w:lang w:eastAsia="en-IN"/>
        </w:rPr>
        <w:t>594</w:t>
      </w:r>
      <w:r w:rsidRPr="001D6D4F">
        <w:rPr>
          <w:rFonts w:ascii="ff2" w:eastAsia="Times New Roman" w:hAnsi="ff2" w:cs="Times New Roman"/>
          <w:color w:val="000000"/>
          <w:sz w:val="66"/>
          <w:szCs w:val="66"/>
          <w:lang w:eastAsia="en-IN"/>
        </w:rPr>
        <w:t xml:space="preserve">, 3–10. </w:t>
      </w:r>
      <w:proofErr w:type="gramStart"/>
      <w:r w:rsidRPr="001D6D4F">
        <w:rPr>
          <w:rFonts w:ascii="ff2" w:eastAsia="Times New Roman" w:hAnsi="ff2" w:cs="Times New Roman"/>
          <w:color w:val="000000"/>
          <w:sz w:val="66"/>
          <w:szCs w:val="66"/>
          <w:lang w:eastAsia="en-IN"/>
        </w:rPr>
        <w:t>doi:</w:t>
      </w:r>
      <w:proofErr w:type="gramEnd"/>
      <w:r w:rsidRPr="001D6D4F">
        <w:rPr>
          <w:rFonts w:ascii="ff2" w:eastAsia="Times New Roman" w:hAnsi="ff2" w:cs="Times New Roman"/>
          <w:color w:val="000000"/>
          <w:sz w:val="66"/>
          <w:szCs w:val="66"/>
          <w:lang w:eastAsia="en-IN"/>
        </w:rPr>
        <w:t>10.1007/978-3-319-60372-8_1</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proofErr w:type="spellStart"/>
      <w:r w:rsidRPr="001D6D4F">
        <w:rPr>
          <w:rFonts w:ascii="ff2" w:eastAsia="Times New Roman" w:hAnsi="ff2" w:cs="Times New Roman"/>
          <w:color w:val="000000"/>
          <w:sz w:val="66"/>
          <w:szCs w:val="66"/>
          <w:lang w:eastAsia="en-IN"/>
        </w:rPr>
        <w:t>Biberman</w:t>
      </w:r>
      <w:proofErr w:type="spellEnd"/>
      <w:r w:rsidRPr="001D6D4F">
        <w:rPr>
          <w:rFonts w:ascii="ff2" w:eastAsia="Times New Roman" w:hAnsi="ff2" w:cs="Times New Roman"/>
          <w:color w:val="000000"/>
          <w:sz w:val="66"/>
          <w:szCs w:val="66"/>
          <w:lang w:eastAsia="en-IN"/>
        </w:rPr>
        <w:t xml:space="preserve">, J., &amp; </w:t>
      </w:r>
      <w:proofErr w:type="spellStart"/>
      <w:r w:rsidRPr="001D6D4F">
        <w:rPr>
          <w:rFonts w:ascii="ff2" w:eastAsia="Times New Roman" w:hAnsi="ff2" w:cs="Times New Roman"/>
          <w:color w:val="000000"/>
          <w:sz w:val="66"/>
          <w:szCs w:val="66"/>
          <w:lang w:eastAsia="en-IN"/>
        </w:rPr>
        <w:t>Whitty</w:t>
      </w:r>
      <w:proofErr w:type="spellEnd"/>
      <w:r w:rsidRPr="001D6D4F">
        <w:rPr>
          <w:rFonts w:ascii="ff2" w:eastAsia="Times New Roman" w:hAnsi="ff2" w:cs="Times New Roman"/>
          <w:color w:val="000000"/>
          <w:sz w:val="66"/>
          <w:szCs w:val="66"/>
          <w:lang w:eastAsia="en-IN"/>
        </w:rPr>
        <w:t xml:space="preserve">, M. (1997). A postmodern spiritual future for work. </w:t>
      </w:r>
      <w:r w:rsidRPr="001D6D4F">
        <w:rPr>
          <w:rFonts w:ascii="ff5" w:eastAsia="Times New Roman" w:hAnsi="ff5" w:cs="Times New Roman"/>
          <w:color w:val="000000"/>
          <w:sz w:val="66"/>
          <w:szCs w:val="66"/>
          <w:lang w:eastAsia="en-IN"/>
        </w:rPr>
        <w:t xml:space="preserve">Journal of Organizational </w:t>
      </w:r>
    </w:p>
    <w:p w:rsidR="001D6D4F" w:rsidRPr="001D6D4F" w:rsidRDefault="001D6D4F" w:rsidP="001D6D4F">
      <w:pPr>
        <w:shd w:val="clear" w:color="auto" w:fill="FFFFFF"/>
        <w:spacing w:after="0" w:line="0" w:lineRule="auto"/>
        <w:rPr>
          <w:rFonts w:ascii="ff5" w:eastAsia="Times New Roman" w:hAnsi="ff5" w:cs="Times New Roman"/>
          <w:color w:val="000000"/>
          <w:sz w:val="66"/>
          <w:szCs w:val="66"/>
          <w:lang w:eastAsia="en-IN"/>
        </w:rPr>
      </w:pPr>
      <w:r w:rsidRPr="001D6D4F">
        <w:rPr>
          <w:rFonts w:ascii="ff5" w:eastAsia="Times New Roman" w:hAnsi="ff5" w:cs="Times New Roman"/>
          <w:color w:val="000000"/>
          <w:sz w:val="66"/>
          <w:szCs w:val="66"/>
          <w:lang w:eastAsia="en-IN"/>
        </w:rPr>
        <w:t>Change Management</w:t>
      </w:r>
      <w:r w:rsidRPr="001D6D4F">
        <w:rPr>
          <w:rFonts w:ascii="ff2" w:eastAsia="Times New Roman" w:hAnsi="ff2" w:cs="Times New Roman"/>
          <w:color w:val="000000"/>
          <w:sz w:val="66"/>
          <w:szCs w:val="66"/>
          <w:lang w:eastAsia="en-IN"/>
        </w:rPr>
        <w:t xml:space="preserve">, </w:t>
      </w:r>
      <w:r w:rsidRPr="001D6D4F">
        <w:rPr>
          <w:rFonts w:ascii="ff5" w:eastAsia="Times New Roman" w:hAnsi="ff5" w:cs="Times New Roman"/>
          <w:color w:val="000000"/>
          <w:sz w:val="66"/>
          <w:szCs w:val="66"/>
          <w:lang w:eastAsia="en-IN"/>
        </w:rPr>
        <w:t>10</w:t>
      </w:r>
      <w:r w:rsidRPr="001D6D4F">
        <w:rPr>
          <w:rFonts w:ascii="ff2" w:eastAsia="Times New Roman" w:hAnsi="ff2" w:cs="Times New Roman"/>
          <w:color w:val="000000"/>
          <w:sz w:val="66"/>
          <w:szCs w:val="66"/>
          <w:lang w:eastAsia="en-IN"/>
        </w:rPr>
        <w:t xml:space="preserve">(2), 130–138. </w:t>
      </w:r>
      <w:proofErr w:type="gramStart"/>
      <w:r w:rsidRPr="001D6D4F">
        <w:rPr>
          <w:rFonts w:ascii="ff2" w:eastAsia="Times New Roman" w:hAnsi="ff2" w:cs="Times New Roman"/>
          <w:color w:val="000000"/>
          <w:sz w:val="66"/>
          <w:szCs w:val="66"/>
          <w:lang w:eastAsia="en-IN"/>
        </w:rPr>
        <w:t>doi:</w:t>
      </w:r>
      <w:proofErr w:type="gramEnd"/>
      <w:r w:rsidRPr="001D6D4F">
        <w:rPr>
          <w:rFonts w:ascii="ff2" w:eastAsia="Times New Roman" w:hAnsi="ff2" w:cs="Times New Roman"/>
          <w:color w:val="000000"/>
          <w:sz w:val="66"/>
          <w:szCs w:val="66"/>
          <w:lang w:eastAsia="en-IN"/>
        </w:rPr>
        <w:t>10.1108/0953481971016079</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proofErr w:type="spellStart"/>
      <w:r w:rsidRPr="001D6D4F">
        <w:rPr>
          <w:rFonts w:ascii="ff2" w:eastAsia="Times New Roman" w:hAnsi="ff2" w:cs="Times New Roman"/>
          <w:color w:val="000000"/>
          <w:sz w:val="66"/>
          <w:szCs w:val="66"/>
          <w:lang w:eastAsia="en-IN"/>
        </w:rPr>
        <w:t>Agostoni</w:t>
      </w:r>
      <w:proofErr w:type="spellEnd"/>
      <w:r w:rsidRPr="001D6D4F">
        <w:rPr>
          <w:rFonts w:ascii="ff2" w:eastAsia="Times New Roman" w:hAnsi="ff2" w:cs="Times New Roman"/>
          <w:color w:val="000000"/>
          <w:sz w:val="66"/>
          <w:szCs w:val="66"/>
          <w:lang w:eastAsia="en-IN"/>
        </w:rPr>
        <w:t xml:space="preserve">, L. (2020). </w:t>
      </w:r>
      <w:r w:rsidRPr="001D6D4F">
        <w:rPr>
          <w:rFonts w:ascii="ff5" w:eastAsia="Times New Roman" w:hAnsi="ff5" w:cs="Times New Roman"/>
          <w:color w:val="000000"/>
          <w:sz w:val="66"/>
          <w:szCs w:val="66"/>
          <w:lang w:eastAsia="en-IN"/>
        </w:rPr>
        <w:t>Remote Working: Advices to Reduce Risks and Boost Productivity</w:t>
      </w:r>
      <w:r w:rsidRPr="001D6D4F">
        <w:rPr>
          <w:rFonts w:ascii="ff2" w:eastAsia="Times New Roman" w:hAnsi="ff2" w:cs="Times New Roman"/>
          <w:color w:val="000000"/>
          <w:sz w:val="66"/>
          <w:szCs w:val="66"/>
          <w:lang w:eastAsia="en-IN"/>
        </w:rPr>
        <w:t>. Academic Press.</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r w:rsidRPr="001D6D4F">
        <w:rPr>
          <w:rFonts w:ascii="ff2" w:eastAsia="Times New Roman" w:hAnsi="ff2" w:cs="Times New Roman"/>
          <w:color w:val="000000"/>
          <w:sz w:val="66"/>
          <w:szCs w:val="66"/>
          <w:lang w:eastAsia="en-IN"/>
        </w:rPr>
        <w:t xml:space="preserve">Barnes, D. E. (2018). </w:t>
      </w:r>
      <w:r w:rsidRPr="001D6D4F">
        <w:rPr>
          <w:rFonts w:ascii="ff5" w:eastAsia="Times New Roman" w:hAnsi="ff5" w:cs="Times New Roman"/>
          <w:color w:val="000000"/>
          <w:sz w:val="66"/>
          <w:szCs w:val="66"/>
          <w:lang w:eastAsia="en-IN"/>
        </w:rPr>
        <w:t>Modern Project Teams: Effects of Workplace Isolation on Engagement</w:t>
      </w:r>
      <w:r w:rsidRPr="001D6D4F">
        <w:rPr>
          <w:rFonts w:ascii="ff2" w:eastAsia="Times New Roman" w:hAnsi="ff2" w:cs="Times New Roman"/>
          <w:color w:val="000000"/>
          <w:sz w:val="66"/>
          <w:szCs w:val="66"/>
          <w:lang w:eastAsia="en-IN"/>
        </w:rPr>
        <w:t xml:space="preserve">. </w:t>
      </w:r>
      <w:r>
        <w:rPr>
          <w:rFonts w:ascii="ff2" w:eastAsia="Times New Roman" w:hAnsi="ff2" w:cs="Times New Roman"/>
          <w:color w:val="000000"/>
          <w:sz w:val="66"/>
          <w:szCs w:val="66"/>
          <w:lang w:eastAsia="en-IN"/>
        </w:rPr>
        <w:t>Creative</w:t>
      </w:r>
      <w:r w:rsidRPr="001D6D4F">
        <w:rPr>
          <w:rFonts w:ascii="ff2" w:eastAsia="Times New Roman" w:hAnsi="ff2" w:cs="Times New Roman"/>
          <w:color w:val="000000"/>
          <w:sz w:val="66"/>
          <w:szCs w:val="66"/>
          <w:lang w:eastAsia="en-IN"/>
        </w:rPr>
        <w:t>-</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proofErr w:type="gramStart"/>
      <w:r>
        <w:rPr>
          <w:rFonts w:ascii="ff2" w:eastAsia="Times New Roman" w:hAnsi="ff2" w:cs="Times New Roman"/>
          <w:color w:val="000000"/>
          <w:sz w:val="66"/>
          <w:szCs w:val="66"/>
          <w:lang w:eastAsia="en-IN"/>
        </w:rPr>
        <w:t>city</w:t>
      </w:r>
      <w:proofErr w:type="gramEnd"/>
      <w:r w:rsidRPr="001D6D4F">
        <w:rPr>
          <w:rFonts w:ascii="ff2" w:eastAsia="Times New Roman" w:hAnsi="ff2" w:cs="Times New Roman"/>
          <w:color w:val="000000"/>
          <w:sz w:val="66"/>
          <w:szCs w:val="66"/>
          <w:lang w:eastAsia="en-IN"/>
        </w:rPr>
        <w:t>, and Loneliness.</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r w:rsidRPr="001D6D4F">
        <w:rPr>
          <w:rFonts w:ascii="ff2" w:eastAsia="Times New Roman" w:hAnsi="ff2" w:cs="Times New Roman"/>
          <w:color w:val="000000"/>
          <w:sz w:val="66"/>
          <w:szCs w:val="66"/>
          <w:lang w:eastAsia="en-IN"/>
        </w:rPr>
        <w:t xml:space="preserve">Bauer, W., </w:t>
      </w:r>
      <w:proofErr w:type="spellStart"/>
      <w:r w:rsidRPr="001D6D4F">
        <w:rPr>
          <w:rFonts w:ascii="ff2" w:eastAsia="Times New Roman" w:hAnsi="ff2" w:cs="Times New Roman"/>
          <w:color w:val="000000"/>
          <w:sz w:val="66"/>
          <w:szCs w:val="66"/>
          <w:lang w:eastAsia="en-IN"/>
        </w:rPr>
        <w:t>Schlund</w:t>
      </w:r>
      <w:proofErr w:type="spellEnd"/>
      <w:r w:rsidRPr="001D6D4F">
        <w:rPr>
          <w:rFonts w:ascii="ff2" w:eastAsia="Times New Roman" w:hAnsi="ff2" w:cs="Times New Roman"/>
          <w:color w:val="000000"/>
          <w:sz w:val="66"/>
          <w:szCs w:val="66"/>
          <w:lang w:eastAsia="en-IN"/>
        </w:rPr>
        <w:t xml:space="preserve">, S., &amp; </w:t>
      </w:r>
      <w:proofErr w:type="spellStart"/>
      <w:r w:rsidRPr="001D6D4F">
        <w:rPr>
          <w:rFonts w:ascii="ff2" w:eastAsia="Times New Roman" w:hAnsi="ff2" w:cs="Times New Roman"/>
          <w:color w:val="000000"/>
          <w:sz w:val="66"/>
          <w:szCs w:val="66"/>
          <w:lang w:eastAsia="en-IN"/>
        </w:rPr>
        <w:t>Vocke</w:t>
      </w:r>
      <w:proofErr w:type="spellEnd"/>
      <w:r w:rsidRPr="001D6D4F">
        <w:rPr>
          <w:rFonts w:ascii="ff2" w:eastAsia="Times New Roman" w:hAnsi="ff2" w:cs="Times New Roman"/>
          <w:color w:val="000000"/>
          <w:sz w:val="66"/>
          <w:szCs w:val="66"/>
          <w:lang w:eastAsia="en-IN"/>
        </w:rPr>
        <w:t xml:space="preserve">, C. (2018). Working life within a hybrid world – How digital </w:t>
      </w:r>
      <w:r>
        <w:rPr>
          <w:rFonts w:ascii="ff2" w:eastAsia="Times New Roman" w:hAnsi="ff2" w:cs="Times New Roman"/>
          <w:color w:val="000000"/>
          <w:sz w:val="66"/>
          <w:szCs w:val="66"/>
          <w:lang w:eastAsia="en-IN"/>
        </w:rPr>
        <w:t>transform</w:t>
      </w:r>
      <w:r w:rsidRPr="001D6D4F">
        <w:rPr>
          <w:rFonts w:ascii="ff2" w:eastAsia="Times New Roman" w:hAnsi="ff2" w:cs="Times New Roman"/>
          <w:color w:val="000000"/>
          <w:sz w:val="66"/>
          <w:szCs w:val="66"/>
          <w:lang w:eastAsia="en-IN"/>
        </w:rPr>
        <w:t>-</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proofErr w:type="spellStart"/>
      <w:proofErr w:type="gramStart"/>
      <w:r w:rsidRPr="001D6D4F">
        <w:rPr>
          <w:rFonts w:ascii="ff2" w:eastAsia="Times New Roman" w:hAnsi="ff2" w:cs="Times New Roman"/>
          <w:color w:val="000000"/>
          <w:sz w:val="66"/>
          <w:szCs w:val="66"/>
          <w:lang w:eastAsia="en-IN"/>
        </w:rPr>
        <w:t>tion</w:t>
      </w:r>
      <w:proofErr w:type="spellEnd"/>
      <w:proofErr w:type="gramEnd"/>
      <w:r w:rsidRPr="001D6D4F">
        <w:rPr>
          <w:rFonts w:ascii="ff2" w:eastAsia="Times New Roman" w:hAnsi="ff2" w:cs="Times New Roman"/>
          <w:color w:val="000000"/>
          <w:sz w:val="66"/>
          <w:szCs w:val="66"/>
          <w:lang w:eastAsia="en-IN"/>
        </w:rPr>
        <w:t xml:space="preserve"> and agile structures affect human functions and increase </w:t>
      </w:r>
      <w:r>
        <w:rPr>
          <w:rFonts w:ascii="ff2" w:eastAsia="Times New Roman" w:hAnsi="ff2" w:cs="Times New Roman"/>
          <w:color w:val="000000"/>
          <w:sz w:val="66"/>
          <w:szCs w:val="66"/>
          <w:lang w:eastAsia="en-IN"/>
        </w:rPr>
        <w:t xml:space="preserve">the </w:t>
      </w:r>
      <w:r w:rsidRPr="001D6D4F">
        <w:rPr>
          <w:rFonts w:ascii="ff2" w:eastAsia="Times New Roman" w:hAnsi="ff2" w:cs="Times New Roman"/>
          <w:color w:val="000000"/>
          <w:sz w:val="66"/>
          <w:szCs w:val="66"/>
          <w:lang w:eastAsia="en-IN"/>
        </w:rPr>
        <w:t xml:space="preserve">quality of work and business performance. </w:t>
      </w:r>
    </w:p>
    <w:p w:rsidR="001D6D4F" w:rsidRPr="001D6D4F" w:rsidRDefault="001D6D4F" w:rsidP="001D6D4F">
      <w:pPr>
        <w:shd w:val="clear" w:color="auto" w:fill="FFFFFF"/>
        <w:spacing w:after="0" w:line="0" w:lineRule="auto"/>
        <w:rPr>
          <w:rFonts w:ascii="ff5" w:eastAsia="Times New Roman" w:hAnsi="ff5" w:cs="Times New Roman"/>
          <w:color w:val="000000"/>
          <w:sz w:val="66"/>
          <w:szCs w:val="66"/>
          <w:lang w:eastAsia="en-IN"/>
        </w:rPr>
      </w:pPr>
      <w:r w:rsidRPr="001D6D4F">
        <w:rPr>
          <w:rFonts w:ascii="ff5" w:eastAsia="Times New Roman" w:hAnsi="ff5" w:cs="Times New Roman"/>
          <w:color w:val="000000"/>
          <w:sz w:val="66"/>
          <w:szCs w:val="66"/>
          <w:lang w:eastAsia="en-IN"/>
        </w:rPr>
        <w:t>Advances in Intelligent Systems and Computing</w:t>
      </w:r>
      <w:r w:rsidRPr="001D6D4F">
        <w:rPr>
          <w:rFonts w:ascii="ff2" w:eastAsia="Times New Roman" w:hAnsi="ff2" w:cs="Times New Roman"/>
          <w:color w:val="000000"/>
          <w:sz w:val="66"/>
          <w:szCs w:val="66"/>
          <w:lang w:eastAsia="en-IN"/>
        </w:rPr>
        <w:t xml:space="preserve">, </w:t>
      </w:r>
      <w:r w:rsidRPr="001D6D4F">
        <w:rPr>
          <w:rFonts w:ascii="ff5" w:eastAsia="Times New Roman" w:hAnsi="ff5" w:cs="Times New Roman"/>
          <w:color w:val="000000"/>
          <w:sz w:val="66"/>
          <w:szCs w:val="66"/>
          <w:lang w:eastAsia="en-IN"/>
        </w:rPr>
        <w:t>594</w:t>
      </w:r>
      <w:r w:rsidRPr="001D6D4F">
        <w:rPr>
          <w:rFonts w:ascii="ff2" w:eastAsia="Times New Roman" w:hAnsi="ff2" w:cs="Times New Roman"/>
          <w:color w:val="000000"/>
          <w:sz w:val="66"/>
          <w:szCs w:val="66"/>
          <w:lang w:eastAsia="en-IN"/>
        </w:rPr>
        <w:t xml:space="preserve">, 3–10. </w:t>
      </w:r>
      <w:proofErr w:type="gramStart"/>
      <w:r w:rsidRPr="001D6D4F">
        <w:rPr>
          <w:rFonts w:ascii="ff2" w:eastAsia="Times New Roman" w:hAnsi="ff2" w:cs="Times New Roman"/>
          <w:color w:val="000000"/>
          <w:sz w:val="66"/>
          <w:szCs w:val="66"/>
          <w:lang w:eastAsia="en-IN"/>
        </w:rPr>
        <w:t>doi:</w:t>
      </w:r>
      <w:proofErr w:type="gramEnd"/>
      <w:r w:rsidRPr="001D6D4F">
        <w:rPr>
          <w:rFonts w:ascii="ff2" w:eastAsia="Times New Roman" w:hAnsi="ff2" w:cs="Times New Roman"/>
          <w:color w:val="000000"/>
          <w:sz w:val="66"/>
          <w:szCs w:val="66"/>
          <w:lang w:eastAsia="en-IN"/>
        </w:rPr>
        <w:t>10.1007/978-3-319-60372-8_1</w:t>
      </w:r>
    </w:p>
    <w:p w:rsidR="001D6D4F" w:rsidRPr="001D6D4F" w:rsidRDefault="001D6D4F" w:rsidP="001D6D4F">
      <w:pPr>
        <w:shd w:val="clear" w:color="auto" w:fill="FFFFFF"/>
        <w:spacing w:after="0" w:line="0" w:lineRule="auto"/>
        <w:rPr>
          <w:rFonts w:ascii="ff2" w:eastAsia="Times New Roman" w:hAnsi="ff2" w:cs="Times New Roman"/>
          <w:color w:val="000000"/>
          <w:sz w:val="66"/>
          <w:szCs w:val="66"/>
          <w:lang w:eastAsia="en-IN"/>
        </w:rPr>
      </w:pPr>
      <w:proofErr w:type="spellStart"/>
      <w:r w:rsidRPr="001D6D4F">
        <w:rPr>
          <w:rFonts w:ascii="ff2" w:eastAsia="Times New Roman" w:hAnsi="ff2" w:cs="Times New Roman"/>
          <w:color w:val="000000"/>
          <w:sz w:val="66"/>
          <w:szCs w:val="66"/>
          <w:lang w:eastAsia="en-IN"/>
        </w:rPr>
        <w:t>Biberman</w:t>
      </w:r>
      <w:proofErr w:type="spellEnd"/>
      <w:r w:rsidRPr="001D6D4F">
        <w:rPr>
          <w:rFonts w:ascii="ff2" w:eastAsia="Times New Roman" w:hAnsi="ff2" w:cs="Times New Roman"/>
          <w:color w:val="000000"/>
          <w:sz w:val="66"/>
          <w:szCs w:val="66"/>
          <w:lang w:eastAsia="en-IN"/>
        </w:rPr>
        <w:t xml:space="preserve">, J., &amp; </w:t>
      </w:r>
      <w:proofErr w:type="spellStart"/>
      <w:r w:rsidRPr="001D6D4F">
        <w:rPr>
          <w:rFonts w:ascii="ff2" w:eastAsia="Times New Roman" w:hAnsi="ff2" w:cs="Times New Roman"/>
          <w:color w:val="000000"/>
          <w:sz w:val="66"/>
          <w:szCs w:val="66"/>
          <w:lang w:eastAsia="en-IN"/>
        </w:rPr>
        <w:t>Whitty</w:t>
      </w:r>
      <w:proofErr w:type="spellEnd"/>
      <w:r w:rsidRPr="001D6D4F">
        <w:rPr>
          <w:rFonts w:ascii="ff2" w:eastAsia="Times New Roman" w:hAnsi="ff2" w:cs="Times New Roman"/>
          <w:color w:val="000000"/>
          <w:sz w:val="66"/>
          <w:szCs w:val="66"/>
          <w:lang w:eastAsia="en-IN"/>
        </w:rPr>
        <w:t xml:space="preserve">, M. (1997). A postmodern spiritual future for work. </w:t>
      </w:r>
      <w:r w:rsidRPr="001D6D4F">
        <w:rPr>
          <w:rFonts w:ascii="ff5" w:eastAsia="Times New Roman" w:hAnsi="ff5" w:cs="Times New Roman"/>
          <w:color w:val="000000"/>
          <w:sz w:val="66"/>
          <w:szCs w:val="66"/>
          <w:lang w:eastAsia="en-IN"/>
        </w:rPr>
        <w:t xml:space="preserve">Journal of Organizational </w:t>
      </w:r>
    </w:p>
    <w:p w:rsidR="001D6D4F" w:rsidRPr="001D6D4F" w:rsidRDefault="001D6D4F" w:rsidP="001D6D4F">
      <w:pPr>
        <w:shd w:val="clear" w:color="auto" w:fill="FFFFFF"/>
        <w:spacing w:after="0" w:line="0" w:lineRule="auto"/>
        <w:rPr>
          <w:rFonts w:ascii="ff5" w:eastAsia="Times New Roman" w:hAnsi="ff5" w:cs="Times New Roman"/>
          <w:color w:val="000000"/>
          <w:sz w:val="66"/>
          <w:szCs w:val="66"/>
          <w:lang w:eastAsia="en-IN"/>
        </w:rPr>
      </w:pPr>
      <w:r w:rsidRPr="001D6D4F">
        <w:rPr>
          <w:rFonts w:ascii="ff5" w:eastAsia="Times New Roman" w:hAnsi="ff5" w:cs="Times New Roman"/>
          <w:color w:val="000000"/>
          <w:sz w:val="66"/>
          <w:szCs w:val="66"/>
          <w:lang w:eastAsia="en-IN"/>
        </w:rPr>
        <w:t>Change Management</w:t>
      </w:r>
      <w:r w:rsidRPr="001D6D4F">
        <w:rPr>
          <w:rFonts w:ascii="ff2" w:eastAsia="Times New Roman" w:hAnsi="ff2" w:cs="Times New Roman"/>
          <w:color w:val="000000"/>
          <w:sz w:val="66"/>
          <w:szCs w:val="66"/>
          <w:lang w:eastAsia="en-IN"/>
        </w:rPr>
        <w:t xml:space="preserve">, </w:t>
      </w:r>
      <w:r w:rsidRPr="001D6D4F">
        <w:rPr>
          <w:rFonts w:ascii="ff5" w:eastAsia="Times New Roman" w:hAnsi="ff5" w:cs="Times New Roman"/>
          <w:color w:val="000000"/>
          <w:sz w:val="66"/>
          <w:szCs w:val="66"/>
          <w:lang w:eastAsia="en-IN"/>
        </w:rPr>
        <w:t>10</w:t>
      </w:r>
      <w:r w:rsidRPr="001D6D4F">
        <w:rPr>
          <w:rFonts w:ascii="ff2" w:eastAsia="Times New Roman" w:hAnsi="ff2" w:cs="Times New Roman"/>
          <w:color w:val="000000"/>
          <w:sz w:val="66"/>
          <w:szCs w:val="66"/>
          <w:lang w:eastAsia="en-IN"/>
        </w:rPr>
        <w:t xml:space="preserve">(2), 130–138. </w:t>
      </w:r>
      <w:proofErr w:type="gramStart"/>
      <w:r w:rsidRPr="001D6D4F">
        <w:rPr>
          <w:rFonts w:ascii="ff2" w:eastAsia="Times New Roman" w:hAnsi="ff2" w:cs="Times New Roman"/>
          <w:color w:val="000000"/>
          <w:sz w:val="66"/>
          <w:szCs w:val="66"/>
          <w:lang w:eastAsia="en-IN"/>
        </w:rPr>
        <w:t>doi:</w:t>
      </w:r>
      <w:proofErr w:type="gramEnd"/>
      <w:r w:rsidRPr="001D6D4F">
        <w:rPr>
          <w:rFonts w:ascii="ff2" w:eastAsia="Times New Roman" w:hAnsi="ff2" w:cs="Times New Roman"/>
          <w:color w:val="000000"/>
          <w:sz w:val="66"/>
          <w:szCs w:val="66"/>
          <w:lang w:eastAsia="en-IN"/>
        </w:rPr>
        <w:t>10.1108/0953481971016079</w:t>
      </w:r>
    </w:p>
    <w:sectPr w:rsidR="001D6D4F" w:rsidRPr="001D6D4F" w:rsidSect="00A13708">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2">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8356D"/>
    <w:multiLevelType w:val="multilevel"/>
    <w:tmpl w:val="A332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670F2"/>
    <w:multiLevelType w:val="hybridMultilevel"/>
    <w:tmpl w:val="A4340B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4D"/>
    <w:rsid w:val="001270B3"/>
    <w:rsid w:val="001D6D4F"/>
    <w:rsid w:val="002E3D87"/>
    <w:rsid w:val="004C36FC"/>
    <w:rsid w:val="004D4E34"/>
    <w:rsid w:val="00782C3B"/>
    <w:rsid w:val="008C2661"/>
    <w:rsid w:val="00A13708"/>
    <w:rsid w:val="00B4514D"/>
    <w:rsid w:val="00C434CB"/>
    <w:rsid w:val="00D20FCF"/>
    <w:rsid w:val="00E423F9"/>
    <w:rsid w:val="00F022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6DB3"/>
  <w15:chartTrackingRefBased/>
  <w15:docId w15:val="{08E2FDA5-97DE-42FE-A21E-17D0CC56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5">
    <w:name w:val="ff5"/>
    <w:basedOn w:val="DefaultParagraphFont"/>
    <w:rsid w:val="001D6D4F"/>
  </w:style>
  <w:style w:type="character" w:customStyle="1" w:styleId="ff2">
    <w:name w:val="ff2"/>
    <w:basedOn w:val="DefaultParagraphFont"/>
    <w:rsid w:val="001D6D4F"/>
  </w:style>
  <w:style w:type="paragraph" w:styleId="NormalWeb">
    <w:name w:val="Normal (Web)"/>
    <w:basedOn w:val="Normal"/>
    <w:uiPriority w:val="99"/>
    <w:semiHidden/>
    <w:unhideWhenUsed/>
    <w:rsid w:val="00A1370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13708"/>
    <w:rPr>
      <w:b/>
      <w:bCs/>
    </w:rPr>
  </w:style>
  <w:style w:type="paragraph" w:styleId="ListParagraph">
    <w:name w:val="List Paragraph"/>
    <w:basedOn w:val="Normal"/>
    <w:uiPriority w:val="34"/>
    <w:qFormat/>
    <w:rsid w:val="002E3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600">
      <w:bodyDiv w:val="1"/>
      <w:marLeft w:val="0"/>
      <w:marRight w:val="0"/>
      <w:marTop w:val="0"/>
      <w:marBottom w:val="0"/>
      <w:divBdr>
        <w:top w:val="none" w:sz="0" w:space="0" w:color="auto"/>
        <w:left w:val="none" w:sz="0" w:space="0" w:color="auto"/>
        <w:bottom w:val="none" w:sz="0" w:space="0" w:color="auto"/>
        <w:right w:val="none" w:sz="0" w:space="0" w:color="auto"/>
      </w:divBdr>
    </w:div>
    <w:div w:id="212811769">
      <w:bodyDiv w:val="1"/>
      <w:marLeft w:val="0"/>
      <w:marRight w:val="0"/>
      <w:marTop w:val="0"/>
      <w:marBottom w:val="0"/>
      <w:divBdr>
        <w:top w:val="none" w:sz="0" w:space="0" w:color="auto"/>
        <w:left w:val="none" w:sz="0" w:space="0" w:color="auto"/>
        <w:bottom w:val="none" w:sz="0" w:space="0" w:color="auto"/>
        <w:right w:val="none" w:sz="0" w:space="0" w:color="auto"/>
      </w:divBdr>
      <w:divsChild>
        <w:div w:id="97530484">
          <w:marLeft w:val="0"/>
          <w:marRight w:val="0"/>
          <w:marTop w:val="0"/>
          <w:marBottom w:val="0"/>
          <w:divBdr>
            <w:top w:val="single" w:sz="2" w:space="0" w:color="D9D9E3"/>
            <w:left w:val="single" w:sz="2" w:space="0" w:color="D9D9E3"/>
            <w:bottom w:val="single" w:sz="2" w:space="0" w:color="D9D9E3"/>
            <w:right w:val="single" w:sz="2" w:space="0" w:color="D9D9E3"/>
          </w:divBdr>
          <w:divsChild>
            <w:div w:id="397292731">
              <w:marLeft w:val="0"/>
              <w:marRight w:val="0"/>
              <w:marTop w:val="0"/>
              <w:marBottom w:val="0"/>
              <w:divBdr>
                <w:top w:val="single" w:sz="2" w:space="0" w:color="D9D9E3"/>
                <w:left w:val="single" w:sz="2" w:space="0" w:color="D9D9E3"/>
                <w:bottom w:val="single" w:sz="2" w:space="0" w:color="D9D9E3"/>
                <w:right w:val="single" w:sz="2" w:space="0" w:color="D9D9E3"/>
              </w:divBdr>
              <w:divsChild>
                <w:div w:id="1956017758">
                  <w:marLeft w:val="0"/>
                  <w:marRight w:val="0"/>
                  <w:marTop w:val="0"/>
                  <w:marBottom w:val="0"/>
                  <w:divBdr>
                    <w:top w:val="single" w:sz="2" w:space="0" w:color="D9D9E3"/>
                    <w:left w:val="single" w:sz="2" w:space="0" w:color="D9D9E3"/>
                    <w:bottom w:val="single" w:sz="2" w:space="0" w:color="D9D9E3"/>
                    <w:right w:val="single" w:sz="2" w:space="0" w:color="D9D9E3"/>
                  </w:divBdr>
                  <w:divsChild>
                    <w:div w:id="999239129">
                      <w:marLeft w:val="0"/>
                      <w:marRight w:val="0"/>
                      <w:marTop w:val="0"/>
                      <w:marBottom w:val="0"/>
                      <w:divBdr>
                        <w:top w:val="single" w:sz="2" w:space="0" w:color="D9D9E3"/>
                        <w:left w:val="single" w:sz="2" w:space="0" w:color="D9D9E3"/>
                        <w:bottom w:val="single" w:sz="2" w:space="0" w:color="D9D9E3"/>
                        <w:right w:val="single" w:sz="2" w:space="0" w:color="D9D9E3"/>
                      </w:divBdr>
                      <w:divsChild>
                        <w:div w:id="22558779">
                          <w:marLeft w:val="0"/>
                          <w:marRight w:val="0"/>
                          <w:marTop w:val="0"/>
                          <w:marBottom w:val="0"/>
                          <w:divBdr>
                            <w:top w:val="single" w:sz="2" w:space="0" w:color="auto"/>
                            <w:left w:val="single" w:sz="2" w:space="0" w:color="auto"/>
                            <w:bottom w:val="single" w:sz="6" w:space="0" w:color="auto"/>
                            <w:right w:val="single" w:sz="2" w:space="0" w:color="auto"/>
                          </w:divBdr>
                          <w:divsChild>
                            <w:div w:id="250898996">
                              <w:marLeft w:val="0"/>
                              <w:marRight w:val="0"/>
                              <w:marTop w:val="100"/>
                              <w:marBottom w:val="100"/>
                              <w:divBdr>
                                <w:top w:val="single" w:sz="2" w:space="0" w:color="D9D9E3"/>
                                <w:left w:val="single" w:sz="2" w:space="0" w:color="D9D9E3"/>
                                <w:bottom w:val="single" w:sz="2" w:space="0" w:color="D9D9E3"/>
                                <w:right w:val="single" w:sz="2" w:space="0" w:color="D9D9E3"/>
                              </w:divBdr>
                              <w:divsChild>
                                <w:div w:id="1156532970">
                                  <w:marLeft w:val="0"/>
                                  <w:marRight w:val="0"/>
                                  <w:marTop w:val="0"/>
                                  <w:marBottom w:val="0"/>
                                  <w:divBdr>
                                    <w:top w:val="single" w:sz="2" w:space="0" w:color="D9D9E3"/>
                                    <w:left w:val="single" w:sz="2" w:space="0" w:color="D9D9E3"/>
                                    <w:bottom w:val="single" w:sz="2" w:space="0" w:color="D9D9E3"/>
                                    <w:right w:val="single" w:sz="2" w:space="0" w:color="D9D9E3"/>
                                  </w:divBdr>
                                  <w:divsChild>
                                    <w:div w:id="764108331">
                                      <w:marLeft w:val="0"/>
                                      <w:marRight w:val="0"/>
                                      <w:marTop w:val="0"/>
                                      <w:marBottom w:val="0"/>
                                      <w:divBdr>
                                        <w:top w:val="single" w:sz="2" w:space="0" w:color="D9D9E3"/>
                                        <w:left w:val="single" w:sz="2" w:space="0" w:color="D9D9E3"/>
                                        <w:bottom w:val="single" w:sz="2" w:space="0" w:color="D9D9E3"/>
                                        <w:right w:val="single" w:sz="2" w:space="0" w:color="D9D9E3"/>
                                      </w:divBdr>
                                      <w:divsChild>
                                        <w:div w:id="1617297846">
                                          <w:marLeft w:val="0"/>
                                          <w:marRight w:val="0"/>
                                          <w:marTop w:val="0"/>
                                          <w:marBottom w:val="0"/>
                                          <w:divBdr>
                                            <w:top w:val="single" w:sz="2" w:space="0" w:color="D9D9E3"/>
                                            <w:left w:val="single" w:sz="2" w:space="0" w:color="D9D9E3"/>
                                            <w:bottom w:val="single" w:sz="2" w:space="0" w:color="D9D9E3"/>
                                            <w:right w:val="single" w:sz="2" w:space="0" w:color="D9D9E3"/>
                                          </w:divBdr>
                                          <w:divsChild>
                                            <w:div w:id="720977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3588995">
          <w:marLeft w:val="0"/>
          <w:marRight w:val="0"/>
          <w:marTop w:val="0"/>
          <w:marBottom w:val="0"/>
          <w:divBdr>
            <w:top w:val="none" w:sz="0" w:space="0" w:color="auto"/>
            <w:left w:val="none" w:sz="0" w:space="0" w:color="auto"/>
            <w:bottom w:val="none" w:sz="0" w:space="0" w:color="auto"/>
            <w:right w:val="none" w:sz="0" w:space="0" w:color="auto"/>
          </w:divBdr>
        </w:div>
      </w:divsChild>
    </w:div>
    <w:div w:id="547960084">
      <w:bodyDiv w:val="1"/>
      <w:marLeft w:val="0"/>
      <w:marRight w:val="0"/>
      <w:marTop w:val="0"/>
      <w:marBottom w:val="0"/>
      <w:divBdr>
        <w:top w:val="none" w:sz="0" w:space="0" w:color="auto"/>
        <w:left w:val="none" w:sz="0" w:space="0" w:color="auto"/>
        <w:bottom w:val="none" w:sz="0" w:space="0" w:color="auto"/>
        <w:right w:val="none" w:sz="0" w:space="0" w:color="auto"/>
      </w:divBdr>
    </w:div>
    <w:div w:id="909314481">
      <w:bodyDiv w:val="1"/>
      <w:marLeft w:val="0"/>
      <w:marRight w:val="0"/>
      <w:marTop w:val="0"/>
      <w:marBottom w:val="0"/>
      <w:divBdr>
        <w:top w:val="none" w:sz="0" w:space="0" w:color="auto"/>
        <w:left w:val="none" w:sz="0" w:space="0" w:color="auto"/>
        <w:bottom w:val="none" w:sz="0" w:space="0" w:color="auto"/>
        <w:right w:val="none" w:sz="0" w:space="0" w:color="auto"/>
      </w:divBdr>
      <w:divsChild>
        <w:div w:id="1469325940">
          <w:marLeft w:val="0"/>
          <w:marRight w:val="0"/>
          <w:marTop w:val="0"/>
          <w:marBottom w:val="0"/>
          <w:divBdr>
            <w:top w:val="single" w:sz="2" w:space="0" w:color="D9D9E3"/>
            <w:left w:val="single" w:sz="2" w:space="0" w:color="D9D9E3"/>
            <w:bottom w:val="single" w:sz="2" w:space="0" w:color="D9D9E3"/>
            <w:right w:val="single" w:sz="2" w:space="0" w:color="D9D9E3"/>
          </w:divBdr>
          <w:divsChild>
            <w:div w:id="163134907">
              <w:marLeft w:val="0"/>
              <w:marRight w:val="0"/>
              <w:marTop w:val="0"/>
              <w:marBottom w:val="0"/>
              <w:divBdr>
                <w:top w:val="single" w:sz="2" w:space="0" w:color="D9D9E3"/>
                <w:left w:val="single" w:sz="2" w:space="0" w:color="D9D9E3"/>
                <w:bottom w:val="single" w:sz="2" w:space="0" w:color="D9D9E3"/>
                <w:right w:val="single" w:sz="2" w:space="0" w:color="D9D9E3"/>
              </w:divBdr>
              <w:divsChild>
                <w:div w:id="457533484">
                  <w:marLeft w:val="0"/>
                  <w:marRight w:val="0"/>
                  <w:marTop w:val="0"/>
                  <w:marBottom w:val="0"/>
                  <w:divBdr>
                    <w:top w:val="single" w:sz="2" w:space="0" w:color="D9D9E3"/>
                    <w:left w:val="single" w:sz="2" w:space="0" w:color="D9D9E3"/>
                    <w:bottom w:val="single" w:sz="2" w:space="0" w:color="D9D9E3"/>
                    <w:right w:val="single" w:sz="2" w:space="0" w:color="D9D9E3"/>
                  </w:divBdr>
                  <w:divsChild>
                    <w:div w:id="46035169">
                      <w:marLeft w:val="0"/>
                      <w:marRight w:val="0"/>
                      <w:marTop w:val="0"/>
                      <w:marBottom w:val="0"/>
                      <w:divBdr>
                        <w:top w:val="single" w:sz="2" w:space="0" w:color="D9D9E3"/>
                        <w:left w:val="single" w:sz="2" w:space="0" w:color="D9D9E3"/>
                        <w:bottom w:val="single" w:sz="2" w:space="0" w:color="D9D9E3"/>
                        <w:right w:val="single" w:sz="2" w:space="0" w:color="D9D9E3"/>
                      </w:divBdr>
                      <w:divsChild>
                        <w:div w:id="1527523147">
                          <w:marLeft w:val="0"/>
                          <w:marRight w:val="0"/>
                          <w:marTop w:val="0"/>
                          <w:marBottom w:val="0"/>
                          <w:divBdr>
                            <w:top w:val="single" w:sz="2" w:space="0" w:color="auto"/>
                            <w:left w:val="single" w:sz="2" w:space="0" w:color="auto"/>
                            <w:bottom w:val="single" w:sz="6" w:space="0" w:color="auto"/>
                            <w:right w:val="single" w:sz="2" w:space="0" w:color="auto"/>
                          </w:divBdr>
                          <w:divsChild>
                            <w:div w:id="691104144">
                              <w:marLeft w:val="0"/>
                              <w:marRight w:val="0"/>
                              <w:marTop w:val="100"/>
                              <w:marBottom w:val="100"/>
                              <w:divBdr>
                                <w:top w:val="single" w:sz="2" w:space="0" w:color="D9D9E3"/>
                                <w:left w:val="single" w:sz="2" w:space="0" w:color="D9D9E3"/>
                                <w:bottom w:val="single" w:sz="2" w:space="0" w:color="D9D9E3"/>
                                <w:right w:val="single" w:sz="2" w:space="0" w:color="D9D9E3"/>
                              </w:divBdr>
                              <w:divsChild>
                                <w:div w:id="1509908064">
                                  <w:marLeft w:val="0"/>
                                  <w:marRight w:val="0"/>
                                  <w:marTop w:val="0"/>
                                  <w:marBottom w:val="0"/>
                                  <w:divBdr>
                                    <w:top w:val="single" w:sz="2" w:space="0" w:color="D9D9E3"/>
                                    <w:left w:val="single" w:sz="2" w:space="0" w:color="D9D9E3"/>
                                    <w:bottom w:val="single" w:sz="2" w:space="0" w:color="D9D9E3"/>
                                    <w:right w:val="single" w:sz="2" w:space="0" w:color="D9D9E3"/>
                                  </w:divBdr>
                                  <w:divsChild>
                                    <w:div w:id="258946417">
                                      <w:marLeft w:val="0"/>
                                      <w:marRight w:val="0"/>
                                      <w:marTop w:val="0"/>
                                      <w:marBottom w:val="0"/>
                                      <w:divBdr>
                                        <w:top w:val="single" w:sz="2" w:space="0" w:color="D9D9E3"/>
                                        <w:left w:val="single" w:sz="2" w:space="0" w:color="D9D9E3"/>
                                        <w:bottom w:val="single" w:sz="2" w:space="0" w:color="D9D9E3"/>
                                        <w:right w:val="single" w:sz="2" w:space="0" w:color="D9D9E3"/>
                                      </w:divBdr>
                                      <w:divsChild>
                                        <w:div w:id="1819414800">
                                          <w:marLeft w:val="0"/>
                                          <w:marRight w:val="0"/>
                                          <w:marTop w:val="0"/>
                                          <w:marBottom w:val="0"/>
                                          <w:divBdr>
                                            <w:top w:val="single" w:sz="2" w:space="0" w:color="D9D9E3"/>
                                            <w:left w:val="single" w:sz="2" w:space="0" w:color="D9D9E3"/>
                                            <w:bottom w:val="single" w:sz="2" w:space="0" w:color="D9D9E3"/>
                                            <w:right w:val="single" w:sz="2" w:space="0" w:color="D9D9E3"/>
                                          </w:divBdr>
                                          <w:divsChild>
                                            <w:div w:id="132214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35097978">
          <w:marLeft w:val="0"/>
          <w:marRight w:val="0"/>
          <w:marTop w:val="0"/>
          <w:marBottom w:val="0"/>
          <w:divBdr>
            <w:top w:val="none" w:sz="0" w:space="0" w:color="auto"/>
            <w:left w:val="none" w:sz="0" w:space="0" w:color="auto"/>
            <w:bottom w:val="none" w:sz="0" w:space="0" w:color="auto"/>
            <w:right w:val="none" w:sz="0" w:space="0" w:color="auto"/>
          </w:divBdr>
        </w:div>
      </w:divsChild>
    </w:div>
    <w:div w:id="1123423275">
      <w:bodyDiv w:val="1"/>
      <w:marLeft w:val="0"/>
      <w:marRight w:val="0"/>
      <w:marTop w:val="0"/>
      <w:marBottom w:val="0"/>
      <w:divBdr>
        <w:top w:val="none" w:sz="0" w:space="0" w:color="auto"/>
        <w:left w:val="none" w:sz="0" w:space="0" w:color="auto"/>
        <w:bottom w:val="none" w:sz="0" w:space="0" w:color="auto"/>
        <w:right w:val="none" w:sz="0" w:space="0" w:color="auto"/>
      </w:divBdr>
    </w:div>
    <w:div w:id="1531455212">
      <w:bodyDiv w:val="1"/>
      <w:marLeft w:val="0"/>
      <w:marRight w:val="0"/>
      <w:marTop w:val="0"/>
      <w:marBottom w:val="0"/>
      <w:divBdr>
        <w:top w:val="none" w:sz="0" w:space="0" w:color="auto"/>
        <w:left w:val="none" w:sz="0" w:space="0" w:color="auto"/>
        <w:bottom w:val="none" w:sz="0" w:space="0" w:color="auto"/>
        <w:right w:val="none" w:sz="0" w:space="0" w:color="auto"/>
      </w:divBdr>
    </w:div>
    <w:div w:id="1649703645">
      <w:bodyDiv w:val="1"/>
      <w:marLeft w:val="0"/>
      <w:marRight w:val="0"/>
      <w:marTop w:val="0"/>
      <w:marBottom w:val="0"/>
      <w:divBdr>
        <w:top w:val="none" w:sz="0" w:space="0" w:color="auto"/>
        <w:left w:val="none" w:sz="0" w:space="0" w:color="auto"/>
        <w:bottom w:val="none" w:sz="0" w:space="0" w:color="auto"/>
        <w:right w:val="none" w:sz="0" w:space="0" w:color="auto"/>
      </w:divBdr>
    </w:div>
    <w:div w:id="17776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2667</TotalTime>
  <Pages>3</Pages>
  <Words>1685</Words>
  <Characters>10437</Characters>
  <Application>Microsoft Office Word</Application>
  <DocSecurity>0</DocSecurity>
  <Lines>306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KLE04</dc:creator>
  <cp:keywords/>
  <dc:description/>
  <cp:lastModifiedBy>KLE04</cp:lastModifiedBy>
  <cp:revision>6</cp:revision>
  <dcterms:created xsi:type="dcterms:W3CDTF">2023-08-07T16:11:00Z</dcterms:created>
  <dcterms:modified xsi:type="dcterms:W3CDTF">2023-08-09T12:39:00Z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b389d325cdfec9363381f207e03e0a8b7c92cfa7cec91b3ee413388331043cfd</vt:lpwstr>
  </property>
</Properties>
</file>