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8E63" w14:textId="03BDFE7A" w:rsidR="000D4098" w:rsidRDefault="48585CDC" w:rsidP="00B63550">
      <w:pPr>
        <w:pStyle w:val="NormalWeb"/>
        <w:spacing w:before="0" w:beforeAutospacing="0" w:after="0" w:afterAutospacing="0" w:line="360" w:lineRule="auto"/>
        <w:ind w:left="720" w:firstLine="720"/>
        <w:jc w:val="center"/>
        <w:rPr>
          <w:b/>
          <w:bCs/>
          <w:sz w:val="28"/>
          <w:szCs w:val="28"/>
        </w:rPr>
      </w:pPr>
      <w:r w:rsidRPr="48585CDC">
        <w:rPr>
          <w:b/>
          <w:bCs/>
          <w:sz w:val="28"/>
          <w:szCs w:val="28"/>
        </w:rPr>
        <w:t xml:space="preserve">The role of </w:t>
      </w:r>
      <w:r w:rsidR="00B63550">
        <w:rPr>
          <w:b/>
          <w:bCs/>
          <w:sz w:val="28"/>
          <w:szCs w:val="28"/>
        </w:rPr>
        <w:t xml:space="preserve"> </w:t>
      </w:r>
      <w:r w:rsidRPr="48585CDC">
        <w:rPr>
          <w:b/>
          <w:bCs/>
          <w:sz w:val="28"/>
          <w:szCs w:val="28"/>
        </w:rPr>
        <w:t xml:space="preserve">WBPA in assessing the competencies of the </w:t>
      </w:r>
      <w:r w:rsidR="00B63550">
        <w:rPr>
          <w:b/>
          <w:bCs/>
          <w:sz w:val="28"/>
          <w:szCs w:val="28"/>
        </w:rPr>
        <w:t>Residents</w:t>
      </w:r>
    </w:p>
    <w:p w14:paraId="71C21985" w14:textId="77777777" w:rsidR="000D4098" w:rsidRDefault="000D4098" w:rsidP="48585CDC">
      <w:pPr>
        <w:pStyle w:val="NormalWeb"/>
        <w:spacing w:before="0" w:beforeAutospacing="0" w:after="0" w:afterAutospacing="0" w:line="360" w:lineRule="auto"/>
        <w:jc w:val="both"/>
        <w:rPr>
          <w:b/>
          <w:bCs/>
        </w:rPr>
      </w:pPr>
    </w:p>
    <w:p w14:paraId="3E59EDF1" w14:textId="77777777" w:rsidR="000D4098" w:rsidRDefault="000D4098" w:rsidP="48585CDC">
      <w:pPr>
        <w:pStyle w:val="NormalWeb"/>
        <w:spacing w:before="0" w:beforeAutospacing="0" w:after="0" w:afterAutospacing="0" w:line="360" w:lineRule="auto"/>
        <w:jc w:val="both"/>
        <w:rPr>
          <w:b/>
          <w:bCs/>
        </w:rPr>
      </w:pPr>
    </w:p>
    <w:p w14:paraId="1B09FC50" w14:textId="77777777" w:rsidR="000D4098" w:rsidRDefault="48585CDC" w:rsidP="48585CDC">
      <w:pPr>
        <w:pStyle w:val="NormalWeb"/>
        <w:spacing w:before="0" w:beforeAutospacing="0" w:after="0" w:afterAutospacing="0" w:line="360" w:lineRule="auto"/>
        <w:jc w:val="both"/>
        <w:rPr>
          <w:b/>
          <w:bCs/>
        </w:rPr>
      </w:pPr>
      <w:r w:rsidRPr="48585CDC">
        <w:rPr>
          <w:b/>
          <w:bCs/>
        </w:rPr>
        <w:t>Importance and relevance</w:t>
      </w:r>
    </w:p>
    <w:p w14:paraId="692140A8" w14:textId="090D345F" w:rsidR="000D4098" w:rsidRPr="00EF635D" w:rsidRDefault="48585CDC" w:rsidP="48585CDC">
      <w:pPr>
        <w:spacing w:line="360" w:lineRule="auto"/>
        <w:rPr>
          <w:rFonts w:ascii="Times New Roman" w:hAnsi="Times New Roman" w:cs="Times New Roman"/>
          <w:sz w:val="24"/>
          <w:szCs w:val="24"/>
        </w:rPr>
      </w:pPr>
      <w:r w:rsidRPr="48585CDC">
        <w:rPr>
          <w:rFonts w:ascii="Times New Roman" w:hAnsi="Times New Roman" w:cs="Times New Roman"/>
          <w:sz w:val="24"/>
          <w:szCs w:val="24"/>
        </w:rPr>
        <w:t xml:space="preserve">The medical undergraduate trainee or the postgraduate resident must undergo training in real life setting under supervision to attain the level of competent practitioner from novice. Assessment </w:t>
      </w:r>
      <w:r w:rsidR="00145C1D">
        <w:rPr>
          <w:rFonts w:ascii="Times New Roman" w:hAnsi="Times New Roman" w:cs="Times New Roman"/>
          <w:sz w:val="24"/>
          <w:szCs w:val="24"/>
        </w:rPr>
        <w:t>has been</w:t>
      </w:r>
      <w:r w:rsidRPr="48585CDC">
        <w:rPr>
          <w:rFonts w:ascii="Times New Roman" w:hAnsi="Times New Roman" w:cs="Times New Roman"/>
          <w:sz w:val="24"/>
          <w:szCs w:val="24"/>
        </w:rPr>
        <w:t xml:space="preserve"> changed </w:t>
      </w:r>
      <w:r w:rsidR="001F504E" w:rsidRPr="48585CDC">
        <w:rPr>
          <w:rFonts w:ascii="Times New Roman" w:hAnsi="Times New Roman" w:cs="Times New Roman"/>
          <w:sz w:val="24"/>
          <w:szCs w:val="24"/>
        </w:rPr>
        <w:t xml:space="preserve">a lot </w:t>
      </w:r>
      <w:r w:rsidR="00145C1D">
        <w:rPr>
          <w:rFonts w:ascii="Times New Roman" w:hAnsi="Times New Roman" w:cs="Times New Roman"/>
          <w:sz w:val="24"/>
          <w:szCs w:val="24"/>
        </w:rPr>
        <w:t xml:space="preserve">in medical education </w:t>
      </w:r>
      <w:r w:rsidRPr="48585CDC">
        <w:rPr>
          <w:rFonts w:ascii="Times New Roman" w:hAnsi="Times New Roman" w:cs="Times New Roman"/>
          <w:sz w:val="24"/>
          <w:szCs w:val="24"/>
        </w:rPr>
        <w:t xml:space="preserve">in last five decades. The assessment needs to </w:t>
      </w:r>
      <w:r w:rsidR="00722602">
        <w:rPr>
          <w:rFonts w:ascii="Times New Roman" w:hAnsi="Times New Roman" w:cs="Times New Roman"/>
          <w:sz w:val="24"/>
          <w:szCs w:val="24"/>
        </w:rPr>
        <w:t>evaluate</w:t>
      </w:r>
      <w:r w:rsidRPr="48585CDC">
        <w:rPr>
          <w:rFonts w:ascii="Times New Roman" w:hAnsi="Times New Roman" w:cs="Times New Roman"/>
          <w:sz w:val="24"/>
          <w:szCs w:val="24"/>
        </w:rPr>
        <w:t xml:space="preserve"> a broader range of clinical </w:t>
      </w:r>
      <w:r w:rsidR="00E97BEC">
        <w:rPr>
          <w:rFonts w:ascii="Times New Roman" w:hAnsi="Times New Roman" w:cs="Times New Roman"/>
          <w:sz w:val="24"/>
          <w:szCs w:val="24"/>
        </w:rPr>
        <w:t>situations</w:t>
      </w:r>
      <w:r w:rsidRPr="48585CDC">
        <w:rPr>
          <w:rFonts w:ascii="Times New Roman" w:hAnsi="Times New Roman" w:cs="Times New Roman"/>
          <w:sz w:val="24"/>
          <w:szCs w:val="24"/>
        </w:rPr>
        <w:t xml:space="preserve"> and should include more complex </w:t>
      </w:r>
      <w:r w:rsidR="00897EB1">
        <w:rPr>
          <w:rFonts w:ascii="Times New Roman" w:hAnsi="Times New Roman" w:cs="Times New Roman"/>
          <w:sz w:val="24"/>
          <w:szCs w:val="24"/>
        </w:rPr>
        <w:t>issues</w:t>
      </w:r>
      <w:r w:rsidRPr="48585CDC">
        <w:rPr>
          <w:rFonts w:ascii="Times New Roman" w:hAnsi="Times New Roman" w:cs="Times New Roman"/>
          <w:sz w:val="24"/>
          <w:szCs w:val="24"/>
        </w:rPr>
        <w:t xml:space="preserve"> and </w:t>
      </w:r>
      <w:r w:rsidR="00C53537">
        <w:rPr>
          <w:rFonts w:ascii="Times New Roman" w:hAnsi="Times New Roman" w:cs="Times New Roman"/>
          <w:sz w:val="24"/>
          <w:szCs w:val="24"/>
        </w:rPr>
        <w:t>emergency</w:t>
      </w:r>
      <w:r w:rsidRPr="48585CDC">
        <w:rPr>
          <w:rFonts w:ascii="Times New Roman" w:hAnsi="Times New Roman" w:cs="Times New Roman"/>
          <w:sz w:val="24"/>
          <w:szCs w:val="24"/>
        </w:rPr>
        <w:t xml:space="preserve"> care, </w:t>
      </w:r>
      <w:r w:rsidR="00937975">
        <w:rPr>
          <w:rFonts w:ascii="Times New Roman" w:hAnsi="Times New Roman" w:cs="Times New Roman"/>
          <w:sz w:val="24"/>
          <w:szCs w:val="24"/>
        </w:rPr>
        <w:t>various</w:t>
      </w:r>
      <w:r w:rsidRPr="48585CDC">
        <w:rPr>
          <w:rFonts w:ascii="Times New Roman" w:hAnsi="Times New Roman" w:cs="Times New Roman"/>
          <w:sz w:val="24"/>
          <w:szCs w:val="24"/>
        </w:rPr>
        <w:t xml:space="preserve"> system disease</w:t>
      </w:r>
      <w:r w:rsidR="00937975">
        <w:rPr>
          <w:rFonts w:ascii="Times New Roman" w:hAnsi="Times New Roman" w:cs="Times New Roman"/>
          <w:sz w:val="24"/>
          <w:szCs w:val="24"/>
        </w:rPr>
        <w:t>s</w:t>
      </w:r>
      <w:r w:rsidRPr="48585CDC">
        <w:rPr>
          <w:rFonts w:ascii="Times New Roman" w:hAnsi="Times New Roman" w:cs="Times New Roman"/>
          <w:sz w:val="24"/>
          <w:szCs w:val="24"/>
        </w:rPr>
        <w:t xml:space="preserve"> and practical skills. The focus of the assessment should be on more complex integrated skills rather than a single component of competency.  Also, the results of evaluation program should support the curriculum design of educational architecture.  It is hard to design good quality written or performance-based assessment which can assess the competency of the trainees. Additionally, there is a requirement to address complex material and abilities that are challenging to simulate at all times. However, routinely, </w:t>
      </w:r>
      <w:r w:rsidR="00F3193E">
        <w:rPr>
          <w:rFonts w:ascii="Times New Roman" w:hAnsi="Times New Roman" w:cs="Times New Roman"/>
          <w:sz w:val="24"/>
          <w:szCs w:val="24"/>
        </w:rPr>
        <w:t>d</w:t>
      </w:r>
      <w:r w:rsidRPr="48585CDC">
        <w:rPr>
          <w:rFonts w:ascii="Times New Roman" w:hAnsi="Times New Roman" w:cs="Times New Roman"/>
          <w:sz w:val="24"/>
          <w:szCs w:val="24"/>
        </w:rPr>
        <w:t xml:space="preserve">uring training, there are interactions between the </w:t>
      </w:r>
      <w:r w:rsidR="00A65C25">
        <w:rPr>
          <w:rFonts w:ascii="Times New Roman" w:hAnsi="Times New Roman" w:cs="Times New Roman"/>
          <w:sz w:val="24"/>
          <w:szCs w:val="24"/>
        </w:rPr>
        <w:t>treating physicians</w:t>
      </w:r>
      <w:r w:rsidRPr="48585CDC">
        <w:rPr>
          <w:rFonts w:ascii="Times New Roman" w:hAnsi="Times New Roman" w:cs="Times New Roman"/>
          <w:sz w:val="24"/>
          <w:szCs w:val="24"/>
        </w:rPr>
        <w:t xml:space="preserve">, trainees, and patients where the clinical content </w:t>
      </w:r>
      <w:r w:rsidR="00A65C25">
        <w:rPr>
          <w:rFonts w:ascii="Times New Roman" w:hAnsi="Times New Roman" w:cs="Times New Roman"/>
          <w:sz w:val="24"/>
          <w:szCs w:val="24"/>
        </w:rPr>
        <w:t>will</w:t>
      </w:r>
      <w:r w:rsidRPr="48585CDC">
        <w:rPr>
          <w:rFonts w:ascii="Times New Roman" w:hAnsi="Times New Roman" w:cs="Times New Roman"/>
          <w:sz w:val="24"/>
          <w:szCs w:val="24"/>
        </w:rPr>
        <w:t xml:space="preserve"> be used as a foundation for evaluation. Besides,  the clinical educators who are available can serve as the assessors. </w:t>
      </w:r>
    </w:p>
    <w:p w14:paraId="3BBA64B1" w14:textId="1BE5057A" w:rsidR="000D4098" w:rsidRDefault="48585CDC" w:rsidP="48585CDC">
      <w:pPr>
        <w:pStyle w:val="NormalWeb"/>
        <w:spacing w:before="0" w:beforeAutospacing="0" w:after="0" w:afterAutospacing="0" w:line="360" w:lineRule="auto"/>
        <w:ind w:firstLine="720"/>
        <w:jc w:val="both"/>
      </w:pPr>
      <w:r w:rsidRPr="48585CDC">
        <w:t xml:space="preserve">WPBAs are designed to provide opportunities for structured observation and feedback in a low-stakes setting, as well as </w:t>
      </w:r>
      <w:r w:rsidR="009B3953">
        <w:t>contribute to</w:t>
      </w:r>
      <w:r w:rsidRPr="48585CDC">
        <w:t xml:space="preserve"> the accomplishment of competency-based learning objectives (assessment for learning) [1]. The focus </w:t>
      </w:r>
      <w:r w:rsidR="00DE377E">
        <w:t>must</w:t>
      </w:r>
      <w:r w:rsidRPr="48585CDC">
        <w:t xml:space="preserve"> be on maximising the utility of WBAs</w:t>
      </w:r>
      <w:r w:rsidR="009F12D3">
        <w:t xml:space="preserve"> as formative assessment</w:t>
      </w:r>
      <w:r w:rsidRPr="48585CDC">
        <w:t>, as outlined in G</w:t>
      </w:r>
      <w:r w:rsidR="006456F7">
        <w:t xml:space="preserve">raduate </w:t>
      </w:r>
      <w:r w:rsidRPr="48585CDC">
        <w:t>M</w:t>
      </w:r>
      <w:r w:rsidR="006456F7">
        <w:t xml:space="preserve">edical </w:t>
      </w:r>
      <w:r w:rsidRPr="48585CDC">
        <w:t>E</w:t>
      </w:r>
      <w:r w:rsidR="006456F7">
        <w:t>ducation</w:t>
      </w:r>
      <w:r w:rsidRPr="48585CDC">
        <w:t xml:space="preserve">, </w:t>
      </w:r>
      <w:r w:rsidR="00981C06">
        <w:t xml:space="preserve">by </w:t>
      </w:r>
      <w:r w:rsidRPr="48585CDC">
        <w:t xml:space="preserve">linking clinical </w:t>
      </w:r>
      <w:r w:rsidR="00BB037D">
        <w:t xml:space="preserve">competencies with the curricula of </w:t>
      </w:r>
      <w:r w:rsidRPr="48585CDC">
        <w:t xml:space="preserve"> graduate medical education (GME)[2].  </w:t>
      </w:r>
    </w:p>
    <w:p w14:paraId="78B5B735" w14:textId="45E2F152" w:rsidR="000D4098" w:rsidRDefault="48585CDC" w:rsidP="48585CDC">
      <w:pPr>
        <w:pStyle w:val="NormalWeb"/>
        <w:spacing w:before="0" w:beforeAutospacing="0" w:after="0" w:afterAutospacing="0" w:line="360" w:lineRule="auto"/>
        <w:ind w:firstLine="720"/>
        <w:jc w:val="both"/>
      </w:pPr>
      <w:r w:rsidRPr="48585CDC">
        <w:t xml:space="preserve">Workplace based assessment is the </w:t>
      </w:r>
      <w:r w:rsidR="00F765FE">
        <w:t>evaluation</w:t>
      </w:r>
      <w:r w:rsidRPr="48585CDC">
        <w:t xml:space="preserve"> of trainee’s professional </w:t>
      </w:r>
      <w:r w:rsidR="00F765FE">
        <w:t xml:space="preserve">knowledge, </w:t>
      </w:r>
      <w:r w:rsidRPr="48585CDC">
        <w:t xml:space="preserve">skill and attitude in the workplace i.e. in the real life setting. WBPA has high content validity. It is acceptable, reliable, cost effective and has an educational impact. WBPA are included in the educational curriculum because the learning objectives, teaching learning methods, assessment and feedback are aligned. </w:t>
      </w:r>
      <w:r w:rsidR="007611DE">
        <w:t>The standard</w:t>
      </w:r>
      <w:r w:rsidR="007D53BD">
        <w:t xml:space="preserve"> which is expected to be achieved at  the compl</w:t>
      </w:r>
      <w:r w:rsidR="0003469D">
        <w:t xml:space="preserve">etion of training is used for </w:t>
      </w:r>
      <w:r w:rsidR="00A97186">
        <w:t xml:space="preserve">assessment of learners. </w:t>
      </w:r>
      <w:r w:rsidRPr="48585CDC">
        <w:t xml:space="preserve"> WBPA provides evidence of learning and achievement and also points out the areas which needs improvement and addressing the ways to improve them.</w:t>
      </w:r>
    </w:p>
    <w:p w14:paraId="6E427572" w14:textId="518D84F6" w:rsidR="000D4098" w:rsidRDefault="48585CDC" w:rsidP="48585CDC">
      <w:pPr>
        <w:pStyle w:val="NormalWeb"/>
        <w:spacing w:before="0" w:beforeAutospacing="0" w:after="0" w:afterAutospacing="0" w:line="360" w:lineRule="auto"/>
        <w:ind w:firstLine="720"/>
        <w:jc w:val="both"/>
      </w:pPr>
      <w:r w:rsidRPr="48585CDC">
        <w:t>Miller’s pyramid is a helpful tool for evaluating clinical performance.</w:t>
      </w:r>
    </w:p>
    <w:p w14:paraId="06A086BC" w14:textId="77777777" w:rsidR="000D4098" w:rsidRDefault="48585CDC" w:rsidP="48585CDC">
      <w:pPr>
        <w:pStyle w:val="NormalWeb"/>
        <w:spacing w:before="0" w:beforeAutospacing="0" w:after="0" w:afterAutospacing="0" w:line="360" w:lineRule="auto"/>
        <w:ind w:firstLine="720"/>
        <w:jc w:val="both"/>
      </w:pPr>
      <w:r w:rsidRPr="48585CDC">
        <w:lastRenderedPageBreak/>
        <w:t xml:space="preserve"> </w:t>
      </w:r>
      <w:r w:rsidR="000D4098">
        <w:rPr>
          <w:noProof/>
        </w:rPr>
        <w:drawing>
          <wp:inline distT="0" distB="0" distL="0" distR="0" wp14:anchorId="23E08D7A" wp14:editId="48585CDC">
            <wp:extent cx="3762375" cy="1958975"/>
            <wp:effectExtent l="0" t="0" r="9525" b="3175"/>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3762375" cy="1958975"/>
                    </a:xfrm>
                    <a:prstGeom prst="rect">
                      <a:avLst/>
                    </a:prstGeom>
                    <a:ln w="9525"/>
                  </pic:spPr>
                </pic:pic>
              </a:graphicData>
            </a:graphic>
          </wp:inline>
        </w:drawing>
      </w:r>
    </w:p>
    <w:p w14:paraId="575D9890" w14:textId="77777777" w:rsidR="000D4098" w:rsidRDefault="48585CDC" w:rsidP="48585CDC">
      <w:pPr>
        <w:pStyle w:val="Caption"/>
        <w:spacing w:line="360" w:lineRule="auto"/>
        <w:ind w:firstLine="720"/>
        <w:rPr>
          <w:rFonts w:ascii="Times New Roman" w:hAnsi="Times New Roman" w:cs="Times New Roman"/>
          <w:sz w:val="24"/>
          <w:szCs w:val="24"/>
        </w:rPr>
      </w:pPr>
      <w:r w:rsidRPr="48585CDC">
        <w:rPr>
          <w:rFonts w:ascii="Times New Roman" w:hAnsi="Times New Roman" w:cs="Times New Roman"/>
          <w:sz w:val="24"/>
          <w:szCs w:val="24"/>
        </w:rPr>
        <w:t xml:space="preserve">Table </w:t>
      </w:r>
      <w:r w:rsidR="000D4098" w:rsidRPr="48585CDC">
        <w:rPr>
          <w:rFonts w:ascii="Times New Roman" w:hAnsi="Times New Roman" w:cs="Times New Roman"/>
          <w:sz w:val="24"/>
          <w:szCs w:val="24"/>
        </w:rPr>
        <w:fldChar w:fldCharType="begin"/>
      </w:r>
      <w:r w:rsidR="000D4098" w:rsidRPr="48585CDC">
        <w:rPr>
          <w:rFonts w:ascii="Times New Roman" w:hAnsi="Times New Roman" w:cs="Times New Roman"/>
          <w:sz w:val="24"/>
          <w:szCs w:val="24"/>
        </w:rPr>
        <w:instrText xml:space="preserve"> SEQ Table \* ARABIC </w:instrText>
      </w:r>
      <w:r w:rsidR="000D4098" w:rsidRPr="48585CDC">
        <w:rPr>
          <w:rFonts w:ascii="Times New Roman" w:hAnsi="Times New Roman" w:cs="Times New Roman"/>
          <w:sz w:val="24"/>
          <w:szCs w:val="24"/>
        </w:rPr>
        <w:fldChar w:fldCharType="separate"/>
      </w:r>
      <w:r w:rsidRPr="48585CDC">
        <w:rPr>
          <w:rFonts w:ascii="Times New Roman" w:hAnsi="Times New Roman" w:cs="Times New Roman"/>
          <w:sz w:val="24"/>
          <w:szCs w:val="24"/>
        </w:rPr>
        <w:t>1</w:t>
      </w:r>
      <w:r w:rsidR="000D4098" w:rsidRPr="48585CDC">
        <w:rPr>
          <w:rFonts w:ascii="Times New Roman" w:hAnsi="Times New Roman" w:cs="Times New Roman"/>
          <w:sz w:val="24"/>
          <w:szCs w:val="24"/>
        </w:rPr>
        <w:fldChar w:fldCharType="end"/>
      </w:r>
      <w:r w:rsidRPr="48585CDC">
        <w:rPr>
          <w:rFonts w:ascii="Times New Roman" w:hAnsi="Times New Roman" w:cs="Times New Roman"/>
          <w:sz w:val="24"/>
          <w:szCs w:val="24"/>
        </w:rPr>
        <w:t>. Miller's Pyramid</w:t>
      </w:r>
    </w:p>
    <w:p w14:paraId="1EE2CDAB" w14:textId="49B1904C" w:rsidR="000D4098" w:rsidRPr="00EC3469" w:rsidRDefault="48585CDC" w:rsidP="48585CDC">
      <w:pPr>
        <w:spacing w:line="360" w:lineRule="auto"/>
        <w:rPr>
          <w:rFonts w:ascii="Times New Roman" w:hAnsi="Times New Roman" w:cs="Times New Roman"/>
          <w:sz w:val="24"/>
          <w:szCs w:val="24"/>
        </w:rPr>
      </w:pPr>
      <w:r w:rsidRPr="48585CDC">
        <w:rPr>
          <w:rFonts w:ascii="Times New Roman" w:hAnsi="Times New Roman" w:cs="Times New Roman"/>
          <w:sz w:val="24"/>
          <w:szCs w:val="24"/>
        </w:rPr>
        <w:t xml:space="preserve">The knowledge basis ('Knows'), as determined by easy knowledge assessments, appropriately forms the basis of the pyramid. The "Knows how" </w:t>
      </w:r>
      <w:r w:rsidR="00BE2CC1">
        <w:rPr>
          <w:rFonts w:ascii="Times New Roman" w:hAnsi="Times New Roman" w:cs="Times New Roman"/>
          <w:sz w:val="24"/>
          <w:szCs w:val="24"/>
        </w:rPr>
        <w:t xml:space="preserve">level, </w:t>
      </w:r>
      <w:r w:rsidRPr="48585CDC">
        <w:rPr>
          <w:rFonts w:ascii="Times New Roman" w:hAnsi="Times New Roman" w:cs="Times New Roman"/>
          <w:sz w:val="24"/>
          <w:szCs w:val="24"/>
        </w:rPr>
        <w:t xml:space="preserve">assesses comprehension and knowledge </w:t>
      </w:r>
      <w:r w:rsidR="00CC2271" w:rsidRPr="48585CDC">
        <w:rPr>
          <w:rFonts w:ascii="Times New Roman" w:hAnsi="Times New Roman" w:cs="Times New Roman"/>
          <w:sz w:val="24"/>
          <w:szCs w:val="24"/>
        </w:rPr>
        <w:t xml:space="preserve">application </w:t>
      </w:r>
      <w:r w:rsidRPr="48585CDC">
        <w:rPr>
          <w:rFonts w:ascii="Times New Roman" w:hAnsi="Times New Roman" w:cs="Times New Roman"/>
          <w:sz w:val="24"/>
          <w:szCs w:val="24"/>
        </w:rPr>
        <w:t>and can be done through short essay questions, patient management problems, etc. The third stage, "Shows how," can be measured using tools like the OSCE. However, there is little correlation between how doctors perform during controlled examinations and how they perform in real-world settings. Thus, it is necessary to evaluate at the "Does" level, which is the highest level possible [3]. WBA evaluates the effective application of competencies in real-world contexts. The WPBA is compatible with Miller's pyramid's highest level (Level 4: "Does") and has the capacity to evaluate at all four levels.</w:t>
      </w:r>
    </w:p>
    <w:p w14:paraId="14EB4B10" w14:textId="010101E6" w:rsidR="00CB3061" w:rsidRPr="00EA4D51" w:rsidRDefault="48585CDC" w:rsidP="48585CDC">
      <w:pPr>
        <w:spacing w:line="360" w:lineRule="auto"/>
        <w:rPr>
          <w:rFonts w:ascii="Times New Roman" w:hAnsi="Times New Roman" w:cs="Times New Roman"/>
          <w:sz w:val="24"/>
          <w:szCs w:val="24"/>
        </w:rPr>
      </w:pPr>
      <w:r w:rsidRPr="48585CDC">
        <w:rPr>
          <w:rFonts w:ascii="Times New Roman" w:hAnsi="Times New Roman" w:cs="Times New Roman"/>
          <w:sz w:val="24"/>
          <w:szCs w:val="24"/>
        </w:rPr>
        <w:t xml:space="preserve">A faculty observes the trainee in a specific patient encounter, case record or a specific procedure and assesses it. It shows that the </w:t>
      </w:r>
      <w:r w:rsidR="00B90384">
        <w:rPr>
          <w:rFonts w:ascii="Times New Roman" w:hAnsi="Times New Roman" w:cs="Times New Roman"/>
          <w:sz w:val="24"/>
          <w:szCs w:val="24"/>
        </w:rPr>
        <w:t xml:space="preserve">performance </w:t>
      </w:r>
      <w:r w:rsidR="002901E1" w:rsidRPr="48585CDC">
        <w:rPr>
          <w:rFonts w:ascii="Times New Roman" w:hAnsi="Times New Roman" w:cs="Times New Roman"/>
          <w:sz w:val="24"/>
          <w:szCs w:val="24"/>
        </w:rPr>
        <w:t xml:space="preserve">of the trainee </w:t>
      </w:r>
      <w:r w:rsidR="00B90384">
        <w:rPr>
          <w:rFonts w:ascii="Times New Roman" w:hAnsi="Times New Roman" w:cs="Times New Roman"/>
          <w:sz w:val="24"/>
          <w:szCs w:val="24"/>
        </w:rPr>
        <w:t xml:space="preserve">has been </w:t>
      </w:r>
      <w:r w:rsidR="00B90384" w:rsidRPr="48585CDC">
        <w:rPr>
          <w:rFonts w:ascii="Times New Roman" w:hAnsi="Times New Roman" w:cs="Times New Roman"/>
          <w:sz w:val="24"/>
          <w:szCs w:val="24"/>
        </w:rPr>
        <w:t xml:space="preserve">observed </w:t>
      </w:r>
      <w:r w:rsidR="002901E1">
        <w:rPr>
          <w:rFonts w:ascii="Times New Roman" w:hAnsi="Times New Roman" w:cs="Times New Roman"/>
          <w:sz w:val="24"/>
          <w:szCs w:val="24"/>
        </w:rPr>
        <w:t xml:space="preserve"> by the </w:t>
      </w:r>
      <w:r w:rsidRPr="48585CDC">
        <w:rPr>
          <w:rFonts w:ascii="Times New Roman" w:hAnsi="Times New Roman" w:cs="Times New Roman"/>
          <w:sz w:val="24"/>
          <w:szCs w:val="24"/>
        </w:rPr>
        <w:t xml:space="preserve">assessor </w:t>
      </w:r>
      <w:r w:rsidR="002901E1">
        <w:rPr>
          <w:rFonts w:ascii="Times New Roman" w:hAnsi="Times New Roman" w:cs="Times New Roman"/>
          <w:sz w:val="24"/>
          <w:szCs w:val="24"/>
        </w:rPr>
        <w:t xml:space="preserve"> </w:t>
      </w:r>
      <w:r w:rsidRPr="48585CDC">
        <w:rPr>
          <w:rFonts w:ascii="Times New Roman" w:hAnsi="Times New Roman" w:cs="Times New Roman"/>
          <w:sz w:val="24"/>
          <w:szCs w:val="24"/>
        </w:rPr>
        <w:t xml:space="preserve">and focused on reaching the </w:t>
      </w:r>
      <w:r w:rsidR="002901E1">
        <w:rPr>
          <w:rFonts w:ascii="Times New Roman" w:hAnsi="Times New Roman" w:cs="Times New Roman"/>
          <w:sz w:val="24"/>
          <w:szCs w:val="24"/>
        </w:rPr>
        <w:t>decision</w:t>
      </w:r>
      <w:r w:rsidRPr="48585CDC">
        <w:rPr>
          <w:rFonts w:ascii="Times New Roman" w:hAnsi="Times New Roman" w:cs="Times New Roman"/>
          <w:sz w:val="24"/>
          <w:szCs w:val="24"/>
        </w:rPr>
        <w:t xml:space="preserve"> about the performance. However,  in medical education, the performance of the physician is </w:t>
      </w:r>
      <w:r w:rsidR="0084502E">
        <w:rPr>
          <w:rFonts w:ascii="Times New Roman" w:hAnsi="Times New Roman" w:cs="Times New Roman"/>
          <w:sz w:val="24"/>
          <w:szCs w:val="24"/>
        </w:rPr>
        <w:t xml:space="preserve">patient or </w:t>
      </w:r>
      <w:r w:rsidR="00BD692B">
        <w:rPr>
          <w:rFonts w:ascii="Times New Roman" w:hAnsi="Times New Roman" w:cs="Times New Roman"/>
          <w:sz w:val="24"/>
          <w:szCs w:val="24"/>
        </w:rPr>
        <w:t>situation</w:t>
      </w:r>
      <w:r w:rsidRPr="48585CDC">
        <w:rPr>
          <w:rFonts w:ascii="Times New Roman" w:hAnsi="Times New Roman" w:cs="Times New Roman"/>
          <w:sz w:val="24"/>
          <w:szCs w:val="24"/>
        </w:rPr>
        <w:t xml:space="preserve"> specific and the performance of one event cannot predict the same performance in other tasks also. To provide a reliable measure of the trainee's performance, several occurrences must be evaluated.</w:t>
      </w:r>
    </w:p>
    <w:p w14:paraId="41A95EC7" w14:textId="34FF2B51" w:rsidR="006F332F" w:rsidRPr="00EA4D51" w:rsidRDefault="48585CDC" w:rsidP="48585CDC">
      <w:pPr>
        <w:spacing w:line="360" w:lineRule="auto"/>
        <w:rPr>
          <w:rFonts w:ascii="Times New Roman" w:hAnsi="Times New Roman" w:cs="Times New Roman"/>
          <w:sz w:val="24"/>
          <w:szCs w:val="24"/>
        </w:rPr>
      </w:pPr>
      <w:r w:rsidRPr="48585CDC">
        <w:rPr>
          <w:rFonts w:ascii="Times New Roman" w:hAnsi="Times New Roman" w:cs="Times New Roman"/>
          <w:sz w:val="24"/>
          <w:szCs w:val="24"/>
        </w:rPr>
        <w:t xml:space="preserve"> But how it differs from the routine observations, the assessors have made over the time by observing the performance of the trainees? The assessors, sometimes give evaluation of certain aspects of performance, they didn’t observe. According to Pulito et al, the faculties mainly observe the cognitive skills and professionalism rather than other aspects of competency [4]. Silver et al also found out that The faculties often evaluate the ability of medical knowledge and interpersonal skills without discriminating between other aspects of competencies.</w:t>
      </w:r>
    </w:p>
    <w:p w14:paraId="196FDA79" w14:textId="77777777" w:rsidR="00A91DB2" w:rsidRPr="004C72E6" w:rsidRDefault="000D4098" w:rsidP="48585CDC">
      <w:pPr>
        <w:spacing w:line="360" w:lineRule="auto"/>
        <w:rPr>
          <w:rFonts w:ascii="Times New Roman" w:hAnsi="Times New Roman" w:cs="Times New Roman"/>
          <w:sz w:val="24"/>
          <w:szCs w:val="24"/>
        </w:rPr>
      </w:pPr>
      <w:r>
        <w:tab/>
      </w:r>
      <w:r w:rsidRPr="48585CDC">
        <w:rPr>
          <w:rFonts w:ascii="Times New Roman" w:hAnsi="Times New Roman" w:cs="Times New Roman"/>
          <w:sz w:val="24"/>
          <w:szCs w:val="24"/>
        </w:rPr>
        <w:t xml:space="preserve">Depending on the purpose of assessment, the number of encounters of each WPBA may vary. </w:t>
      </w:r>
      <w:r w:rsidR="00A91DB2" w:rsidRPr="48585CDC">
        <w:rPr>
          <w:rFonts w:ascii="Times New Roman" w:hAnsi="Times New Roman" w:cs="Times New Roman"/>
          <w:sz w:val="24"/>
          <w:szCs w:val="24"/>
        </w:rPr>
        <w:t>An alternative to measuring reliability is standard error of measurement.</w:t>
      </w:r>
    </w:p>
    <w:p w14:paraId="2B277CEE" w14:textId="603F85BF" w:rsidR="00953710" w:rsidRPr="00F77907" w:rsidRDefault="48585CDC" w:rsidP="48585CDC">
      <w:pPr>
        <w:spacing w:line="360" w:lineRule="auto"/>
        <w:rPr>
          <w:rFonts w:ascii="Times New Roman" w:hAnsi="Times New Roman" w:cs="Times New Roman"/>
          <w:sz w:val="24"/>
          <w:szCs w:val="24"/>
        </w:rPr>
      </w:pPr>
      <w:r w:rsidRPr="48585CDC">
        <w:rPr>
          <w:rFonts w:ascii="Times New Roman" w:hAnsi="Times New Roman" w:cs="Times New Roman"/>
          <w:sz w:val="24"/>
          <w:szCs w:val="24"/>
        </w:rPr>
        <w:lastRenderedPageBreak/>
        <w:t xml:space="preserve"> It is possible to create a 95% confidence interval </w:t>
      </w:r>
      <w:r w:rsidR="00522C06">
        <w:rPr>
          <w:rFonts w:ascii="Times New Roman" w:hAnsi="Times New Roman" w:cs="Times New Roman"/>
          <w:sz w:val="24"/>
          <w:szCs w:val="24"/>
        </w:rPr>
        <w:t>throughout</w:t>
      </w:r>
      <w:r w:rsidRPr="48585CDC">
        <w:rPr>
          <w:rFonts w:ascii="Times New Roman" w:hAnsi="Times New Roman" w:cs="Times New Roman"/>
          <w:sz w:val="24"/>
          <w:szCs w:val="24"/>
        </w:rPr>
        <w:t xml:space="preserve"> the results using scores. </w:t>
      </w:r>
      <w:r w:rsidR="00FA545D">
        <w:rPr>
          <w:rFonts w:ascii="Times New Roman" w:hAnsi="Times New Roman" w:cs="Times New Roman"/>
          <w:sz w:val="24"/>
          <w:szCs w:val="24"/>
        </w:rPr>
        <w:t>In a study of mini-CEX, i</w:t>
      </w:r>
      <w:r w:rsidRPr="48585CDC">
        <w:rPr>
          <w:rFonts w:ascii="Times New Roman" w:hAnsi="Times New Roman" w:cs="Times New Roman"/>
          <w:sz w:val="24"/>
          <w:szCs w:val="24"/>
        </w:rPr>
        <w:t xml:space="preserve">f we take the scale as 1-3 is unsatisfactory, 4-6 is satisfactory, and 7-9 is expert, then the 95% confidence interval for the rating of clinical competence, was +/-1.2 after two encounters, +/-0.8 after four encounters, and it decreases further by increasing the encounters. The width of the confidence interval narrows and the frequency of good decisions rises as encounters are added. For trainees with an average rating of 6 or more, two encounters are enough to identify which trainees are unsatisfactory [5]. </w:t>
      </w:r>
      <w:r w:rsidR="009C61F8">
        <w:rPr>
          <w:rFonts w:ascii="Times New Roman" w:hAnsi="Times New Roman" w:cs="Times New Roman"/>
          <w:sz w:val="24"/>
          <w:szCs w:val="24"/>
        </w:rPr>
        <w:t xml:space="preserve">The </w:t>
      </w:r>
      <w:r w:rsidRPr="48585CDC">
        <w:rPr>
          <w:rFonts w:ascii="Times New Roman" w:hAnsi="Times New Roman" w:cs="Times New Roman"/>
          <w:sz w:val="24"/>
          <w:szCs w:val="24"/>
        </w:rPr>
        <w:t xml:space="preserve"> trainees </w:t>
      </w:r>
      <w:r w:rsidR="009C61F8">
        <w:rPr>
          <w:rFonts w:ascii="Times New Roman" w:hAnsi="Times New Roman" w:cs="Times New Roman"/>
          <w:sz w:val="24"/>
          <w:szCs w:val="24"/>
        </w:rPr>
        <w:t xml:space="preserve">with borderline scores </w:t>
      </w:r>
      <w:r w:rsidRPr="48585CDC">
        <w:rPr>
          <w:rFonts w:ascii="Times New Roman" w:hAnsi="Times New Roman" w:cs="Times New Roman"/>
          <w:sz w:val="24"/>
          <w:szCs w:val="24"/>
        </w:rPr>
        <w:t>will require more interactions, and since each interaction is followed by feedback, th</w:t>
      </w:r>
      <w:r w:rsidR="00414359">
        <w:rPr>
          <w:rFonts w:ascii="Times New Roman" w:hAnsi="Times New Roman" w:cs="Times New Roman"/>
          <w:sz w:val="24"/>
          <w:szCs w:val="24"/>
        </w:rPr>
        <w:t>e trainees</w:t>
      </w:r>
      <w:r w:rsidRPr="48585CDC">
        <w:rPr>
          <w:rFonts w:ascii="Times New Roman" w:hAnsi="Times New Roman" w:cs="Times New Roman"/>
          <w:sz w:val="24"/>
          <w:szCs w:val="24"/>
        </w:rPr>
        <w:t xml:space="preserve"> who require more extensive educational interventions will receive them.</w:t>
      </w:r>
    </w:p>
    <w:p w14:paraId="4F2F3FD6" w14:textId="758B581D" w:rsidR="000D4098" w:rsidRDefault="48585CDC" w:rsidP="48585CDC">
      <w:pPr>
        <w:pStyle w:val="NormalWeb"/>
        <w:spacing w:before="0" w:beforeAutospacing="0" w:after="0" w:afterAutospacing="0" w:line="360" w:lineRule="auto"/>
        <w:jc w:val="both"/>
        <w:rPr>
          <w:rFonts w:eastAsia="Times New Roman"/>
        </w:rPr>
      </w:pPr>
      <w:r w:rsidRPr="48585CDC">
        <w:t xml:space="preserve"> </w:t>
      </w:r>
      <w:r w:rsidRPr="48585CDC">
        <w:rPr>
          <w:rFonts w:eastAsia="Times New Roman"/>
        </w:rPr>
        <w:t xml:space="preserve">The </w:t>
      </w:r>
      <w:r w:rsidR="000136E6">
        <w:rPr>
          <w:rFonts w:eastAsia="Times New Roman"/>
        </w:rPr>
        <w:t>comprehensive</w:t>
      </w:r>
      <w:r w:rsidRPr="48585CDC">
        <w:rPr>
          <w:rFonts w:eastAsia="Times New Roman"/>
        </w:rPr>
        <w:t xml:space="preserve"> nature of WBAs makes them a </w:t>
      </w:r>
      <w:r w:rsidR="006A0F95">
        <w:rPr>
          <w:rFonts w:eastAsia="Times New Roman"/>
        </w:rPr>
        <w:t>equitable</w:t>
      </w:r>
      <w:r w:rsidRPr="48585CDC">
        <w:rPr>
          <w:rFonts w:eastAsia="Times New Roman"/>
        </w:rPr>
        <w:t xml:space="preserve"> assessment format. </w:t>
      </w:r>
      <w:r w:rsidR="003C44FD">
        <w:rPr>
          <w:rFonts w:eastAsia="Times New Roman"/>
        </w:rPr>
        <w:t>Educational collaborators</w:t>
      </w:r>
      <w:r w:rsidRPr="48585CDC">
        <w:rPr>
          <w:rFonts w:eastAsia="Times New Roman"/>
        </w:rPr>
        <w:t xml:space="preserve"> preferred WBAs with clear definitions and </w:t>
      </w:r>
      <w:r w:rsidR="000949D1">
        <w:rPr>
          <w:rFonts w:eastAsia="Times New Roman"/>
        </w:rPr>
        <w:t>structure</w:t>
      </w:r>
      <w:r w:rsidRPr="48585CDC">
        <w:rPr>
          <w:rFonts w:eastAsia="Times New Roman"/>
        </w:rPr>
        <w:t xml:space="preserve"> since they could aid assessors in making decisions, especially when it </w:t>
      </w:r>
      <w:r w:rsidR="000B2703" w:rsidRPr="48585CDC">
        <w:rPr>
          <w:rFonts w:eastAsia="Times New Roman"/>
        </w:rPr>
        <w:t>comes</w:t>
      </w:r>
      <w:r w:rsidRPr="48585CDC">
        <w:rPr>
          <w:rFonts w:eastAsia="Times New Roman"/>
        </w:rPr>
        <w:t xml:space="preserve"> to lowering cognitive load and subjectivity and creating feedback. WBAs were thought to be particularly adept for charting trainees' development over time. Negative opinions of WBAs were caused by their improper use, which included failing to conduct direct observation, filling out retroactive forms, and providing insufficient feedback [6]. To provide high-quality patient care, CBME requires specific competencies and goals that go beyond clinical reasoning and medical knowledge [7]. Implementing CBME could provide learners with guidance and direction as well as accountability and transparency to patients and the broader public. According to the International CBME Collaborators, competency </w:t>
      </w:r>
      <w:r w:rsidR="00F36BE8">
        <w:rPr>
          <w:rFonts w:eastAsia="Times New Roman"/>
        </w:rPr>
        <w:t>defines</w:t>
      </w:r>
      <w:r w:rsidRPr="48585CDC">
        <w:rPr>
          <w:rFonts w:eastAsia="Times New Roman"/>
        </w:rPr>
        <w:t xml:space="preserve"> a quantitative and observable medical skill, whereas competence refers to a range of medical abilities [8]. Medical educators have repeatedly attempted to define competencies for CBME. </w:t>
      </w:r>
    </w:p>
    <w:p w14:paraId="62B0D6F9" w14:textId="77777777" w:rsidR="000D4098" w:rsidRDefault="000D4098" w:rsidP="48585CDC">
      <w:pPr>
        <w:pStyle w:val="NormalWeb"/>
        <w:spacing w:before="0" w:beforeAutospacing="0" w:after="0" w:afterAutospacing="0" w:line="360" w:lineRule="auto"/>
        <w:jc w:val="both"/>
      </w:pPr>
    </w:p>
    <w:p w14:paraId="3533ED51" w14:textId="77777777" w:rsidR="000D4098" w:rsidRDefault="48585CDC" w:rsidP="48585CDC">
      <w:pPr>
        <w:pStyle w:val="NormalWeb"/>
        <w:spacing w:before="0" w:beforeAutospacing="0" w:after="0" w:afterAutospacing="0" w:line="360" w:lineRule="auto"/>
        <w:jc w:val="both"/>
        <w:rPr>
          <w:b/>
          <w:bCs/>
        </w:rPr>
      </w:pPr>
      <w:r w:rsidRPr="48585CDC">
        <w:rPr>
          <w:b/>
          <w:bCs/>
        </w:rPr>
        <w:t>History of WPBA</w:t>
      </w:r>
    </w:p>
    <w:p w14:paraId="156643FA" w14:textId="78CFAD54" w:rsidR="007E3E1D" w:rsidRPr="007E3E1D" w:rsidRDefault="48585CDC" w:rsidP="48585CDC">
      <w:pPr>
        <w:spacing w:line="360" w:lineRule="auto"/>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GB"/>
        </w:rPr>
        <w:t xml:space="preserve">In the past, too much attention has been placed on gauging a student or trainee's ability to pass a test and not enough on whether they can execute to the standards required of medical practitioners. For many years, traditional clinical exams like the Objective Structured Clinical Examinations (OSCEs), which Ronald Harden invented in Dundee [18], have been used extensively in a variety of educational settings. However, these evaluations have their limits. The doctor-patient encounter is frequently "deconstructed" by stations by having students do discrete parts of clinical encounters, and the kinds of patient problems that can be utilised are limited by the kinds of cases that can be simulated. The </w:t>
      </w:r>
      <w:r w:rsidR="00903990">
        <w:rPr>
          <w:rFonts w:ascii="Times New Roman" w:eastAsia="Book Antiqua" w:hAnsi="Times New Roman" w:cs="Times New Roman"/>
          <w:sz w:val="24"/>
          <w:szCs w:val="24"/>
          <w:lang w:val="en-GB"/>
        </w:rPr>
        <w:t>centre of attention</w:t>
      </w:r>
      <w:r w:rsidRPr="48585CDC">
        <w:rPr>
          <w:rFonts w:ascii="Times New Roman" w:eastAsia="Book Antiqua" w:hAnsi="Times New Roman" w:cs="Times New Roman"/>
          <w:sz w:val="24"/>
          <w:szCs w:val="24"/>
          <w:lang w:val="en-GB"/>
        </w:rPr>
        <w:t xml:space="preserve"> of medical education is shifting quickly away from achieving a </w:t>
      </w:r>
      <w:r w:rsidR="00AA0592">
        <w:rPr>
          <w:rFonts w:ascii="Times New Roman" w:eastAsia="Book Antiqua" w:hAnsi="Times New Roman" w:cs="Times New Roman"/>
          <w:sz w:val="24"/>
          <w:szCs w:val="24"/>
          <w:lang w:val="en-GB"/>
        </w:rPr>
        <w:t>specific</w:t>
      </w:r>
      <w:r w:rsidRPr="48585CDC">
        <w:rPr>
          <w:rFonts w:ascii="Times New Roman" w:eastAsia="Book Antiqua" w:hAnsi="Times New Roman" w:cs="Times New Roman"/>
          <w:sz w:val="24"/>
          <w:szCs w:val="24"/>
          <w:lang w:val="en-GB"/>
        </w:rPr>
        <w:t xml:space="preserve"> score on difficult exams and </w:t>
      </w:r>
      <w:r w:rsidRPr="48585CDC">
        <w:rPr>
          <w:rFonts w:ascii="Times New Roman" w:eastAsia="Book Antiqua" w:hAnsi="Times New Roman" w:cs="Times New Roman"/>
          <w:sz w:val="24"/>
          <w:szCs w:val="24"/>
          <w:lang w:val="en-GB"/>
        </w:rPr>
        <w:lastRenderedPageBreak/>
        <w:t xml:space="preserve">towards accumulating proof of clinical proficiency and professional conduct every day in the job. </w:t>
      </w:r>
      <w:proofErr w:type="gramStart"/>
      <w:r w:rsidRPr="48585CDC">
        <w:rPr>
          <w:rFonts w:ascii="Times New Roman" w:eastAsia="Book Antiqua" w:hAnsi="Times New Roman" w:cs="Times New Roman"/>
          <w:sz w:val="24"/>
          <w:szCs w:val="24"/>
          <w:lang w:val="en-GB"/>
        </w:rPr>
        <w:t>In order to</w:t>
      </w:r>
      <w:proofErr w:type="gramEnd"/>
      <w:r w:rsidRPr="48585CDC">
        <w:rPr>
          <w:rFonts w:ascii="Times New Roman" w:eastAsia="Book Antiqua" w:hAnsi="Times New Roman" w:cs="Times New Roman"/>
          <w:sz w:val="24"/>
          <w:szCs w:val="24"/>
          <w:lang w:val="en-GB"/>
        </w:rPr>
        <w:t xml:space="preserve"> evaluate workplace-based learning programmes, on-the-job workplace-based assessments (WPBA) have been established. </w:t>
      </w:r>
    </w:p>
    <w:p w14:paraId="2424149E" w14:textId="281A051E" w:rsidR="000D4098" w:rsidRPr="00B067F0" w:rsidRDefault="48585CDC" w:rsidP="48585CDC">
      <w:pPr>
        <w:spacing w:line="360" w:lineRule="auto"/>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GB"/>
        </w:rPr>
        <w:t xml:space="preserve">WPBA is the assessment of </w:t>
      </w:r>
      <w:r w:rsidR="00CB603D">
        <w:rPr>
          <w:rFonts w:ascii="Times New Roman" w:eastAsia="Book Antiqua" w:hAnsi="Times New Roman" w:cs="Times New Roman"/>
          <w:sz w:val="24"/>
          <w:szCs w:val="24"/>
          <w:lang w:val="en-GB"/>
        </w:rPr>
        <w:t xml:space="preserve">  performance of </w:t>
      </w:r>
      <w:r w:rsidRPr="48585CDC">
        <w:rPr>
          <w:rFonts w:ascii="Times New Roman" w:eastAsia="Book Antiqua" w:hAnsi="Times New Roman" w:cs="Times New Roman"/>
          <w:sz w:val="24"/>
          <w:szCs w:val="24"/>
          <w:lang w:val="en-GB"/>
        </w:rPr>
        <w:t xml:space="preserve">a </w:t>
      </w:r>
      <w:r w:rsidR="00177079" w:rsidRPr="48585CDC">
        <w:rPr>
          <w:rFonts w:ascii="Times New Roman" w:eastAsia="Book Antiqua" w:hAnsi="Times New Roman" w:cs="Times New Roman"/>
          <w:sz w:val="24"/>
          <w:szCs w:val="24"/>
          <w:lang w:val="en-GB"/>
        </w:rPr>
        <w:t>trainee</w:t>
      </w:r>
      <w:r w:rsidR="00177079">
        <w:rPr>
          <w:rFonts w:ascii="Times New Roman" w:eastAsia="Book Antiqua" w:hAnsi="Times New Roman" w:cs="Times New Roman"/>
          <w:sz w:val="24"/>
          <w:szCs w:val="24"/>
          <w:lang w:val="en-GB"/>
        </w:rPr>
        <w:t xml:space="preserve"> </w:t>
      </w:r>
      <w:r w:rsidR="00177079" w:rsidRPr="48585CDC">
        <w:rPr>
          <w:rFonts w:ascii="Times New Roman" w:eastAsia="Book Antiqua" w:hAnsi="Times New Roman" w:cs="Times New Roman"/>
          <w:sz w:val="24"/>
          <w:szCs w:val="24"/>
          <w:lang w:val="en-GB"/>
        </w:rPr>
        <w:t>based</w:t>
      </w:r>
      <w:r w:rsidRPr="48585CDC">
        <w:rPr>
          <w:rFonts w:ascii="Times New Roman" w:eastAsia="Book Antiqua" w:hAnsi="Times New Roman" w:cs="Times New Roman"/>
          <w:sz w:val="24"/>
          <w:szCs w:val="24"/>
          <w:lang w:val="en-GB"/>
        </w:rPr>
        <w:t xml:space="preserve"> on their actual job. The </w:t>
      </w:r>
      <w:r w:rsidR="00177079">
        <w:rPr>
          <w:rFonts w:ascii="Times New Roman" w:eastAsia="Book Antiqua" w:hAnsi="Times New Roman" w:cs="Times New Roman"/>
          <w:sz w:val="24"/>
          <w:szCs w:val="24"/>
          <w:lang w:val="en-GB"/>
        </w:rPr>
        <w:t>major</w:t>
      </w:r>
      <w:r w:rsidRPr="48585CDC">
        <w:rPr>
          <w:rFonts w:ascii="Times New Roman" w:eastAsia="Book Antiqua" w:hAnsi="Times New Roman" w:cs="Times New Roman"/>
          <w:sz w:val="24"/>
          <w:szCs w:val="24"/>
          <w:lang w:val="en-GB"/>
        </w:rPr>
        <w:t xml:space="preserve"> objective of WBA is to examine th</w:t>
      </w:r>
      <w:r w:rsidR="006472BC">
        <w:rPr>
          <w:rFonts w:ascii="Times New Roman" w:eastAsia="Book Antiqua" w:hAnsi="Times New Roman" w:cs="Times New Roman"/>
          <w:sz w:val="24"/>
          <w:szCs w:val="24"/>
          <w:lang w:val="en-GB"/>
        </w:rPr>
        <w:t>e</w:t>
      </w:r>
      <w:r w:rsidRPr="48585CDC">
        <w:rPr>
          <w:rFonts w:ascii="Times New Roman" w:eastAsia="Book Antiqua" w:hAnsi="Times New Roman" w:cs="Times New Roman"/>
          <w:sz w:val="24"/>
          <w:szCs w:val="24"/>
          <w:lang w:val="en-GB"/>
        </w:rPr>
        <w:t xml:space="preserve"> facets of actual </w:t>
      </w:r>
      <w:r w:rsidR="00C97608">
        <w:rPr>
          <w:rFonts w:ascii="Times New Roman" w:eastAsia="Book Antiqua" w:hAnsi="Times New Roman" w:cs="Times New Roman"/>
          <w:sz w:val="24"/>
          <w:szCs w:val="24"/>
          <w:lang w:val="en-GB"/>
        </w:rPr>
        <w:t>real time</w:t>
      </w:r>
      <w:r w:rsidRPr="48585CDC">
        <w:rPr>
          <w:rFonts w:ascii="Times New Roman" w:eastAsia="Book Antiqua" w:hAnsi="Times New Roman" w:cs="Times New Roman"/>
          <w:sz w:val="24"/>
          <w:szCs w:val="24"/>
          <w:lang w:val="en-GB"/>
        </w:rPr>
        <w:t xml:space="preserve"> performance that are unsuitable for evaluation via a distance assessment of competence. By providing trainees with insightful feedback, it is perfect for the objective of encouraging learning (evaluation for learning). The same process can be applied by trainees during reflective practise to evaluate themselves.</w:t>
      </w:r>
      <w:r w:rsidRPr="48585CDC">
        <w:rPr>
          <w:rFonts w:eastAsia="Book Antiqua"/>
          <w:lang w:val="en-GB"/>
        </w:rPr>
        <w:t xml:space="preserve"> </w:t>
      </w:r>
      <w:r w:rsidRPr="48585CDC">
        <w:rPr>
          <w:rFonts w:ascii="Times New Roman" w:eastAsia="Book Antiqua" w:hAnsi="Times New Roman" w:cs="Times New Roman"/>
          <w:sz w:val="24"/>
          <w:szCs w:val="24"/>
          <w:lang w:val="en-GB"/>
        </w:rPr>
        <w:t xml:space="preserve">The evaluations assist the supervisor in tracking a </w:t>
      </w:r>
      <w:r w:rsidR="00C97608">
        <w:rPr>
          <w:rFonts w:ascii="Times New Roman" w:eastAsia="Book Antiqua" w:hAnsi="Times New Roman" w:cs="Times New Roman"/>
          <w:sz w:val="24"/>
          <w:szCs w:val="24"/>
          <w:lang w:val="en-GB"/>
        </w:rPr>
        <w:t>learner</w:t>
      </w:r>
      <w:r w:rsidRPr="48585CDC">
        <w:rPr>
          <w:rFonts w:ascii="Times New Roman" w:eastAsia="Book Antiqua" w:hAnsi="Times New Roman" w:cs="Times New Roman"/>
          <w:sz w:val="24"/>
          <w:szCs w:val="24"/>
          <w:lang w:val="en-GB"/>
        </w:rPr>
        <w:t>'s development during a placement [5].</w:t>
      </w:r>
    </w:p>
    <w:p w14:paraId="38B17273" w14:textId="0E1DF75D" w:rsidR="00B067F0" w:rsidRPr="00B067F0" w:rsidRDefault="48585CDC" w:rsidP="48585CDC">
      <w:pPr>
        <w:spacing w:line="360" w:lineRule="auto"/>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GB"/>
        </w:rPr>
        <w:t xml:space="preserve">The Mini-Clinical Evaluation Exercise, a workplace-based assessment instrument </w:t>
      </w:r>
      <w:r w:rsidR="00E663BD">
        <w:rPr>
          <w:rFonts w:ascii="Times New Roman" w:eastAsia="Book Antiqua" w:hAnsi="Times New Roman" w:cs="Times New Roman"/>
          <w:sz w:val="24"/>
          <w:szCs w:val="24"/>
          <w:lang w:val="en-GB"/>
        </w:rPr>
        <w:t>expressly</w:t>
      </w:r>
      <w:r w:rsidRPr="48585CDC">
        <w:rPr>
          <w:rFonts w:ascii="Times New Roman" w:eastAsia="Book Antiqua" w:hAnsi="Times New Roman" w:cs="Times New Roman"/>
          <w:sz w:val="24"/>
          <w:szCs w:val="24"/>
          <w:lang w:val="en-GB"/>
        </w:rPr>
        <w:t xml:space="preserve"> created to </w:t>
      </w:r>
      <w:r w:rsidR="00BD2D3E">
        <w:rPr>
          <w:rFonts w:ascii="Times New Roman" w:eastAsia="Book Antiqua" w:hAnsi="Times New Roman" w:cs="Times New Roman"/>
          <w:sz w:val="24"/>
          <w:szCs w:val="24"/>
          <w:lang w:val="en-GB"/>
        </w:rPr>
        <w:t>provide</w:t>
      </w:r>
      <w:r w:rsidRPr="48585CDC">
        <w:rPr>
          <w:rFonts w:ascii="Times New Roman" w:eastAsia="Book Antiqua" w:hAnsi="Times New Roman" w:cs="Times New Roman"/>
          <w:sz w:val="24"/>
          <w:szCs w:val="24"/>
          <w:lang w:val="en-GB"/>
        </w:rPr>
        <w:t xml:space="preserve"> feedback following an observation of a physician-patient clinical encounter, was published by Norcini et al. in 1995[20]. Since then, more than 50 </w:t>
      </w:r>
      <w:r w:rsidR="009A3092">
        <w:rPr>
          <w:rFonts w:ascii="Times New Roman" w:eastAsia="Book Antiqua" w:hAnsi="Times New Roman" w:cs="Times New Roman"/>
          <w:sz w:val="24"/>
          <w:szCs w:val="24"/>
          <w:lang w:val="en-GB"/>
        </w:rPr>
        <w:t xml:space="preserve">assessment </w:t>
      </w:r>
      <w:r w:rsidRPr="48585CDC">
        <w:rPr>
          <w:rFonts w:ascii="Times New Roman" w:eastAsia="Book Antiqua" w:hAnsi="Times New Roman" w:cs="Times New Roman"/>
          <w:sz w:val="24"/>
          <w:szCs w:val="24"/>
          <w:lang w:val="en-GB"/>
        </w:rPr>
        <w:t xml:space="preserve">tools have been created to </w:t>
      </w:r>
      <w:r w:rsidR="008B6CFF">
        <w:rPr>
          <w:rFonts w:ascii="Times New Roman" w:eastAsia="Book Antiqua" w:hAnsi="Times New Roman" w:cs="Times New Roman"/>
          <w:sz w:val="24"/>
          <w:szCs w:val="24"/>
          <w:lang w:val="en-GB"/>
        </w:rPr>
        <w:t>assess</w:t>
      </w:r>
      <w:r w:rsidRPr="48585CDC">
        <w:rPr>
          <w:rFonts w:ascii="Times New Roman" w:eastAsia="Book Antiqua" w:hAnsi="Times New Roman" w:cs="Times New Roman"/>
          <w:sz w:val="24"/>
          <w:szCs w:val="24"/>
          <w:lang w:val="en-GB"/>
        </w:rPr>
        <w:t xml:space="preserve"> </w:t>
      </w:r>
      <w:proofErr w:type="gramStart"/>
      <w:r w:rsidRPr="48585CDC">
        <w:rPr>
          <w:rFonts w:ascii="Times New Roman" w:eastAsia="Book Antiqua" w:hAnsi="Times New Roman" w:cs="Times New Roman"/>
          <w:sz w:val="24"/>
          <w:szCs w:val="24"/>
          <w:lang w:val="en-GB"/>
        </w:rPr>
        <w:t>particular facets</w:t>
      </w:r>
      <w:proofErr w:type="gramEnd"/>
      <w:r w:rsidRPr="48585CDC">
        <w:rPr>
          <w:rFonts w:ascii="Times New Roman" w:eastAsia="Book Antiqua" w:hAnsi="Times New Roman" w:cs="Times New Roman"/>
          <w:sz w:val="24"/>
          <w:szCs w:val="24"/>
          <w:lang w:val="en-GB"/>
        </w:rPr>
        <w:t xml:space="preserve"> of clinical practise, including instruments to evaluate clinical/</w:t>
      </w:r>
      <w:r w:rsidR="00DA066D">
        <w:rPr>
          <w:rFonts w:ascii="Times New Roman" w:eastAsia="Book Antiqua" w:hAnsi="Times New Roman" w:cs="Times New Roman"/>
          <w:sz w:val="24"/>
          <w:szCs w:val="24"/>
          <w:lang w:val="en-GB"/>
        </w:rPr>
        <w:t>practical</w:t>
      </w:r>
      <w:r w:rsidRPr="48585CDC">
        <w:rPr>
          <w:rFonts w:ascii="Times New Roman" w:eastAsia="Book Antiqua" w:hAnsi="Times New Roman" w:cs="Times New Roman"/>
          <w:sz w:val="24"/>
          <w:szCs w:val="24"/>
          <w:lang w:val="en-GB"/>
        </w:rPr>
        <w:t xml:space="preserve"> skills, clinical reasoning, and clinical behaviours. </w:t>
      </w:r>
      <w:proofErr w:type="gramStart"/>
      <w:r w:rsidRPr="48585CDC">
        <w:rPr>
          <w:rFonts w:ascii="Times New Roman" w:eastAsia="Book Antiqua" w:hAnsi="Times New Roman" w:cs="Times New Roman"/>
          <w:sz w:val="24"/>
          <w:szCs w:val="24"/>
          <w:lang w:val="en-GB"/>
        </w:rPr>
        <w:t>In order to</w:t>
      </w:r>
      <w:proofErr w:type="gramEnd"/>
      <w:r w:rsidRPr="48585CDC">
        <w:rPr>
          <w:rFonts w:ascii="Times New Roman" w:eastAsia="Book Antiqua" w:hAnsi="Times New Roman" w:cs="Times New Roman"/>
          <w:sz w:val="24"/>
          <w:szCs w:val="24"/>
          <w:lang w:val="en-GB"/>
        </w:rPr>
        <w:t xml:space="preserve"> explore the viability of using thorough workplace assessments across all medical specialties in the UK, Wilkinson et al. undertook a feasibility study. Between 2003 and 2004, from 17 specialties 230 </w:t>
      </w:r>
      <w:proofErr w:type="spellStart"/>
      <w:r w:rsidRPr="48585CDC">
        <w:rPr>
          <w:rFonts w:ascii="Times New Roman" w:eastAsia="Book Antiqua" w:hAnsi="Times New Roman" w:cs="Times New Roman"/>
          <w:sz w:val="24"/>
          <w:szCs w:val="24"/>
          <w:lang w:val="en-GB"/>
        </w:rPr>
        <w:t>SpRs</w:t>
      </w:r>
      <w:proofErr w:type="spellEnd"/>
      <w:r w:rsidRPr="48585CDC">
        <w:rPr>
          <w:rFonts w:ascii="Times New Roman" w:eastAsia="Book Antiqua" w:hAnsi="Times New Roman" w:cs="Times New Roman"/>
          <w:sz w:val="24"/>
          <w:szCs w:val="24"/>
          <w:lang w:val="en-GB"/>
        </w:rPr>
        <w:t xml:space="preserve"> participated at 58 UK hospitals. In this study, it took 25 minutes to finish the mini-CEX (including feedback) [21]. The DOPS required one-third more time for feedback than the length of the procedure being evaluated. Each Rater needed an average of 6 minutes to complete their MSF form. They also discovered that the techniques can reliably distinguish between the performances of different doctors and are practicable to use. They might be suitable for evaluating the performance of other doctor grades and specialties in the workplace with some adaptation. </w:t>
      </w:r>
    </w:p>
    <w:p w14:paraId="514922AB" w14:textId="77777777" w:rsidR="000D4098" w:rsidRDefault="48585CDC" w:rsidP="48585CDC">
      <w:pPr>
        <w:spacing w:line="360" w:lineRule="auto"/>
        <w:jc w:val="both"/>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GB"/>
        </w:rPr>
        <w:t>An assessment should have high reliability, validity, educational impact and acceptable to assessors and trainees and feasible.</w:t>
      </w:r>
    </w:p>
    <w:p w14:paraId="7DC3E677" w14:textId="5DA9D867" w:rsidR="000D4098" w:rsidRDefault="48585CDC" w:rsidP="48585CDC">
      <w:pPr>
        <w:spacing w:line="360" w:lineRule="auto"/>
        <w:rPr>
          <w:rFonts w:ascii="Times New Roman" w:eastAsia="Book Antiqua" w:hAnsi="Times New Roman" w:cs="Times New Roman"/>
          <w:sz w:val="24"/>
          <w:szCs w:val="24"/>
          <w:lang w:val="en-GB"/>
        </w:rPr>
      </w:pPr>
      <w:r w:rsidRPr="48585CDC">
        <w:rPr>
          <w:rFonts w:ascii="Times New Roman" w:eastAsia="Book Antiqua" w:hAnsi="Times New Roman" w:cs="Times New Roman"/>
          <w:i/>
          <w:iCs/>
          <w:sz w:val="24"/>
          <w:szCs w:val="24"/>
          <w:lang w:val="en-GB"/>
        </w:rPr>
        <w:t xml:space="preserve">Validity </w:t>
      </w:r>
      <w:r w:rsidR="003A27BD">
        <w:rPr>
          <w:rFonts w:ascii="Times New Roman" w:eastAsia="Book Antiqua" w:hAnsi="Times New Roman" w:cs="Times New Roman"/>
          <w:sz w:val="24"/>
          <w:szCs w:val="24"/>
          <w:lang w:val="en-GB"/>
        </w:rPr>
        <w:t>–</w:t>
      </w:r>
      <w:r w:rsidRPr="48585CDC">
        <w:rPr>
          <w:rFonts w:ascii="Times New Roman" w:eastAsia="Book Antiqua" w:hAnsi="Times New Roman" w:cs="Times New Roman"/>
          <w:sz w:val="24"/>
          <w:szCs w:val="24"/>
          <w:lang w:val="en-GB"/>
        </w:rPr>
        <w:t xml:space="preserve"> </w:t>
      </w:r>
      <w:r w:rsidR="00A1609F">
        <w:rPr>
          <w:rFonts w:ascii="Times New Roman" w:eastAsia="Book Antiqua" w:hAnsi="Times New Roman" w:cs="Times New Roman"/>
          <w:sz w:val="24"/>
          <w:szCs w:val="24"/>
          <w:lang w:val="en-GB"/>
        </w:rPr>
        <w:t>I</w:t>
      </w:r>
      <w:r w:rsidR="003A27BD">
        <w:rPr>
          <w:rFonts w:ascii="Times New Roman" w:eastAsia="Book Antiqua" w:hAnsi="Times New Roman" w:cs="Times New Roman"/>
          <w:sz w:val="24"/>
          <w:szCs w:val="24"/>
          <w:lang w:val="en-GB"/>
        </w:rPr>
        <w:t xml:space="preserve">t is the extent to which </w:t>
      </w:r>
      <w:proofErr w:type="gramStart"/>
      <w:r w:rsidR="00087927">
        <w:rPr>
          <w:rFonts w:ascii="Times New Roman" w:eastAsia="Book Antiqua" w:hAnsi="Times New Roman" w:cs="Times New Roman"/>
          <w:sz w:val="24"/>
          <w:szCs w:val="24"/>
          <w:lang w:val="en-GB"/>
        </w:rPr>
        <w:t>an  assess</w:t>
      </w:r>
      <w:r w:rsidR="00CB38DD">
        <w:rPr>
          <w:rFonts w:ascii="Times New Roman" w:eastAsia="Book Antiqua" w:hAnsi="Times New Roman" w:cs="Times New Roman"/>
          <w:sz w:val="24"/>
          <w:szCs w:val="24"/>
          <w:lang w:val="en-GB"/>
        </w:rPr>
        <w:t>ment</w:t>
      </w:r>
      <w:proofErr w:type="gramEnd"/>
      <w:r w:rsidR="00CB38DD">
        <w:rPr>
          <w:rFonts w:ascii="Times New Roman" w:eastAsia="Book Antiqua" w:hAnsi="Times New Roman" w:cs="Times New Roman"/>
          <w:sz w:val="24"/>
          <w:szCs w:val="24"/>
          <w:lang w:val="en-GB"/>
        </w:rPr>
        <w:t xml:space="preserve"> instrument measures what is supposed to measure</w:t>
      </w:r>
      <w:r w:rsidRPr="48585CDC">
        <w:rPr>
          <w:rFonts w:ascii="Times New Roman" w:eastAsia="Book Antiqua" w:hAnsi="Times New Roman" w:cs="Times New Roman"/>
          <w:sz w:val="24"/>
          <w:szCs w:val="24"/>
          <w:lang w:val="en-GB"/>
        </w:rPr>
        <w:t xml:space="preserve">. It is concerned with whether the appropriate evaluations are being made, how they are being made, and whether learning is being positively impacted. There are different varieties of validity. They are content, face, construct, predictive, and consequential validity. </w:t>
      </w:r>
    </w:p>
    <w:p w14:paraId="729B255B" w14:textId="77777777" w:rsidR="008D73A1" w:rsidRPr="008D73A1" w:rsidRDefault="48585CDC" w:rsidP="008D73A1">
      <w:pPr>
        <w:spacing w:line="360" w:lineRule="auto"/>
        <w:rPr>
          <w:rFonts w:ascii="Times New Roman" w:eastAsia="Times New Roman" w:hAnsi="Times New Roman" w:cs="Times New Roman"/>
          <w:sz w:val="24"/>
          <w:szCs w:val="24"/>
        </w:rPr>
      </w:pPr>
      <w:r w:rsidRPr="48585CDC">
        <w:rPr>
          <w:rFonts w:ascii="Times New Roman" w:eastAsia="Book Antiqua" w:hAnsi="Times New Roman" w:cs="Times New Roman"/>
          <w:i/>
          <w:iCs/>
          <w:sz w:val="24"/>
          <w:szCs w:val="24"/>
          <w:lang w:val="en-GB"/>
        </w:rPr>
        <w:t>Content validity</w:t>
      </w:r>
      <w:r w:rsidRPr="48585CDC">
        <w:rPr>
          <w:rFonts w:ascii="Times New Roman" w:eastAsia="Book Antiqua" w:hAnsi="Times New Roman" w:cs="Times New Roman"/>
          <w:sz w:val="24"/>
          <w:szCs w:val="24"/>
          <w:lang w:val="en-GB"/>
        </w:rPr>
        <w:t xml:space="preserve"> - </w:t>
      </w:r>
      <w:r w:rsidR="008D73A1" w:rsidRPr="008D73A1">
        <w:rPr>
          <w:rFonts w:ascii="Times New Roman" w:eastAsia="Book Antiqua" w:hAnsi="Times New Roman" w:cs="Times New Roman"/>
          <w:sz w:val="24"/>
          <w:szCs w:val="24"/>
          <w:lang w:val="en-GB"/>
        </w:rPr>
        <w:t xml:space="preserve">If every component of an assessment aligns with the competencies (knowledge, skills, or </w:t>
      </w:r>
      <w:proofErr w:type="spellStart"/>
      <w:r w:rsidR="008D73A1" w:rsidRPr="008D73A1">
        <w:rPr>
          <w:rFonts w:ascii="Times New Roman" w:eastAsia="Book Antiqua" w:hAnsi="Times New Roman" w:cs="Times New Roman"/>
          <w:sz w:val="24"/>
          <w:szCs w:val="24"/>
          <w:lang w:val="en-GB"/>
        </w:rPr>
        <w:t>behaviors</w:t>
      </w:r>
      <w:proofErr w:type="spellEnd"/>
      <w:r w:rsidR="008D73A1" w:rsidRPr="008D73A1">
        <w:rPr>
          <w:rFonts w:ascii="Times New Roman" w:eastAsia="Book Antiqua" w:hAnsi="Times New Roman" w:cs="Times New Roman"/>
          <w:sz w:val="24"/>
          <w:szCs w:val="24"/>
          <w:lang w:val="en-GB"/>
        </w:rPr>
        <w:t>) that it is intended to evaluate, then the assessment has content validity</w:t>
      </w:r>
      <w:r w:rsidR="008D73A1" w:rsidRPr="008D73A1">
        <w:rPr>
          <w:rFonts w:ascii="-webkit-standard" w:eastAsia="Times New Roman" w:hAnsi="-webkit-standard" w:cs="Times New Roman"/>
          <w:color w:val="000000"/>
          <w:sz w:val="27"/>
          <w:szCs w:val="27"/>
        </w:rPr>
        <w:t>.</w:t>
      </w:r>
    </w:p>
    <w:p w14:paraId="2A505559" w14:textId="44F51071" w:rsidR="00616C51" w:rsidRPr="00616C51" w:rsidRDefault="48585CDC" w:rsidP="48585CDC">
      <w:pPr>
        <w:spacing w:line="360" w:lineRule="auto"/>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GB"/>
        </w:rPr>
        <w:t>.</w:t>
      </w:r>
    </w:p>
    <w:p w14:paraId="5F6D5618" w14:textId="655E15F4" w:rsidR="000D4098" w:rsidRDefault="48585CDC" w:rsidP="48585CDC">
      <w:pPr>
        <w:spacing w:line="360" w:lineRule="auto"/>
        <w:jc w:val="both"/>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GB"/>
        </w:rPr>
        <w:lastRenderedPageBreak/>
        <w:t xml:space="preserve"> </w:t>
      </w:r>
    </w:p>
    <w:p w14:paraId="0DC24523" w14:textId="552CE889" w:rsidR="004608BA" w:rsidRPr="004608BA" w:rsidRDefault="48585CDC" w:rsidP="48585CDC">
      <w:pPr>
        <w:spacing w:line="360" w:lineRule="auto"/>
        <w:jc w:val="both"/>
        <w:rPr>
          <w:rFonts w:ascii="Times New Roman" w:eastAsia="Book Antiqua" w:hAnsi="Times New Roman" w:cs="Times New Roman"/>
          <w:sz w:val="24"/>
          <w:szCs w:val="24"/>
          <w:lang w:val="en-GB"/>
        </w:rPr>
      </w:pPr>
      <w:r w:rsidRPr="48585CDC">
        <w:rPr>
          <w:rFonts w:ascii="Times New Roman" w:eastAsia="Book Antiqua" w:hAnsi="Times New Roman" w:cs="Times New Roman"/>
          <w:i/>
          <w:iCs/>
          <w:sz w:val="24"/>
          <w:szCs w:val="24"/>
          <w:lang w:val="en-GB"/>
        </w:rPr>
        <w:t xml:space="preserve">Face validity- </w:t>
      </w:r>
      <w:r w:rsidRPr="48585CDC">
        <w:rPr>
          <w:rFonts w:ascii="Times New Roman" w:eastAsia="Book Antiqua" w:hAnsi="Times New Roman" w:cs="Times New Roman"/>
          <w:sz w:val="24"/>
          <w:szCs w:val="24"/>
          <w:lang w:val="en-GB"/>
        </w:rPr>
        <w:t xml:space="preserve">Content validity and face validity are connected. It is explained from the assessor's point of view. The evaluation has good face validity if the assessor believes it to have a high level of validity. </w:t>
      </w:r>
    </w:p>
    <w:p w14:paraId="32FED15C" w14:textId="30DA5657" w:rsidR="000D4098" w:rsidRPr="00A93494" w:rsidRDefault="48585CDC" w:rsidP="00A93494">
      <w:pPr>
        <w:spacing w:line="360" w:lineRule="auto"/>
        <w:rPr>
          <w:rFonts w:ascii="Times New Roman" w:eastAsia="Times New Roman" w:hAnsi="Times New Roman" w:cs="Times New Roman"/>
          <w:sz w:val="24"/>
          <w:szCs w:val="24"/>
        </w:rPr>
      </w:pPr>
      <w:r w:rsidRPr="48585CDC">
        <w:rPr>
          <w:rFonts w:ascii="Times New Roman" w:eastAsia="Book Antiqua" w:hAnsi="Times New Roman" w:cs="Times New Roman"/>
          <w:i/>
          <w:iCs/>
          <w:sz w:val="24"/>
          <w:szCs w:val="24"/>
          <w:lang w:val="en-GB"/>
        </w:rPr>
        <w:t>Construct validity</w:t>
      </w:r>
      <w:r w:rsidRPr="48585CDC">
        <w:rPr>
          <w:rFonts w:ascii="Times New Roman" w:eastAsia="Book Antiqua" w:hAnsi="Times New Roman" w:cs="Times New Roman"/>
          <w:sz w:val="24"/>
          <w:szCs w:val="24"/>
          <w:lang w:val="en-GB"/>
        </w:rPr>
        <w:t xml:space="preserve">- </w:t>
      </w:r>
      <w:r w:rsidR="00A93494" w:rsidRPr="00A93494">
        <w:rPr>
          <w:rFonts w:ascii="Times New Roman" w:eastAsia="Times New Roman" w:hAnsi="Times New Roman" w:cs="Times New Roman"/>
          <w:color w:val="000000"/>
          <w:sz w:val="24"/>
          <w:szCs w:val="24"/>
        </w:rPr>
        <w:t>The degree to which an assessment's multiple facets, including the various subcomponents, test the underlying professional constructs is termed as construct validity.</w:t>
      </w:r>
      <w:r w:rsidR="00A93494" w:rsidRPr="00A93494">
        <w:rPr>
          <w:rFonts w:ascii="-webkit-standard" w:eastAsia="Times New Roman" w:hAnsi="-webkit-standard" w:cs="Times New Roman"/>
          <w:color w:val="000000"/>
          <w:sz w:val="27"/>
          <w:szCs w:val="27"/>
        </w:rPr>
        <w:t> </w:t>
      </w:r>
    </w:p>
    <w:p w14:paraId="74B28A91" w14:textId="68DC7E61" w:rsidR="000D4098" w:rsidRDefault="48585CDC" w:rsidP="48585CDC">
      <w:pPr>
        <w:spacing w:line="360" w:lineRule="auto"/>
        <w:jc w:val="both"/>
        <w:rPr>
          <w:rFonts w:ascii="Times New Roman" w:eastAsia="Book Antiqua" w:hAnsi="Times New Roman" w:cs="Times New Roman"/>
          <w:sz w:val="24"/>
          <w:szCs w:val="24"/>
          <w:lang w:val="en-GB"/>
        </w:rPr>
      </w:pPr>
      <w:r w:rsidRPr="48585CDC">
        <w:rPr>
          <w:rFonts w:ascii="Times New Roman" w:eastAsia="Book Antiqua" w:hAnsi="Times New Roman" w:cs="Times New Roman"/>
          <w:i/>
          <w:iCs/>
          <w:sz w:val="24"/>
          <w:szCs w:val="24"/>
          <w:lang w:val="en-GB"/>
        </w:rPr>
        <w:t>Predictive validity</w:t>
      </w:r>
      <w:r w:rsidRPr="48585CDC">
        <w:rPr>
          <w:rFonts w:ascii="Times New Roman" w:eastAsia="Book Antiqua" w:hAnsi="Times New Roman" w:cs="Times New Roman"/>
          <w:sz w:val="24"/>
          <w:szCs w:val="24"/>
          <w:lang w:val="en-GB"/>
        </w:rPr>
        <w:t xml:space="preserve"> - The degree to which an evaluation predicts anticipated results is referred to as predictive validity. </w:t>
      </w:r>
    </w:p>
    <w:p w14:paraId="39FAE96E" w14:textId="4263514F" w:rsidR="00772A37" w:rsidRPr="004608BA" w:rsidRDefault="48585CDC" w:rsidP="48585CDC">
      <w:pPr>
        <w:spacing w:line="360" w:lineRule="auto"/>
        <w:jc w:val="both"/>
        <w:rPr>
          <w:rFonts w:ascii="Times New Roman" w:eastAsia="Book Antiqua" w:hAnsi="Times New Roman" w:cs="Times New Roman"/>
          <w:sz w:val="24"/>
          <w:szCs w:val="24"/>
          <w:lang w:val="en-GB"/>
        </w:rPr>
      </w:pPr>
      <w:r w:rsidRPr="48585CDC">
        <w:rPr>
          <w:rFonts w:ascii="Times New Roman" w:eastAsia="Book Antiqua" w:hAnsi="Times New Roman" w:cs="Times New Roman"/>
          <w:i/>
          <w:iCs/>
          <w:sz w:val="24"/>
          <w:szCs w:val="24"/>
          <w:lang w:val="en-GB"/>
        </w:rPr>
        <w:t>Consequential validity (educational impact)</w:t>
      </w:r>
      <w:r w:rsidRPr="48585CDC">
        <w:rPr>
          <w:rFonts w:ascii="Times New Roman" w:eastAsia="Book Antiqua" w:hAnsi="Times New Roman" w:cs="Times New Roman"/>
          <w:sz w:val="24"/>
          <w:szCs w:val="24"/>
          <w:lang w:val="en-GB"/>
        </w:rPr>
        <w:t xml:space="preserve">- The </w:t>
      </w:r>
      <w:r w:rsidR="00301F01">
        <w:rPr>
          <w:rFonts w:ascii="Times New Roman" w:eastAsia="Book Antiqua" w:hAnsi="Times New Roman" w:cs="Times New Roman"/>
          <w:sz w:val="24"/>
          <w:szCs w:val="24"/>
          <w:lang w:val="en-GB"/>
        </w:rPr>
        <w:t>effect</w:t>
      </w:r>
      <w:r w:rsidRPr="48585CDC">
        <w:rPr>
          <w:rFonts w:ascii="Times New Roman" w:eastAsia="Book Antiqua" w:hAnsi="Times New Roman" w:cs="Times New Roman"/>
          <w:sz w:val="24"/>
          <w:szCs w:val="24"/>
          <w:lang w:val="en-GB"/>
        </w:rPr>
        <w:t xml:space="preserve"> of an evaluation on learning is </w:t>
      </w:r>
      <w:r w:rsidR="0060079A">
        <w:rPr>
          <w:rFonts w:ascii="Times New Roman" w:eastAsia="Book Antiqua" w:hAnsi="Times New Roman" w:cs="Times New Roman"/>
          <w:sz w:val="24"/>
          <w:szCs w:val="24"/>
          <w:lang w:val="en-GB"/>
        </w:rPr>
        <w:t>indicated as</w:t>
      </w:r>
      <w:r w:rsidRPr="48585CDC">
        <w:rPr>
          <w:rFonts w:ascii="Times New Roman" w:eastAsia="Book Antiqua" w:hAnsi="Times New Roman" w:cs="Times New Roman"/>
          <w:sz w:val="24"/>
          <w:szCs w:val="24"/>
          <w:lang w:val="en-GB"/>
        </w:rPr>
        <w:t xml:space="preserve"> consequential validity (educational impact) [5]. </w:t>
      </w:r>
    </w:p>
    <w:p w14:paraId="005814FB" w14:textId="77777777" w:rsidR="000D4098" w:rsidRDefault="000D4098" w:rsidP="48585CDC">
      <w:pPr>
        <w:spacing w:line="360" w:lineRule="auto"/>
        <w:jc w:val="both"/>
        <w:rPr>
          <w:rFonts w:ascii="Times New Roman" w:eastAsia="Book Antiqua" w:hAnsi="Times New Roman" w:cs="Times New Roman"/>
          <w:sz w:val="24"/>
          <w:szCs w:val="24"/>
          <w:lang w:val="en-GB"/>
        </w:rPr>
      </w:pPr>
    </w:p>
    <w:p w14:paraId="2C1790AE" w14:textId="77777777" w:rsidR="00F95C5C" w:rsidRPr="002E746E" w:rsidRDefault="48585CDC" w:rsidP="002E746E">
      <w:pPr>
        <w:spacing w:line="360" w:lineRule="auto"/>
        <w:rPr>
          <w:rFonts w:ascii="Times New Roman" w:eastAsia="Times New Roman" w:hAnsi="Times New Roman" w:cs="Times New Roman"/>
          <w:sz w:val="24"/>
          <w:szCs w:val="24"/>
        </w:rPr>
      </w:pPr>
      <w:r w:rsidRPr="002E746E">
        <w:rPr>
          <w:rFonts w:ascii="Times New Roman" w:eastAsia="Book Antiqua" w:hAnsi="Times New Roman" w:cs="Times New Roman"/>
          <w:sz w:val="24"/>
          <w:szCs w:val="24"/>
          <w:lang w:val="en-GB"/>
        </w:rPr>
        <w:t xml:space="preserve">Rasmussen </w:t>
      </w:r>
      <w:r w:rsidR="003370CC" w:rsidRPr="002E746E">
        <w:rPr>
          <w:rFonts w:ascii="Times New Roman" w:eastAsia="Book Antiqua" w:hAnsi="Times New Roman" w:cs="Times New Roman"/>
          <w:sz w:val="24"/>
          <w:szCs w:val="24"/>
          <w:lang w:val="en-GB"/>
        </w:rPr>
        <w:t>brought forward</w:t>
      </w:r>
      <w:r w:rsidRPr="002E746E">
        <w:rPr>
          <w:rFonts w:ascii="Times New Roman" w:eastAsia="Book Antiqua" w:hAnsi="Times New Roman" w:cs="Times New Roman"/>
          <w:sz w:val="24"/>
          <w:szCs w:val="24"/>
          <w:lang w:val="en-GB"/>
        </w:rPr>
        <w:t xml:space="preserve"> that </w:t>
      </w:r>
      <w:r w:rsidRPr="002E746E">
        <w:rPr>
          <w:rFonts w:ascii="Times New Roman" w:eastAsia="Book Antiqua" w:hAnsi="Times New Roman" w:cs="Times New Roman"/>
          <w:sz w:val="24"/>
          <w:szCs w:val="24"/>
        </w:rPr>
        <w:t xml:space="preserve">the first stage in practical learning is the acquisition of skills and that should be competent in these skills before the full knowledge relating to the skill has been acquired. The skills can then be applied by students using a series of rules. He theorises that with time the practical experience </w:t>
      </w:r>
      <w:r w:rsidR="00337497" w:rsidRPr="002E746E">
        <w:rPr>
          <w:rFonts w:ascii="Times New Roman" w:eastAsia="Book Antiqua" w:hAnsi="Times New Roman" w:cs="Times New Roman"/>
          <w:sz w:val="24"/>
          <w:szCs w:val="24"/>
        </w:rPr>
        <w:t>improves</w:t>
      </w:r>
      <w:r w:rsidRPr="002E746E">
        <w:rPr>
          <w:rFonts w:ascii="Times New Roman" w:eastAsia="Book Antiqua" w:hAnsi="Times New Roman" w:cs="Times New Roman"/>
          <w:sz w:val="24"/>
          <w:szCs w:val="24"/>
        </w:rPr>
        <w:t xml:space="preserve"> and is augmented with knowledge. </w:t>
      </w:r>
      <w:r w:rsidR="00F95C5C" w:rsidRPr="002E746E">
        <w:rPr>
          <w:rFonts w:ascii="Times New Roman" w:eastAsia="Times New Roman" w:hAnsi="Times New Roman" w:cs="Times New Roman"/>
          <w:color w:val="000000"/>
          <w:sz w:val="24"/>
          <w:szCs w:val="24"/>
        </w:rPr>
        <w:t>It would be ideal for the student to finally advance to the highest possible level of "knowledge-based practice." </w:t>
      </w:r>
    </w:p>
    <w:p w14:paraId="4E2983A7" w14:textId="1A93CDFF" w:rsidR="000D4098" w:rsidRPr="002E746E" w:rsidRDefault="00981EF7" w:rsidP="002E746E">
      <w:pPr>
        <w:spacing w:line="360" w:lineRule="auto"/>
        <w:rPr>
          <w:rFonts w:ascii="Times New Roman" w:eastAsia="Times New Roman" w:hAnsi="Times New Roman" w:cs="Times New Roman"/>
          <w:sz w:val="24"/>
          <w:szCs w:val="24"/>
        </w:rPr>
      </w:pPr>
      <w:r w:rsidRPr="00981EF7">
        <w:rPr>
          <w:rFonts w:ascii="Times New Roman" w:eastAsia="Times New Roman" w:hAnsi="Times New Roman" w:cs="Times New Roman"/>
          <w:color w:val="000000"/>
          <w:sz w:val="24"/>
          <w:szCs w:val="24"/>
        </w:rPr>
        <w:t>Current literature discusses Rasmussen's theories, and Long cites this notion as the foundation for competency-based training in medicine, which was introduced more recently. Rasmussen's concept is more relevant to procedural specialties than to medical practice, where practical techniques are used seldom</w:t>
      </w:r>
      <w:r w:rsidR="48585CDC" w:rsidRPr="002E746E">
        <w:rPr>
          <w:rFonts w:ascii="Times New Roman" w:eastAsia="Book Antiqua" w:hAnsi="Times New Roman" w:cs="Times New Roman"/>
          <w:sz w:val="24"/>
          <w:szCs w:val="24"/>
        </w:rPr>
        <w:t xml:space="preserve">[22]. </w:t>
      </w:r>
    </w:p>
    <w:p w14:paraId="29AC71ED" w14:textId="75D69BB9" w:rsidR="000D4098" w:rsidRPr="002E746E" w:rsidRDefault="0014124D" w:rsidP="002E746E">
      <w:pPr>
        <w:spacing w:line="360" w:lineRule="auto"/>
        <w:rPr>
          <w:rFonts w:ascii="Times New Roman" w:eastAsia="Times New Roman" w:hAnsi="Times New Roman" w:cs="Times New Roman"/>
          <w:sz w:val="24"/>
          <w:szCs w:val="24"/>
        </w:rPr>
      </w:pPr>
      <w:r w:rsidRPr="0014124D">
        <w:rPr>
          <w:rFonts w:ascii="Times New Roman" w:eastAsia="Times New Roman" w:hAnsi="Times New Roman" w:cs="Times New Roman"/>
          <w:color w:val="000000"/>
          <w:sz w:val="24"/>
          <w:szCs w:val="24"/>
        </w:rPr>
        <w:t>Different models have been proposed out in order to study clinical medicine. Initially, Dreyfus and Dreyfus created a five-stage model to explain how a pilot's abilities and expertise grow. In a recent study, they try to broaden this model to include certain elements of "performance" and the development of clinical competencies in medicine.</w:t>
      </w:r>
      <w:r w:rsidR="002E746E">
        <w:rPr>
          <w:rFonts w:ascii="Times New Roman" w:eastAsia="Times New Roman" w:hAnsi="Times New Roman" w:cs="Times New Roman"/>
          <w:color w:val="000000"/>
          <w:sz w:val="24"/>
          <w:szCs w:val="24"/>
        </w:rPr>
        <w:t xml:space="preserve"> </w:t>
      </w:r>
      <w:r w:rsidR="48585CDC" w:rsidRPr="002E746E">
        <w:rPr>
          <w:rFonts w:ascii="Times New Roman" w:eastAsia="Book Antiqua" w:hAnsi="Times New Roman" w:cs="Times New Roman"/>
          <w:sz w:val="24"/>
          <w:szCs w:val="24"/>
        </w:rPr>
        <w:t>Dreyfus stages applied to clinical medicine are as follows.</w:t>
      </w:r>
    </w:p>
    <w:p w14:paraId="579B4D6A" w14:textId="77777777" w:rsidR="000D4098" w:rsidRDefault="48585CDC" w:rsidP="48585CDC">
      <w:pPr>
        <w:pStyle w:val="NormalWeb"/>
        <w:spacing w:before="0" w:beforeAutospacing="0" w:after="0" w:afterAutospacing="0" w:line="360" w:lineRule="auto"/>
        <w:jc w:val="both"/>
        <w:rPr>
          <w:rFonts w:eastAsia="Book Antiqua"/>
        </w:rPr>
      </w:pPr>
      <w:r w:rsidRPr="48585CDC">
        <w:rPr>
          <w:rFonts w:eastAsia="Book Antiqua"/>
        </w:rPr>
        <w:t>Stage 1—novice (medical student)</w:t>
      </w:r>
    </w:p>
    <w:p w14:paraId="7BF5BDCF" w14:textId="77777777" w:rsidR="000D4098" w:rsidRDefault="48585CDC" w:rsidP="48585CDC">
      <w:pPr>
        <w:pStyle w:val="NormalWeb"/>
        <w:spacing w:before="0" w:beforeAutospacing="0" w:after="0" w:afterAutospacing="0" w:line="360" w:lineRule="auto"/>
        <w:jc w:val="both"/>
        <w:rPr>
          <w:rFonts w:eastAsia="Book Antiqua"/>
        </w:rPr>
      </w:pPr>
      <w:r w:rsidRPr="48585CDC">
        <w:rPr>
          <w:rFonts w:eastAsia="Book Antiqua"/>
        </w:rPr>
        <w:t>Stage 2—advanced beginner (house officer or SHO)</w:t>
      </w:r>
    </w:p>
    <w:p w14:paraId="1D7FBA64" w14:textId="77777777" w:rsidR="000D4098" w:rsidRDefault="48585CDC" w:rsidP="48585CDC">
      <w:pPr>
        <w:pStyle w:val="NormalWeb"/>
        <w:spacing w:before="0" w:beforeAutospacing="0" w:after="0" w:afterAutospacing="0" w:line="360" w:lineRule="auto"/>
        <w:jc w:val="both"/>
        <w:rPr>
          <w:rFonts w:eastAsia="Book Antiqua"/>
        </w:rPr>
      </w:pPr>
      <w:r w:rsidRPr="48585CDC">
        <w:rPr>
          <w:rFonts w:eastAsia="Book Antiqua"/>
        </w:rPr>
        <w:t>Stage 3—competent (registrar)</w:t>
      </w:r>
    </w:p>
    <w:p w14:paraId="481E6279" w14:textId="77777777" w:rsidR="000D4098" w:rsidRDefault="48585CDC" w:rsidP="48585CDC">
      <w:pPr>
        <w:pStyle w:val="NormalWeb"/>
        <w:spacing w:before="0" w:beforeAutospacing="0" w:after="0" w:afterAutospacing="0" w:line="360" w:lineRule="auto"/>
        <w:jc w:val="both"/>
        <w:rPr>
          <w:rFonts w:eastAsia="Book Antiqua"/>
        </w:rPr>
      </w:pPr>
      <w:r w:rsidRPr="48585CDC">
        <w:rPr>
          <w:rFonts w:eastAsia="Book Antiqua"/>
        </w:rPr>
        <w:t>Stage 4—proficient (newly appointed consultant)</w:t>
      </w:r>
    </w:p>
    <w:p w14:paraId="50B4951F" w14:textId="77777777" w:rsidR="000D4098" w:rsidRDefault="48585CDC" w:rsidP="48585CDC">
      <w:pPr>
        <w:pStyle w:val="NormalWeb"/>
        <w:spacing w:before="0" w:beforeAutospacing="0" w:after="0" w:afterAutospacing="0" w:line="360" w:lineRule="auto"/>
        <w:jc w:val="both"/>
        <w:rPr>
          <w:rFonts w:eastAsia="Book Antiqua"/>
        </w:rPr>
      </w:pPr>
      <w:r w:rsidRPr="48585CDC">
        <w:rPr>
          <w:rFonts w:eastAsia="Book Antiqua"/>
        </w:rPr>
        <w:t>Stage 5—expert (mid-career physician)</w:t>
      </w:r>
    </w:p>
    <w:p w14:paraId="54658A26" w14:textId="070A3835" w:rsidR="00A34EFD" w:rsidRPr="00A34EFD" w:rsidRDefault="00640414" w:rsidP="00A34EFD">
      <w:pPr>
        <w:pStyle w:val="NormalWeb"/>
        <w:spacing w:before="0" w:beforeAutospacing="0" w:after="0" w:afterAutospacing="0" w:line="360" w:lineRule="auto"/>
        <w:jc w:val="both"/>
        <w:rPr>
          <w:rFonts w:eastAsia="Book Antiqua"/>
        </w:rPr>
      </w:pPr>
      <w:r>
        <w:rPr>
          <w:rFonts w:eastAsia="Book Antiqua"/>
        </w:rPr>
        <w:t>A</w:t>
      </w:r>
      <w:r w:rsidR="00144513">
        <w:rPr>
          <w:rFonts w:eastAsia="Book Antiqua"/>
        </w:rPr>
        <w:t>ccording</w:t>
      </w:r>
      <w:r>
        <w:rPr>
          <w:rFonts w:eastAsia="Book Antiqua"/>
        </w:rPr>
        <w:t xml:space="preserve"> to this, student </w:t>
      </w:r>
      <w:r w:rsidR="48585CDC" w:rsidRPr="48585CDC">
        <w:rPr>
          <w:rFonts w:eastAsia="Book Antiqua"/>
        </w:rPr>
        <w:t xml:space="preserve">Learns basics of </w:t>
      </w:r>
      <w:r>
        <w:rPr>
          <w:rFonts w:eastAsia="Book Antiqua"/>
        </w:rPr>
        <w:t>clinical</w:t>
      </w:r>
      <w:r w:rsidR="48585CDC" w:rsidRPr="48585CDC">
        <w:rPr>
          <w:rFonts w:eastAsia="Book Antiqua"/>
        </w:rPr>
        <w:t xml:space="preserve"> examination</w:t>
      </w:r>
      <w:r>
        <w:rPr>
          <w:rFonts w:eastAsia="Book Antiqua"/>
        </w:rPr>
        <w:t>,</w:t>
      </w:r>
      <w:r w:rsidR="00A34EFD">
        <w:rPr>
          <w:rFonts w:eastAsia="Book Antiqua"/>
        </w:rPr>
        <w:t xml:space="preserve"> clinical skills</w:t>
      </w:r>
      <w:r w:rsidR="00F34618">
        <w:rPr>
          <w:rFonts w:eastAsia="Book Antiqua"/>
        </w:rPr>
        <w:t xml:space="preserve"> and </w:t>
      </w:r>
      <w:r>
        <w:rPr>
          <w:rFonts w:eastAsia="Book Antiqua"/>
        </w:rPr>
        <w:t xml:space="preserve"> </w:t>
      </w:r>
      <w:r w:rsidR="00A34EFD">
        <w:rPr>
          <w:rFonts w:eastAsia="Book Antiqua"/>
        </w:rPr>
        <w:t xml:space="preserve"> slowly </w:t>
      </w:r>
      <w:r w:rsidR="00A34EFD" w:rsidRPr="00A34EFD">
        <w:rPr>
          <w:rFonts w:eastAsia="Times New Roman"/>
          <w:color w:val="000000"/>
        </w:rPr>
        <w:t xml:space="preserve">learns how to use abilities in specific clinical scenarios that depend more and more on the </w:t>
      </w:r>
      <w:r w:rsidR="00A34EFD" w:rsidRPr="00A34EFD">
        <w:rPr>
          <w:rFonts w:eastAsia="Times New Roman"/>
          <w:color w:val="000000"/>
        </w:rPr>
        <w:lastRenderedPageBreak/>
        <w:t>circumstances—such as hospital admissions, rounds, etc.—allowing for experience-based learning.</w:t>
      </w:r>
      <w:r w:rsidR="00F34618">
        <w:rPr>
          <w:rFonts w:eastAsia="Times New Roman"/>
          <w:color w:val="000000"/>
        </w:rPr>
        <w:t xml:space="preserve"> </w:t>
      </w:r>
      <w:r w:rsidR="002654E0">
        <w:rPr>
          <w:rFonts w:eastAsia="Times New Roman"/>
          <w:color w:val="000000"/>
        </w:rPr>
        <w:t xml:space="preserve">And learns treatment </w:t>
      </w:r>
      <w:r w:rsidR="00B07C86">
        <w:rPr>
          <w:rFonts w:eastAsia="Times New Roman"/>
          <w:color w:val="000000"/>
        </w:rPr>
        <w:t xml:space="preserve">approach to patient’s condition under supervision </w:t>
      </w:r>
      <w:r w:rsidR="004F74CB">
        <w:rPr>
          <w:rFonts w:eastAsia="Times New Roman"/>
          <w:color w:val="000000"/>
        </w:rPr>
        <w:t>and finally</w:t>
      </w:r>
    </w:p>
    <w:p w14:paraId="439C18B5" w14:textId="1019A5C0" w:rsidR="000D4098" w:rsidRDefault="004F74CB" w:rsidP="48585CDC">
      <w:pPr>
        <w:pStyle w:val="NormalWeb"/>
        <w:spacing w:before="0" w:beforeAutospacing="0" w:after="0" w:afterAutospacing="0" w:line="360" w:lineRule="auto"/>
        <w:jc w:val="both"/>
        <w:rPr>
          <w:rFonts w:eastAsia="Book Antiqua"/>
        </w:rPr>
      </w:pPr>
      <w:r>
        <w:rPr>
          <w:rFonts w:eastAsia="Book Antiqua"/>
        </w:rPr>
        <w:t>d</w:t>
      </w:r>
      <w:r w:rsidR="48585CDC" w:rsidRPr="48585CDC">
        <w:rPr>
          <w:rFonts w:eastAsia="Book Antiqua"/>
        </w:rPr>
        <w:t xml:space="preserve">evelops routines to streamline patient care. Manages multiple </w:t>
      </w:r>
      <w:r>
        <w:rPr>
          <w:rFonts w:eastAsia="Book Antiqua"/>
        </w:rPr>
        <w:t>situations</w:t>
      </w:r>
      <w:r w:rsidR="48585CDC" w:rsidRPr="48585CDC">
        <w:rPr>
          <w:rFonts w:eastAsia="Book Antiqua"/>
        </w:rPr>
        <w:t xml:space="preserve"> in a thoughtful way which is intellectually and emotionally absorbing</w:t>
      </w:r>
      <w:r w:rsidR="005876A7">
        <w:rPr>
          <w:rFonts w:eastAsia="Book Antiqua"/>
        </w:rPr>
        <w:t xml:space="preserve"> and i</w:t>
      </w:r>
      <w:r w:rsidR="48585CDC" w:rsidRPr="48585CDC">
        <w:rPr>
          <w:rFonts w:eastAsia="Book Antiqua"/>
        </w:rPr>
        <w:t>ntegrates mastered skills with personal style.</w:t>
      </w:r>
    </w:p>
    <w:p w14:paraId="5C72CCCC" w14:textId="22182C9B" w:rsidR="00EF7E9D" w:rsidRPr="00EF7E9D" w:rsidRDefault="00EF7E9D" w:rsidP="00EF7E9D">
      <w:pPr>
        <w:spacing w:line="360" w:lineRule="auto"/>
        <w:rPr>
          <w:rFonts w:ascii="Times New Roman" w:eastAsia="Times New Roman" w:hAnsi="Times New Roman" w:cs="Times New Roman"/>
          <w:sz w:val="24"/>
          <w:szCs w:val="24"/>
        </w:rPr>
      </w:pPr>
      <w:r w:rsidRPr="00EF7E9D">
        <w:rPr>
          <w:rFonts w:ascii="Times New Roman" w:eastAsia="Times New Roman" w:hAnsi="Times New Roman" w:cs="Times New Roman"/>
          <w:color w:val="000000"/>
          <w:sz w:val="24"/>
          <w:szCs w:val="24"/>
        </w:rPr>
        <w:t xml:space="preserve">Miller proposed a more practical approach in his famous triangle. According to him, there are four stages of development: "knows, knows how, shows how, and does." These are the </w:t>
      </w:r>
      <w:proofErr w:type="spellStart"/>
      <w:r w:rsidRPr="00EF7E9D">
        <w:rPr>
          <w:rFonts w:ascii="Times New Roman" w:eastAsia="Times New Roman" w:hAnsi="Times New Roman" w:cs="Times New Roman"/>
          <w:color w:val="000000"/>
          <w:sz w:val="24"/>
          <w:szCs w:val="24"/>
        </w:rPr>
        <w:t>behavioral</w:t>
      </w:r>
      <w:proofErr w:type="spellEnd"/>
      <w:r w:rsidRPr="00EF7E9D">
        <w:rPr>
          <w:rFonts w:ascii="Times New Roman" w:eastAsia="Times New Roman" w:hAnsi="Times New Roman" w:cs="Times New Roman"/>
          <w:color w:val="000000"/>
          <w:sz w:val="24"/>
          <w:szCs w:val="24"/>
        </w:rPr>
        <w:t xml:space="preserve"> and cognitive phases that a person undergoes once they progress from learning something to actually doing it. Clinical performance may be influenced by numerous additional aspects in clinical practice. </w:t>
      </w:r>
    </w:p>
    <w:p w14:paraId="566CA7C7" w14:textId="39D24636" w:rsidR="000D4098" w:rsidRDefault="48585CDC" w:rsidP="48585CDC">
      <w:pPr>
        <w:pStyle w:val="NormalWeb"/>
        <w:spacing w:before="0" w:beforeAutospacing="0" w:after="0" w:afterAutospacing="0" w:line="360" w:lineRule="auto"/>
        <w:jc w:val="both"/>
        <w:rPr>
          <w:rFonts w:eastAsia="Book Antiqua"/>
        </w:rPr>
      </w:pPr>
      <w:r w:rsidRPr="48585CDC">
        <w:rPr>
          <w:rFonts w:eastAsia="Book Antiqua"/>
        </w:rPr>
        <w:t xml:space="preserve">Knowing and showing does not mean that a </w:t>
      </w:r>
      <w:r w:rsidR="0081463F">
        <w:rPr>
          <w:rFonts w:eastAsia="Book Antiqua"/>
        </w:rPr>
        <w:t>physician</w:t>
      </w:r>
      <w:r w:rsidR="00FE7A4A">
        <w:rPr>
          <w:rFonts w:eastAsia="Book Antiqua"/>
        </w:rPr>
        <w:t xml:space="preserve"> </w:t>
      </w:r>
      <w:r w:rsidRPr="48585CDC">
        <w:rPr>
          <w:rFonts w:eastAsia="Book Antiqua"/>
        </w:rPr>
        <w:t xml:space="preserve">will perform in a </w:t>
      </w:r>
      <w:r w:rsidR="00FE7A4A">
        <w:rPr>
          <w:rFonts w:eastAsia="Book Antiqua"/>
        </w:rPr>
        <w:t>similar</w:t>
      </w:r>
      <w:r w:rsidRPr="48585CDC">
        <w:rPr>
          <w:rFonts w:eastAsia="Book Antiqua"/>
        </w:rPr>
        <w:t xml:space="preserve"> way in real practice. To address these concerns, </w:t>
      </w:r>
      <w:r w:rsidR="00140F48" w:rsidRPr="48585CDC">
        <w:rPr>
          <w:rFonts w:eastAsia="Book Antiqua"/>
        </w:rPr>
        <w:t>‘‘The Cambridge model’’</w:t>
      </w:r>
      <w:r w:rsidR="00140F48">
        <w:rPr>
          <w:rFonts w:eastAsia="Book Antiqua"/>
        </w:rPr>
        <w:t xml:space="preserve"> is </w:t>
      </w:r>
      <w:r w:rsidR="00140F48" w:rsidRPr="48585CDC">
        <w:rPr>
          <w:rFonts w:eastAsia="Book Antiqua"/>
        </w:rPr>
        <w:t xml:space="preserve">proposed </w:t>
      </w:r>
      <w:r w:rsidR="005F640A">
        <w:rPr>
          <w:rFonts w:eastAsia="Book Antiqua"/>
        </w:rPr>
        <w:t xml:space="preserve">by </w:t>
      </w:r>
      <w:proofErr w:type="spellStart"/>
      <w:r w:rsidRPr="48585CDC">
        <w:rPr>
          <w:rFonts w:eastAsia="Book Antiqua"/>
        </w:rPr>
        <w:t>Rethans</w:t>
      </w:r>
      <w:proofErr w:type="spellEnd"/>
      <w:r w:rsidRPr="48585CDC">
        <w:rPr>
          <w:rFonts w:eastAsia="Book Antiqua"/>
        </w:rPr>
        <w:t xml:space="preserve"> and colleagues </w:t>
      </w:r>
      <w:r w:rsidR="005F640A">
        <w:rPr>
          <w:rFonts w:eastAsia="Book Antiqua"/>
        </w:rPr>
        <w:t xml:space="preserve"> as </w:t>
      </w:r>
      <w:r w:rsidRPr="48585CDC">
        <w:rPr>
          <w:rFonts w:eastAsia="Book Antiqua"/>
        </w:rPr>
        <w:t xml:space="preserve">a modification to Miller’s triangle[23].  </w:t>
      </w:r>
      <w:r w:rsidR="00891AE4" w:rsidRPr="00852D10">
        <w:rPr>
          <w:color w:val="000000"/>
        </w:rPr>
        <w:t>In addition to competence, they aimed to describe the elements determining "performance" by expanding Miller's triangle. They determine that performance is what a doctor exhibits in actual clinical practice, whereas competence is what a doctor exhibits in a test setting. Competence is the foundation of performance, which also takes into account other factors that may affect an individual's final result. They created a triangle that was altered. This model recognized the necessity to evaluate doctors in training's global competency or performance in a realistic manner in addition to their knowledge and practical skills.</w:t>
      </w:r>
      <w:r w:rsidR="00891AE4">
        <w:rPr>
          <w:rStyle w:val="apple-converted-space"/>
          <w:rFonts w:ascii="-webkit-standard" w:hAnsi="-webkit-standard"/>
          <w:color w:val="000000"/>
          <w:sz w:val="27"/>
          <w:szCs w:val="27"/>
        </w:rPr>
        <w:t> </w:t>
      </w:r>
      <w:r w:rsidRPr="48585CDC">
        <w:rPr>
          <w:rFonts w:eastAsia="Book Antiqua"/>
        </w:rPr>
        <w:t>They ascertain that competence is what a doctor demonstrates in a test situation, but that performance is what a doctor demonstrates in real life clinical practice. Performance builds upon competence but also encompasses other influences on one’s eventual performance.  They produced a modified triangle. This model acknowledged that in addition to assessing knowledge and practical skill we need to assess the global competence or performance of doctors in training in as realistic a way as possible [23].</w:t>
      </w:r>
    </w:p>
    <w:p w14:paraId="6C47B2D8" w14:textId="76701FE6" w:rsidR="00797FD4" w:rsidRPr="00797FD4" w:rsidRDefault="48585CDC" w:rsidP="00797FD4">
      <w:pPr>
        <w:spacing w:line="360" w:lineRule="auto"/>
        <w:rPr>
          <w:rFonts w:ascii="Times New Roman" w:eastAsia="Times New Roman" w:hAnsi="Times New Roman" w:cs="Times New Roman"/>
          <w:sz w:val="24"/>
          <w:szCs w:val="24"/>
        </w:rPr>
      </w:pPr>
      <w:r w:rsidRPr="48585CDC">
        <w:rPr>
          <w:rFonts w:eastAsia="Book Antiqua"/>
        </w:rPr>
        <w:t> </w:t>
      </w:r>
      <w:r w:rsidRPr="001D42EF">
        <w:rPr>
          <w:rFonts w:ascii="Times New Roman" w:eastAsia="Book Antiqua" w:hAnsi="Times New Roman" w:cs="Times New Roman"/>
          <w:sz w:val="24"/>
          <w:szCs w:val="24"/>
        </w:rPr>
        <w:t xml:space="preserve">Assessment of </w:t>
      </w:r>
      <w:r w:rsidR="00584B0C" w:rsidRPr="001D42EF">
        <w:rPr>
          <w:rFonts w:ascii="Times New Roman" w:eastAsia="Book Antiqua" w:hAnsi="Times New Roman" w:cs="Times New Roman"/>
          <w:sz w:val="24"/>
          <w:szCs w:val="24"/>
        </w:rPr>
        <w:t xml:space="preserve">Miller’s pyramid </w:t>
      </w:r>
      <w:r w:rsidRPr="001D42EF">
        <w:rPr>
          <w:rFonts w:ascii="Times New Roman" w:eastAsia="Book Antiqua" w:hAnsi="Times New Roman" w:cs="Times New Roman"/>
          <w:sz w:val="24"/>
          <w:szCs w:val="24"/>
        </w:rPr>
        <w:t xml:space="preserve">stages 1 and 2 is performed by </w:t>
      </w:r>
      <w:r w:rsidR="00891CA4" w:rsidRPr="001D42EF">
        <w:rPr>
          <w:rFonts w:ascii="Times New Roman" w:eastAsia="Book Antiqua" w:hAnsi="Times New Roman" w:cs="Times New Roman"/>
          <w:sz w:val="24"/>
          <w:szCs w:val="24"/>
        </w:rPr>
        <w:t xml:space="preserve">using </w:t>
      </w:r>
      <w:r w:rsidRPr="001D42EF">
        <w:rPr>
          <w:rFonts w:ascii="Times New Roman" w:eastAsia="Book Antiqua" w:hAnsi="Times New Roman" w:cs="Times New Roman"/>
          <w:sz w:val="24"/>
          <w:szCs w:val="24"/>
        </w:rPr>
        <w:t>traditional assessment tools including written and oral tests.</w:t>
      </w:r>
      <w:r w:rsidRPr="48585CDC">
        <w:rPr>
          <w:rFonts w:eastAsia="Book Antiqua"/>
        </w:rPr>
        <w:t xml:space="preserve"> </w:t>
      </w:r>
      <w:r w:rsidR="00797FD4" w:rsidRPr="00797FD4">
        <w:rPr>
          <w:rFonts w:ascii="Times New Roman" w:eastAsia="Times New Roman" w:hAnsi="Times New Roman" w:cs="Times New Roman"/>
          <w:color w:val="000000"/>
          <w:sz w:val="24"/>
          <w:szCs w:val="24"/>
        </w:rPr>
        <w:t xml:space="preserve">Multiple-choice questions (MCQs), best-of-five questions, extended matching, and short answer questions are used in written </w:t>
      </w:r>
      <w:r w:rsidR="001D42EF">
        <w:rPr>
          <w:rFonts w:ascii="Times New Roman" w:eastAsia="Times New Roman" w:hAnsi="Times New Roman" w:cs="Times New Roman"/>
          <w:color w:val="000000"/>
          <w:sz w:val="24"/>
          <w:szCs w:val="24"/>
        </w:rPr>
        <w:t>test</w:t>
      </w:r>
      <w:r w:rsidR="00797FD4" w:rsidRPr="00797FD4">
        <w:rPr>
          <w:rFonts w:ascii="Times New Roman" w:eastAsia="Times New Roman" w:hAnsi="Times New Roman" w:cs="Times New Roman"/>
          <w:color w:val="000000"/>
          <w:sz w:val="24"/>
          <w:szCs w:val="24"/>
        </w:rPr>
        <w:t xml:space="preserve">s to evaluate </w:t>
      </w:r>
      <w:r w:rsidR="001D42EF">
        <w:rPr>
          <w:rFonts w:ascii="Times New Roman" w:eastAsia="Times New Roman" w:hAnsi="Times New Roman" w:cs="Times New Roman"/>
          <w:color w:val="000000"/>
          <w:sz w:val="24"/>
          <w:szCs w:val="24"/>
        </w:rPr>
        <w:t>stages 1 and 2 of Miller’s pyramid</w:t>
      </w:r>
      <w:r w:rsidR="00731323">
        <w:rPr>
          <w:rFonts w:ascii="Times New Roman" w:eastAsia="Times New Roman" w:hAnsi="Times New Roman" w:cs="Times New Roman"/>
          <w:color w:val="000000"/>
          <w:sz w:val="24"/>
          <w:szCs w:val="24"/>
        </w:rPr>
        <w:t xml:space="preserve"> in </w:t>
      </w:r>
      <w:r w:rsidR="00797FD4" w:rsidRPr="00797FD4">
        <w:rPr>
          <w:rFonts w:ascii="Times New Roman" w:eastAsia="Times New Roman" w:hAnsi="Times New Roman" w:cs="Times New Roman"/>
          <w:color w:val="000000"/>
          <w:sz w:val="24"/>
          <w:szCs w:val="24"/>
        </w:rPr>
        <w:t xml:space="preserve"> medical, surgical, and most secondary care specialties.</w:t>
      </w:r>
    </w:p>
    <w:p w14:paraId="6CD8E0CD" w14:textId="77777777" w:rsidR="00A42CE7" w:rsidRPr="00737CB9" w:rsidRDefault="00505916" w:rsidP="00737CB9">
      <w:pPr>
        <w:spacing w:line="360" w:lineRule="auto"/>
        <w:rPr>
          <w:rFonts w:ascii="Times New Roman" w:eastAsia="Times New Roman" w:hAnsi="Times New Roman" w:cs="Times New Roman"/>
          <w:sz w:val="24"/>
          <w:szCs w:val="24"/>
        </w:rPr>
      </w:pPr>
      <w:r w:rsidRPr="00505916">
        <w:rPr>
          <w:rFonts w:ascii="Times New Roman" w:eastAsia="Times New Roman" w:hAnsi="Times New Roman" w:cs="Times New Roman"/>
          <w:color w:val="000000"/>
          <w:sz w:val="24"/>
          <w:szCs w:val="24"/>
        </w:rPr>
        <w:t xml:space="preserve">However, knowledge and skills might not always translate into clinical performance or professional effectiveness. It is more difficult to evaluate Miller's triangle levels three and four. Objective structured clinical examinations (OSCEs) and practical clinical examinations are presently used to evaluate level 3 in medical disciplines. A number of alternative </w:t>
      </w:r>
      <w:r w:rsidRPr="00505916">
        <w:rPr>
          <w:rFonts w:ascii="Times New Roman" w:eastAsia="Times New Roman" w:hAnsi="Times New Roman" w:cs="Times New Roman"/>
          <w:color w:val="000000"/>
          <w:sz w:val="24"/>
          <w:szCs w:val="24"/>
        </w:rPr>
        <w:lastRenderedPageBreak/>
        <w:t>techniques, such as the mini-clinical evaluation exercise (mini-CEX), have been developed and proven effective. </w:t>
      </w:r>
      <w:r w:rsidR="00A42CE7" w:rsidRPr="00737CB9">
        <w:rPr>
          <w:rFonts w:ascii="Times New Roman" w:eastAsia="Times New Roman" w:hAnsi="Times New Roman" w:cs="Times New Roman"/>
          <w:color w:val="000000"/>
          <w:sz w:val="24"/>
          <w:szCs w:val="24"/>
        </w:rPr>
        <w:t xml:space="preserve">As long as the activities' content is suited to the exam's objectives, this kind of evaluation can be utilized both formatively and </w:t>
      </w:r>
      <w:proofErr w:type="spellStart"/>
      <w:r w:rsidR="00A42CE7" w:rsidRPr="00737CB9">
        <w:rPr>
          <w:rFonts w:ascii="Times New Roman" w:eastAsia="Times New Roman" w:hAnsi="Times New Roman" w:cs="Times New Roman"/>
          <w:color w:val="000000"/>
          <w:sz w:val="24"/>
          <w:szCs w:val="24"/>
        </w:rPr>
        <w:t>summatively</w:t>
      </w:r>
      <w:proofErr w:type="spellEnd"/>
      <w:r w:rsidR="00A42CE7" w:rsidRPr="00737CB9">
        <w:rPr>
          <w:rFonts w:ascii="Times New Roman" w:eastAsia="Times New Roman" w:hAnsi="Times New Roman" w:cs="Times New Roman"/>
          <w:color w:val="000000"/>
          <w:sz w:val="24"/>
          <w:szCs w:val="24"/>
        </w:rPr>
        <w:t>. The number of stations and abilities assessed to provide a comprehensive picture of the trainees' clinical competence level determines the validity of an OSCE and other evaluation instruments. Testing the instrument's validity, reliability, and utility is crucial when creating an OSCE or other clinical assessment tool, particularly if the proposed exam is a high-stakes exam that will be conducted at multiple locations. </w:t>
      </w:r>
    </w:p>
    <w:p w14:paraId="41466902" w14:textId="02F1B890" w:rsidR="000D4098" w:rsidRPr="00CC2809" w:rsidRDefault="002B5E84" w:rsidP="00CC2809">
      <w:pPr>
        <w:spacing w:line="360" w:lineRule="auto"/>
        <w:rPr>
          <w:rFonts w:ascii="Times New Roman" w:eastAsia="Times New Roman" w:hAnsi="Times New Roman" w:cs="Times New Roman"/>
          <w:sz w:val="24"/>
          <w:szCs w:val="24"/>
        </w:rPr>
      </w:pPr>
      <w:r w:rsidRPr="002B5E84">
        <w:rPr>
          <w:rFonts w:ascii="Times New Roman" w:eastAsia="Times New Roman" w:hAnsi="Times New Roman" w:cs="Times New Roman"/>
          <w:color w:val="000000"/>
          <w:sz w:val="24"/>
          <w:szCs w:val="24"/>
        </w:rPr>
        <w:t>The OSCE was deemed a valuable instrument by Sloan et al. for evaluating the knowledge gap [24]. Novack et al. explained the creation of an online OSCE system for teleconference-based clinical skill evaluation</w:t>
      </w:r>
      <w:r w:rsidR="6E5E01EA" w:rsidRPr="00CC2809">
        <w:rPr>
          <w:rFonts w:ascii="Times New Roman" w:eastAsia="Book Antiqua" w:hAnsi="Times New Roman" w:cs="Times New Roman"/>
          <w:sz w:val="24"/>
          <w:szCs w:val="24"/>
        </w:rPr>
        <w:t xml:space="preserve">[25]. </w:t>
      </w:r>
      <w:r w:rsidR="00CC2809" w:rsidRPr="00CC2809">
        <w:rPr>
          <w:rFonts w:ascii="Times New Roman" w:eastAsia="Times New Roman" w:hAnsi="Times New Roman" w:cs="Times New Roman"/>
          <w:color w:val="000000"/>
          <w:sz w:val="24"/>
          <w:szCs w:val="24"/>
        </w:rPr>
        <w:t>They conducted the same clinical evaluation at multiple locations at the same time using videoconferencing and the internet. Students found it challenging to avoid direct contact with the patients, and also noted technical issues with the system. Other studies have described computer systems used to assess clinical competency [26], and these technologies may eventually affect clinical education assessment systems. The literature describes other computer-based clinical assessment techniques. One approach is called "Primum E Simulations," where applicants use a computer to navigate a clinical situation while being solely informed by changing facts. Candidates are graded based on the tests and treatments they select, and the assessor looks for evidence of clinical reasoning</w:t>
      </w:r>
      <w:r w:rsidR="6E5E01EA" w:rsidRPr="00CC2809">
        <w:rPr>
          <w:rFonts w:ascii="Times New Roman" w:eastAsia="Book Antiqua" w:hAnsi="Times New Roman" w:cs="Times New Roman"/>
          <w:sz w:val="24"/>
          <w:szCs w:val="24"/>
        </w:rPr>
        <w:t xml:space="preserve"> [27].</w:t>
      </w:r>
    </w:p>
    <w:p w14:paraId="174937B8" w14:textId="3BA789B5" w:rsidR="000B7525" w:rsidRPr="000B7525" w:rsidRDefault="000B7525" w:rsidP="00CF1AA6">
      <w:pPr>
        <w:spacing w:line="360" w:lineRule="auto"/>
        <w:rPr>
          <w:rFonts w:ascii="Times New Roman" w:eastAsia="Times New Roman" w:hAnsi="Times New Roman" w:cs="Times New Roman"/>
          <w:sz w:val="24"/>
          <w:szCs w:val="24"/>
        </w:rPr>
      </w:pPr>
      <w:r w:rsidRPr="000B7525">
        <w:rPr>
          <w:rFonts w:ascii="Times New Roman" w:eastAsia="Times New Roman" w:hAnsi="Times New Roman" w:cs="Times New Roman"/>
          <w:color w:val="000000"/>
          <w:sz w:val="24"/>
          <w:szCs w:val="24"/>
        </w:rPr>
        <w:t>Level 4 of Miller's triangle, "does," or performance, is the most challenging aspect of clinical competence to assess. Even if we have the means to evaluate performance in a test setting, this does not always reflect what doctors actually accomplish in their day-to-day work. To guarantee that clinical abilities are evaluated effectively, it is crucial to examine aspiring doctors up close. This kind of evaluation can be expensive and time-consuming. To demonstrate a variety of clinical abilities, the Royal College of General Practitioners uses a system that involves seeing a collection of filmed consultations that the trainee submits [22]. </w:t>
      </w:r>
    </w:p>
    <w:p w14:paraId="1BBA3694" w14:textId="591C97F1" w:rsidR="00AD362B" w:rsidRPr="005E69B5" w:rsidRDefault="00CF1AA6" w:rsidP="005E69B5">
      <w:pPr>
        <w:spacing w:line="360" w:lineRule="auto"/>
        <w:rPr>
          <w:rFonts w:ascii="Times New Roman" w:eastAsia="Times New Roman" w:hAnsi="Times New Roman" w:cs="Times New Roman"/>
          <w:sz w:val="24"/>
          <w:szCs w:val="24"/>
        </w:rPr>
      </w:pPr>
      <w:r w:rsidRPr="00CF1AA6">
        <w:rPr>
          <w:rFonts w:ascii="Times New Roman" w:eastAsia="Times New Roman" w:hAnsi="Times New Roman" w:cs="Times New Roman"/>
          <w:color w:val="000000"/>
          <w:sz w:val="24"/>
          <w:szCs w:val="24"/>
        </w:rPr>
        <w:t>A number of authors support the use of standardized patients in these evaluations; nonetheless, patient training, the creation of legitimate instances, and scoring systems all require careful consideration. Students in the US go through ten simulated patient observations as part of the clinical skills evaluation needed to be certified as foreign medical graduates</w:t>
      </w:r>
      <w:r w:rsidR="48585CDC" w:rsidRPr="005E69B5">
        <w:rPr>
          <w:rFonts w:ascii="Times New Roman" w:eastAsia="Book Antiqua" w:hAnsi="Times New Roman" w:cs="Times New Roman"/>
          <w:sz w:val="24"/>
          <w:szCs w:val="24"/>
        </w:rPr>
        <w:t xml:space="preserve">[28]. </w:t>
      </w:r>
      <w:r w:rsidR="008421E2" w:rsidRPr="005E69B5">
        <w:rPr>
          <w:rFonts w:ascii="Times New Roman" w:eastAsia="Times New Roman" w:hAnsi="Times New Roman" w:cs="Times New Roman"/>
          <w:color w:val="000000"/>
          <w:sz w:val="24"/>
          <w:szCs w:val="24"/>
        </w:rPr>
        <w:t xml:space="preserve">The mini-CEX, which was created in the 1990s based on the classic CEX or long case evaluation, is an alternative method used by the American Board of Internal Medicine to evaluate residents' clinical competence. It assigns scores to the clinical abilities that residents exhibit during patient contacts. Chief residents or supervising physicians score </w:t>
      </w:r>
      <w:r w:rsidR="008421E2" w:rsidRPr="005E69B5">
        <w:rPr>
          <w:rFonts w:ascii="Times New Roman" w:eastAsia="Times New Roman" w:hAnsi="Times New Roman" w:cs="Times New Roman"/>
          <w:color w:val="000000"/>
          <w:sz w:val="24"/>
          <w:szCs w:val="24"/>
        </w:rPr>
        <w:lastRenderedPageBreak/>
        <w:t>the tests, which are based on actual clinical scenarios</w:t>
      </w:r>
      <w:r w:rsidR="48585CDC" w:rsidRPr="005E69B5">
        <w:rPr>
          <w:rFonts w:ascii="Times New Roman" w:eastAsia="Book Antiqua" w:hAnsi="Times New Roman" w:cs="Times New Roman"/>
          <w:sz w:val="24"/>
          <w:szCs w:val="24"/>
        </w:rPr>
        <w:t>[28</w:t>
      </w:r>
      <w:r w:rsidR="004026CD" w:rsidRPr="005E69B5">
        <w:rPr>
          <w:rFonts w:ascii="Times New Roman" w:eastAsia="Book Antiqua" w:hAnsi="Times New Roman" w:cs="Times New Roman"/>
          <w:sz w:val="24"/>
          <w:szCs w:val="24"/>
        </w:rPr>
        <w:t xml:space="preserve">]. </w:t>
      </w:r>
      <w:r w:rsidR="48585CDC" w:rsidRPr="005E69B5">
        <w:rPr>
          <w:rFonts w:ascii="Times New Roman" w:eastAsia="Book Antiqua" w:hAnsi="Times New Roman" w:cs="Times New Roman"/>
          <w:sz w:val="24"/>
          <w:szCs w:val="24"/>
        </w:rPr>
        <w:t xml:space="preserve">In the mini-CEX, an assessor watches a student perform throughout a typical clinical interaction that lasts 15 to 20 minutes. The trainee is then evaluated using a 9-point scale on their proficiency in medical interviewing, physical examination, professionalism, clinical judgement, counselling, organisation, efficiency, and overall competence. This is followed by immediate feedback at the conclusion of the consultation, which lasts between five and fifteen minutes. A number of researchers and institutions agree with the mini-CEX's validity and reliability in assessing the clinical competence of trainees. The mini-CEX is also recognised as an effective teaching and learning tool for increasing clinical achievement among trainees because of the linked feedback component. </w:t>
      </w:r>
    </w:p>
    <w:p w14:paraId="5380D34F" w14:textId="0B6F56EE" w:rsidR="00BB232D" w:rsidRPr="00BB232D" w:rsidRDefault="00BB232D" w:rsidP="003640C6">
      <w:pPr>
        <w:spacing w:line="360" w:lineRule="auto"/>
        <w:rPr>
          <w:rFonts w:ascii="Times New Roman" w:eastAsia="Times New Roman" w:hAnsi="Times New Roman" w:cs="Times New Roman"/>
          <w:sz w:val="24"/>
          <w:szCs w:val="24"/>
        </w:rPr>
      </w:pPr>
      <w:r w:rsidRPr="00BB232D">
        <w:rPr>
          <w:rFonts w:ascii="Times New Roman" w:eastAsia="Times New Roman" w:hAnsi="Times New Roman" w:cs="Times New Roman"/>
          <w:color w:val="000000"/>
          <w:sz w:val="24"/>
          <w:szCs w:val="24"/>
        </w:rPr>
        <w:t xml:space="preserve">Recently, </w:t>
      </w:r>
      <w:r w:rsidRPr="003640C6">
        <w:rPr>
          <w:rFonts w:ascii="Times New Roman" w:eastAsia="Times New Roman" w:hAnsi="Times New Roman" w:cs="Times New Roman"/>
          <w:color w:val="000000"/>
          <w:sz w:val="24"/>
          <w:szCs w:val="24"/>
        </w:rPr>
        <w:t xml:space="preserve">for </w:t>
      </w:r>
      <w:r w:rsidRPr="00BB232D">
        <w:rPr>
          <w:rFonts w:ascii="Times New Roman" w:eastAsia="Times New Roman" w:hAnsi="Times New Roman" w:cs="Times New Roman"/>
          <w:color w:val="000000"/>
          <w:sz w:val="24"/>
          <w:szCs w:val="24"/>
        </w:rPr>
        <w:t>medical staff</w:t>
      </w:r>
      <w:r w:rsidRPr="003640C6">
        <w:rPr>
          <w:rFonts w:ascii="Times New Roman" w:eastAsia="Times New Roman" w:hAnsi="Times New Roman" w:cs="Times New Roman"/>
          <w:color w:val="000000"/>
          <w:sz w:val="24"/>
          <w:szCs w:val="24"/>
        </w:rPr>
        <w:t>,</w:t>
      </w:r>
      <w:r w:rsidRPr="00BB232D">
        <w:rPr>
          <w:rFonts w:ascii="Times New Roman" w:eastAsia="Times New Roman" w:hAnsi="Times New Roman" w:cs="Times New Roman"/>
          <w:color w:val="000000"/>
          <w:sz w:val="24"/>
          <w:szCs w:val="24"/>
        </w:rPr>
        <w:t xml:space="preserve"> 360-degree appraisals have been driven by structured or open-ended questionnaires answered by team members. The Royal College of Physicians is testing this method to evaluate specialist registrars in several disciplines [22]. Additionally, personal journals and portfolios can be used as effective tools to gauge attitude to a certain extent. </w:t>
      </w:r>
    </w:p>
    <w:p w14:paraId="45373E87" w14:textId="26F65753" w:rsidR="000D4098" w:rsidRPr="00337900" w:rsidRDefault="48585CDC" w:rsidP="003640C6">
      <w:pPr>
        <w:spacing w:line="360" w:lineRule="auto"/>
        <w:rPr>
          <w:rFonts w:ascii="Times New Roman" w:eastAsia="Book Antiqua" w:hAnsi="Times New Roman" w:cs="Times New Roman"/>
          <w:sz w:val="24"/>
          <w:szCs w:val="24"/>
        </w:rPr>
      </w:pPr>
      <w:r w:rsidRPr="003640C6">
        <w:rPr>
          <w:rFonts w:ascii="Times New Roman" w:eastAsia="Book Antiqua" w:hAnsi="Times New Roman" w:cs="Times New Roman"/>
          <w:sz w:val="24"/>
          <w:szCs w:val="24"/>
        </w:rPr>
        <w:t>The direct observation of trainee’s skill, knowledge and attitude became particularly</w:t>
      </w:r>
      <w:r w:rsidRPr="48585CDC">
        <w:rPr>
          <w:rFonts w:ascii="Times New Roman" w:eastAsia="Book Antiqua" w:hAnsi="Times New Roman" w:cs="Times New Roman"/>
          <w:sz w:val="24"/>
          <w:szCs w:val="24"/>
        </w:rPr>
        <w:t xml:space="preserve"> important since the Accreditation Council for Graduate Medical Education (ACGME) created the Next Accreditation System (also known as the Mile- stones) in 2012. </w:t>
      </w:r>
    </w:p>
    <w:p w14:paraId="7366A1D9" w14:textId="01A3D129" w:rsidR="000D4098" w:rsidRPr="00CF7B60" w:rsidRDefault="000B3AA9" w:rsidP="00CF7B60">
      <w:pPr>
        <w:spacing w:line="360" w:lineRule="auto"/>
        <w:rPr>
          <w:rFonts w:ascii="Times New Roman" w:eastAsia="Times New Roman" w:hAnsi="Times New Roman" w:cs="Times New Roman"/>
          <w:sz w:val="24"/>
          <w:szCs w:val="24"/>
        </w:rPr>
      </w:pPr>
      <w:r w:rsidRPr="000B3AA9">
        <w:rPr>
          <w:rFonts w:ascii="Times New Roman" w:eastAsia="Times New Roman" w:hAnsi="Times New Roman" w:cs="Times New Roman"/>
          <w:color w:val="000000"/>
          <w:sz w:val="24"/>
          <w:szCs w:val="24"/>
        </w:rPr>
        <w:t xml:space="preserve">It is probably required to combine the several assessment techniques mentioned above in order to create the most accurate assessment of global clinical competence. The new competency-based curriculum for SHOs in </w:t>
      </w:r>
      <w:proofErr w:type="spellStart"/>
      <w:r w:rsidRPr="000B3AA9">
        <w:rPr>
          <w:rFonts w:ascii="Times New Roman" w:eastAsia="Times New Roman" w:hAnsi="Times New Roman" w:cs="Times New Roman"/>
          <w:color w:val="000000"/>
          <w:sz w:val="24"/>
          <w:szCs w:val="24"/>
        </w:rPr>
        <w:t>anesthesia</w:t>
      </w:r>
      <w:proofErr w:type="spellEnd"/>
      <w:r w:rsidRPr="000B3AA9">
        <w:rPr>
          <w:rFonts w:ascii="Times New Roman" w:eastAsia="Times New Roman" w:hAnsi="Times New Roman" w:cs="Times New Roman"/>
          <w:color w:val="000000"/>
          <w:sz w:val="24"/>
          <w:szCs w:val="24"/>
        </w:rPr>
        <w:t xml:space="preserve"> has been evaluated by the Royal College of Anaesthetists using this method. Clinical skills, attitudes, and </w:t>
      </w:r>
      <w:proofErr w:type="spellStart"/>
      <w:r w:rsidRPr="000B3AA9">
        <w:rPr>
          <w:rFonts w:ascii="Times New Roman" w:eastAsia="Times New Roman" w:hAnsi="Times New Roman" w:cs="Times New Roman"/>
          <w:color w:val="000000"/>
          <w:sz w:val="24"/>
          <w:szCs w:val="24"/>
        </w:rPr>
        <w:t>behaviors</w:t>
      </w:r>
      <w:proofErr w:type="spellEnd"/>
      <w:r w:rsidRPr="000B3AA9">
        <w:rPr>
          <w:rFonts w:ascii="Times New Roman" w:eastAsia="Times New Roman" w:hAnsi="Times New Roman" w:cs="Times New Roman"/>
          <w:color w:val="000000"/>
          <w:sz w:val="24"/>
          <w:szCs w:val="24"/>
        </w:rPr>
        <w:t xml:space="preserve"> are evaluated in a workplace assessment conducted by supervising consultants, and SHOs' knowledge is evaluated through a series of written exams</w:t>
      </w:r>
      <w:r w:rsidR="48585CDC" w:rsidRPr="00CF7B60">
        <w:rPr>
          <w:rFonts w:ascii="Times New Roman" w:eastAsia="Book Antiqua" w:hAnsi="Times New Roman" w:cs="Times New Roman"/>
          <w:sz w:val="24"/>
          <w:szCs w:val="24"/>
        </w:rPr>
        <w:t>.</w:t>
      </w:r>
    </w:p>
    <w:p w14:paraId="13EE3F12" w14:textId="77777777" w:rsidR="001525B1" w:rsidRPr="001525B1" w:rsidRDefault="001525B1" w:rsidP="00CF7B60">
      <w:pPr>
        <w:spacing w:line="360" w:lineRule="auto"/>
        <w:rPr>
          <w:rFonts w:ascii="Times New Roman" w:eastAsia="Times New Roman" w:hAnsi="Times New Roman" w:cs="Times New Roman"/>
          <w:sz w:val="24"/>
          <w:szCs w:val="24"/>
        </w:rPr>
      </w:pPr>
      <w:r w:rsidRPr="001525B1">
        <w:rPr>
          <w:rFonts w:ascii="Times New Roman" w:eastAsia="Times New Roman" w:hAnsi="Times New Roman" w:cs="Times New Roman"/>
          <w:color w:val="000000"/>
          <w:sz w:val="24"/>
          <w:szCs w:val="24"/>
        </w:rPr>
        <w:t>In earlier times, logbooks and the judgment of educational supervisors have been used to evaluate efficiency in practical tasks. Directly observed performance is probably more valid and reliable than the old logbook-based system, according to the Royal College of Physicians, which created the DOPPS instruments. </w:t>
      </w:r>
    </w:p>
    <w:p w14:paraId="39EF7A3A" w14:textId="231DFC5A" w:rsidR="000D4098" w:rsidRPr="00CF7B60" w:rsidRDefault="00CF7B60" w:rsidP="00CF7B60">
      <w:pPr>
        <w:spacing w:line="360" w:lineRule="auto"/>
        <w:rPr>
          <w:rFonts w:ascii="Times New Roman" w:eastAsia="Times New Roman" w:hAnsi="Times New Roman" w:cs="Times New Roman"/>
          <w:sz w:val="24"/>
          <w:szCs w:val="24"/>
        </w:rPr>
      </w:pPr>
      <w:r w:rsidRPr="00CF7B60">
        <w:rPr>
          <w:rFonts w:ascii="Times New Roman" w:eastAsia="Times New Roman" w:hAnsi="Times New Roman" w:cs="Times New Roman"/>
          <w:color w:val="000000"/>
          <w:sz w:val="24"/>
          <w:szCs w:val="24"/>
        </w:rPr>
        <w:t>Multi Source Feedback has primarily been utilized in business and industry to evaluate performance and give trainees feedback. This approach evaluates both the medical and non-medical components of performance using information from peers' questionnaires. The mini peer assessment tool, often known as Mini-PAT, is a multi-source feedback tool that compares trainees' self-assessed performance with the opinions of a variety of clinical peers. The educational supervisor then provides the trainee with the assessors' ratings and free text comments.</w:t>
      </w:r>
    </w:p>
    <w:p w14:paraId="79EFE942" w14:textId="77777777" w:rsidR="00105F3A" w:rsidRPr="00105F3A" w:rsidRDefault="48585CDC" w:rsidP="48585CDC">
      <w:pPr>
        <w:spacing w:line="360" w:lineRule="auto"/>
        <w:rPr>
          <w:rFonts w:ascii="Times New Roman" w:eastAsia="Book Antiqua" w:hAnsi="Times New Roman" w:cs="Times New Roman"/>
          <w:sz w:val="24"/>
          <w:szCs w:val="24"/>
        </w:rPr>
      </w:pPr>
      <w:r w:rsidRPr="48585CDC">
        <w:rPr>
          <w:rFonts w:ascii="Times New Roman" w:eastAsia="Book Antiqua" w:hAnsi="Times New Roman" w:cs="Times New Roman"/>
          <w:sz w:val="24"/>
          <w:szCs w:val="24"/>
        </w:rPr>
        <w:lastRenderedPageBreak/>
        <w:t>One of the main objectives of formative assessment is to develop self-regulated learners who can independently recognise their own learning requirements, develop a plan to meet those needs, and, most crucially, self-monitor their progress.</w:t>
      </w:r>
    </w:p>
    <w:p w14:paraId="3330D4BE" w14:textId="0CFA64EB" w:rsidR="000D4098" w:rsidRPr="00EF6BEF" w:rsidRDefault="48585CDC" w:rsidP="48585CDC">
      <w:pPr>
        <w:spacing w:line="360" w:lineRule="auto"/>
        <w:rPr>
          <w:rFonts w:ascii="Times New Roman" w:eastAsia="Book Antiqua" w:hAnsi="Times New Roman" w:cs="Times New Roman"/>
          <w:sz w:val="24"/>
          <w:szCs w:val="24"/>
        </w:rPr>
      </w:pPr>
      <w:r w:rsidRPr="48585CDC">
        <w:rPr>
          <w:rFonts w:ascii="Times New Roman" w:eastAsia="Book Antiqua" w:hAnsi="Times New Roman" w:cs="Times New Roman"/>
          <w:sz w:val="24"/>
          <w:szCs w:val="24"/>
        </w:rPr>
        <w:t>The provision of quality feedback is essential in ensuring that an assessment is formative. Despite this, it is yet unknown how these WBAs will be utilised, in part because of the different applications that have been made for the tools. The constant "tick-box" technique for completion has been highlighted in research ever since, worries about relevance and accountability, and</w:t>
      </w:r>
      <w:r w:rsidRPr="48585CDC">
        <w:rPr>
          <w:rFonts w:eastAsia="Book Antiqua"/>
        </w:rPr>
        <w:t xml:space="preserve"> problems with implementation and acceptability [29].</w:t>
      </w:r>
    </w:p>
    <w:p w14:paraId="735E5669" w14:textId="7CFE3E52" w:rsidR="000D4098" w:rsidRDefault="48585CDC" w:rsidP="48585CDC">
      <w:pPr>
        <w:pStyle w:val="NormalWeb"/>
        <w:spacing w:before="0" w:beforeAutospacing="0" w:after="0" w:afterAutospacing="0" w:line="360" w:lineRule="auto"/>
        <w:jc w:val="both"/>
        <w:rPr>
          <w:rStyle w:val="CommentReference"/>
          <w:sz w:val="24"/>
          <w:szCs w:val="24"/>
        </w:rPr>
      </w:pPr>
      <w:r w:rsidRPr="48585CDC">
        <w:rPr>
          <w:rFonts w:eastAsia="Book Antiqua"/>
        </w:rPr>
        <w:t>Some details of individual WPBA methods are given below.</w:t>
      </w:r>
    </w:p>
    <w:p w14:paraId="0525EEBD" w14:textId="77777777" w:rsidR="000D4098" w:rsidRDefault="48585CDC" w:rsidP="48585CDC">
      <w:pPr>
        <w:pStyle w:val="NormalWeb"/>
        <w:spacing w:before="0" w:beforeAutospacing="0" w:after="0" w:afterAutospacing="0" w:line="360" w:lineRule="auto"/>
        <w:jc w:val="both"/>
        <w:rPr>
          <w:b/>
          <w:bCs/>
        </w:rPr>
      </w:pPr>
      <w:r w:rsidRPr="48585CDC">
        <w:rPr>
          <w:b/>
          <w:bCs/>
        </w:rPr>
        <w:t>Types of Workplace Based Assessment Tools</w:t>
      </w:r>
    </w:p>
    <w:p w14:paraId="1B446E0D" w14:textId="77777777" w:rsidR="000D4098" w:rsidRDefault="48585CDC" w:rsidP="48585CDC">
      <w:pPr>
        <w:pStyle w:val="NormalWeb"/>
        <w:spacing w:before="0" w:beforeAutospacing="0" w:after="0" w:afterAutospacing="0" w:line="360" w:lineRule="auto"/>
        <w:jc w:val="both"/>
      </w:pPr>
      <w:r w:rsidRPr="48585CDC">
        <w:t>Workplace-based assessment tools include:</w:t>
      </w:r>
    </w:p>
    <w:p w14:paraId="2B3EB4B4" w14:textId="77777777" w:rsidR="000D4098" w:rsidRDefault="48585CDC" w:rsidP="48585CDC">
      <w:pPr>
        <w:pStyle w:val="NormalWeb"/>
        <w:numPr>
          <w:ilvl w:val="0"/>
          <w:numId w:val="16"/>
        </w:numPr>
        <w:spacing w:before="0" w:beforeAutospacing="0" w:after="0" w:afterAutospacing="0" w:line="360" w:lineRule="auto"/>
        <w:jc w:val="both"/>
      </w:pPr>
      <w:r w:rsidRPr="48585CDC">
        <w:t>case-based discussion (</w:t>
      </w:r>
      <w:proofErr w:type="spellStart"/>
      <w:r w:rsidRPr="48585CDC">
        <w:t>CbD</w:t>
      </w:r>
      <w:proofErr w:type="spellEnd"/>
      <w:r w:rsidRPr="48585CDC">
        <w:t>)</w:t>
      </w:r>
    </w:p>
    <w:p w14:paraId="1FA717E9" w14:textId="77777777" w:rsidR="000D4098" w:rsidRDefault="48585CDC" w:rsidP="48585CDC">
      <w:pPr>
        <w:pStyle w:val="NormalWeb"/>
        <w:numPr>
          <w:ilvl w:val="0"/>
          <w:numId w:val="16"/>
        </w:numPr>
        <w:spacing w:before="0" w:beforeAutospacing="0" w:after="0" w:afterAutospacing="0" w:line="360" w:lineRule="auto"/>
        <w:jc w:val="both"/>
      </w:pPr>
      <w:r w:rsidRPr="48585CDC">
        <w:t>directly observed practical skills (DOPS)</w:t>
      </w:r>
    </w:p>
    <w:p w14:paraId="684D1A29" w14:textId="77777777" w:rsidR="000D4098" w:rsidRDefault="48585CDC" w:rsidP="48585CDC">
      <w:pPr>
        <w:pStyle w:val="NormalWeb"/>
        <w:numPr>
          <w:ilvl w:val="0"/>
          <w:numId w:val="16"/>
        </w:numPr>
        <w:spacing w:before="0" w:beforeAutospacing="0" w:after="0" w:afterAutospacing="0" w:line="360" w:lineRule="auto"/>
        <w:jc w:val="both"/>
      </w:pPr>
      <w:r w:rsidRPr="48585CDC">
        <w:t>mini clinical evaluation exercise (Mini-CEX)</w:t>
      </w:r>
    </w:p>
    <w:p w14:paraId="70F192E6" w14:textId="77777777" w:rsidR="000D4098" w:rsidRDefault="48585CDC" w:rsidP="48585CDC">
      <w:pPr>
        <w:pStyle w:val="NormalWeb"/>
        <w:numPr>
          <w:ilvl w:val="0"/>
          <w:numId w:val="16"/>
        </w:numPr>
        <w:spacing w:before="0" w:beforeAutospacing="0" w:after="0" w:afterAutospacing="0" w:line="360" w:lineRule="auto"/>
        <w:jc w:val="both"/>
      </w:pPr>
      <w:r w:rsidRPr="48585CDC">
        <w:t>evaluation of clinical events (ECE)</w:t>
      </w:r>
    </w:p>
    <w:p w14:paraId="7E9D72FE" w14:textId="77777777" w:rsidR="000D4098" w:rsidRDefault="48585CDC" w:rsidP="48585CDC">
      <w:pPr>
        <w:pStyle w:val="NormalWeb"/>
        <w:numPr>
          <w:ilvl w:val="0"/>
          <w:numId w:val="16"/>
        </w:numPr>
        <w:spacing w:before="0" w:beforeAutospacing="0" w:after="0" w:afterAutospacing="0" w:line="360" w:lineRule="auto"/>
        <w:jc w:val="both"/>
      </w:pPr>
      <w:r w:rsidRPr="48585CDC">
        <w:t>multi-source feedback (MSF)</w:t>
      </w:r>
    </w:p>
    <w:p w14:paraId="79517AC6" w14:textId="77777777" w:rsidR="000D4098" w:rsidRDefault="48585CDC" w:rsidP="48585CDC">
      <w:pPr>
        <w:pStyle w:val="NormalWeb"/>
        <w:numPr>
          <w:ilvl w:val="0"/>
          <w:numId w:val="16"/>
        </w:numPr>
        <w:spacing w:before="0" w:beforeAutospacing="0" w:after="0" w:afterAutospacing="0" w:line="360" w:lineRule="auto"/>
        <w:jc w:val="both"/>
      </w:pPr>
      <w:r w:rsidRPr="48585CDC">
        <w:t>Mini Peer Assessment Tool (</w:t>
      </w:r>
      <w:proofErr w:type="spellStart"/>
      <w:r w:rsidRPr="48585CDC">
        <w:t>mPAT</w:t>
      </w:r>
      <w:proofErr w:type="spellEnd"/>
      <w:r w:rsidRPr="48585CDC">
        <w:t>)</w:t>
      </w:r>
    </w:p>
    <w:p w14:paraId="45DFEB8D" w14:textId="77777777" w:rsidR="000D4098" w:rsidRDefault="48585CDC" w:rsidP="48585CDC">
      <w:pPr>
        <w:pStyle w:val="NormalWeb"/>
        <w:numPr>
          <w:ilvl w:val="0"/>
          <w:numId w:val="16"/>
        </w:numPr>
        <w:spacing w:before="0" w:beforeAutospacing="0" w:after="0" w:afterAutospacing="0" w:line="360" w:lineRule="auto"/>
        <w:jc w:val="both"/>
      </w:pPr>
      <w:r w:rsidRPr="48585CDC">
        <w:t>Portfolio</w:t>
      </w:r>
    </w:p>
    <w:p w14:paraId="3A5C502C" w14:textId="4D49F101" w:rsidR="000D4098" w:rsidRDefault="48585CDC" w:rsidP="48585CD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rPr>
      </w:pPr>
      <w:r w:rsidRPr="48585CDC">
        <w:rPr>
          <w:rFonts w:ascii="Times New Roman" w:eastAsia="Times New Roman" w:hAnsi="Times New Roman" w:cs="Times New Roman"/>
        </w:rPr>
        <w:t xml:space="preserve">Entrustment aligned Pathology assessment instrument for intraoperative consultations (EPA-IC) </w:t>
      </w:r>
    </w:p>
    <w:p w14:paraId="027C7A8F" w14:textId="77777777" w:rsidR="000D4098" w:rsidRDefault="48585CDC" w:rsidP="48585CDC">
      <w:pPr>
        <w:pStyle w:val="ListParagraph"/>
        <w:numPr>
          <w:ilvl w:val="0"/>
          <w:numId w:val="16"/>
        </w:numPr>
        <w:spacing w:beforeAutospacing="1" w:afterAutospacing="1" w:line="360" w:lineRule="auto"/>
        <w:jc w:val="both"/>
        <w:rPr>
          <w:rFonts w:ascii="Times New Roman" w:eastAsia="Calibri" w:hAnsi="Times New Roman" w:cs="Times New Roman"/>
        </w:rPr>
      </w:pPr>
      <w:r w:rsidRPr="48585CDC">
        <w:rPr>
          <w:rFonts w:ascii="Times New Roman" w:eastAsia="Times New Roman" w:hAnsi="Times New Roman" w:cs="Times New Roman"/>
        </w:rPr>
        <w:t>Workplace based assessment tools in Emergency department</w:t>
      </w:r>
    </w:p>
    <w:p w14:paraId="7C7679DE" w14:textId="77777777" w:rsidR="000D4098" w:rsidRDefault="000D4098" w:rsidP="48585CDC">
      <w:pPr>
        <w:pStyle w:val="NormalWeb"/>
        <w:spacing w:before="0" w:beforeAutospacing="0" w:after="0" w:afterAutospacing="0" w:line="360" w:lineRule="auto"/>
        <w:jc w:val="both"/>
      </w:pPr>
    </w:p>
    <w:p w14:paraId="682E2326" w14:textId="77777777" w:rsidR="000D4098" w:rsidRDefault="48585CDC" w:rsidP="48585CDC">
      <w:pPr>
        <w:pStyle w:val="NormalWeb"/>
        <w:spacing w:before="0" w:beforeAutospacing="0" w:after="0" w:afterAutospacing="0" w:line="360" w:lineRule="auto"/>
        <w:jc w:val="both"/>
        <w:rPr>
          <w:b/>
          <w:bCs/>
        </w:rPr>
      </w:pPr>
      <w:r w:rsidRPr="48585CDC">
        <w:rPr>
          <w:b/>
          <w:bCs/>
        </w:rPr>
        <w:t>Definition of Workplace-based Assessment Tools</w:t>
      </w:r>
    </w:p>
    <w:p w14:paraId="4D075021" w14:textId="77777777" w:rsidR="000D4098" w:rsidRDefault="48585CDC" w:rsidP="48585CDC">
      <w:pPr>
        <w:pStyle w:val="NormalWeb"/>
        <w:spacing w:before="0" w:beforeAutospacing="0" w:after="0" w:afterAutospacing="0" w:line="360" w:lineRule="auto"/>
        <w:jc w:val="both"/>
        <w:rPr>
          <w:b/>
          <w:bCs/>
        </w:rPr>
      </w:pPr>
      <w:r w:rsidRPr="48585CDC">
        <w:rPr>
          <w:b/>
          <w:bCs/>
        </w:rPr>
        <w:t>Case-based discussion (</w:t>
      </w:r>
      <w:proofErr w:type="spellStart"/>
      <w:r w:rsidRPr="48585CDC">
        <w:rPr>
          <w:b/>
          <w:bCs/>
        </w:rPr>
        <w:t>CbD</w:t>
      </w:r>
      <w:proofErr w:type="spellEnd"/>
      <w:r w:rsidRPr="48585CDC">
        <w:rPr>
          <w:b/>
          <w:bCs/>
        </w:rPr>
        <w:t>)</w:t>
      </w:r>
    </w:p>
    <w:p w14:paraId="2C99EE56" w14:textId="28B32D10" w:rsidR="000D4098" w:rsidRPr="00A145E3" w:rsidRDefault="48585CDC" w:rsidP="48585CDC">
      <w:pPr>
        <w:spacing w:line="360" w:lineRule="auto"/>
        <w:rPr>
          <w:rFonts w:ascii="Times New Roman" w:eastAsia="Times New Roman" w:hAnsi="Times New Roman" w:cs="Times New Roman"/>
          <w:sz w:val="24"/>
          <w:szCs w:val="24"/>
        </w:rPr>
      </w:pPr>
      <w:r w:rsidRPr="00735861">
        <w:rPr>
          <w:rFonts w:ascii="Times New Roman" w:hAnsi="Times New Roman" w:cs="Times New Roman"/>
          <w:sz w:val="24"/>
          <w:szCs w:val="24"/>
        </w:rPr>
        <w:t>Case-based discussion (</w:t>
      </w:r>
      <w:proofErr w:type="spellStart"/>
      <w:r w:rsidRPr="00735861">
        <w:rPr>
          <w:rFonts w:ascii="Times New Roman" w:hAnsi="Times New Roman" w:cs="Times New Roman"/>
          <w:sz w:val="24"/>
          <w:szCs w:val="24"/>
        </w:rPr>
        <w:t>CbD</w:t>
      </w:r>
      <w:proofErr w:type="spellEnd"/>
      <w:r w:rsidRPr="00735861">
        <w:rPr>
          <w:rFonts w:ascii="Times New Roman" w:hAnsi="Times New Roman" w:cs="Times New Roman"/>
          <w:sz w:val="24"/>
          <w:szCs w:val="24"/>
        </w:rPr>
        <w:t xml:space="preserve">) is a way for trainees to present and discuss their cases with their facilitator throughout their training and obtain systematic and structured feedback from the assessor. It is used to assess the decision-making skills based on their clinical and laboratory findings. The trainee must discuss why they have planned that line of management. The discussion based on the documented involvement of the trainee in medical notes or reports. </w:t>
      </w:r>
      <w:r w:rsidR="00261943" w:rsidRPr="00735861">
        <w:rPr>
          <w:rFonts w:ascii="Times New Roman" w:eastAsia="Times New Roman" w:hAnsi="Times New Roman" w:cs="Times New Roman"/>
          <w:color w:val="000000"/>
          <w:sz w:val="24"/>
          <w:szCs w:val="24"/>
        </w:rPr>
        <w:t xml:space="preserve">The trainee themselves chooses the cases, the time, and the assessor. A case is selected with curriculum objectives in mind a few days before to the assessment, and it is then reviewed using targeted questions intended to elicit answers that would reveal knowledge, abilities, attitudes, and </w:t>
      </w:r>
      <w:r w:rsidR="00A145E3" w:rsidRPr="00735861">
        <w:rPr>
          <w:rFonts w:ascii="Times New Roman" w:eastAsia="Times New Roman" w:hAnsi="Times New Roman" w:cs="Times New Roman"/>
          <w:color w:val="000000"/>
          <w:sz w:val="24"/>
          <w:szCs w:val="24"/>
        </w:rPr>
        <w:t>behaviours</w:t>
      </w:r>
      <w:r w:rsidR="00261943" w:rsidRPr="00735861">
        <w:rPr>
          <w:rFonts w:ascii="Times New Roman" w:eastAsia="Times New Roman" w:hAnsi="Times New Roman" w:cs="Times New Roman"/>
          <w:color w:val="000000"/>
          <w:sz w:val="24"/>
          <w:szCs w:val="24"/>
        </w:rPr>
        <w:t xml:space="preserve"> pertinent to those domains. After the </w:t>
      </w:r>
      <w:r w:rsidR="00261943" w:rsidRPr="00735861">
        <w:rPr>
          <w:rFonts w:ascii="Times New Roman" w:eastAsia="Times New Roman" w:hAnsi="Times New Roman" w:cs="Times New Roman"/>
          <w:color w:val="000000"/>
          <w:sz w:val="24"/>
          <w:szCs w:val="24"/>
        </w:rPr>
        <w:lastRenderedPageBreak/>
        <w:t>discussion, the assessor assigns a quality score to the performance and provides helpful criticism. Trainees are evaluated six times a year on average</w:t>
      </w:r>
      <w:r w:rsidR="00261943" w:rsidRPr="00261943">
        <w:rPr>
          <w:rFonts w:ascii="-webkit-standard" w:eastAsia="Times New Roman" w:hAnsi="-webkit-standard" w:cs="Times New Roman"/>
          <w:color w:val="000000"/>
          <w:sz w:val="27"/>
          <w:szCs w:val="27"/>
        </w:rPr>
        <w:t>. </w:t>
      </w:r>
    </w:p>
    <w:p w14:paraId="74003D7A" w14:textId="77777777" w:rsidR="00A44A8D" w:rsidRPr="00A44A8D" w:rsidRDefault="48585CDC" w:rsidP="00A44A8D">
      <w:pPr>
        <w:spacing w:line="360" w:lineRule="auto"/>
        <w:rPr>
          <w:rFonts w:ascii="Times New Roman" w:eastAsia="Times New Roman" w:hAnsi="Times New Roman" w:cs="Times New Roman"/>
          <w:sz w:val="24"/>
          <w:szCs w:val="24"/>
        </w:rPr>
      </w:pPr>
      <w:r w:rsidRPr="00A44A8D">
        <w:rPr>
          <w:rFonts w:ascii="Times New Roman" w:hAnsi="Times New Roman" w:cs="Times New Roman"/>
          <w:sz w:val="24"/>
          <w:szCs w:val="24"/>
          <w:lang w:val="en-GB"/>
        </w:rPr>
        <w:t xml:space="preserve">Instead of evaluating what the trainees might have done, </w:t>
      </w:r>
      <w:proofErr w:type="spellStart"/>
      <w:r w:rsidRPr="00A44A8D">
        <w:rPr>
          <w:rFonts w:ascii="Times New Roman" w:hAnsi="Times New Roman" w:cs="Times New Roman"/>
          <w:sz w:val="24"/>
          <w:szCs w:val="24"/>
          <w:lang w:val="en-GB"/>
        </w:rPr>
        <w:t>CbD</w:t>
      </w:r>
      <w:proofErr w:type="spellEnd"/>
      <w:r w:rsidRPr="00A44A8D">
        <w:rPr>
          <w:rFonts w:ascii="Times New Roman" w:hAnsi="Times New Roman" w:cs="Times New Roman"/>
          <w:sz w:val="24"/>
          <w:szCs w:val="24"/>
          <w:lang w:val="en-GB"/>
        </w:rPr>
        <w:t xml:space="preserve"> evaluates what they </w:t>
      </w:r>
      <w:proofErr w:type="gramStart"/>
      <w:r w:rsidRPr="00A44A8D">
        <w:rPr>
          <w:rFonts w:ascii="Times New Roman" w:hAnsi="Times New Roman" w:cs="Times New Roman"/>
          <w:sz w:val="24"/>
          <w:szCs w:val="24"/>
          <w:lang w:val="en-GB"/>
        </w:rPr>
        <w:t>actually did</w:t>
      </w:r>
      <w:proofErr w:type="gramEnd"/>
      <w:r w:rsidRPr="00A44A8D">
        <w:rPr>
          <w:rFonts w:ascii="Times New Roman" w:hAnsi="Times New Roman" w:cs="Times New Roman"/>
          <w:sz w:val="24"/>
          <w:szCs w:val="24"/>
          <w:lang w:val="en-GB"/>
        </w:rPr>
        <w:t xml:space="preserve">. And this is the key distinction between the Objective Structured Clinical Examination (OSCE) and </w:t>
      </w:r>
      <w:proofErr w:type="spellStart"/>
      <w:r w:rsidRPr="00A44A8D">
        <w:rPr>
          <w:rFonts w:ascii="Times New Roman" w:hAnsi="Times New Roman" w:cs="Times New Roman"/>
          <w:sz w:val="24"/>
          <w:szCs w:val="24"/>
          <w:lang w:val="en-GB"/>
        </w:rPr>
        <w:t>CbD</w:t>
      </w:r>
      <w:proofErr w:type="spellEnd"/>
      <w:r w:rsidRPr="00A44A8D">
        <w:rPr>
          <w:rFonts w:ascii="Times New Roman" w:hAnsi="Times New Roman" w:cs="Times New Roman"/>
          <w:sz w:val="24"/>
          <w:szCs w:val="24"/>
          <w:lang w:val="en-GB"/>
        </w:rPr>
        <w:t xml:space="preserve">, which assesses the trainee’s performance under examination conditions. </w:t>
      </w:r>
      <w:proofErr w:type="spellStart"/>
      <w:r w:rsidRPr="00A44A8D">
        <w:rPr>
          <w:rFonts w:ascii="Times New Roman" w:hAnsi="Times New Roman" w:cs="Times New Roman"/>
          <w:sz w:val="24"/>
          <w:szCs w:val="24"/>
          <w:lang w:val="en-GB"/>
        </w:rPr>
        <w:t>CbD</w:t>
      </w:r>
      <w:proofErr w:type="spellEnd"/>
      <w:r w:rsidRPr="00A44A8D">
        <w:rPr>
          <w:rFonts w:ascii="Times New Roman" w:hAnsi="Times New Roman" w:cs="Times New Roman"/>
          <w:sz w:val="24"/>
          <w:szCs w:val="24"/>
          <w:lang w:val="en-GB"/>
        </w:rPr>
        <w:t xml:space="preserve"> has been demonstrated to have significant face and content validity with good levels of reliability and validity can be achieved with assessor training [9]. </w:t>
      </w:r>
      <w:r w:rsidR="00A44A8D" w:rsidRPr="00A44A8D">
        <w:rPr>
          <w:rFonts w:ascii="Times New Roman" w:eastAsia="Times New Roman" w:hAnsi="Times New Roman" w:cs="Times New Roman"/>
          <w:color w:val="000000"/>
          <w:sz w:val="24"/>
          <w:szCs w:val="24"/>
        </w:rPr>
        <w:t xml:space="preserve">Due to the inherent nature of </w:t>
      </w:r>
      <w:proofErr w:type="spellStart"/>
      <w:r w:rsidR="00A44A8D" w:rsidRPr="00A44A8D">
        <w:rPr>
          <w:rFonts w:ascii="Times New Roman" w:eastAsia="Times New Roman" w:hAnsi="Times New Roman" w:cs="Times New Roman"/>
          <w:color w:val="000000"/>
          <w:sz w:val="24"/>
          <w:szCs w:val="24"/>
        </w:rPr>
        <w:t>CbD</w:t>
      </w:r>
      <w:proofErr w:type="spellEnd"/>
      <w:r w:rsidR="00A44A8D" w:rsidRPr="00A44A8D">
        <w:rPr>
          <w:rFonts w:ascii="Times New Roman" w:eastAsia="Times New Roman" w:hAnsi="Times New Roman" w:cs="Times New Roman"/>
          <w:color w:val="000000"/>
          <w:sz w:val="24"/>
          <w:szCs w:val="24"/>
        </w:rPr>
        <w:t xml:space="preserve">, evaluations of trainees' applied knowledge, clinical reasoning, and decision-making must be conducted mostly through interactions or discussions involving the doctors' own patients, or cases. The ability to identify difficulties, manage a complex case within the range of possibilities provided, choose a course of action, explain the course of action, and reflect on the results are just a few examples of the wide range of comprehensive, balanced, and justified solutions that </w:t>
      </w:r>
      <w:proofErr w:type="spellStart"/>
      <w:r w:rsidR="00A44A8D" w:rsidRPr="00A44A8D">
        <w:rPr>
          <w:rFonts w:ascii="Times New Roman" w:eastAsia="Times New Roman" w:hAnsi="Times New Roman" w:cs="Times New Roman"/>
          <w:color w:val="000000"/>
          <w:sz w:val="24"/>
          <w:szCs w:val="24"/>
        </w:rPr>
        <w:t>CbD</w:t>
      </w:r>
      <w:proofErr w:type="spellEnd"/>
      <w:r w:rsidR="00A44A8D" w:rsidRPr="00A44A8D">
        <w:rPr>
          <w:rFonts w:ascii="Times New Roman" w:eastAsia="Times New Roman" w:hAnsi="Times New Roman" w:cs="Times New Roman"/>
          <w:color w:val="000000"/>
          <w:sz w:val="24"/>
          <w:szCs w:val="24"/>
        </w:rPr>
        <w:t xml:space="preserve"> may explore in complex scenarios.</w:t>
      </w:r>
    </w:p>
    <w:p w14:paraId="7F09D551" w14:textId="48437498" w:rsidR="000D4098" w:rsidRDefault="000D4098" w:rsidP="00A44A8D">
      <w:pPr>
        <w:spacing w:line="360" w:lineRule="auto"/>
      </w:pPr>
    </w:p>
    <w:p w14:paraId="374988D3" w14:textId="77777777" w:rsidR="000D4098" w:rsidRDefault="48585CDC" w:rsidP="48585CDC">
      <w:pPr>
        <w:pStyle w:val="NormalWeb"/>
        <w:spacing w:before="0" w:beforeAutospacing="0" w:after="0" w:afterAutospacing="0" w:line="360" w:lineRule="auto"/>
        <w:jc w:val="both"/>
        <w:rPr>
          <w:b/>
          <w:bCs/>
        </w:rPr>
      </w:pPr>
      <w:r w:rsidRPr="48585CDC">
        <w:rPr>
          <w:b/>
          <w:bCs/>
        </w:rPr>
        <w:t>Direct observation of practical skills (DOPS)</w:t>
      </w:r>
    </w:p>
    <w:p w14:paraId="5F23813E" w14:textId="1393A065" w:rsidR="00A664A2" w:rsidRPr="00480058" w:rsidRDefault="00427F07" w:rsidP="00480058">
      <w:pPr>
        <w:spacing w:line="360" w:lineRule="auto"/>
        <w:rPr>
          <w:rFonts w:ascii="Times New Roman" w:eastAsia="Times New Roman" w:hAnsi="Times New Roman" w:cs="Times New Roman"/>
          <w:sz w:val="24"/>
          <w:szCs w:val="24"/>
        </w:rPr>
      </w:pPr>
      <w:r w:rsidRPr="00427F07">
        <w:rPr>
          <w:rFonts w:ascii="Times New Roman" w:eastAsia="Times New Roman" w:hAnsi="Times New Roman" w:cs="Times New Roman"/>
          <w:color w:val="000000"/>
          <w:sz w:val="24"/>
          <w:szCs w:val="24"/>
        </w:rPr>
        <w:t xml:space="preserve">The method called DOPS was created especially to evaluate trainees' efficiency in the daily practical tasks they perform as part of their training. The Royal College of Physicians </w:t>
      </w:r>
      <w:r w:rsidR="00480058" w:rsidRPr="00480058">
        <w:rPr>
          <w:rFonts w:ascii="Times New Roman" w:eastAsia="Times New Roman" w:hAnsi="Times New Roman" w:cs="Times New Roman"/>
          <w:color w:val="000000"/>
          <w:sz w:val="24"/>
          <w:szCs w:val="24"/>
        </w:rPr>
        <w:t xml:space="preserve">first </w:t>
      </w:r>
      <w:r w:rsidRPr="00427F07">
        <w:rPr>
          <w:rFonts w:ascii="Times New Roman" w:eastAsia="Times New Roman" w:hAnsi="Times New Roman" w:cs="Times New Roman"/>
          <w:color w:val="000000"/>
          <w:sz w:val="24"/>
          <w:szCs w:val="24"/>
        </w:rPr>
        <w:t xml:space="preserve">created and assessed </w:t>
      </w:r>
      <w:r w:rsidR="00480058" w:rsidRPr="00480058">
        <w:rPr>
          <w:rFonts w:ascii="Times New Roman" w:eastAsia="Times New Roman" w:hAnsi="Times New Roman" w:cs="Times New Roman"/>
          <w:color w:val="000000"/>
          <w:sz w:val="24"/>
          <w:szCs w:val="24"/>
        </w:rPr>
        <w:t xml:space="preserve">the </w:t>
      </w:r>
      <w:r w:rsidRPr="00427F07">
        <w:rPr>
          <w:rFonts w:ascii="Times New Roman" w:eastAsia="Times New Roman" w:hAnsi="Times New Roman" w:cs="Times New Roman"/>
          <w:color w:val="000000"/>
          <w:sz w:val="24"/>
          <w:szCs w:val="24"/>
        </w:rPr>
        <w:t xml:space="preserve">DOPS </w:t>
      </w:r>
      <w:r w:rsidR="00480058" w:rsidRPr="00480058">
        <w:rPr>
          <w:rFonts w:ascii="Times New Roman" w:eastAsia="Times New Roman" w:hAnsi="Times New Roman" w:cs="Times New Roman"/>
          <w:color w:val="000000"/>
          <w:sz w:val="24"/>
          <w:szCs w:val="24"/>
        </w:rPr>
        <w:t>tool</w:t>
      </w:r>
      <w:r w:rsidRPr="00427F07">
        <w:rPr>
          <w:rFonts w:ascii="Times New Roman" w:eastAsia="Times New Roman" w:hAnsi="Times New Roman" w:cs="Times New Roman"/>
          <w:color w:val="000000"/>
          <w:sz w:val="24"/>
          <w:szCs w:val="24"/>
        </w:rPr>
        <w:t>. </w:t>
      </w:r>
      <w:r w:rsidR="00480058">
        <w:rPr>
          <w:rFonts w:ascii="Times New Roman" w:eastAsia="Times New Roman" w:hAnsi="Times New Roman" w:cs="Times New Roman"/>
          <w:sz w:val="24"/>
          <w:szCs w:val="24"/>
        </w:rPr>
        <w:t xml:space="preserve">The </w:t>
      </w:r>
      <w:r w:rsidR="48585CDC" w:rsidRPr="00480058">
        <w:rPr>
          <w:rFonts w:ascii="Times New Roman" w:hAnsi="Times New Roman" w:cs="Times New Roman"/>
          <w:sz w:val="24"/>
          <w:szCs w:val="24"/>
        </w:rPr>
        <w:t>procedure may be a laboratory technique or a clinical procedure. The trainees</w:t>
      </w:r>
      <w:r w:rsidR="48585CDC" w:rsidRPr="48585CDC">
        <w:rPr>
          <w:rFonts w:ascii="Times New Roman" w:hAnsi="Times New Roman" w:cs="Times New Roman"/>
          <w:sz w:val="24"/>
          <w:szCs w:val="24"/>
        </w:rPr>
        <w:t xml:space="preserve"> decide on the </w:t>
      </w:r>
      <w:r w:rsidR="48585CDC" w:rsidRPr="00480058">
        <w:rPr>
          <w:rFonts w:ascii="Times New Roman" w:hAnsi="Times New Roman" w:cs="Times New Roman"/>
          <w:sz w:val="24"/>
          <w:szCs w:val="24"/>
        </w:rPr>
        <w:t xml:space="preserve">process and schedule. However, the assessor must concur that the procedure is appropriate. The common procedures for which DOPS can be used are insertion of an IV-line, endo tracheal intubation, urinary bladder catheterisation and Ryle’s tube insertion. Usually, the encounters are for 15 minutes with 5 minutes feedback. After the encounters, the faculty will rate the trainee’s performance and will give the educational feedback. The strength of the trainee and area of improvement will be documented. A standard format is used, and the feedback and comments are given immediately. </w:t>
      </w:r>
      <w:r w:rsidR="48585CDC" w:rsidRPr="48585CDC">
        <w:rPr>
          <w:rFonts w:ascii="Times New Roman" w:hAnsi="Times New Roman" w:cs="Times New Roman"/>
          <w:sz w:val="24"/>
          <w:szCs w:val="24"/>
        </w:rPr>
        <w:t xml:space="preserve">The trainees will be evaluated several times by different examiners. Consultants, senior specialist registrars, associate specialists, and general practitioners are among the assessors. </w:t>
      </w:r>
    </w:p>
    <w:p w14:paraId="07051E55" w14:textId="1C09B3A0" w:rsidR="00D9016E" w:rsidRPr="000D20E2" w:rsidRDefault="48585CDC" w:rsidP="000D20E2">
      <w:pPr>
        <w:spacing w:line="360" w:lineRule="auto"/>
        <w:rPr>
          <w:rFonts w:ascii="Times New Roman" w:hAnsi="Times New Roman" w:cs="Times New Roman"/>
          <w:sz w:val="24"/>
          <w:szCs w:val="24"/>
        </w:rPr>
      </w:pPr>
      <w:r w:rsidRPr="48585CDC">
        <w:rPr>
          <w:rFonts w:ascii="Times New Roman" w:hAnsi="Times New Roman" w:cs="Times New Roman"/>
          <w:sz w:val="24"/>
          <w:szCs w:val="24"/>
        </w:rPr>
        <w:t>The results of the global ratings can be reliable, according to studies.  In an objective structured assessment of procedural skills, Goff et al. showed that two assessors' evaluations of occurrence, quality, and fitness allowed them to differentiate between the various training levels [73]. Marriott et al. found that using DOPS to assess the training skills in the operating theatre had good validity, reliability and acceptability[68]</w:t>
      </w:r>
    </w:p>
    <w:p w14:paraId="4AD1CA01" w14:textId="634C73D8" w:rsidR="000D4098" w:rsidRDefault="48585CDC" w:rsidP="48585CDC">
      <w:pPr>
        <w:pStyle w:val="NormalWeb"/>
        <w:spacing w:before="0" w:beforeAutospacing="0" w:after="0" w:afterAutospacing="0" w:line="360" w:lineRule="auto"/>
        <w:jc w:val="both"/>
        <w:rPr>
          <w:b/>
          <w:bCs/>
        </w:rPr>
      </w:pPr>
      <w:r w:rsidRPr="48585CDC">
        <w:rPr>
          <w:b/>
          <w:bCs/>
        </w:rPr>
        <w:lastRenderedPageBreak/>
        <w:t>CSR (Chart- stimulated recall)</w:t>
      </w:r>
    </w:p>
    <w:p w14:paraId="6D3F742F" w14:textId="63937510" w:rsidR="000D4098" w:rsidRPr="00D9016E" w:rsidRDefault="48585CDC" w:rsidP="48585CDC">
      <w:pPr>
        <w:spacing w:line="360" w:lineRule="auto"/>
        <w:rPr>
          <w:rFonts w:ascii="Times New Roman" w:hAnsi="Times New Roman" w:cs="Times New Roman"/>
          <w:sz w:val="24"/>
          <w:szCs w:val="24"/>
        </w:rPr>
      </w:pPr>
      <w:proofErr w:type="spellStart"/>
      <w:r w:rsidRPr="48585CDC">
        <w:rPr>
          <w:rFonts w:ascii="Times New Roman" w:hAnsi="Times New Roman" w:cs="Times New Roman"/>
          <w:sz w:val="24"/>
          <w:szCs w:val="24"/>
        </w:rPr>
        <w:t>Maatsch</w:t>
      </w:r>
      <w:proofErr w:type="spellEnd"/>
      <w:r w:rsidRPr="48585CDC">
        <w:rPr>
          <w:rFonts w:ascii="Times New Roman" w:hAnsi="Times New Roman" w:cs="Times New Roman"/>
          <w:sz w:val="24"/>
          <w:szCs w:val="24"/>
        </w:rPr>
        <w:t xml:space="preserve"> created it for the American Board of Emergency Medicine to use.[74] Case based Discussion which is used in the foundation programme is a variation of CSR. In these settings, the trainee must select two case records from the patients they have seen recently. The assessor chooses one and works with the learner to study any one aspect of it. The assessor may decide to concentrate on either the investigations the trainee requested or the ethical concerns the patient highlighted. The assessor is interested in assessing the understanding the reasoning skill of the trainee. </w:t>
      </w:r>
    </w:p>
    <w:p w14:paraId="36591786" w14:textId="77777777" w:rsidR="000D4098" w:rsidRDefault="000D4098" w:rsidP="48585CDC">
      <w:pPr>
        <w:pStyle w:val="NormalWeb"/>
        <w:spacing w:before="0" w:beforeAutospacing="0" w:after="0" w:afterAutospacing="0" w:line="360" w:lineRule="auto"/>
        <w:jc w:val="both"/>
      </w:pPr>
    </w:p>
    <w:p w14:paraId="758FB705" w14:textId="77777777" w:rsidR="000D4098" w:rsidRDefault="48585CDC" w:rsidP="48585CDC">
      <w:pPr>
        <w:pStyle w:val="NormalWeb"/>
        <w:spacing w:before="0" w:beforeAutospacing="0" w:after="0" w:afterAutospacing="0" w:line="360" w:lineRule="auto"/>
        <w:jc w:val="both"/>
        <w:rPr>
          <w:b/>
          <w:bCs/>
        </w:rPr>
      </w:pPr>
      <w:r w:rsidRPr="48585CDC">
        <w:rPr>
          <w:b/>
          <w:bCs/>
        </w:rPr>
        <w:t>Mini clinical evaluation exercise (Mini-CEX)</w:t>
      </w:r>
    </w:p>
    <w:p w14:paraId="00891991" w14:textId="7C59FDBC" w:rsidR="00E1518C" w:rsidRPr="00E1518C" w:rsidRDefault="48585CDC" w:rsidP="00E1518C">
      <w:pPr>
        <w:spacing w:line="360" w:lineRule="auto"/>
        <w:rPr>
          <w:rFonts w:ascii="Times New Roman" w:eastAsia="Times New Roman" w:hAnsi="Times New Roman" w:cs="Times New Roman"/>
          <w:sz w:val="24"/>
          <w:szCs w:val="24"/>
        </w:rPr>
      </w:pPr>
      <w:r w:rsidRPr="00E1518C">
        <w:rPr>
          <w:rFonts w:ascii="Times New Roman" w:hAnsi="Times New Roman" w:cs="Times New Roman"/>
          <w:sz w:val="24"/>
          <w:szCs w:val="24"/>
        </w:rPr>
        <w:t xml:space="preserve">Due to therapeutic responsibilities, teaching and learning are frequently unstructured in clinical settings. Therefore, technologies that make the processes clear for both students and teachers are crucial for learning. The usefulness of Mini-CEX in identifying areas of strength and weakness across a range of topics demonstrates its significance in finding teaching opportunities [1]. Mini-CEX records a moment of a doctor-patient encounter. It is intended for an assessor to give trainees comments on abilities crucial to delivering high-quality clinical care while watching a real-world clinical interaction. </w:t>
      </w:r>
      <w:r w:rsidR="009039CF" w:rsidRPr="00E1518C">
        <w:rPr>
          <w:rFonts w:ascii="Times New Roman" w:eastAsia="Times New Roman" w:hAnsi="Times New Roman" w:cs="Times New Roman"/>
          <w:color w:val="000000"/>
          <w:sz w:val="24"/>
          <w:szCs w:val="24"/>
        </w:rPr>
        <w:t>Usually, this assessment only looks at one aspect of the clinical contact, such obtaining a history or doing a clinical examination, and it takes place in a clinic or ward. The evaluation is documented using a standard proforma, and the intended standard is that of a trainee at the completion of the relevant training phase</w:t>
      </w:r>
      <w:r w:rsidRPr="00E1518C">
        <w:rPr>
          <w:rFonts w:ascii="Times New Roman" w:hAnsi="Times New Roman" w:cs="Times New Roman"/>
          <w:sz w:val="24"/>
          <w:szCs w:val="24"/>
        </w:rPr>
        <w:t>[9].</w:t>
      </w:r>
      <w:r w:rsidR="00E1518C">
        <w:rPr>
          <w:rFonts w:ascii="Times New Roman" w:eastAsia="Times New Roman" w:hAnsi="Times New Roman" w:cs="Times New Roman"/>
          <w:sz w:val="24"/>
          <w:szCs w:val="24"/>
        </w:rPr>
        <w:t xml:space="preserve"> </w:t>
      </w:r>
      <w:r w:rsidR="00E1518C" w:rsidRPr="00E1518C">
        <w:rPr>
          <w:rFonts w:ascii="Times New Roman" w:eastAsia="Times New Roman" w:hAnsi="Times New Roman" w:cs="Times New Roman"/>
          <w:color w:val="000000"/>
          <w:sz w:val="24"/>
          <w:szCs w:val="24"/>
        </w:rPr>
        <w:t>Mini-CEX is led by trainees. It is important to inform patients that this type of exercise is being performed. After every mini-CEX interaction, strengths, areas for improvement, and agreed-upon measures should be documented. </w:t>
      </w:r>
    </w:p>
    <w:p w14:paraId="66F7692B" w14:textId="6C43CFD5" w:rsidR="000D4098" w:rsidRDefault="48585CDC" w:rsidP="48585CDC">
      <w:pPr>
        <w:pStyle w:val="NormalWeb"/>
        <w:spacing w:before="0" w:beforeAutospacing="0" w:after="0" w:afterAutospacing="0" w:line="360" w:lineRule="auto"/>
        <w:jc w:val="both"/>
      </w:pPr>
      <w:r w:rsidRPr="48585CDC">
        <w:t xml:space="preserve">The encounters are intended to take about 15 min and the trainees are evaluated several times by different faculty members. Nine-point rating scale is used where 1-3 is unsatisfactory, 4-6 is satisfactory and more than 7 is expert. The interviewing skills, physical examination, professionalism, clinical judgement, counselling, organisation, and efficiency are few mini-CEX encounters. </w:t>
      </w:r>
    </w:p>
    <w:p w14:paraId="3C8A9301" w14:textId="56E3ED7D" w:rsidR="000D4098" w:rsidRDefault="48585CDC" w:rsidP="48585CDC">
      <w:pPr>
        <w:pStyle w:val="NormalWeb"/>
        <w:spacing w:line="360" w:lineRule="auto"/>
        <w:jc w:val="both"/>
        <w:rPr>
          <w:rFonts w:eastAsia="Times New Roman"/>
        </w:rPr>
      </w:pPr>
      <w:r w:rsidRPr="48585CDC">
        <w:rPr>
          <w:rFonts w:eastAsia="Times New Roman"/>
        </w:rPr>
        <w:t xml:space="preserve">The mini-CEX is comparable to a test conducted in a classroom for a medical setting. Its purpose is to identify trainees who are performing poorly and to document their shortcomings. This documentation serves as justification for the decision made by the educator regarding the trainee. The tool was more helpful to trainees who had received instruction in using Mini-CEX in medical school than it was to students who had not [10]. </w:t>
      </w:r>
    </w:p>
    <w:p w14:paraId="2B3654EC" w14:textId="77777777" w:rsidR="000D4098" w:rsidRDefault="48585CDC" w:rsidP="48585CDC">
      <w:pPr>
        <w:pStyle w:val="NormalWeb"/>
        <w:spacing w:before="0" w:beforeAutospacing="0" w:after="0" w:afterAutospacing="0" w:line="360" w:lineRule="auto"/>
        <w:jc w:val="both"/>
        <w:rPr>
          <w:b/>
          <w:bCs/>
        </w:rPr>
      </w:pPr>
      <w:r w:rsidRPr="48585CDC">
        <w:rPr>
          <w:b/>
          <w:bCs/>
        </w:rPr>
        <w:lastRenderedPageBreak/>
        <w:t>Evaluation of clinical events (ECE)</w:t>
      </w:r>
    </w:p>
    <w:p w14:paraId="5E64A71E" w14:textId="3354A787" w:rsidR="000D4098" w:rsidRPr="00A36F4B" w:rsidRDefault="00A36F4B" w:rsidP="00A36F4B">
      <w:pPr>
        <w:spacing w:line="360" w:lineRule="auto"/>
        <w:rPr>
          <w:rFonts w:ascii="Times New Roman" w:eastAsia="Times New Roman" w:hAnsi="Times New Roman" w:cs="Times New Roman"/>
          <w:sz w:val="24"/>
          <w:szCs w:val="24"/>
        </w:rPr>
      </w:pPr>
      <w:r w:rsidRPr="00A36F4B">
        <w:rPr>
          <w:rFonts w:ascii="-webkit-standard" w:eastAsia="Times New Roman" w:hAnsi="-webkit-standard" w:cs="Times New Roman"/>
          <w:color w:val="000000"/>
          <w:sz w:val="27"/>
          <w:szCs w:val="27"/>
        </w:rPr>
        <w:t>O</w:t>
      </w:r>
      <w:r w:rsidRPr="00A36F4B">
        <w:rPr>
          <w:rFonts w:ascii="Times New Roman" w:eastAsia="Times New Roman" w:hAnsi="Times New Roman" w:cs="Times New Roman"/>
          <w:color w:val="000000"/>
          <w:sz w:val="24"/>
          <w:szCs w:val="24"/>
        </w:rPr>
        <w:t>ne new tool is ECE. It offers an approach to evaluate how well the trainee performs their responsibilities in challenging tasks, which frequently call for collaboration or communication with other qualified employees. Examples include presenting a case at a multidisciplinary team conference, evaluating and reporting diagnostic material clinicopathologically, and participating in quality assurance and audit procedures in both clinical and laboratory settings</w:t>
      </w:r>
      <w:r w:rsidR="48585CDC" w:rsidRPr="00A36F4B">
        <w:rPr>
          <w:rFonts w:ascii="Times New Roman" w:hAnsi="Times New Roman" w:cs="Times New Roman"/>
          <w:sz w:val="24"/>
          <w:szCs w:val="24"/>
        </w:rPr>
        <w:t>[</w:t>
      </w:r>
      <w:r w:rsidR="48585CDC" w:rsidRPr="48585CDC">
        <w:t>75].</w:t>
      </w:r>
    </w:p>
    <w:p w14:paraId="566C0B61" w14:textId="77777777" w:rsidR="000D4098" w:rsidRDefault="000D4098" w:rsidP="48585CDC">
      <w:pPr>
        <w:pStyle w:val="NormalWeb"/>
        <w:spacing w:before="0" w:beforeAutospacing="0" w:after="0" w:afterAutospacing="0" w:line="360" w:lineRule="auto"/>
        <w:jc w:val="both"/>
      </w:pPr>
    </w:p>
    <w:p w14:paraId="09FD6E25" w14:textId="77777777" w:rsidR="000D4098" w:rsidRDefault="48585CDC" w:rsidP="48585CDC">
      <w:pPr>
        <w:pStyle w:val="NormalWeb"/>
        <w:spacing w:before="0" w:beforeAutospacing="0" w:after="0" w:afterAutospacing="0" w:line="360" w:lineRule="auto"/>
        <w:jc w:val="both"/>
        <w:rPr>
          <w:b/>
          <w:bCs/>
        </w:rPr>
      </w:pPr>
      <w:r w:rsidRPr="48585CDC">
        <w:rPr>
          <w:b/>
          <w:bCs/>
        </w:rPr>
        <w:t>Multi-source feedback (MSF)</w:t>
      </w:r>
    </w:p>
    <w:p w14:paraId="4F2B57E5" w14:textId="67AC0212" w:rsidR="00F6059D" w:rsidRPr="00F6059D" w:rsidRDefault="48585CDC" w:rsidP="00F6059D">
      <w:pPr>
        <w:spacing w:line="360" w:lineRule="auto"/>
        <w:rPr>
          <w:rFonts w:ascii="Times New Roman" w:eastAsia="Times New Roman" w:hAnsi="Times New Roman" w:cs="Times New Roman"/>
          <w:sz w:val="24"/>
          <w:szCs w:val="24"/>
        </w:rPr>
      </w:pPr>
      <w:r w:rsidRPr="00F6059D">
        <w:rPr>
          <w:rFonts w:ascii="Times New Roman" w:hAnsi="Times New Roman" w:cs="Times New Roman"/>
          <w:sz w:val="24"/>
          <w:szCs w:val="24"/>
        </w:rPr>
        <w:t xml:space="preserve">Sometime referred to as 360° feedback, </w:t>
      </w:r>
      <w:r w:rsidR="00F6059D" w:rsidRPr="00F6059D">
        <w:rPr>
          <w:rFonts w:ascii="Times New Roman" w:eastAsia="Times New Roman" w:hAnsi="Times New Roman" w:cs="Times New Roman"/>
          <w:color w:val="000000"/>
          <w:sz w:val="24"/>
          <w:szCs w:val="24"/>
        </w:rPr>
        <w:t xml:space="preserve">MSF is a technique for getting organized feedback from trainee-related staff members who have the chance to observe them in action. These employees may include their managers as well as </w:t>
      </w:r>
      <w:r w:rsidR="00F6059D">
        <w:rPr>
          <w:rFonts w:ascii="Times New Roman" w:eastAsia="Times New Roman" w:hAnsi="Times New Roman" w:cs="Times New Roman"/>
          <w:color w:val="000000"/>
          <w:sz w:val="24"/>
          <w:szCs w:val="24"/>
        </w:rPr>
        <w:t>peers</w:t>
      </w:r>
      <w:r w:rsidR="00F6059D" w:rsidRPr="00F6059D">
        <w:rPr>
          <w:rFonts w:ascii="Times New Roman" w:eastAsia="Times New Roman" w:hAnsi="Times New Roman" w:cs="Times New Roman"/>
          <w:color w:val="000000"/>
          <w:sz w:val="24"/>
          <w:szCs w:val="24"/>
        </w:rPr>
        <w:t xml:space="preserve"> and those the trainee oversees or even looks after in terms of their relationships and conduct in a professional manner.</w:t>
      </w:r>
    </w:p>
    <w:p w14:paraId="3C4D5486" w14:textId="4CD7BC5D" w:rsidR="000D4098" w:rsidRPr="00B40B11" w:rsidRDefault="48585CDC" w:rsidP="00F6059D">
      <w:pPr>
        <w:pStyle w:val="NormalWeb"/>
        <w:spacing w:before="0" w:beforeAutospacing="0" w:after="0" w:afterAutospacing="0" w:line="360" w:lineRule="auto"/>
        <w:jc w:val="both"/>
      </w:pPr>
      <w:r w:rsidRPr="00F6059D">
        <w:t xml:space="preserve"> Anonymized feedback is provided with a list of qualities or behavioural characteristics for the learner to consider and make the necessary corrections</w:t>
      </w:r>
      <w:r w:rsidRPr="48585CDC">
        <w:t xml:space="preserve">. </w:t>
      </w:r>
    </w:p>
    <w:p w14:paraId="5A77361D" w14:textId="6E3E7712" w:rsidR="000D4098" w:rsidRPr="00B5079A" w:rsidRDefault="00A73203" w:rsidP="00B5079A">
      <w:pPr>
        <w:spacing w:line="360" w:lineRule="auto"/>
        <w:rPr>
          <w:rFonts w:ascii="Times New Roman" w:eastAsia="Times New Roman" w:hAnsi="Times New Roman" w:cs="Times New Roman"/>
          <w:sz w:val="24"/>
          <w:szCs w:val="24"/>
        </w:rPr>
      </w:pPr>
      <w:r w:rsidRPr="00A73203">
        <w:rPr>
          <w:rFonts w:ascii="Times New Roman" w:eastAsia="Times New Roman" w:hAnsi="Times New Roman" w:cs="Times New Roman"/>
          <w:color w:val="000000"/>
          <w:sz w:val="24"/>
          <w:szCs w:val="24"/>
        </w:rPr>
        <w:t>Additionally, the trainee contributes their own review of their own performance. It offers fair criticism on the trainee's conduct and proficiency in clinical settings that the supervisor might not be able to see first-hand. </w:t>
      </w:r>
      <w:r w:rsidR="48585CDC" w:rsidRPr="00A73203">
        <w:rPr>
          <w:rFonts w:ascii="Times New Roman" w:hAnsi="Times New Roman" w:cs="Times New Roman"/>
          <w:sz w:val="24"/>
          <w:szCs w:val="24"/>
        </w:rPr>
        <w:t>Mini peer assessment tool, team assessment of behaviour, and patient satisfaction questionnaire are the other tools used to assess this domain of assessment.</w:t>
      </w:r>
    </w:p>
    <w:p w14:paraId="2A63EAFA" w14:textId="77777777" w:rsidR="000D4098" w:rsidRDefault="000D4098" w:rsidP="48585CDC">
      <w:pPr>
        <w:pStyle w:val="NormalWeb"/>
        <w:spacing w:before="0" w:beforeAutospacing="0" w:after="0" w:afterAutospacing="0" w:line="360" w:lineRule="auto"/>
        <w:jc w:val="both"/>
      </w:pPr>
    </w:p>
    <w:p w14:paraId="563A36A3" w14:textId="77777777" w:rsidR="000D4098" w:rsidRDefault="48585CDC" w:rsidP="48585CDC">
      <w:pPr>
        <w:spacing w:line="360" w:lineRule="auto"/>
        <w:jc w:val="both"/>
        <w:rPr>
          <w:rFonts w:ascii="Times New Roman" w:hAnsi="Times New Roman" w:cs="Times New Roman"/>
          <w:b/>
          <w:bCs/>
          <w:sz w:val="24"/>
          <w:szCs w:val="24"/>
          <w:lang w:val="en-GB"/>
        </w:rPr>
      </w:pPr>
      <w:r w:rsidRPr="48585CDC">
        <w:rPr>
          <w:rFonts w:ascii="Times New Roman" w:hAnsi="Times New Roman" w:cs="Times New Roman"/>
          <w:b/>
          <w:bCs/>
          <w:sz w:val="24"/>
          <w:szCs w:val="24"/>
          <w:lang w:val="en-GB"/>
        </w:rPr>
        <w:t>Mini-peer assessment tool (</w:t>
      </w:r>
      <w:proofErr w:type="spellStart"/>
      <w:r w:rsidRPr="48585CDC">
        <w:rPr>
          <w:rFonts w:ascii="Times New Roman" w:hAnsi="Times New Roman" w:cs="Times New Roman"/>
          <w:b/>
          <w:bCs/>
          <w:sz w:val="24"/>
          <w:szCs w:val="24"/>
          <w:lang w:val="en-GB"/>
        </w:rPr>
        <w:t>mPAT</w:t>
      </w:r>
      <w:proofErr w:type="spellEnd"/>
      <w:r w:rsidRPr="48585CDC">
        <w:rPr>
          <w:rFonts w:ascii="Times New Roman" w:hAnsi="Times New Roman" w:cs="Times New Roman"/>
          <w:b/>
          <w:bCs/>
          <w:sz w:val="24"/>
          <w:szCs w:val="24"/>
          <w:lang w:val="en-GB"/>
        </w:rPr>
        <w:t>)</w:t>
      </w:r>
      <w:r w:rsidRPr="48585CDC">
        <w:rPr>
          <w:rFonts w:ascii="Times New Roman" w:hAnsi="Times New Roman" w:cs="Times New Roman"/>
          <w:b/>
          <w:bCs/>
          <w:sz w:val="24"/>
          <w:szCs w:val="24"/>
        </w:rPr>
        <w:t> </w:t>
      </w:r>
    </w:p>
    <w:p w14:paraId="43DDA2C4" w14:textId="7B2310FD" w:rsidR="000D4098" w:rsidRDefault="48585CDC" w:rsidP="48585CDC">
      <w:pPr>
        <w:pStyle w:val="ListParagraph"/>
        <w:numPr>
          <w:ilvl w:val="0"/>
          <w:numId w:val="15"/>
        </w:numPr>
        <w:spacing w:line="360" w:lineRule="auto"/>
        <w:jc w:val="both"/>
        <w:rPr>
          <w:rFonts w:ascii="Calibri" w:hAnsi="Calibri"/>
          <w:sz w:val="22"/>
          <w:szCs w:val="22"/>
          <w:lang w:val="en-GB"/>
        </w:rPr>
      </w:pPr>
      <w:proofErr w:type="spellStart"/>
      <w:r w:rsidRPr="48585CDC">
        <w:rPr>
          <w:rFonts w:ascii="Times New Roman" w:hAnsi="Times New Roman" w:cs="Times New Roman"/>
          <w:lang w:val="en-GB"/>
        </w:rPr>
        <w:t>mPAT</w:t>
      </w:r>
      <w:proofErr w:type="spellEnd"/>
      <w:r w:rsidRPr="48585CDC">
        <w:rPr>
          <w:rFonts w:ascii="Times New Roman" w:hAnsi="Times New Roman" w:cs="Times New Roman"/>
          <w:lang w:val="en-GB"/>
        </w:rPr>
        <w:t xml:space="preserve"> encompasses the integration of ideas about a trainee’s performance in a range of competence domains from their </w:t>
      </w:r>
      <w:proofErr w:type="gramStart"/>
      <w:r w:rsidRPr="48585CDC">
        <w:rPr>
          <w:rFonts w:ascii="Times New Roman" w:hAnsi="Times New Roman" w:cs="Times New Roman"/>
          <w:lang w:val="en-GB"/>
        </w:rPr>
        <w:t>colleagues</w:t>
      </w:r>
      <w:r w:rsidRPr="48585CDC">
        <w:rPr>
          <w:rFonts w:ascii="Times New Roman" w:hAnsi="Times New Roman" w:cs="Times New Roman"/>
        </w:rPr>
        <w:t>[</w:t>
      </w:r>
      <w:proofErr w:type="gramEnd"/>
      <w:r w:rsidRPr="48585CDC">
        <w:rPr>
          <w:rFonts w:ascii="Times New Roman" w:hAnsi="Times New Roman" w:cs="Times New Roman"/>
        </w:rPr>
        <w:t>76]</w:t>
      </w:r>
      <w:r w:rsidRPr="48585CDC">
        <w:rPr>
          <w:rFonts w:ascii="Times New Roman" w:hAnsi="Times New Roman" w:cs="Times New Roman"/>
          <w:lang w:val="en-GB"/>
        </w:rPr>
        <w:t xml:space="preserve">. This assessment strategy gathers confidential feedback from eight peers evaluating 16 aspects from the aforementioned </w:t>
      </w:r>
      <w:proofErr w:type="gramStart"/>
      <w:r w:rsidRPr="48585CDC">
        <w:rPr>
          <w:rFonts w:ascii="Times New Roman" w:hAnsi="Times New Roman" w:cs="Times New Roman"/>
          <w:lang w:val="en-GB"/>
        </w:rPr>
        <w:t>fields</w:t>
      </w:r>
      <w:proofErr w:type="gramEnd"/>
      <w:r w:rsidRPr="48585CDC">
        <w:rPr>
          <w:rFonts w:ascii="Times New Roman" w:hAnsi="Times New Roman" w:cs="Times New Roman"/>
          <w:lang w:val="en-GB"/>
        </w:rPr>
        <w:t xml:space="preserve"> </w:t>
      </w:r>
      <w:r w:rsidRPr="48585CDC">
        <w:rPr>
          <w:lang w:val="en-GB"/>
        </w:rPr>
        <w:t xml:space="preserve"> </w:t>
      </w:r>
    </w:p>
    <w:p w14:paraId="3C06C8C7" w14:textId="5ADAC529" w:rsidR="000D4098" w:rsidRDefault="48585CDC" w:rsidP="48585CDC">
      <w:pPr>
        <w:pStyle w:val="ListParagraph"/>
        <w:numPr>
          <w:ilvl w:val="0"/>
          <w:numId w:val="15"/>
        </w:numPr>
        <w:spacing w:line="360" w:lineRule="auto"/>
        <w:rPr>
          <w:rFonts w:ascii="Calibri" w:hAnsi="Calibri"/>
          <w:lang w:val="en-GB"/>
        </w:rPr>
      </w:pPr>
      <w:r w:rsidRPr="48585CDC">
        <w:rPr>
          <w:lang w:val="en-GB"/>
        </w:rPr>
        <w:t xml:space="preserve">diagnosis and effective use of the investigative tools at hand </w:t>
      </w:r>
    </w:p>
    <w:p w14:paraId="0BE66B73" w14:textId="4FD29CEF" w:rsidR="000D4098" w:rsidRDefault="48585CDC" w:rsidP="48585CDC">
      <w:pPr>
        <w:pStyle w:val="ListParagraph"/>
        <w:numPr>
          <w:ilvl w:val="0"/>
          <w:numId w:val="15"/>
        </w:numPr>
        <w:spacing w:line="360" w:lineRule="auto"/>
        <w:rPr>
          <w:rFonts w:ascii="Calibri" w:hAnsi="Calibri"/>
          <w:sz w:val="22"/>
          <w:szCs w:val="22"/>
          <w:lang w:val="en-GB"/>
        </w:rPr>
      </w:pPr>
      <w:r w:rsidRPr="48585CDC">
        <w:rPr>
          <w:lang w:val="en-GB"/>
        </w:rPr>
        <w:t xml:space="preserve"> time management </w:t>
      </w:r>
    </w:p>
    <w:p w14:paraId="562C4E64" w14:textId="6FC10051" w:rsidR="000D4098" w:rsidRDefault="48585CDC" w:rsidP="48585CDC">
      <w:pPr>
        <w:pStyle w:val="ListParagraph"/>
        <w:numPr>
          <w:ilvl w:val="0"/>
          <w:numId w:val="15"/>
        </w:numPr>
        <w:spacing w:line="360" w:lineRule="auto"/>
        <w:rPr>
          <w:rFonts w:ascii="Calibri" w:hAnsi="Calibri"/>
          <w:lang w:val="en-GB"/>
        </w:rPr>
      </w:pPr>
      <w:r w:rsidRPr="48585CDC">
        <w:rPr>
          <w:lang w:val="en-GB"/>
        </w:rPr>
        <w:t xml:space="preserve"> Stress management and work-life balance</w:t>
      </w:r>
    </w:p>
    <w:p w14:paraId="7411AC9E" w14:textId="43E1F2FE" w:rsidR="000D4098" w:rsidRDefault="48585CDC" w:rsidP="48585CDC">
      <w:pPr>
        <w:pStyle w:val="ListParagraph"/>
        <w:numPr>
          <w:ilvl w:val="0"/>
          <w:numId w:val="15"/>
        </w:numPr>
        <w:spacing w:line="360" w:lineRule="auto"/>
        <w:rPr>
          <w:rFonts w:ascii="Calibri" w:hAnsi="Calibri"/>
          <w:lang w:val="en-GB"/>
        </w:rPr>
      </w:pPr>
      <w:r w:rsidRPr="48585CDC">
        <w:rPr>
          <w:lang w:val="en-GB"/>
        </w:rPr>
        <w:t xml:space="preserve">Successful communication </w:t>
      </w:r>
    </w:p>
    <w:p w14:paraId="49822833" w14:textId="363AB7D8" w:rsidR="000D4098" w:rsidRPr="00AE7770" w:rsidRDefault="48585CDC" w:rsidP="48585CDC">
      <w:pPr>
        <w:pStyle w:val="ListParagraph"/>
        <w:numPr>
          <w:ilvl w:val="0"/>
          <w:numId w:val="15"/>
        </w:numPr>
        <w:spacing w:line="360" w:lineRule="auto"/>
        <w:rPr>
          <w:rFonts w:ascii="Calibri" w:hAnsi="Calibri"/>
          <w:lang w:val="en-GB"/>
        </w:rPr>
      </w:pPr>
      <w:r w:rsidRPr="48585CDC">
        <w:rPr>
          <w:lang w:val="en-GB"/>
        </w:rPr>
        <w:t xml:space="preserve">recognising one's own </w:t>
      </w:r>
      <w:proofErr w:type="gramStart"/>
      <w:r w:rsidRPr="48585CDC">
        <w:rPr>
          <w:lang w:val="en-GB"/>
        </w:rPr>
        <w:t>limitations</w:t>
      </w:r>
      <w:proofErr w:type="gramEnd"/>
      <w:r w:rsidRPr="48585CDC">
        <w:rPr>
          <w:lang w:val="en-GB"/>
        </w:rPr>
        <w:t xml:space="preserve"> </w:t>
      </w:r>
    </w:p>
    <w:p w14:paraId="2B03D320" w14:textId="77777777" w:rsidR="00840B53" w:rsidRDefault="00840B53" w:rsidP="48585CDC">
      <w:pPr>
        <w:spacing w:line="360" w:lineRule="auto"/>
        <w:rPr>
          <w:rFonts w:ascii="Times New Roman" w:hAnsi="Times New Roman" w:cs="Times New Roman"/>
          <w:b/>
          <w:bCs/>
          <w:sz w:val="24"/>
          <w:szCs w:val="24"/>
          <w:lang w:val="en-GB"/>
        </w:rPr>
      </w:pPr>
    </w:p>
    <w:p w14:paraId="15293EC4" w14:textId="77777777" w:rsidR="00840B53" w:rsidRDefault="00840B53" w:rsidP="48585CDC">
      <w:pPr>
        <w:spacing w:line="360" w:lineRule="auto"/>
        <w:rPr>
          <w:rFonts w:ascii="Times New Roman" w:hAnsi="Times New Roman" w:cs="Times New Roman"/>
          <w:b/>
          <w:bCs/>
          <w:sz w:val="24"/>
          <w:szCs w:val="24"/>
          <w:lang w:val="en-GB"/>
        </w:rPr>
      </w:pPr>
    </w:p>
    <w:p w14:paraId="0D6DB86B" w14:textId="77777777" w:rsidR="00840B53" w:rsidRDefault="00840B53" w:rsidP="48585CDC">
      <w:pPr>
        <w:spacing w:line="360" w:lineRule="auto"/>
        <w:rPr>
          <w:rFonts w:ascii="Times New Roman" w:hAnsi="Times New Roman" w:cs="Times New Roman"/>
          <w:b/>
          <w:bCs/>
          <w:sz w:val="24"/>
          <w:szCs w:val="24"/>
          <w:lang w:val="en-GB"/>
        </w:rPr>
      </w:pPr>
    </w:p>
    <w:p w14:paraId="2F6D1B6F" w14:textId="6A59ADCE" w:rsidR="000D4098" w:rsidRDefault="48585CDC" w:rsidP="48585CDC">
      <w:pPr>
        <w:spacing w:line="360" w:lineRule="auto"/>
        <w:rPr>
          <w:rFonts w:ascii="Calibri" w:hAnsi="Calibri"/>
          <w:b/>
          <w:bCs/>
          <w:lang w:val="en-GB"/>
        </w:rPr>
      </w:pPr>
      <w:r w:rsidRPr="48585CDC">
        <w:rPr>
          <w:rFonts w:ascii="Times New Roman" w:hAnsi="Times New Roman" w:cs="Times New Roman"/>
          <w:b/>
          <w:bCs/>
          <w:sz w:val="24"/>
          <w:szCs w:val="24"/>
          <w:lang w:val="en-GB"/>
        </w:rPr>
        <w:lastRenderedPageBreak/>
        <w:t>Team assessment of behaviours (TAB)</w:t>
      </w:r>
      <w:r w:rsidRPr="48585CDC">
        <w:rPr>
          <w:rFonts w:ascii="Times New Roman" w:hAnsi="Times New Roman" w:cs="Times New Roman"/>
          <w:b/>
          <w:bCs/>
          <w:sz w:val="24"/>
          <w:szCs w:val="24"/>
        </w:rPr>
        <w:t> </w:t>
      </w:r>
    </w:p>
    <w:p w14:paraId="7C85685C" w14:textId="65A5FA3D" w:rsidR="00AF5586" w:rsidRPr="00AF5586" w:rsidRDefault="00AF5586" w:rsidP="004117D3">
      <w:pPr>
        <w:spacing w:line="360" w:lineRule="auto"/>
        <w:rPr>
          <w:rFonts w:ascii="Times New Roman" w:eastAsia="Times New Roman" w:hAnsi="Times New Roman" w:cs="Times New Roman"/>
          <w:sz w:val="24"/>
          <w:szCs w:val="24"/>
        </w:rPr>
      </w:pPr>
      <w:r w:rsidRPr="00AF5586">
        <w:rPr>
          <w:rFonts w:ascii="Times New Roman" w:eastAsia="Times New Roman" w:hAnsi="Times New Roman" w:cs="Times New Roman"/>
          <w:color w:val="000000"/>
          <w:sz w:val="24"/>
          <w:szCs w:val="24"/>
        </w:rPr>
        <w:t>TAB is a type of multisource feedback evaluation used in the UK Foundation Curriculum for medical trainees [11]. Based on the GMC's guidelines for professional conduct, TAB has established the following four domains:</w:t>
      </w:r>
      <w:r w:rsidRPr="00AF5586">
        <w:rPr>
          <w:rFonts w:ascii="Times New Roman" w:eastAsia="Times New Roman" w:hAnsi="Times New Roman" w:cs="Times New Roman"/>
          <w:color w:val="000000"/>
          <w:sz w:val="24"/>
          <w:szCs w:val="24"/>
        </w:rPr>
        <w:br/>
        <w:t>• Building and preserving relationships and a professional rapport with the patients</w:t>
      </w:r>
      <w:r w:rsidRPr="00AF5586">
        <w:rPr>
          <w:rFonts w:ascii="Times New Roman" w:eastAsia="Times New Roman" w:hAnsi="Times New Roman" w:cs="Times New Roman"/>
          <w:color w:val="000000"/>
          <w:sz w:val="24"/>
          <w:szCs w:val="24"/>
        </w:rPr>
        <w:br/>
        <w:t>Effective verbal communication; teamwork and team leadership; and guaranteeing availability and accessibility</w:t>
      </w:r>
      <w:r w:rsidR="004117D3">
        <w:rPr>
          <w:rFonts w:ascii="Times New Roman" w:eastAsia="Times New Roman" w:hAnsi="Times New Roman" w:cs="Times New Roman"/>
          <w:color w:val="000000"/>
          <w:sz w:val="24"/>
          <w:szCs w:val="24"/>
        </w:rPr>
        <w:t>.</w:t>
      </w:r>
      <w:r w:rsidRPr="00AF5586">
        <w:rPr>
          <w:rFonts w:ascii="Times New Roman" w:eastAsia="Times New Roman" w:hAnsi="Times New Roman" w:cs="Times New Roman"/>
          <w:color w:val="000000"/>
          <w:sz w:val="24"/>
          <w:szCs w:val="24"/>
        </w:rPr>
        <w:br/>
        <w:t xml:space="preserve">To assist individuals in improving their performance, TAB is utilized as a formative and summative tool. A minimum of ten results are required for this assessment tool to be considered legitimate and trustworthy. Since ratings differ greatly by staff group, a suggested mixture of </w:t>
      </w:r>
      <w:proofErr w:type="spellStart"/>
      <w:r w:rsidRPr="00AF5586">
        <w:rPr>
          <w:rFonts w:ascii="Times New Roman" w:eastAsia="Times New Roman" w:hAnsi="Times New Roman" w:cs="Times New Roman"/>
          <w:color w:val="000000"/>
          <w:sz w:val="24"/>
          <w:szCs w:val="24"/>
        </w:rPr>
        <w:t>raters</w:t>
      </w:r>
      <w:proofErr w:type="spellEnd"/>
      <w:r w:rsidRPr="00AF5586">
        <w:rPr>
          <w:rFonts w:ascii="Times New Roman" w:eastAsia="Times New Roman" w:hAnsi="Times New Roman" w:cs="Times New Roman"/>
          <w:color w:val="000000"/>
          <w:sz w:val="24"/>
          <w:szCs w:val="24"/>
        </w:rPr>
        <w:t xml:space="preserve"> is offered. </w:t>
      </w:r>
      <w:r w:rsidRPr="00AF5586">
        <w:rPr>
          <w:rFonts w:ascii="Times New Roman" w:eastAsia="Times New Roman" w:hAnsi="Times New Roman" w:cs="Times New Roman"/>
          <w:color w:val="000000"/>
          <w:sz w:val="24"/>
          <w:szCs w:val="24"/>
        </w:rPr>
        <w:br/>
      </w:r>
    </w:p>
    <w:p w14:paraId="4FE78761" w14:textId="77777777" w:rsidR="000D4098" w:rsidRPr="004117D3" w:rsidRDefault="48585CDC" w:rsidP="004117D3">
      <w:pPr>
        <w:spacing w:line="360" w:lineRule="auto"/>
        <w:jc w:val="both"/>
        <w:rPr>
          <w:rFonts w:ascii="Times New Roman" w:hAnsi="Times New Roman" w:cs="Times New Roman"/>
          <w:b/>
          <w:bCs/>
          <w:sz w:val="24"/>
          <w:szCs w:val="24"/>
          <w:lang w:val="en-GB"/>
        </w:rPr>
      </w:pPr>
      <w:r w:rsidRPr="004117D3">
        <w:rPr>
          <w:rFonts w:ascii="Times New Roman" w:hAnsi="Times New Roman" w:cs="Times New Roman"/>
          <w:b/>
          <w:bCs/>
          <w:sz w:val="24"/>
          <w:szCs w:val="24"/>
          <w:lang w:val="en-GB"/>
        </w:rPr>
        <w:t>Patient satisfaction questionnaire (PSQ)</w:t>
      </w:r>
      <w:r w:rsidRPr="004117D3">
        <w:rPr>
          <w:rFonts w:ascii="Times New Roman" w:hAnsi="Times New Roman" w:cs="Times New Roman"/>
          <w:b/>
          <w:bCs/>
          <w:sz w:val="24"/>
          <w:szCs w:val="24"/>
        </w:rPr>
        <w:t> </w:t>
      </w:r>
    </w:p>
    <w:p w14:paraId="00416DDB" w14:textId="0374CADB" w:rsidR="000D4098" w:rsidRPr="004B05C5" w:rsidRDefault="002F2F74" w:rsidP="004B05C5">
      <w:pPr>
        <w:spacing w:line="360" w:lineRule="auto"/>
        <w:rPr>
          <w:rFonts w:ascii="Times New Roman" w:eastAsia="Times New Roman" w:hAnsi="Times New Roman" w:cs="Times New Roman"/>
          <w:sz w:val="24"/>
          <w:szCs w:val="24"/>
        </w:rPr>
      </w:pPr>
      <w:r w:rsidRPr="002F2F74">
        <w:rPr>
          <w:rFonts w:ascii="Times New Roman" w:eastAsia="Times New Roman" w:hAnsi="Times New Roman" w:cs="Times New Roman"/>
          <w:color w:val="000000"/>
          <w:sz w:val="24"/>
          <w:szCs w:val="24"/>
        </w:rPr>
        <w:t xml:space="preserve">As part of an appraisal process, PSQ can offer formative comments on a physician's professional performance [12]. Patients' opinions are gathered through a standardized questionnaire. At least once every five years, doctors are supposed to receive feedback, consider it, and, if necessary, use it to guide their future professional development. The demographics of the patients and the means used to administer the questionnaire (such as postal, telephone, or proxy responses) may have an impact on the final ratings when patients evaluate doctors or bigger health care systems. When </w:t>
      </w:r>
      <w:r w:rsidR="004B05C5">
        <w:rPr>
          <w:rFonts w:ascii="Times New Roman" w:eastAsia="Times New Roman" w:hAnsi="Times New Roman" w:cs="Times New Roman"/>
          <w:color w:val="000000"/>
          <w:sz w:val="24"/>
          <w:szCs w:val="24"/>
        </w:rPr>
        <w:t>peers</w:t>
      </w:r>
      <w:r w:rsidRPr="002F2F74">
        <w:rPr>
          <w:rFonts w:ascii="Times New Roman" w:eastAsia="Times New Roman" w:hAnsi="Times New Roman" w:cs="Times New Roman"/>
          <w:color w:val="000000"/>
          <w:sz w:val="24"/>
          <w:szCs w:val="24"/>
        </w:rPr>
        <w:t xml:space="preserve"> evaluate the work of other doctors, the entire evaluation process may be compromised by the </w:t>
      </w:r>
      <w:proofErr w:type="spellStart"/>
      <w:r w:rsidRPr="002F2F74">
        <w:rPr>
          <w:rFonts w:ascii="Times New Roman" w:eastAsia="Times New Roman" w:hAnsi="Times New Roman" w:cs="Times New Roman"/>
          <w:color w:val="000000"/>
          <w:sz w:val="24"/>
          <w:szCs w:val="24"/>
        </w:rPr>
        <w:t>rater's</w:t>
      </w:r>
      <w:proofErr w:type="spellEnd"/>
      <w:r w:rsidRPr="002F2F74">
        <w:rPr>
          <w:rFonts w:ascii="Times New Roman" w:eastAsia="Times New Roman" w:hAnsi="Times New Roman" w:cs="Times New Roman"/>
          <w:color w:val="000000"/>
          <w:sz w:val="24"/>
          <w:szCs w:val="24"/>
        </w:rPr>
        <w:t xml:space="preserve"> personal opinion, the length and type of the </w:t>
      </w:r>
      <w:proofErr w:type="spellStart"/>
      <w:r w:rsidRPr="002F2F74">
        <w:rPr>
          <w:rFonts w:ascii="Times New Roman" w:eastAsia="Times New Roman" w:hAnsi="Times New Roman" w:cs="Times New Roman"/>
          <w:color w:val="000000"/>
          <w:sz w:val="24"/>
          <w:szCs w:val="24"/>
        </w:rPr>
        <w:t>rater</w:t>
      </w:r>
      <w:proofErr w:type="spellEnd"/>
      <w:r w:rsidRPr="002F2F74">
        <w:rPr>
          <w:rFonts w:ascii="Times New Roman" w:eastAsia="Times New Roman" w:hAnsi="Times New Roman" w:cs="Times New Roman"/>
          <w:color w:val="000000"/>
          <w:sz w:val="24"/>
          <w:szCs w:val="24"/>
        </w:rPr>
        <w:t xml:space="preserve">-examinee relationship, and the </w:t>
      </w:r>
      <w:proofErr w:type="spellStart"/>
      <w:r w:rsidRPr="002F2F74">
        <w:rPr>
          <w:rFonts w:ascii="Times New Roman" w:eastAsia="Times New Roman" w:hAnsi="Times New Roman" w:cs="Times New Roman"/>
          <w:color w:val="000000"/>
          <w:sz w:val="24"/>
          <w:szCs w:val="24"/>
        </w:rPr>
        <w:t>rater's</w:t>
      </w:r>
      <w:proofErr w:type="spellEnd"/>
      <w:r w:rsidRPr="002F2F74">
        <w:rPr>
          <w:rFonts w:ascii="Times New Roman" w:eastAsia="Times New Roman" w:hAnsi="Times New Roman" w:cs="Times New Roman"/>
          <w:color w:val="000000"/>
          <w:sz w:val="24"/>
          <w:szCs w:val="24"/>
        </w:rPr>
        <w:t xml:space="preserve"> knowledge with the doctor's practice</w:t>
      </w:r>
      <w:r w:rsidR="48585CDC" w:rsidRPr="004117D3">
        <w:rPr>
          <w:rFonts w:ascii="Times New Roman" w:hAnsi="Times New Roman" w:cs="Times New Roman"/>
          <w:sz w:val="24"/>
          <w:szCs w:val="24"/>
          <w:lang w:val="en-GB"/>
        </w:rPr>
        <w:t xml:space="preserve">[13]. </w:t>
      </w:r>
    </w:p>
    <w:p w14:paraId="69202753" w14:textId="15830E6A" w:rsidR="000D4098" w:rsidRPr="004B05C5" w:rsidRDefault="004117D3" w:rsidP="004B05C5">
      <w:pPr>
        <w:spacing w:line="360" w:lineRule="auto"/>
        <w:rPr>
          <w:rFonts w:ascii="Times New Roman" w:eastAsia="Times New Roman" w:hAnsi="Times New Roman" w:cs="Times New Roman"/>
          <w:sz w:val="24"/>
          <w:szCs w:val="24"/>
        </w:rPr>
      </w:pPr>
      <w:r w:rsidRPr="004117D3">
        <w:rPr>
          <w:rFonts w:ascii="Times New Roman" w:eastAsia="Times New Roman" w:hAnsi="Times New Roman" w:cs="Times New Roman"/>
          <w:color w:val="000000"/>
          <w:sz w:val="24"/>
          <w:szCs w:val="24"/>
        </w:rPr>
        <w:t>According to numerous publications in the body of current literature, multisource feedback can objectively evaluate critical qualities such as professional expertise, collegiality, interpersonal skills, communications skills, and the capacity to advance in the medical sector. However, multisource feedback has pitfalls of its own. </w:t>
      </w:r>
      <w:r w:rsidR="004B05C5" w:rsidRPr="004117D3">
        <w:rPr>
          <w:rFonts w:ascii="Times New Roman" w:hAnsi="Times New Roman" w:cs="Times New Roman"/>
          <w:sz w:val="24"/>
          <w:szCs w:val="24"/>
          <w:lang w:val="en-GB"/>
        </w:rPr>
        <w:t>Several</w:t>
      </w:r>
      <w:r w:rsidR="48585CDC" w:rsidRPr="004117D3">
        <w:rPr>
          <w:rFonts w:ascii="Times New Roman" w:hAnsi="Times New Roman" w:cs="Times New Roman"/>
          <w:sz w:val="24"/>
          <w:szCs w:val="24"/>
          <w:lang w:val="en-GB"/>
        </w:rPr>
        <w:t xml:space="preserve"> studies have shown that responses</w:t>
      </w:r>
      <w:r w:rsidR="48585CDC" w:rsidRPr="48585CDC">
        <w:rPr>
          <w:rFonts w:ascii="Times New Roman" w:hAnsi="Times New Roman" w:cs="Times New Roman"/>
          <w:sz w:val="24"/>
          <w:szCs w:val="24"/>
          <w:lang w:val="en-GB"/>
        </w:rPr>
        <w:t xml:space="preserve"> tend to be skewed towards positive assessments of doctor performance by the patients and some studies have shown dissatisfaction about the ability of multisource feedback, patient feedback in particular, in identifying the underperforming doctors. </w:t>
      </w:r>
    </w:p>
    <w:p w14:paraId="119180E9" w14:textId="77777777" w:rsidR="000D4098" w:rsidRDefault="000D4098" w:rsidP="48585CDC">
      <w:pPr>
        <w:pStyle w:val="NormalWeb"/>
        <w:spacing w:before="0" w:beforeAutospacing="0" w:after="0" w:afterAutospacing="0" w:line="360" w:lineRule="auto"/>
        <w:jc w:val="both"/>
      </w:pPr>
    </w:p>
    <w:p w14:paraId="160B1FC6" w14:textId="77777777" w:rsidR="000D4098" w:rsidRDefault="48585CDC" w:rsidP="48585CDC">
      <w:pPr>
        <w:pStyle w:val="NormalWeb"/>
        <w:spacing w:before="0" w:beforeAutospacing="0" w:after="0" w:afterAutospacing="0" w:line="360" w:lineRule="auto"/>
        <w:jc w:val="both"/>
        <w:rPr>
          <w:b/>
          <w:bCs/>
        </w:rPr>
      </w:pPr>
      <w:r w:rsidRPr="48585CDC">
        <w:rPr>
          <w:b/>
          <w:bCs/>
        </w:rPr>
        <w:t>Portfolio</w:t>
      </w:r>
    </w:p>
    <w:p w14:paraId="246613B9" w14:textId="1905524A" w:rsidR="48585CDC" w:rsidRDefault="48585CDC" w:rsidP="48585CDC">
      <w:pPr>
        <w:pStyle w:val="NormalWeb"/>
        <w:spacing w:before="0" w:beforeAutospacing="0" w:after="0" w:afterAutospacing="0" w:line="360" w:lineRule="auto"/>
        <w:jc w:val="both"/>
      </w:pPr>
      <w:r w:rsidRPr="48585CDC">
        <w:t xml:space="preserve">It keeps track of every record produced by workplace assessments, clinical experiences, reflections, meetings attended that were pertinent, informal or formal training activities, </w:t>
      </w:r>
      <w:r w:rsidRPr="48585CDC">
        <w:lastRenderedPageBreak/>
        <w:t>important situations, etc. This tool's structure and goal are to demonstrate the total amount and quality of learning and advancement. Paper-based (diary, etc.) or digital (e-portfolio, etc.) portfolios are both acceptable. These can be categorised as reflective, developmental, assessment, or showcase portfolios depending on their functioning.</w:t>
      </w:r>
    </w:p>
    <w:p w14:paraId="67FA2FCE" w14:textId="77777777" w:rsidR="000D4098" w:rsidRDefault="48585CDC" w:rsidP="48585CDC">
      <w:pPr>
        <w:pStyle w:val="NormalWeb"/>
        <w:spacing w:before="0" w:beforeAutospacing="0" w:after="0" w:afterAutospacing="0" w:line="360" w:lineRule="auto"/>
        <w:jc w:val="both"/>
      </w:pPr>
      <w:r w:rsidRPr="48585CDC">
        <w:rPr>
          <w:i/>
          <w:iCs/>
        </w:rPr>
        <w:t>Showcase portfolio</w:t>
      </w:r>
      <w:r w:rsidRPr="48585CDC">
        <w:t>- These portfolios, which emphasis the portfolio as a product, are also sometimes referred to as formal portfolios, professional portfolios, or career portfolios.</w:t>
      </w:r>
      <w:r w:rsidR="000D4098">
        <w:br/>
      </w:r>
      <w:r w:rsidRPr="48585CDC">
        <w:t>After learning occurs, the content for showcase portfolios is prepared, frequently with student reflection. "Collect, Select, Reflect, Connect" is a motto that certain schools embrace (PDF Hughes, 2008). The connect component is an intriguing one because it entails sharing student work with others (perhaps outside of the teacher) and actively seeking feedback.</w:t>
      </w:r>
      <w:r w:rsidR="000D4098">
        <w:br/>
      </w:r>
      <w:r w:rsidRPr="48585CDC">
        <w:t>The best accomplishments or learning proof from a student are frequently shared in the showcase portfolio. In most cases, students get to choose what gets published.</w:t>
      </w:r>
    </w:p>
    <w:p w14:paraId="0408EEAC" w14:textId="77777777" w:rsidR="000D4098" w:rsidRDefault="48585CDC" w:rsidP="48585CDC">
      <w:pPr>
        <w:pStyle w:val="NormalWeb"/>
        <w:spacing w:before="0" w:beforeAutospacing="0" w:after="0" w:afterAutospacing="0" w:line="360" w:lineRule="auto"/>
        <w:jc w:val="both"/>
      </w:pPr>
      <w:r w:rsidRPr="48585CDC">
        <w:rPr>
          <w:i/>
          <w:iCs/>
        </w:rPr>
        <w:t>Assessment Portfolios</w:t>
      </w:r>
      <w:r w:rsidRPr="48585CDC">
        <w:t>- The assessment portfolio is used to record a student's learning or show that they have mastered certain curricular components. Reflective remarks will now concentrate on how artefacts match learning goals. In comparison to a showcase or process portfolio, these sorts of portfolios could be more formal. An assessment portfolio may be very helpful for teachers and administrators to see proof of learning inside the classroom, but it may not be as helpful for students' overall growth. Commonly, certification programme or even requirements for receiving a degree include assessment portfolios.</w:t>
      </w:r>
    </w:p>
    <w:p w14:paraId="65B8E11F" w14:textId="77777777" w:rsidR="000D4098" w:rsidRDefault="48585CDC" w:rsidP="48585CDC">
      <w:pPr>
        <w:pStyle w:val="NormalWeb"/>
        <w:spacing w:before="0" w:beforeAutospacing="0" w:after="0" w:afterAutospacing="0" w:line="360" w:lineRule="auto"/>
        <w:jc w:val="both"/>
      </w:pPr>
      <w:r w:rsidRPr="48585CDC">
        <w:rPr>
          <w:i/>
          <w:iCs/>
        </w:rPr>
        <w:t xml:space="preserve"> Reflective portfolio</w:t>
      </w:r>
      <w:r w:rsidRPr="48585CDC">
        <w:t>- reflective portfolio serves as a summary of the knowledge and experiences a student has acquired through practical tasks. It is intended to evaluate the student's involvement in their fieldwork and their aptitude for applying theory in practical situations. It can include work samples, critical events, student’s own perspectives, evidence of achievements and journal entries.</w:t>
      </w:r>
    </w:p>
    <w:p w14:paraId="00A15BA6" w14:textId="77777777" w:rsidR="000D4098" w:rsidRDefault="48585CDC" w:rsidP="48585CDC">
      <w:pPr>
        <w:pStyle w:val="NormalWeb"/>
        <w:spacing w:before="0" w:beforeAutospacing="0" w:after="0" w:afterAutospacing="0" w:line="360" w:lineRule="auto"/>
        <w:jc w:val="both"/>
        <w:rPr>
          <w:rFonts w:eastAsia="SimSun"/>
        </w:rPr>
      </w:pPr>
      <w:r w:rsidRPr="48585CDC">
        <w:rPr>
          <w:i/>
          <w:iCs/>
        </w:rPr>
        <w:t>Development Portfolio</w:t>
      </w:r>
      <w:r w:rsidRPr="48585CDC">
        <w:t xml:space="preserve">- </w:t>
      </w:r>
      <w:r w:rsidRPr="48585CDC">
        <w:rPr>
          <w:rFonts w:eastAsia="SimSun"/>
        </w:rPr>
        <w:t>Students choose their works and record the works that demonstrate development or change of learning over time. The learning process is highlighted in the development portfolio.</w:t>
      </w:r>
    </w:p>
    <w:p w14:paraId="4945ACAC" w14:textId="598A244F" w:rsidR="000D4098" w:rsidRPr="00F274CE" w:rsidRDefault="48585CDC" w:rsidP="48585CDC">
      <w:pPr>
        <w:pStyle w:val="NormalWeb"/>
        <w:spacing w:before="0" w:beforeAutospacing="0" w:after="0" w:afterAutospacing="0" w:line="360" w:lineRule="auto"/>
        <w:jc w:val="both"/>
        <w:rPr>
          <w:b/>
          <w:bCs/>
        </w:rPr>
      </w:pPr>
      <w:r w:rsidRPr="48585CDC">
        <w:rPr>
          <w:b/>
          <w:bCs/>
        </w:rPr>
        <w:t xml:space="preserve">Entrustment aligned pathology assessment instrument for intraoperative consultations (EPA-IC) </w:t>
      </w:r>
    </w:p>
    <w:p w14:paraId="7E35A8EF" w14:textId="499FD500" w:rsidR="000D4098" w:rsidRDefault="48585CDC" w:rsidP="000B2272">
      <w:pPr>
        <w:spacing w:line="360" w:lineRule="auto"/>
        <w:rPr>
          <w:rFonts w:ascii="Times New Roman" w:hAnsi="Times New Roman" w:cs="Times New Roman"/>
          <w:sz w:val="24"/>
          <w:szCs w:val="24"/>
        </w:rPr>
      </w:pPr>
      <w:r w:rsidRPr="000B2272">
        <w:rPr>
          <w:rFonts w:ascii="Times New Roman" w:hAnsi="Times New Roman" w:cs="Times New Roman"/>
          <w:sz w:val="24"/>
          <w:szCs w:val="24"/>
        </w:rPr>
        <w:t>EPA-IC is developed in 2015 and</w:t>
      </w:r>
      <w:r w:rsidRPr="000B2272">
        <w:rPr>
          <w:rFonts w:ascii="Times New Roman" w:eastAsia="Times New Roman" w:hAnsi="Times New Roman" w:cs="Times New Roman"/>
          <w:sz w:val="24"/>
          <w:szCs w:val="24"/>
        </w:rPr>
        <w:t xml:space="preserve"> introduced at Western University’s Anatomical Pathology training program in 2016 [14]. It was used by clinical </w:t>
      </w:r>
      <w:r w:rsidR="00BB31D1" w:rsidRPr="000B2272">
        <w:rPr>
          <w:rFonts w:ascii="Times New Roman" w:eastAsia="Times New Roman" w:hAnsi="Times New Roman" w:cs="Times New Roman"/>
          <w:sz w:val="24"/>
          <w:szCs w:val="24"/>
        </w:rPr>
        <w:t>examiners</w:t>
      </w:r>
      <w:r w:rsidRPr="000B2272">
        <w:rPr>
          <w:rFonts w:ascii="Times New Roman" w:eastAsia="Times New Roman" w:hAnsi="Times New Roman" w:cs="Times New Roman"/>
          <w:sz w:val="24"/>
          <w:szCs w:val="24"/>
        </w:rPr>
        <w:t xml:space="preserve"> as part of the </w:t>
      </w:r>
      <w:r w:rsidR="00BB31D1" w:rsidRPr="000B2272">
        <w:rPr>
          <w:rFonts w:ascii="Times New Roman" w:eastAsia="Times New Roman" w:hAnsi="Times New Roman" w:cs="Times New Roman"/>
          <w:sz w:val="24"/>
          <w:szCs w:val="24"/>
        </w:rPr>
        <w:t>routine</w:t>
      </w:r>
      <w:r w:rsidRPr="000B2272">
        <w:rPr>
          <w:rFonts w:ascii="Times New Roman" w:eastAsia="Times New Roman" w:hAnsi="Times New Roman" w:cs="Times New Roman"/>
          <w:sz w:val="24"/>
          <w:szCs w:val="24"/>
        </w:rPr>
        <w:t xml:space="preserve"> formative WBA of PGY-2 to PGY-5 residents’ performance of intra-operative consultations</w:t>
      </w:r>
      <w:r w:rsidR="00BB31D1" w:rsidRPr="000B2272">
        <w:rPr>
          <w:rFonts w:ascii="Times New Roman" w:eastAsia="Times New Roman" w:hAnsi="Times New Roman" w:cs="Times New Roman"/>
          <w:sz w:val="24"/>
          <w:szCs w:val="24"/>
        </w:rPr>
        <w:t>.</w:t>
      </w:r>
      <w:r w:rsidRPr="000B2272">
        <w:rPr>
          <w:rFonts w:ascii="Times New Roman" w:eastAsia="Times New Roman" w:hAnsi="Times New Roman" w:cs="Times New Roman"/>
          <w:sz w:val="24"/>
          <w:szCs w:val="24"/>
        </w:rPr>
        <w:t xml:space="preserve"> </w:t>
      </w:r>
      <w:r w:rsidRPr="000B2272">
        <w:rPr>
          <w:rFonts w:ascii="Times New Roman" w:hAnsi="Times New Roman" w:cs="Times New Roman"/>
          <w:sz w:val="24"/>
          <w:szCs w:val="24"/>
        </w:rPr>
        <w:t xml:space="preserve">The EPA-IC is an 11-item assessment tool that evaluates residents' abilities to perform intraoperative consultations from case preparation through the post-procedure plan. Aspects </w:t>
      </w:r>
      <w:r w:rsidRPr="000B2272">
        <w:rPr>
          <w:rFonts w:ascii="Times New Roman" w:hAnsi="Times New Roman" w:cs="Times New Roman"/>
          <w:sz w:val="24"/>
          <w:szCs w:val="24"/>
        </w:rPr>
        <w:lastRenderedPageBreak/>
        <w:t xml:space="preserve">of patient safety, such as tissue handover, communication, and teamwork skills, were also taken into consideration in addition to diagnostic interpretation and technical competence. Eight things were graded on a 5-point scale, one was a yes/no question about whether the student was prepared to practise independently, and the other two were open-ended inquiries about one particular component of the case that went well and one that needed work. </w:t>
      </w:r>
      <w:r w:rsidR="000B2272" w:rsidRPr="000B2272">
        <w:rPr>
          <w:rFonts w:ascii="Times New Roman" w:eastAsia="Times New Roman" w:hAnsi="Times New Roman" w:cs="Times New Roman"/>
          <w:color w:val="000000"/>
          <w:sz w:val="24"/>
          <w:szCs w:val="24"/>
        </w:rPr>
        <w:t xml:space="preserve">The rating anchors, which varied from 1 = "I had to do" (i.e., the trainee needed full hands-on guidance or did not complete the procedure) to 5 = "I did not need to be there" (i.e., the trainee had complete independence and is practice-ready), were based on the </w:t>
      </w:r>
      <w:proofErr w:type="spellStart"/>
      <w:r w:rsidR="000B2272" w:rsidRPr="000B2272">
        <w:rPr>
          <w:rFonts w:ascii="Times New Roman" w:eastAsia="Times New Roman" w:hAnsi="Times New Roman" w:cs="Times New Roman"/>
          <w:color w:val="000000"/>
          <w:sz w:val="24"/>
          <w:szCs w:val="24"/>
        </w:rPr>
        <w:t>rater's</w:t>
      </w:r>
      <w:proofErr w:type="spellEnd"/>
      <w:r w:rsidR="000B2272" w:rsidRPr="000B2272">
        <w:rPr>
          <w:rFonts w:ascii="Times New Roman" w:eastAsia="Times New Roman" w:hAnsi="Times New Roman" w:cs="Times New Roman"/>
          <w:color w:val="000000"/>
          <w:sz w:val="24"/>
          <w:szCs w:val="24"/>
        </w:rPr>
        <w:t xml:space="preserve"> assessment of the trainee's required supervision and support level</w:t>
      </w:r>
      <w:r w:rsidRPr="000B2272">
        <w:rPr>
          <w:rFonts w:ascii="Times New Roman" w:hAnsi="Times New Roman" w:cs="Times New Roman"/>
          <w:sz w:val="24"/>
          <w:szCs w:val="24"/>
        </w:rPr>
        <w:t xml:space="preserve">[14]. </w:t>
      </w:r>
    </w:p>
    <w:p w14:paraId="0FC4A7AE" w14:textId="77777777" w:rsidR="000B2272" w:rsidRPr="000B2272" w:rsidRDefault="000B2272" w:rsidP="000B2272">
      <w:pPr>
        <w:spacing w:line="360" w:lineRule="auto"/>
        <w:rPr>
          <w:rFonts w:ascii="Times New Roman" w:eastAsia="Times New Roman" w:hAnsi="Times New Roman" w:cs="Times New Roman"/>
          <w:sz w:val="24"/>
          <w:szCs w:val="24"/>
        </w:rPr>
      </w:pPr>
    </w:p>
    <w:p w14:paraId="6B9ED07B" w14:textId="77777777" w:rsidR="000D4098" w:rsidRDefault="48585CDC" w:rsidP="48585CDC">
      <w:pPr>
        <w:pStyle w:val="NormalWeb"/>
        <w:spacing w:line="360" w:lineRule="auto"/>
        <w:jc w:val="both"/>
        <w:rPr>
          <w:rFonts w:eastAsia="Times New Roman"/>
          <w:b/>
          <w:bCs/>
        </w:rPr>
      </w:pPr>
      <w:r w:rsidRPr="48585CDC">
        <w:rPr>
          <w:rFonts w:eastAsia="Times New Roman"/>
          <w:b/>
          <w:bCs/>
        </w:rPr>
        <w:t>Workplace based assessment in Emergency department.</w:t>
      </w:r>
    </w:p>
    <w:p w14:paraId="5357C9B5" w14:textId="0A1FB213" w:rsidR="00840B53" w:rsidRPr="00DE152F" w:rsidRDefault="000D4098" w:rsidP="00DE152F">
      <w:pPr>
        <w:spacing w:line="360" w:lineRule="auto"/>
        <w:rPr>
          <w:rFonts w:ascii="Times New Roman" w:eastAsia="Times New Roman" w:hAnsi="Times New Roman" w:cs="Times New Roman"/>
          <w:sz w:val="24"/>
          <w:szCs w:val="24"/>
        </w:rPr>
      </w:pPr>
      <w:r w:rsidRPr="00DE152F">
        <w:rPr>
          <w:rFonts w:ascii="Times New Roman" w:eastAsia="Times New Roman" w:hAnsi="Times New Roman" w:cs="Times New Roman"/>
          <w:sz w:val="24"/>
          <w:szCs w:val="24"/>
        </w:rPr>
        <w:t>Emergency medicine (EM) educators and programme leadership face significant hurdles because of the special practise environment of the ED. During the 2012 Academic Emergency Medicine (AEM) Consensus Conference on Education Research, a breakout session on assessment of observable learner performance in EM covered a number of these issues, including the viability of conducting direct observations while providing patient care and supervising acutely ill patients. The essay that resulted from this breakout session described a number of methods for evaluating learner performance, including both direct and indirect methods (e.g., resident portfolios, procedure logs, self-reflection) [15]. Direct observation tools used in ED includes ACGME EM Milestones, Observed Structured Clinical Exercises (OSCE),</w:t>
      </w:r>
      <w:r w:rsidRPr="00DE152F">
        <w:rPr>
          <w:rFonts w:ascii="Times New Roman" w:eastAsia="Times New Roman" w:hAnsi="Times New Roman" w:cs="Times New Roman"/>
          <w:position w:val="10"/>
          <w:sz w:val="24"/>
          <w:szCs w:val="24"/>
        </w:rPr>
        <w:t xml:space="preserve"> </w:t>
      </w:r>
      <w:r w:rsidRPr="00DE152F">
        <w:rPr>
          <w:rFonts w:ascii="Times New Roman" w:eastAsia="Times New Roman" w:hAnsi="Times New Roman" w:cs="Times New Roman"/>
          <w:sz w:val="24"/>
          <w:szCs w:val="24"/>
        </w:rPr>
        <w:t>McMaster Modular Assessment Program (</w:t>
      </w:r>
      <w:proofErr w:type="spellStart"/>
      <w:r w:rsidRPr="00DE152F">
        <w:rPr>
          <w:rFonts w:ascii="Times New Roman" w:eastAsia="Times New Roman" w:hAnsi="Times New Roman" w:cs="Times New Roman"/>
          <w:sz w:val="24"/>
          <w:szCs w:val="24"/>
        </w:rPr>
        <w:t>McMAP</w:t>
      </w:r>
      <w:proofErr w:type="spellEnd"/>
      <w:r w:rsidRPr="00DE152F">
        <w:rPr>
          <w:rFonts w:ascii="Times New Roman" w:eastAsia="Times New Roman" w:hAnsi="Times New Roman" w:cs="Times New Roman"/>
          <w:sz w:val="24"/>
          <w:szCs w:val="24"/>
        </w:rPr>
        <w:t>),</w:t>
      </w:r>
      <w:r w:rsidRPr="00DE152F">
        <w:rPr>
          <w:rFonts w:ascii="Times New Roman" w:eastAsia="Times New Roman" w:hAnsi="Times New Roman" w:cs="Times New Roman"/>
          <w:position w:val="10"/>
          <w:sz w:val="24"/>
          <w:szCs w:val="24"/>
        </w:rPr>
        <w:t xml:space="preserve"> Queen’s</w:t>
      </w:r>
      <w:r w:rsidRPr="00DE152F">
        <w:rPr>
          <w:rFonts w:ascii="Times New Roman" w:eastAsia="Times New Roman" w:hAnsi="Times New Roman" w:cs="Times New Roman"/>
          <w:sz w:val="24"/>
          <w:szCs w:val="24"/>
        </w:rPr>
        <w:t xml:space="preserve"> Simulation Assessment Test (QSAT),</w:t>
      </w:r>
      <w:r w:rsidRPr="00DE152F">
        <w:rPr>
          <w:rFonts w:ascii="Times New Roman" w:eastAsia="Times New Roman" w:hAnsi="Times New Roman" w:cs="Times New Roman"/>
          <w:position w:val="10"/>
          <w:sz w:val="24"/>
          <w:szCs w:val="24"/>
        </w:rPr>
        <w:t xml:space="preserve"> </w:t>
      </w:r>
      <w:r w:rsidRPr="00DE152F">
        <w:rPr>
          <w:rFonts w:ascii="Times New Roman" w:eastAsia="Times New Roman" w:hAnsi="Times New Roman" w:cs="Times New Roman"/>
          <w:sz w:val="24"/>
          <w:szCs w:val="24"/>
        </w:rPr>
        <w:t>and the mini-Clinical Evaluation Exercise (mini-CEX).</w:t>
      </w:r>
      <w:r w:rsidRPr="00DE152F">
        <w:rPr>
          <w:rFonts w:ascii="Times New Roman" w:eastAsia="Times New Roman" w:hAnsi="Times New Roman" w:cs="Times New Roman"/>
          <w:position w:val="10"/>
          <w:sz w:val="24"/>
          <w:szCs w:val="24"/>
        </w:rPr>
        <w:t xml:space="preserve"> </w:t>
      </w:r>
      <w:r w:rsidR="00DE152F" w:rsidRPr="00DE152F">
        <w:rPr>
          <w:rFonts w:ascii="Times New Roman" w:eastAsia="Times New Roman" w:hAnsi="Times New Roman" w:cs="Times New Roman"/>
          <w:color w:val="000000"/>
          <w:sz w:val="24"/>
          <w:szCs w:val="24"/>
        </w:rPr>
        <w:t>The Ottawa Emergency Department Shift Observation Tool, the</w:t>
      </w:r>
      <w:r w:rsidR="00DE152F">
        <w:rPr>
          <w:rFonts w:ascii="Times New Roman" w:eastAsia="Times New Roman" w:hAnsi="Times New Roman" w:cs="Times New Roman"/>
          <w:color w:val="000000"/>
          <w:sz w:val="24"/>
          <w:szCs w:val="24"/>
        </w:rPr>
        <w:t xml:space="preserve"> </w:t>
      </w:r>
      <w:r w:rsidR="00DE152F" w:rsidRPr="00DE152F">
        <w:rPr>
          <w:rFonts w:ascii="Times New Roman" w:eastAsia="Times New Roman" w:hAnsi="Times New Roman" w:cs="Times New Roman"/>
          <w:color w:val="000000"/>
          <w:sz w:val="24"/>
          <w:szCs w:val="24"/>
        </w:rPr>
        <w:t>Reporter/Interpreter/Manager/Educator (RIME) framework, the Standardized Direct Observation Tool (SDOT), the Critical Care Direct Observation Tool (CDOT), the Mini card, a non-milestone-based end-of-shift evaluation, checklists, a global rating scale, and the Resuscitation Assessment Tool (RAT) were among the other tools</w:t>
      </w:r>
      <w:r w:rsidRPr="48585CDC">
        <w:rPr>
          <w:rFonts w:eastAsia="Times New Roman"/>
        </w:rPr>
        <w:t xml:space="preserve">.  </w:t>
      </w:r>
    </w:p>
    <w:p w14:paraId="0FA7D6C8" w14:textId="09D534D0"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ACGME EM Milestones </w:t>
      </w:r>
    </w:p>
    <w:p w14:paraId="34E78362" w14:textId="77777777" w:rsidR="000D4098" w:rsidRDefault="48585CDC" w:rsidP="48585CDC">
      <w:pPr>
        <w:pStyle w:val="NormalWeb"/>
        <w:spacing w:line="360" w:lineRule="auto"/>
        <w:jc w:val="both"/>
        <w:rPr>
          <w:rFonts w:eastAsia="Times New Roman"/>
        </w:rPr>
      </w:pPr>
      <w:r w:rsidRPr="48585CDC">
        <w:rPr>
          <w:rFonts w:eastAsia="Times New Roman"/>
        </w:rPr>
        <w:t xml:space="preserve">Each speciality designed the Milestones, a framework for evaluating resident development, to address the six basic skills established by the ACGME. It assesses the diverse array of technical and non-technical skills. It is the most commonly used tool. It is utilized by all Emergency </w:t>
      </w:r>
      <w:r w:rsidRPr="48585CDC">
        <w:rPr>
          <w:rFonts w:eastAsia="Times New Roman"/>
        </w:rPr>
        <w:lastRenderedPageBreak/>
        <w:t>Medicine residency programs as part of their assessment of residents and is required to be reported to the ACGME for reaccreditation [15] .  Many writers cautioned against developing end-of-shift or simulation assessment systems utilising ACGME milestones. According to Dehon et al., there was little correlation between end-of-shift milestone scores and clinical competency committee evaluations at one site and all resident levels achieved level 3 milestones at around the same rates. Alternatively, Dayal et al. discovered that milestone scores rose 0.52 levels year. According to Lefebvre et al., the learner assessment scores given by the clinical competency committee increased when narrative comments were included to milestone scores on end-of-shift tools [15].</w:t>
      </w:r>
    </w:p>
    <w:p w14:paraId="30A82071"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Critical care Direct Observation Tool (CDOT) </w:t>
      </w:r>
    </w:p>
    <w:p w14:paraId="3CF160B9" w14:textId="77777777" w:rsidR="000D4098" w:rsidRDefault="000D4098" w:rsidP="48585CDC">
      <w:pPr>
        <w:pStyle w:val="NormalWeb"/>
        <w:spacing w:line="360" w:lineRule="auto"/>
        <w:jc w:val="both"/>
        <w:rPr>
          <w:rFonts w:eastAsia="Times New Roman"/>
        </w:rPr>
      </w:pPr>
      <w:r w:rsidRPr="48585CDC">
        <w:rPr>
          <w:rFonts w:eastAsia="Times New Roman"/>
        </w:rPr>
        <w:t xml:space="preserve">It is </w:t>
      </w:r>
      <w:r w:rsidRPr="48585CDC">
        <w:rPr>
          <w:shd w:val="clear" w:color="auto" w:fill="FFFFFF"/>
        </w:rPr>
        <w:t>focussed on critical care interventions at clinical setting[15]. Mapped to milestones. Includes a qualitative comments box. But it is l</w:t>
      </w:r>
      <w:r w:rsidRPr="48585CDC">
        <w:rPr>
          <w:rFonts w:eastAsia="Times New Roman"/>
        </w:rPr>
        <w:t xml:space="preserve">imited to yes, no, or Not Applicable responses And the CDOT  has poor inter-rater reliability[15]. </w:t>
      </w:r>
    </w:p>
    <w:p w14:paraId="13187299" w14:textId="77777777" w:rsidR="000D4098" w:rsidRDefault="48585CDC" w:rsidP="48585CDC">
      <w:pPr>
        <w:pStyle w:val="NormalWeb"/>
        <w:spacing w:line="360" w:lineRule="auto"/>
        <w:jc w:val="both"/>
        <w:rPr>
          <w:rFonts w:eastAsia="Times New Roman"/>
          <w:b/>
          <w:bCs/>
        </w:rPr>
      </w:pPr>
      <w:r w:rsidRPr="48585CDC">
        <w:rPr>
          <w:rFonts w:eastAsia="Times New Roman"/>
          <w:b/>
          <w:bCs/>
        </w:rPr>
        <w:t>Checklists</w:t>
      </w:r>
    </w:p>
    <w:p w14:paraId="2BF125CF" w14:textId="51DA18A7" w:rsidR="000D4098" w:rsidRPr="00417E9B" w:rsidRDefault="00417E9B" w:rsidP="00417E9B">
      <w:pPr>
        <w:spacing w:line="360" w:lineRule="auto"/>
        <w:rPr>
          <w:rFonts w:ascii="Times New Roman" w:eastAsia="Times New Roman" w:hAnsi="Times New Roman" w:cs="Times New Roman"/>
          <w:sz w:val="24"/>
          <w:szCs w:val="24"/>
        </w:rPr>
      </w:pPr>
      <w:r w:rsidRPr="00417E9B">
        <w:rPr>
          <w:rFonts w:ascii="Times New Roman" w:eastAsia="Times New Roman" w:hAnsi="Times New Roman" w:cs="Times New Roman"/>
          <w:color w:val="000000"/>
          <w:sz w:val="24"/>
          <w:szCs w:val="24"/>
        </w:rPr>
        <w:t>Both clinical settings and simulations make use of checklists. Every clinical presentation is comprised of a checklist. and might provide a space for qualitative comments. It can also be used to assess ACGME milestones if it is matched to them. Its inter-rater reliability is good. For every primary complaint, a unique checklist must be developed. focused primarily on particular care features or presentations. Frequently, there are only three possible answers: yes, no, or unclear [15]. Qualitative remarks differ depending on the checklist.</w:t>
      </w:r>
    </w:p>
    <w:p w14:paraId="5D4441F3"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b/>
          <w:bCs/>
          <w:sz w:val="24"/>
          <w:szCs w:val="24"/>
        </w:rPr>
        <w:t>Global</w:t>
      </w:r>
      <w:r w:rsidRPr="48585CDC">
        <w:rPr>
          <w:rFonts w:ascii="Times New Roman" w:eastAsia="Times New Roman" w:hAnsi="Times New Roman" w:cs="Times New Roman"/>
          <w:sz w:val="24"/>
          <w:szCs w:val="24"/>
        </w:rPr>
        <w:t xml:space="preserve"> Breaking Bad News Assessment Scale</w:t>
      </w:r>
    </w:p>
    <w:p w14:paraId="1EA2F99F" w14:textId="77777777" w:rsidR="000D4098" w:rsidRDefault="48585CDC" w:rsidP="48585CDC">
      <w:pPr>
        <w:pStyle w:val="NormalWeb"/>
        <w:spacing w:line="360" w:lineRule="auto"/>
        <w:jc w:val="both"/>
        <w:rPr>
          <w:rFonts w:eastAsia="Times New Roman"/>
        </w:rPr>
      </w:pPr>
      <w:r w:rsidRPr="48585CDC">
        <w:rPr>
          <w:rFonts w:eastAsia="Times New Roman"/>
        </w:rPr>
        <w:t xml:space="preserve">Short and easy to complete. Study tool can be modified to include a qualitative comments box.  Only assesses delivery of bad news. Responses limited to yes or no. but resident skill increases after each encounter [15]. </w:t>
      </w:r>
    </w:p>
    <w:p w14:paraId="6D4F0347"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Global Rating Scale </w:t>
      </w:r>
    </w:p>
    <w:p w14:paraId="0B3DB5AE" w14:textId="77777777" w:rsidR="000D4098" w:rsidRDefault="48585CDC" w:rsidP="48585CDC">
      <w:pPr>
        <w:pStyle w:val="NormalWeb"/>
        <w:spacing w:line="360" w:lineRule="auto"/>
        <w:jc w:val="both"/>
        <w:rPr>
          <w:rFonts w:eastAsia="Times New Roman"/>
        </w:rPr>
      </w:pPr>
      <w:r w:rsidRPr="48585CDC">
        <w:rPr>
          <w:rFonts w:eastAsia="Times New Roman"/>
        </w:rPr>
        <w:t xml:space="preserve">Fewer questions. Faster to perform. Can be combined with other direct observation tool. It has good inter-rater reliability. For clinical judgement and communication.  It relies heavily on gestalt and it has less granular assessment of components and it has no qualitative comments. </w:t>
      </w:r>
    </w:p>
    <w:p w14:paraId="596F837D"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lastRenderedPageBreak/>
        <w:t>Local End Of Shift Evaluation</w:t>
      </w:r>
    </w:p>
    <w:p w14:paraId="261443DA" w14:textId="77777777" w:rsidR="000D4098" w:rsidRDefault="48585CDC" w:rsidP="48585CDC">
      <w:pPr>
        <w:pStyle w:val="NormalWeb"/>
        <w:spacing w:line="360" w:lineRule="auto"/>
        <w:jc w:val="both"/>
        <w:rPr>
          <w:rFonts w:eastAsia="Times New Roman"/>
        </w:rPr>
      </w:pPr>
      <w:r w:rsidRPr="48585CDC">
        <w:rPr>
          <w:rFonts w:eastAsia="Times New Roman"/>
        </w:rPr>
        <w:t xml:space="preserve">It can includes assessment of technical skills and some non- technical skills (e.g., professionalism, interpersonal skills).  The Categorizations are general with limited specific examples. Not all tools have qualitative comments [15]. </w:t>
      </w:r>
    </w:p>
    <w:p w14:paraId="727BDC2E" w14:textId="63ED9E1E" w:rsidR="000D4098" w:rsidRDefault="000D4098"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Cambria" w:hAnsi="Times New Roman" w:cs="Times New Roman"/>
          <w:sz w:val="24"/>
          <w:szCs w:val="24"/>
          <w:shd w:val="clear" w:color="auto" w:fill="FFFCF0"/>
        </w:rPr>
        <w:t> </w:t>
      </w:r>
      <w:proofErr w:type="spellStart"/>
      <w:r w:rsidRPr="48585CDC">
        <w:rPr>
          <w:rFonts w:ascii="Times New Roman" w:eastAsia="Times New Roman" w:hAnsi="Times New Roman" w:cs="Times New Roman"/>
          <w:b/>
          <w:bCs/>
          <w:sz w:val="24"/>
          <w:szCs w:val="24"/>
        </w:rPr>
        <w:t>McMAP</w:t>
      </w:r>
      <w:proofErr w:type="spellEnd"/>
      <w:r w:rsidRPr="48585CDC">
        <w:rPr>
          <w:rFonts w:ascii="Times New Roman" w:eastAsia="Times New Roman" w:hAnsi="Times New Roman" w:cs="Times New Roman"/>
          <w:b/>
          <w:bCs/>
          <w:sz w:val="24"/>
          <w:szCs w:val="24"/>
        </w:rPr>
        <w:t xml:space="preserve"> (Mc Master Modular Assessment program)</w:t>
      </w:r>
    </w:p>
    <w:p w14:paraId="5CFF9E83" w14:textId="77777777" w:rsidR="002D651C" w:rsidRPr="00806478" w:rsidRDefault="48585CDC" w:rsidP="00806478">
      <w:pPr>
        <w:spacing w:line="360" w:lineRule="auto"/>
        <w:rPr>
          <w:rFonts w:ascii="Times New Roman" w:eastAsia="Times New Roman" w:hAnsi="Times New Roman" w:cs="Times New Roman"/>
          <w:sz w:val="24"/>
          <w:szCs w:val="24"/>
        </w:rPr>
      </w:pPr>
      <w:r w:rsidRPr="00806478">
        <w:rPr>
          <w:rFonts w:ascii="Times New Roman" w:eastAsia="Times New Roman" w:hAnsi="Times New Roman" w:cs="Times New Roman"/>
          <w:sz w:val="24"/>
          <w:szCs w:val="24"/>
        </w:rPr>
        <w:t>The tool is learner-</w:t>
      </w:r>
      <w:proofErr w:type="spellStart"/>
      <w:r w:rsidRPr="00806478">
        <w:rPr>
          <w:rFonts w:ascii="Times New Roman" w:eastAsia="Times New Roman" w:hAnsi="Times New Roman" w:cs="Times New Roman"/>
          <w:sz w:val="24"/>
          <w:szCs w:val="24"/>
        </w:rPr>
        <w:t>centered</w:t>
      </w:r>
      <w:proofErr w:type="spellEnd"/>
      <w:r w:rsidRPr="00806478">
        <w:rPr>
          <w:rFonts w:ascii="Times New Roman" w:eastAsia="Times New Roman" w:hAnsi="Times New Roman" w:cs="Times New Roman"/>
          <w:sz w:val="24"/>
          <w:szCs w:val="24"/>
        </w:rPr>
        <w:t xml:space="preserve"> [15]. </w:t>
      </w:r>
      <w:r w:rsidR="002D651C" w:rsidRPr="00806478">
        <w:rPr>
          <w:rFonts w:ascii="Times New Roman" w:eastAsia="Times New Roman" w:hAnsi="Times New Roman" w:cs="Times New Roman"/>
          <w:color w:val="000000"/>
          <w:sz w:val="24"/>
          <w:szCs w:val="24"/>
        </w:rPr>
        <w:t xml:space="preserve">The ACGME and </w:t>
      </w:r>
      <w:proofErr w:type="spellStart"/>
      <w:r w:rsidR="002D651C" w:rsidRPr="00806478">
        <w:rPr>
          <w:rFonts w:ascii="Times New Roman" w:eastAsia="Times New Roman" w:hAnsi="Times New Roman" w:cs="Times New Roman"/>
          <w:color w:val="000000"/>
          <w:sz w:val="24"/>
          <w:szCs w:val="24"/>
        </w:rPr>
        <w:t>CanMEDS</w:t>
      </w:r>
      <w:proofErr w:type="spellEnd"/>
      <w:r w:rsidR="002D651C" w:rsidRPr="00806478">
        <w:rPr>
          <w:rFonts w:ascii="Times New Roman" w:eastAsia="Times New Roman" w:hAnsi="Times New Roman" w:cs="Times New Roman"/>
          <w:color w:val="000000"/>
          <w:sz w:val="24"/>
          <w:szCs w:val="24"/>
        </w:rPr>
        <w:t xml:space="preserve"> Frameworks have been linked to individual clinical examinations. The tool includes required written comments and </w:t>
      </w:r>
      <w:proofErr w:type="spellStart"/>
      <w:r w:rsidR="002D651C" w:rsidRPr="00806478">
        <w:rPr>
          <w:rFonts w:ascii="Times New Roman" w:eastAsia="Times New Roman" w:hAnsi="Times New Roman" w:cs="Times New Roman"/>
          <w:color w:val="000000"/>
          <w:sz w:val="24"/>
          <w:szCs w:val="24"/>
        </w:rPr>
        <w:t>behavior</w:t>
      </w:r>
      <w:proofErr w:type="spellEnd"/>
      <w:r w:rsidR="002D651C" w:rsidRPr="00806478">
        <w:rPr>
          <w:rFonts w:ascii="Times New Roman" w:eastAsia="Times New Roman" w:hAnsi="Times New Roman" w:cs="Times New Roman"/>
          <w:color w:val="000000"/>
          <w:sz w:val="24"/>
          <w:szCs w:val="24"/>
        </w:rPr>
        <w:t>-anchored scales. Because there are 76 distinct tests in the tool, there can be a larger learning curve. Depending on the patients seen, certain components might not be observable. Students might steer clear of difficult assignments or ones in which they lack proficiency. Some elements that are more difficult to assess may be avoided by faculty. </w:t>
      </w:r>
    </w:p>
    <w:p w14:paraId="14BAD6B0" w14:textId="5570E420" w:rsidR="000D4098" w:rsidRPr="00806478" w:rsidRDefault="000D4098" w:rsidP="00806478">
      <w:pPr>
        <w:pStyle w:val="NormalWeb"/>
        <w:spacing w:line="360" w:lineRule="auto"/>
        <w:jc w:val="both"/>
        <w:rPr>
          <w:rFonts w:eastAsia="Times New Roman"/>
        </w:rPr>
      </w:pPr>
    </w:p>
    <w:p w14:paraId="5ECAC8B8" w14:textId="77777777" w:rsidR="000D4098" w:rsidRPr="00806478" w:rsidRDefault="48585CDC" w:rsidP="00806478">
      <w:pPr>
        <w:spacing w:before="100" w:beforeAutospacing="1" w:after="100" w:afterAutospacing="1" w:line="360" w:lineRule="auto"/>
        <w:jc w:val="both"/>
        <w:rPr>
          <w:rFonts w:ascii="Times New Roman" w:eastAsia="Times New Roman" w:hAnsi="Times New Roman" w:cs="Times New Roman"/>
          <w:b/>
          <w:bCs/>
          <w:sz w:val="24"/>
          <w:szCs w:val="24"/>
        </w:rPr>
      </w:pPr>
      <w:proofErr w:type="spellStart"/>
      <w:r w:rsidRPr="00806478">
        <w:rPr>
          <w:rFonts w:ascii="Times New Roman" w:eastAsia="Times New Roman" w:hAnsi="Times New Roman" w:cs="Times New Roman"/>
          <w:b/>
          <w:bCs/>
          <w:sz w:val="24"/>
          <w:szCs w:val="24"/>
        </w:rPr>
        <w:t>Minicard</w:t>
      </w:r>
      <w:proofErr w:type="spellEnd"/>
      <w:r w:rsidRPr="00806478">
        <w:rPr>
          <w:rFonts w:ascii="Times New Roman" w:eastAsia="Times New Roman" w:hAnsi="Times New Roman" w:cs="Times New Roman"/>
          <w:b/>
          <w:bCs/>
          <w:sz w:val="24"/>
          <w:szCs w:val="24"/>
        </w:rPr>
        <w:t xml:space="preserve"> </w:t>
      </w:r>
    </w:p>
    <w:p w14:paraId="531C5FB7" w14:textId="77777777" w:rsidR="007544A5" w:rsidRPr="007544A5" w:rsidRDefault="007544A5" w:rsidP="00806478">
      <w:pPr>
        <w:spacing w:line="360" w:lineRule="auto"/>
        <w:rPr>
          <w:rFonts w:ascii="Times New Roman" w:eastAsia="Times New Roman" w:hAnsi="Times New Roman" w:cs="Times New Roman"/>
          <w:sz w:val="24"/>
          <w:szCs w:val="24"/>
        </w:rPr>
      </w:pPr>
      <w:r w:rsidRPr="007544A5">
        <w:rPr>
          <w:rFonts w:ascii="Times New Roman" w:eastAsia="Times New Roman" w:hAnsi="Times New Roman" w:cs="Times New Roman"/>
          <w:color w:val="000000"/>
          <w:sz w:val="24"/>
          <w:szCs w:val="24"/>
        </w:rPr>
        <w:t>It follows with an action plan and remarks for every single assessment item. Results may be skewed if trainee level is included in scoring descriptors. </w:t>
      </w:r>
    </w:p>
    <w:p w14:paraId="57DC3FC8" w14:textId="77777777" w:rsidR="000D4098" w:rsidRDefault="000D4098"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O-</w:t>
      </w:r>
      <w:proofErr w:type="spellStart"/>
      <w:r w:rsidRPr="48585CDC">
        <w:rPr>
          <w:rFonts w:ascii="Times New Roman" w:eastAsia="Times New Roman" w:hAnsi="Times New Roman" w:cs="Times New Roman"/>
          <w:b/>
          <w:bCs/>
          <w:sz w:val="24"/>
          <w:szCs w:val="24"/>
        </w:rPr>
        <w:t>EDShOT</w:t>
      </w:r>
      <w:proofErr w:type="spellEnd"/>
      <w:r w:rsidRPr="48585CDC">
        <w:rPr>
          <w:rFonts w:ascii="Times New Roman" w:eastAsia="Times New Roman" w:hAnsi="Times New Roman" w:cs="Times New Roman"/>
          <w:b/>
          <w:bCs/>
          <w:sz w:val="24"/>
          <w:szCs w:val="24"/>
        </w:rPr>
        <w:t xml:space="preserve"> </w:t>
      </w:r>
      <w:r w:rsidRPr="48585CDC">
        <w:rPr>
          <w:rStyle w:val="CommentReference"/>
          <w:rFonts w:ascii="Times New Roman" w:hAnsi="Times New Roman" w:cs="Times New Roman"/>
          <w:sz w:val="24"/>
          <w:szCs w:val="24"/>
        </w:rPr>
        <w:t>(</w:t>
      </w:r>
      <w:r w:rsidRPr="48585CDC">
        <w:rPr>
          <w:rFonts w:ascii="Times New Roman" w:eastAsia="Cambria" w:hAnsi="Times New Roman" w:cs="Times New Roman"/>
          <w:sz w:val="24"/>
          <w:szCs w:val="24"/>
          <w:shd w:val="clear" w:color="auto" w:fill="FFFCF0"/>
        </w:rPr>
        <w:t>Ottawa ED Shift Observation Tool)</w:t>
      </w:r>
    </w:p>
    <w:p w14:paraId="3787CB26" w14:textId="2B5432DE" w:rsidR="000D4098" w:rsidRPr="00806478" w:rsidRDefault="00D257AF" w:rsidP="00806478">
      <w:pPr>
        <w:spacing w:line="360" w:lineRule="auto"/>
        <w:rPr>
          <w:rFonts w:ascii="Times New Roman" w:eastAsia="Times New Roman" w:hAnsi="Times New Roman" w:cs="Times New Roman"/>
          <w:sz w:val="24"/>
          <w:szCs w:val="24"/>
        </w:rPr>
      </w:pPr>
      <w:r w:rsidRPr="00D257AF">
        <w:rPr>
          <w:rFonts w:ascii="Times New Roman" w:eastAsia="Times New Roman" w:hAnsi="Times New Roman" w:cs="Times New Roman"/>
          <w:color w:val="000000"/>
          <w:sz w:val="24"/>
          <w:szCs w:val="24"/>
        </w:rPr>
        <w:t>It was created especially for the ED environment using input from residents and instructors. Although there is some validity data to support its usage, more research is required. The Ottawa Emergency Department Shift Observation instrument was introduced as an entrustment-based instrument to assess a resident's capacity to manage the ED. includes a space for qualitative comments about one's strengths and shortcomings. Regardless of the treatment area (high, medium, or low acuity), it can be applied</w:t>
      </w:r>
      <w:r w:rsidR="48585CDC" w:rsidRPr="00806478">
        <w:rPr>
          <w:rFonts w:ascii="Times New Roman" w:eastAsia="Times New Roman" w:hAnsi="Times New Roman" w:cs="Times New Roman"/>
          <w:sz w:val="24"/>
          <w:szCs w:val="24"/>
        </w:rPr>
        <w:t>[15]. The O-</w:t>
      </w:r>
      <w:proofErr w:type="spellStart"/>
      <w:r w:rsidR="48585CDC" w:rsidRPr="00806478">
        <w:rPr>
          <w:rFonts w:ascii="Times New Roman" w:eastAsia="Times New Roman" w:hAnsi="Times New Roman" w:cs="Times New Roman"/>
          <w:sz w:val="24"/>
          <w:szCs w:val="24"/>
        </w:rPr>
        <w:t>EDShOT</w:t>
      </w:r>
      <w:proofErr w:type="spellEnd"/>
      <w:r w:rsidR="48585CDC" w:rsidRPr="00806478">
        <w:rPr>
          <w:rFonts w:ascii="Times New Roman" w:eastAsia="Times New Roman" w:hAnsi="Times New Roman" w:cs="Times New Roman"/>
          <w:sz w:val="24"/>
          <w:szCs w:val="24"/>
        </w:rPr>
        <w:t xml:space="preserve"> was created to assess a set of skills over the duration of the whole shift, not simply one patient encounter. O-</w:t>
      </w:r>
      <w:proofErr w:type="spellStart"/>
      <w:r w:rsidR="48585CDC" w:rsidRPr="00806478">
        <w:rPr>
          <w:rFonts w:ascii="Times New Roman" w:eastAsia="Times New Roman" w:hAnsi="Times New Roman" w:cs="Times New Roman"/>
          <w:sz w:val="24"/>
          <w:szCs w:val="24"/>
        </w:rPr>
        <w:t>EDShOT's</w:t>
      </w:r>
      <w:proofErr w:type="spellEnd"/>
      <w:r w:rsidR="48585CDC" w:rsidRPr="00806478">
        <w:rPr>
          <w:rFonts w:ascii="Times New Roman" w:eastAsia="Times New Roman" w:hAnsi="Times New Roman" w:cs="Times New Roman"/>
          <w:sz w:val="24"/>
          <w:szCs w:val="24"/>
        </w:rPr>
        <w:t xml:space="preserve"> ability to distinguish between residents with different levels of training and the fact that scores did not differ according to the ED treatment area show that the test can be used to evaluate a resident's capacity to manage an ED shift regardless of the acuity area to which they are assigned [15,16]. Furthermore, the O- </w:t>
      </w:r>
      <w:proofErr w:type="spellStart"/>
      <w:r w:rsidR="48585CDC" w:rsidRPr="00806478">
        <w:rPr>
          <w:rFonts w:ascii="Times New Roman" w:eastAsia="Times New Roman" w:hAnsi="Times New Roman" w:cs="Times New Roman"/>
          <w:sz w:val="24"/>
          <w:szCs w:val="24"/>
        </w:rPr>
        <w:t>EDShOT</w:t>
      </w:r>
      <w:proofErr w:type="spellEnd"/>
      <w:r w:rsidR="48585CDC" w:rsidRPr="00806478">
        <w:rPr>
          <w:rFonts w:ascii="Times New Roman" w:eastAsia="Times New Roman" w:hAnsi="Times New Roman" w:cs="Times New Roman"/>
          <w:sz w:val="24"/>
          <w:szCs w:val="24"/>
        </w:rPr>
        <w:t xml:space="preserve"> is practical and useful for promoting feedback aimed at progressing toward independent practise, according </w:t>
      </w:r>
      <w:r w:rsidR="48585CDC" w:rsidRPr="00806478">
        <w:rPr>
          <w:rFonts w:ascii="Times New Roman" w:eastAsia="Times New Roman" w:hAnsi="Times New Roman" w:cs="Times New Roman"/>
          <w:sz w:val="24"/>
          <w:szCs w:val="24"/>
        </w:rPr>
        <w:lastRenderedPageBreak/>
        <w:t>to front-line teachers and residents.</w:t>
      </w:r>
      <w:r w:rsidR="48585CDC" w:rsidRPr="00806478">
        <w:rPr>
          <w:rFonts w:ascii="Times New Roman" w:hAnsi="Times New Roman" w:cs="Times New Roman"/>
          <w:sz w:val="24"/>
          <w:szCs w:val="24"/>
        </w:rPr>
        <w:t xml:space="preserve"> The normative scale that was previously in use required the assessor to transform judgements of the trainee's performance into abstract anchors based on concepts that were poorly comprehended for the resident's level of training (e.g., below, meets, surpasses expectation)</w:t>
      </w:r>
      <w:r w:rsidR="48585CDC" w:rsidRPr="00806478">
        <w:rPr>
          <w:rFonts w:ascii="Times New Roman" w:eastAsia="Times New Roman" w:hAnsi="Times New Roman" w:cs="Times New Roman"/>
          <w:sz w:val="24"/>
          <w:szCs w:val="24"/>
        </w:rPr>
        <w:t>, but faculty and residents reported that the O-SCORE was more pragmatic and objective than that scale [16]. The O-</w:t>
      </w:r>
      <w:proofErr w:type="spellStart"/>
      <w:r w:rsidR="48585CDC" w:rsidRPr="00806478">
        <w:rPr>
          <w:rFonts w:ascii="Times New Roman" w:eastAsia="Times New Roman" w:hAnsi="Times New Roman" w:cs="Times New Roman"/>
          <w:sz w:val="24"/>
          <w:szCs w:val="24"/>
        </w:rPr>
        <w:t>EDShOT</w:t>
      </w:r>
      <w:proofErr w:type="spellEnd"/>
      <w:r w:rsidR="48585CDC" w:rsidRPr="00806478">
        <w:rPr>
          <w:rFonts w:ascii="Times New Roman" w:eastAsia="Times New Roman" w:hAnsi="Times New Roman" w:cs="Times New Roman"/>
          <w:sz w:val="24"/>
          <w:szCs w:val="24"/>
        </w:rPr>
        <w:t xml:space="preserve"> could be used to evaluate specific </w:t>
      </w:r>
      <w:proofErr w:type="spellStart"/>
      <w:r w:rsidR="48585CDC" w:rsidRPr="00806478">
        <w:rPr>
          <w:rFonts w:ascii="Times New Roman" w:eastAsia="Times New Roman" w:hAnsi="Times New Roman" w:cs="Times New Roman"/>
          <w:sz w:val="24"/>
          <w:szCs w:val="24"/>
        </w:rPr>
        <w:t>entrustable</w:t>
      </w:r>
      <w:proofErr w:type="spellEnd"/>
      <w:r w:rsidR="48585CDC" w:rsidRPr="00806478">
        <w:rPr>
          <w:rFonts w:ascii="Times New Roman" w:eastAsia="Times New Roman" w:hAnsi="Times New Roman" w:cs="Times New Roman"/>
          <w:sz w:val="24"/>
          <w:szCs w:val="24"/>
        </w:rPr>
        <w:t xml:space="preserve"> professional activities in the transition to practise stage of training that relate to managing the ED and help the clinical competency committee make decisions about a resident's readiness for independent practise because it captures the essential skills of an EM physician. Literature implies that </w:t>
      </w:r>
      <w:proofErr w:type="spellStart"/>
      <w:r w:rsidR="48585CDC" w:rsidRPr="00806478">
        <w:rPr>
          <w:rFonts w:ascii="Times New Roman" w:eastAsia="Times New Roman" w:hAnsi="Times New Roman" w:cs="Times New Roman"/>
          <w:sz w:val="24"/>
          <w:szCs w:val="24"/>
        </w:rPr>
        <w:t>entrustability</w:t>
      </w:r>
      <w:proofErr w:type="spellEnd"/>
      <w:r w:rsidR="48585CDC" w:rsidRPr="00806478">
        <w:rPr>
          <w:rFonts w:ascii="Times New Roman" w:eastAsia="Times New Roman" w:hAnsi="Times New Roman" w:cs="Times New Roman"/>
          <w:sz w:val="24"/>
          <w:szCs w:val="24"/>
        </w:rPr>
        <w:t xml:space="preserve"> measures are construct-aligned and reflect the goals of the clinician-assessor, supporting these ideas. Additionally, The language of entrustment anchoring has been organised around movement towards autonomous practising, making the connection between clinical assessment and improving skills in the workplace clearer, trainees perceive ratings on </w:t>
      </w:r>
      <w:proofErr w:type="spellStart"/>
      <w:r w:rsidR="48585CDC" w:rsidRPr="00806478">
        <w:rPr>
          <w:rFonts w:ascii="Times New Roman" w:eastAsia="Times New Roman" w:hAnsi="Times New Roman" w:cs="Times New Roman"/>
          <w:sz w:val="24"/>
          <w:szCs w:val="24"/>
        </w:rPr>
        <w:t>entrustability</w:t>
      </w:r>
      <w:proofErr w:type="spellEnd"/>
      <w:r w:rsidR="48585CDC" w:rsidRPr="00806478">
        <w:rPr>
          <w:rFonts w:ascii="Times New Roman" w:eastAsia="Times New Roman" w:hAnsi="Times New Roman" w:cs="Times New Roman"/>
          <w:sz w:val="24"/>
          <w:szCs w:val="24"/>
        </w:rPr>
        <w:t xml:space="preserve"> scales to be more transparent and justified [16].</w:t>
      </w:r>
    </w:p>
    <w:p w14:paraId="6F89556E"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QSAT </w:t>
      </w:r>
    </w:p>
    <w:p w14:paraId="029F5AFF" w14:textId="77777777" w:rsidR="000D4098" w:rsidRDefault="48585CDC" w:rsidP="48585CDC">
      <w:pPr>
        <w:pStyle w:val="NormalWeb"/>
        <w:spacing w:line="360" w:lineRule="auto"/>
        <w:jc w:val="both"/>
        <w:rPr>
          <w:rFonts w:eastAsia="Times New Roman"/>
        </w:rPr>
      </w:pPr>
      <w:r w:rsidRPr="48585CDC">
        <w:rPr>
          <w:rFonts w:eastAsia="Times New Roman"/>
        </w:rPr>
        <w:t>Provides a framework that can be customized to each specific case.  E</w:t>
      </w:r>
      <w:r w:rsidRPr="48585CDC">
        <w:t xml:space="preserve"> </w:t>
      </w:r>
      <w:r w:rsidRPr="48585CDC">
        <w:rPr>
          <w:rFonts w:eastAsia="Times New Roman"/>
        </w:rPr>
        <w:t>ach QSAT would need to be individually designed for each presentation. Studies limited to the simulation environment.</w:t>
      </w:r>
    </w:p>
    <w:p w14:paraId="367289D5"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RAT </w:t>
      </w:r>
    </w:p>
    <w:p w14:paraId="631E75C3" w14:textId="77777777" w:rsidR="000D4098" w:rsidRDefault="48585CDC" w:rsidP="48585CDC">
      <w:pPr>
        <w:pStyle w:val="NormalWeb"/>
        <w:spacing w:line="360" w:lineRule="auto"/>
        <w:jc w:val="both"/>
        <w:rPr>
          <w:rFonts w:eastAsia="Times New Roman"/>
        </w:rPr>
      </w:pPr>
      <w:r w:rsidRPr="48585CDC">
        <w:rPr>
          <w:rFonts w:eastAsia="Times New Roman"/>
        </w:rPr>
        <w:t xml:space="preserve">Builds upon QSAT with </w:t>
      </w:r>
      <w:proofErr w:type="spellStart"/>
      <w:r w:rsidRPr="48585CDC">
        <w:rPr>
          <w:rFonts w:eastAsia="Times New Roman"/>
        </w:rPr>
        <w:t>Entrustable</w:t>
      </w:r>
      <w:proofErr w:type="spellEnd"/>
      <w:r w:rsidRPr="48585CDC">
        <w:rPr>
          <w:rFonts w:eastAsia="Times New Roman"/>
        </w:rPr>
        <w:t xml:space="preserve"> professional activities targeted towards resuscitation management. Designed using a modified Delphi study with experts. RAT was positively correlated with entrustment scores. Only assesses resuscitation management. </w:t>
      </w:r>
    </w:p>
    <w:p w14:paraId="2298B254"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RIME </w:t>
      </w:r>
    </w:p>
    <w:p w14:paraId="1DABE1FF" w14:textId="06A0FD8C" w:rsidR="00840B53" w:rsidRPr="00806478" w:rsidRDefault="48585CDC" w:rsidP="00806478">
      <w:pPr>
        <w:pStyle w:val="NormalWeb"/>
        <w:spacing w:line="360" w:lineRule="auto"/>
        <w:jc w:val="both"/>
        <w:rPr>
          <w:rFonts w:eastAsia="Times New Roman"/>
        </w:rPr>
      </w:pPr>
      <w:r w:rsidRPr="48585CDC">
        <w:rPr>
          <w:rFonts w:eastAsia="Times New Roman"/>
        </w:rPr>
        <w:t xml:space="preserve">Easy to use. Can be combined with other tools.  There is positive correlation between RIME category and clinical evaluation scores. </w:t>
      </w:r>
    </w:p>
    <w:p w14:paraId="67F923C5" w14:textId="69E1FCCB" w:rsidR="000D4098" w:rsidRDefault="48585CDC" w:rsidP="48585CDC">
      <w:pPr>
        <w:spacing w:before="100" w:beforeAutospacing="1" w:after="100" w:afterAutospacing="1" w:line="360" w:lineRule="auto"/>
        <w:jc w:val="both"/>
        <w:rPr>
          <w:rFonts w:ascii="Times New Roman" w:eastAsia="Times New Roman" w:hAnsi="Times New Roman" w:cs="Times New Roman"/>
          <w:b/>
          <w:bCs/>
          <w:sz w:val="24"/>
          <w:szCs w:val="24"/>
        </w:rPr>
      </w:pPr>
      <w:r w:rsidRPr="48585CDC">
        <w:rPr>
          <w:rFonts w:ascii="Times New Roman" w:eastAsia="Times New Roman" w:hAnsi="Times New Roman" w:cs="Times New Roman"/>
          <w:b/>
          <w:bCs/>
          <w:sz w:val="24"/>
          <w:szCs w:val="24"/>
        </w:rPr>
        <w:t xml:space="preserve">SDOT </w:t>
      </w:r>
    </w:p>
    <w:p w14:paraId="5BDE30EE" w14:textId="142F2722" w:rsidR="000D4098" w:rsidRPr="008F7E61" w:rsidRDefault="008F7E61" w:rsidP="008F7E61">
      <w:pPr>
        <w:spacing w:line="360" w:lineRule="auto"/>
        <w:rPr>
          <w:rFonts w:ascii="Times New Roman" w:eastAsia="Times New Roman" w:hAnsi="Times New Roman" w:cs="Times New Roman"/>
          <w:sz w:val="24"/>
          <w:szCs w:val="24"/>
        </w:rPr>
      </w:pPr>
      <w:r w:rsidRPr="008F7E61">
        <w:rPr>
          <w:rFonts w:ascii="Times New Roman" w:eastAsia="Times New Roman" w:hAnsi="Times New Roman" w:cs="Times New Roman"/>
          <w:color w:val="000000"/>
          <w:sz w:val="24"/>
          <w:szCs w:val="24"/>
        </w:rPr>
        <w:t xml:space="preserve">Both technical and certain nontechnical skills (such as professionalism and interpersonal skills) are assessed. In certain patient visits, a number of components could not be </w:t>
      </w:r>
      <w:r w:rsidRPr="008F7E61">
        <w:rPr>
          <w:rFonts w:ascii="Times New Roman" w:eastAsia="Times New Roman" w:hAnsi="Times New Roman" w:cs="Times New Roman"/>
          <w:color w:val="000000"/>
          <w:sz w:val="24"/>
          <w:szCs w:val="24"/>
        </w:rPr>
        <w:lastRenderedPageBreak/>
        <w:t>appropriate. does not offer a qualitative commenting option. reduced accuracy in comparison to alternative tools. might take longer than other methods of direct observation</w:t>
      </w:r>
      <w:r w:rsidR="48585CDC" w:rsidRPr="008F7E61">
        <w:rPr>
          <w:rFonts w:ascii="Times New Roman" w:eastAsia="Times New Roman" w:hAnsi="Times New Roman" w:cs="Times New Roman"/>
        </w:rPr>
        <w:t>[15].</w:t>
      </w:r>
      <w:r w:rsidR="48585CDC" w:rsidRPr="48585CDC">
        <w:rPr>
          <w:rFonts w:eastAsia="Times New Roman"/>
        </w:rPr>
        <w:t xml:space="preserve"> </w:t>
      </w:r>
    </w:p>
    <w:p w14:paraId="7607F7AB" w14:textId="77777777" w:rsidR="000D4098" w:rsidRDefault="48585CDC" w:rsidP="48585CDC">
      <w:pPr>
        <w:pStyle w:val="NormalWeb"/>
        <w:spacing w:line="360" w:lineRule="auto"/>
        <w:jc w:val="both"/>
        <w:rPr>
          <w:rFonts w:eastAsia="Times New Roman"/>
          <w:b/>
          <w:bCs/>
        </w:rPr>
      </w:pPr>
      <w:r w:rsidRPr="48585CDC">
        <w:rPr>
          <w:rFonts w:eastAsia="Times New Roman"/>
          <w:b/>
          <w:bCs/>
        </w:rPr>
        <w:t>Daily Encounter Cards</w:t>
      </w:r>
    </w:p>
    <w:p w14:paraId="2AB559D4" w14:textId="77777777" w:rsidR="000D4098" w:rsidRDefault="48585CDC" w:rsidP="48585CDC">
      <w:pPr>
        <w:pStyle w:val="NormalWeb"/>
        <w:spacing w:line="360" w:lineRule="auto"/>
        <w:jc w:val="both"/>
        <w:rPr>
          <w:rFonts w:eastAsia="Times New Roman"/>
        </w:rPr>
      </w:pPr>
      <w:r w:rsidRPr="48585CDC">
        <w:rPr>
          <w:rFonts w:eastAsia="Times New Roman"/>
        </w:rPr>
        <w:t xml:space="preserve">Daily encounter cards (DECs) have developed into a key type of WBA utilised in the ED setting to evaluate trainee performance. DECs make it easier to evaluate several critical abilities at once using performance data gathered over the course of a shift. The supervisor often completes DECs at the conclusion of each shift, eliminating recall bias while also providing a catalyst for frequent formative input and for repeated assessments of performance over time. Evidence reveals that, despite their widespread use, </w:t>
      </w:r>
      <w:proofErr w:type="spellStart"/>
      <w:r w:rsidRPr="48585CDC">
        <w:rPr>
          <w:rFonts w:eastAsia="Times New Roman"/>
        </w:rPr>
        <w:t>DECs'</w:t>
      </w:r>
      <w:proofErr w:type="spellEnd"/>
      <w:r w:rsidRPr="48585CDC">
        <w:rPr>
          <w:rFonts w:eastAsia="Times New Roman"/>
        </w:rPr>
        <w:t xml:space="preserve"> assessment documentation quality is subpar [77]. According to a research by Bandiera and Lendrum[17], DECs were vulnerable to leniency or range limitation effects, in which supervisors gave "inflated" or excessively positive evaluations that resulted in indiscriminate ratings. According to </w:t>
      </w:r>
      <w:proofErr w:type="spellStart"/>
      <w:r w:rsidRPr="48585CDC">
        <w:rPr>
          <w:rFonts w:eastAsia="Times New Roman"/>
        </w:rPr>
        <w:t>Sherbino</w:t>
      </w:r>
      <w:proofErr w:type="spellEnd"/>
      <w:r w:rsidRPr="48585CDC">
        <w:rPr>
          <w:rFonts w:eastAsia="Times New Roman"/>
        </w:rPr>
        <w:t xml:space="preserve"> et al., front-line supervisors' poor comprehension of the DEC items led to low reliability and shaky validity of the results [18].</w:t>
      </w:r>
    </w:p>
    <w:p w14:paraId="0A43D37D"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O-Score</w:t>
      </w:r>
    </w:p>
    <w:p w14:paraId="67152219" w14:textId="43741FEE" w:rsidR="000D4098" w:rsidRDefault="48585CDC" w:rsidP="48585CDC">
      <w:p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An evaluation tool for WBA, the Ottawa Surgical Competency Operating Room Evaluation (O-SCORE), focuses its grading scale on a specific set of entrustment anchors. This score has good psychometric properties [16]. </w:t>
      </w:r>
    </w:p>
    <w:p w14:paraId="30CA020F" w14:textId="77777777" w:rsidR="000D4098" w:rsidRDefault="000D4098" w:rsidP="48585CDC">
      <w:pPr>
        <w:pStyle w:val="NormalWeb"/>
        <w:spacing w:before="0" w:beforeAutospacing="0" w:after="0" w:afterAutospacing="0" w:line="360" w:lineRule="auto"/>
        <w:jc w:val="both"/>
        <w:rPr>
          <w:rStyle w:val="CommentReference"/>
          <w:sz w:val="24"/>
          <w:szCs w:val="24"/>
        </w:rPr>
      </w:pPr>
    </w:p>
    <w:p w14:paraId="50BDBF48" w14:textId="77777777" w:rsidR="000D4098" w:rsidRDefault="48585CDC" w:rsidP="48585CDC">
      <w:pPr>
        <w:pStyle w:val="NormalWeb"/>
        <w:spacing w:before="0" w:beforeAutospacing="0" w:after="0" w:afterAutospacing="0" w:line="360" w:lineRule="auto"/>
        <w:jc w:val="both"/>
        <w:rPr>
          <w:rFonts w:eastAsia="Book Antiqua"/>
          <w:b/>
          <w:bCs/>
        </w:rPr>
      </w:pPr>
      <w:r w:rsidRPr="48585CDC">
        <w:rPr>
          <w:rFonts w:eastAsia="Book Antiqua"/>
          <w:b/>
          <w:bCs/>
        </w:rPr>
        <w:t>International experience</w:t>
      </w:r>
    </w:p>
    <w:p w14:paraId="1A601216" w14:textId="3604D64F" w:rsidR="000D4098" w:rsidRDefault="48585CDC" w:rsidP="48585CDC">
      <w:pPr>
        <w:pStyle w:val="NormalWeb"/>
        <w:spacing w:before="0" w:beforeAutospacing="0" w:after="0" w:afterAutospacing="0" w:line="360" w:lineRule="auto"/>
        <w:jc w:val="both"/>
        <w:rPr>
          <w:rFonts w:eastAsia="Book Antiqua"/>
          <w:lang w:val="en-GB"/>
        </w:rPr>
      </w:pPr>
      <w:r w:rsidRPr="48585CDC">
        <w:rPr>
          <w:rFonts w:eastAsia="Book Antiqua"/>
          <w:lang w:val="en-GB"/>
        </w:rPr>
        <w:t xml:space="preserve">I The Chinese government introduced the resident standardisation training (RST) programme in 2015[30] in response to CBME and to guarantee high competence levels among practitioners for high-quality healthcare. The mini-CEX is advised as a formative evaluation instrument in the Chinese RST programme due to its exceptional dependability, efficacy, simplicity, and multifunctionality. The mini-CEX has been utilised for the evaluation of interns, residents, and postgraduates in clinical medicine and medically related professions during the three-year RST programme after being specially modified based on the original format [31].  The Mini‐CEX was developed, piloted, and evaluated in the USA and is now widely used to assess doctors on American Residency programmes [32,33]. </w:t>
      </w:r>
    </w:p>
    <w:p w14:paraId="72A2A32A" w14:textId="599BDE86" w:rsidR="000D4098" w:rsidRDefault="48585CDC" w:rsidP="48585CDC">
      <w:pPr>
        <w:spacing w:line="360" w:lineRule="auto"/>
        <w:jc w:val="both"/>
        <w:rPr>
          <w:rFonts w:ascii="Times New Roman" w:eastAsia="Book Antiqua" w:hAnsi="Times New Roman" w:cs="Times New Roman"/>
          <w:sz w:val="24"/>
          <w:szCs w:val="24"/>
          <w:lang w:val="en-GB"/>
        </w:rPr>
      </w:pPr>
      <w:r w:rsidRPr="48585CDC">
        <w:rPr>
          <w:rFonts w:ascii="Times New Roman" w:eastAsia="Book Antiqua" w:hAnsi="Times New Roman" w:cs="Times New Roman"/>
          <w:sz w:val="24"/>
          <w:szCs w:val="24"/>
          <w:lang w:val="en-US"/>
        </w:rPr>
        <w:lastRenderedPageBreak/>
        <w:t xml:space="preserve">Mitchell. C et al </w:t>
      </w:r>
      <w:proofErr w:type="spellStart"/>
      <w:r w:rsidRPr="48585CDC">
        <w:rPr>
          <w:rFonts w:ascii="Times New Roman" w:eastAsia="Book Antiqua" w:hAnsi="Times New Roman" w:cs="Times New Roman"/>
          <w:sz w:val="24"/>
          <w:szCs w:val="24"/>
          <w:lang w:val="en-US"/>
        </w:rPr>
        <w:t>utilised</w:t>
      </w:r>
      <w:proofErr w:type="spellEnd"/>
      <w:r w:rsidRPr="48585CDC">
        <w:rPr>
          <w:rFonts w:ascii="Times New Roman" w:eastAsia="Book Antiqua" w:hAnsi="Times New Roman" w:cs="Times New Roman"/>
          <w:sz w:val="24"/>
          <w:szCs w:val="24"/>
          <w:lang w:val="en-US"/>
        </w:rPr>
        <w:t xml:space="preserve"> anonymized records for 1646 trainees in a single UK postgraduate deanery to conduct a retrospective observational analysis. The e-portfolio database's data for WPBAs conducted between August 2005 and April 2009 were taken. </w:t>
      </w:r>
      <w:proofErr w:type="gramStart"/>
      <w:r w:rsidRPr="48585CDC">
        <w:rPr>
          <w:rFonts w:ascii="Times New Roman" w:eastAsia="Book Antiqua" w:hAnsi="Times New Roman" w:cs="Times New Roman"/>
          <w:sz w:val="24"/>
          <w:szCs w:val="24"/>
          <w:lang w:val="en-US"/>
        </w:rPr>
        <w:t>All of</w:t>
      </w:r>
      <w:proofErr w:type="gramEnd"/>
      <w:r w:rsidRPr="48585CDC">
        <w:rPr>
          <w:rFonts w:ascii="Times New Roman" w:eastAsia="Book Antiqua" w:hAnsi="Times New Roman" w:cs="Times New Roman"/>
          <w:sz w:val="24"/>
          <w:szCs w:val="24"/>
          <w:lang w:val="en-US"/>
        </w:rPr>
        <w:t xml:space="preserve"> the results from the mini-clinical evaluation exercise (mini-CEX), case-based discussion (</w:t>
      </w:r>
      <w:proofErr w:type="spellStart"/>
      <w:r w:rsidRPr="48585CDC">
        <w:rPr>
          <w:rFonts w:ascii="Times New Roman" w:eastAsia="Book Antiqua" w:hAnsi="Times New Roman" w:cs="Times New Roman"/>
          <w:sz w:val="24"/>
          <w:szCs w:val="24"/>
          <w:lang w:val="en-US"/>
        </w:rPr>
        <w:t>CbD</w:t>
      </w:r>
      <w:proofErr w:type="spellEnd"/>
      <w:r w:rsidRPr="48585CDC">
        <w:rPr>
          <w:rFonts w:ascii="Times New Roman" w:eastAsia="Book Antiqua" w:hAnsi="Times New Roman" w:cs="Times New Roman"/>
          <w:sz w:val="24"/>
          <w:szCs w:val="24"/>
          <w:lang w:val="en-US"/>
        </w:rPr>
        <w:t xml:space="preserve">), direct observation of procedural skills (DOPS), and mini-peer assessment tool (mini-PAT) evaluations completed by trainees in FP years 1 and 2 were included in these data. and discovered that 92 of the 1646 trainees had been classified as having a problem. There was a correlation between identified training challenges and lower mean </w:t>
      </w:r>
      <w:proofErr w:type="spellStart"/>
      <w:r w:rsidRPr="48585CDC">
        <w:rPr>
          <w:rFonts w:ascii="Times New Roman" w:eastAsia="Book Antiqua" w:hAnsi="Times New Roman" w:cs="Times New Roman"/>
          <w:sz w:val="24"/>
          <w:szCs w:val="24"/>
          <w:lang w:val="en-US"/>
        </w:rPr>
        <w:t>CbD</w:t>
      </w:r>
      <w:proofErr w:type="spellEnd"/>
      <w:r w:rsidRPr="48585CDC">
        <w:rPr>
          <w:rFonts w:ascii="Times New Roman" w:eastAsia="Book Antiqua" w:hAnsi="Times New Roman" w:cs="Times New Roman"/>
          <w:sz w:val="24"/>
          <w:szCs w:val="24"/>
          <w:lang w:val="en-US"/>
        </w:rPr>
        <w:t xml:space="preserve"> and mini-CEX scores for trainees who experienced difficulties </w:t>
      </w:r>
      <w:r w:rsidRPr="48585CDC">
        <w:rPr>
          <w:rFonts w:ascii="Times New Roman" w:eastAsia="Book Antiqua" w:hAnsi="Times New Roman" w:cs="Times New Roman"/>
          <w:sz w:val="24"/>
          <w:szCs w:val="24"/>
          <w:lang w:val="en-GB"/>
        </w:rPr>
        <w:t>[34].</w:t>
      </w:r>
    </w:p>
    <w:p w14:paraId="645A85E8" w14:textId="1D579F80" w:rsidR="000D4098" w:rsidRPr="00626D87" w:rsidRDefault="00626D87" w:rsidP="00626D87">
      <w:pPr>
        <w:spacing w:line="360" w:lineRule="auto"/>
        <w:rPr>
          <w:rFonts w:ascii="Times New Roman" w:eastAsia="Times New Roman" w:hAnsi="Times New Roman" w:cs="Times New Roman"/>
          <w:sz w:val="24"/>
          <w:szCs w:val="24"/>
        </w:rPr>
      </w:pPr>
      <w:r w:rsidRPr="00626D87">
        <w:rPr>
          <w:rFonts w:ascii="Times New Roman" w:eastAsia="Times New Roman" w:hAnsi="Times New Roman" w:cs="Times New Roman"/>
          <w:color w:val="000000"/>
          <w:sz w:val="24"/>
          <w:szCs w:val="24"/>
        </w:rPr>
        <w:t xml:space="preserve">In order to assess their experiences with foundation programme WPBAs, F2 doctors in Northern Ireland took part in an electronic survey created by </w:t>
      </w:r>
      <w:proofErr w:type="spellStart"/>
      <w:r w:rsidRPr="00626D87">
        <w:rPr>
          <w:rFonts w:ascii="Times New Roman" w:eastAsia="Times New Roman" w:hAnsi="Times New Roman" w:cs="Times New Roman"/>
          <w:color w:val="000000"/>
          <w:sz w:val="24"/>
          <w:szCs w:val="24"/>
        </w:rPr>
        <w:t>McKavanagh</w:t>
      </w:r>
      <w:proofErr w:type="spellEnd"/>
      <w:r w:rsidRPr="00626D87">
        <w:rPr>
          <w:rFonts w:ascii="Times New Roman" w:eastAsia="Times New Roman" w:hAnsi="Times New Roman" w:cs="Times New Roman"/>
          <w:color w:val="000000"/>
          <w:sz w:val="24"/>
          <w:szCs w:val="24"/>
        </w:rPr>
        <w:t xml:space="preserve"> P et al. Electronically presented survey questions were used, and Turning Point technology was used to compile the replies. F2 doctors seek more chances for valuable consultant interaction with prompt feedback, and they discovered that the WPBAs provided the foundation doctors with a one-on-one learning opportunity with their supervising consultants. Since the current WPBA procedure lacks integrity, they recommended improving its implementation</w:t>
      </w:r>
      <w:r w:rsidR="48585CDC" w:rsidRPr="00626D87">
        <w:rPr>
          <w:rFonts w:ascii="Times New Roman" w:hAnsi="Times New Roman" w:cs="Times New Roman"/>
          <w:sz w:val="24"/>
          <w:szCs w:val="24"/>
          <w:lang w:val="en-GB"/>
        </w:rPr>
        <w:t>[35]. McLeod</w:t>
      </w:r>
      <w:r w:rsidR="48585CDC" w:rsidRPr="00626D87">
        <w:rPr>
          <w:rFonts w:ascii="Times New Roman" w:hAnsi="Times New Roman" w:cs="Times New Roman"/>
          <w:sz w:val="24"/>
          <w:szCs w:val="24"/>
        </w:rPr>
        <w:t> </w:t>
      </w:r>
      <w:r w:rsidR="48585CDC" w:rsidRPr="00626D87">
        <w:rPr>
          <w:rFonts w:ascii="Times New Roman" w:hAnsi="Times New Roman" w:cs="Times New Roman"/>
          <w:i/>
          <w:iCs/>
          <w:sz w:val="24"/>
          <w:szCs w:val="24"/>
          <w:lang w:val="en-GB"/>
        </w:rPr>
        <w:t xml:space="preserve">et al. </w:t>
      </w:r>
      <w:r w:rsidR="48585CDC" w:rsidRPr="00626D87">
        <w:rPr>
          <w:rFonts w:ascii="Times New Roman" w:hAnsi="Times New Roman" w:cs="Times New Roman"/>
          <w:sz w:val="24"/>
          <w:szCs w:val="24"/>
          <w:lang w:val="en-GB"/>
        </w:rPr>
        <w:t>[</w:t>
      </w:r>
      <w:r w:rsidR="48585CDC" w:rsidRPr="00626D87">
        <w:rPr>
          <w:rFonts w:ascii="Times New Roman" w:hAnsi="Times New Roman" w:cs="Times New Roman"/>
          <w:sz w:val="24"/>
          <w:szCs w:val="24"/>
        </w:rPr>
        <w:t>36</w:t>
      </w:r>
      <w:r w:rsidR="48585CDC" w:rsidRPr="00626D87">
        <w:rPr>
          <w:rFonts w:ascii="Times New Roman" w:hAnsi="Times New Roman" w:cs="Times New Roman"/>
          <w:sz w:val="24"/>
          <w:szCs w:val="24"/>
          <w:lang w:val="en-GB"/>
        </w:rPr>
        <w:t>] concluded that, DOPS provides an overall insightful perspective of a students’ procedural skills assessment in undergraduate medical students in UK. Morris</w:t>
      </w:r>
      <w:r w:rsidR="48585CDC" w:rsidRPr="00626D87">
        <w:rPr>
          <w:rFonts w:ascii="Times New Roman" w:hAnsi="Times New Roman" w:cs="Times New Roman"/>
          <w:sz w:val="24"/>
          <w:szCs w:val="24"/>
        </w:rPr>
        <w:t> </w:t>
      </w:r>
      <w:r w:rsidR="48585CDC" w:rsidRPr="00626D87">
        <w:rPr>
          <w:rFonts w:ascii="Times New Roman" w:hAnsi="Times New Roman" w:cs="Times New Roman"/>
          <w:i/>
          <w:iCs/>
          <w:sz w:val="24"/>
          <w:szCs w:val="24"/>
          <w:lang w:val="en-GB"/>
        </w:rPr>
        <w:t>et al</w:t>
      </w:r>
      <w:r w:rsidR="48585CDC" w:rsidRPr="00626D87">
        <w:rPr>
          <w:rFonts w:ascii="Times New Roman" w:hAnsi="Times New Roman" w:cs="Times New Roman"/>
          <w:sz w:val="24"/>
          <w:szCs w:val="24"/>
          <w:lang w:val="en-GB"/>
        </w:rPr>
        <w:t>.[</w:t>
      </w:r>
      <w:hyperlink r:id="rId6" w:anchor="R7">
        <w:r w:rsidR="48585CDC" w:rsidRPr="00626D87">
          <w:rPr>
            <w:rStyle w:val="Hyperlink"/>
            <w:rFonts w:ascii="Times New Roman" w:hAnsi="Times New Roman" w:cs="Times New Roman"/>
            <w:color w:val="auto"/>
            <w:sz w:val="24"/>
            <w:szCs w:val="24"/>
          </w:rPr>
          <w:t>37</w:t>
        </w:r>
      </w:hyperlink>
      <w:r w:rsidR="48585CDC" w:rsidRPr="00626D87">
        <w:rPr>
          <w:rFonts w:ascii="Times New Roman" w:hAnsi="Times New Roman" w:cs="Times New Roman"/>
          <w:sz w:val="24"/>
          <w:szCs w:val="24"/>
          <w:lang w:val="en-GB"/>
        </w:rPr>
        <w:t>] concluded that DOPS possesses significant positive feedback, results in improving competence-based learning among interns.</w:t>
      </w:r>
    </w:p>
    <w:p w14:paraId="0C584E87" w14:textId="6A07A340" w:rsidR="48585CDC" w:rsidRDefault="48585CDC" w:rsidP="00626D87">
      <w:pPr>
        <w:spacing w:line="360" w:lineRule="auto"/>
        <w:jc w:val="both"/>
        <w:rPr>
          <w:rFonts w:ascii="Times New Roman" w:hAnsi="Times New Roman" w:cs="Times New Roman"/>
          <w:sz w:val="24"/>
          <w:szCs w:val="24"/>
          <w:lang w:val="en-GB"/>
        </w:rPr>
      </w:pPr>
      <w:r w:rsidRPr="00626D87">
        <w:rPr>
          <w:rFonts w:ascii="Times New Roman" w:hAnsi="Times New Roman" w:cs="Times New Roman"/>
          <w:sz w:val="24"/>
          <w:szCs w:val="24"/>
          <w:lang w:val="en-GB"/>
        </w:rPr>
        <w:t>An example of DOPS is in use in UK foundation programme.</w:t>
      </w:r>
      <w:r w:rsidRPr="48585CDC">
        <w:rPr>
          <w:rFonts w:ascii="Times New Roman" w:hAnsi="Times New Roman" w:cs="Times New Roman"/>
          <w:sz w:val="24"/>
          <w:szCs w:val="24"/>
          <w:lang w:val="en-GB"/>
        </w:rPr>
        <w:t xml:space="preserve"> They have a list of procedures that is being done routinely which comprises intubation, the placement of a nasogastric tube, venepuncture, arterial blood sample, and an electrocardiogram. Students are evaluated on their skill, understanding of indications, asepsis, and communication, and other aspects of the </w:t>
      </w:r>
      <w:proofErr w:type="gramStart"/>
      <w:r w:rsidRPr="48585CDC">
        <w:rPr>
          <w:rFonts w:ascii="Times New Roman" w:hAnsi="Times New Roman" w:cs="Times New Roman"/>
          <w:sz w:val="24"/>
          <w:szCs w:val="24"/>
          <w:lang w:val="en-GB"/>
        </w:rPr>
        <w:t>particular procedural</w:t>
      </w:r>
      <w:proofErr w:type="gramEnd"/>
      <w:r w:rsidRPr="48585CDC">
        <w:rPr>
          <w:rFonts w:ascii="Times New Roman" w:hAnsi="Times New Roman" w:cs="Times New Roman"/>
          <w:sz w:val="24"/>
          <w:szCs w:val="24"/>
          <w:lang w:val="en-GB"/>
        </w:rPr>
        <w:t xml:space="preserve"> skills. The trainee must document how often they are being assessed. Of late, the ratings were eliminated, and the learner now receives free text evaluation and comments rather.</w:t>
      </w:r>
    </w:p>
    <w:p w14:paraId="67EA005D" w14:textId="77777777" w:rsidR="000D4098" w:rsidRDefault="48585CDC" w:rsidP="48585CDC">
      <w:pPr>
        <w:pStyle w:val="NormalWeb"/>
        <w:spacing w:line="360" w:lineRule="auto"/>
        <w:jc w:val="both"/>
        <w:rPr>
          <w:lang w:val="en-GB"/>
        </w:rPr>
      </w:pPr>
      <w:r w:rsidRPr="48585CDC">
        <w:rPr>
          <w:lang w:val="en-GB"/>
        </w:rPr>
        <w:t xml:space="preserve">A variety of workplace-based assessments (WBAs) were implemented into Chinese postgraduate medical education after the implementation of Standardized Resident Training Program in 2017. In a study conducted at a teaching hospital at southeast China, perceptions of the mini-CEX among Chinese trainees and supervisors, and their understanding and attitude towards this assessment tool was studied using the first-year postgraduates. It was found that the mini-CEX has positive educational value when appropriately administered in clinical </w:t>
      </w:r>
      <w:r w:rsidRPr="48585CDC">
        <w:rPr>
          <w:lang w:val="en-GB"/>
        </w:rPr>
        <w:lastRenderedPageBreak/>
        <w:t xml:space="preserve">training, although results may be limited by learner and supervisor attitudes and knowledge. In that study, almost every interviewee agreed that feedback was generated via observations of trainees, which were made regularly. While trainers thought that being observed contributed to a sense of learning, supervisors used observation to pinpoint </w:t>
      </w:r>
      <w:proofErr w:type="gramStart"/>
      <w:r w:rsidRPr="48585CDC">
        <w:rPr>
          <w:lang w:val="en-GB"/>
        </w:rPr>
        <w:t>particular areas</w:t>
      </w:r>
      <w:proofErr w:type="gramEnd"/>
      <w:r w:rsidRPr="48585CDC">
        <w:rPr>
          <w:lang w:val="en-GB"/>
        </w:rPr>
        <w:t xml:space="preserve"> to improve. Because the mini-CEX had such a direct impact on their training, trainees regarded it more highly than supervisors did. Even if some researchers have talked about low involvement with the mini-CEX, most students think their peers were still being motivated [1].</w:t>
      </w:r>
    </w:p>
    <w:p w14:paraId="171CCB20" w14:textId="77777777" w:rsidR="000D4098" w:rsidRDefault="48585CDC" w:rsidP="48585CDC">
      <w:p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Medical graduates in the UK enter the Foundation Programme that constitutes the first 2 years of postgraduate training. Each year, it is expected that trainees undertake a defined number of DOPS, mini-CEX and CBD assessments [38].  </w:t>
      </w:r>
    </w:p>
    <w:p w14:paraId="46A94E36" w14:textId="50C569A8" w:rsidR="000D4098" w:rsidRDefault="48585CDC" w:rsidP="48585CDC">
      <w:pPr>
        <w:pStyle w:val="NormalWeb"/>
        <w:spacing w:line="360" w:lineRule="auto"/>
        <w:jc w:val="both"/>
        <w:rPr>
          <w:rFonts w:eastAsia="Times New Roman"/>
        </w:rPr>
      </w:pPr>
      <w:r w:rsidRPr="48585CDC">
        <w:rPr>
          <w:rFonts w:eastAsia="Times New Roman"/>
        </w:rPr>
        <w:t xml:space="preserve">Andrea C. </w:t>
      </w:r>
      <w:proofErr w:type="spellStart"/>
      <w:r w:rsidRPr="48585CDC">
        <w:rPr>
          <w:rFonts w:eastAsia="Times New Roman"/>
        </w:rPr>
        <w:t>Lorwald</w:t>
      </w:r>
      <w:proofErr w:type="spellEnd"/>
      <w:r w:rsidRPr="48585CDC">
        <w:rPr>
          <w:rFonts w:eastAsia="Times New Roman"/>
        </w:rPr>
        <w:t xml:space="preserve"> et al. in their systemic review found that Four themes (context, users, implementation, and outcome) and nine subthemes (time for Mini-CEX/DOPS, usability of the tools, supervisors' knowledge of how to use Mini-CEX/DOPS, supervisors' attitude towards Mini-CEX/DOPS, trainees' knowledge about Mini-CEX/DOPS, trainees' perception of Mini-CEX/DOPS, observation, feedback, and trainees' appraisal of feedback) were identified as influencing factors on the educational impact of  Mini-CEX/DOPS [6].</w:t>
      </w:r>
    </w:p>
    <w:p w14:paraId="682A414F" w14:textId="77777777" w:rsidR="000D4098" w:rsidRDefault="48585CDC" w:rsidP="48585CDC">
      <w:pPr>
        <w:pStyle w:val="NormalWeb"/>
        <w:spacing w:line="360" w:lineRule="auto"/>
        <w:jc w:val="both"/>
        <w:rPr>
          <w:rFonts w:eastAsia="Times New Roman"/>
        </w:rPr>
      </w:pPr>
      <w:r w:rsidRPr="48585CDC">
        <w:rPr>
          <w:rFonts w:eastAsia="Times New Roman"/>
        </w:rPr>
        <w:t>A hermeneutic review by Shaun Prentice et al from the articles limited to Australia, New Zealand, UK, Canada, the Netherlands, and Scandinavian countries to maximise the comparability of results, as each of these countries have similar models of postgraduate medical education and typically recognise each other’s qualifications. The review showed that assessing in the context of the job was also believed to encourage learning and improve the application of knowledge. Another topic related to how WBAs encouraged and even mandated the provision of feedback in order to fill a training deficit in medicine. Another benefit is that WBAs make use of the assessor's expertise, in contrast to other assessment forms. WBAs enable the early detection of struggling trainees, lowering the possibility that patients may receive subpar care and assuring the effective and prompt allocation of remediation resources. It also found that the use of WBAs in heavy workloads is hampered by time constraints that are prohibitive, especially for some technology platforms and the fact that many WBAs are needed to make trustworthy judgments [39].</w:t>
      </w:r>
    </w:p>
    <w:p w14:paraId="38186FC8" w14:textId="77777777" w:rsidR="000D4098" w:rsidRDefault="48585CDC" w:rsidP="48585CDC">
      <w:pPr>
        <w:pStyle w:val="NormalWeb"/>
        <w:spacing w:line="360" w:lineRule="auto"/>
        <w:jc w:val="both"/>
        <w:rPr>
          <w:rFonts w:eastAsia="Times New Roman"/>
        </w:rPr>
      </w:pPr>
      <w:r w:rsidRPr="48585CDC">
        <w:rPr>
          <w:rFonts w:eastAsia="Times New Roman"/>
        </w:rPr>
        <w:t xml:space="preserve">According to Vasiliki Andreou et al., in a three-round web-based Delphi survey, a group of experts) were asked to evaluate the feasibility of the </w:t>
      </w:r>
      <w:proofErr w:type="spellStart"/>
      <w:r w:rsidRPr="48585CDC">
        <w:rPr>
          <w:rFonts w:eastAsia="Times New Roman"/>
        </w:rPr>
        <w:t>CanMEDS</w:t>
      </w:r>
      <w:proofErr w:type="spellEnd"/>
      <w:r w:rsidRPr="48585CDC">
        <w:rPr>
          <w:rFonts w:eastAsia="Times New Roman"/>
        </w:rPr>
        <w:t xml:space="preserve"> (Canadian Medical Education </w:t>
      </w:r>
      <w:r w:rsidRPr="48585CDC">
        <w:rPr>
          <w:rFonts w:eastAsia="Times New Roman"/>
        </w:rPr>
        <w:lastRenderedPageBreak/>
        <w:t xml:space="preserve">Directives for Specialists) key competencies for workplace-based evaluation on a 5-point Likert scale [40]. The Royal College of Physicians and Surgeons of Canada developed the </w:t>
      </w:r>
      <w:proofErr w:type="spellStart"/>
      <w:r w:rsidRPr="48585CDC">
        <w:rPr>
          <w:rFonts w:eastAsia="Times New Roman"/>
        </w:rPr>
        <w:t>CanMEDS</w:t>
      </w:r>
      <w:proofErr w:type="spellEnd"/>
      <w:r w:rsidRPr="48585CDC">
        <w:rPr>
          <w:rFonts w:eastAsia="Times New Roman"/>
        </w:rPr>
        <w:t xml:space="preserve"> competency framework initially for setting educational outcomes for graduate medical education, and it is today the most extensively used and approved framework within medical curricula worldwide [41, 42]. Different outcomes are identified and described as competences that physicians should develop to practise patient-centred care in the </w:t>
      </w:r>
      <w:proofErr w:type="spellStart"/>
      <w:r w:rsidRPr="48585CDC">
        <w:rPr>
          <w:rFonts w:eastAsia="Times New Roman"/>
        </w:rPr>
        <w:t>CanMEDS</w:t>
      </w:r>
      <w:proofErr w:type="spellEnd"/>
      <w:r w:rsidRPr="48585CDC">
        <w:rPr>
          <w:rFonts w:eastAsia="Times New Roman"/>
        </w:rPr>
        <w:t xml:space="preserve"> framework. The seven positions of medical expert, communicator, collaborator, leader, health advocate, scholar, and professional are thematically used to organise these talents [41]. In accordance with the framework, competencies are divided into two levels: level one contains the key competencies, and level two the enabling capabilities. Curricular adjustments are required to facilitate the application of CBME in postgraduate medical training. CBME mandates, among other curriculum modifications, the establishment of learning outcomes that promote educational continuity as well as the alignment of learning goals with learning and assessment activities [43]. According to Vasiliki Andreou et al.,, the panel was asked to rate 12 </w:t>
      </w:r>
      <w:proofErr w:type="spellStart"/>
      <w:r w:rsidRPr="48585CDC">
        <w:rPr>
          <w:rFonts w:eastAsia="Times New Roman"/>
        </w:rPr>
        <w:t>CanMEDS</w:t>
      </w:r>
      <w:proofErr w:type="spellEnd"/>
      <w:r w:rsidRPr="48585CDC">
        <w:rPr>
          <w:rFonts w:eastAsia="Times New Roman"/>
        </w:rPr>
        <w:t xml:space="preserve"> key competencies for feasibility and 15 for consistency of assessment in the workplace and  the panel reached consensus for 6 out of 12 </w:t>
      </w:r>
      <w:proofErr w:type="spellStart"/>
      <w:r w:rsidRPr="48585CDC">
        <w:rPr>
          <w:rFonts w:eastAsia="Times New Roman"/>
        </w:rPr>
        <w:t>CanMEDS</w:t>
      </w:r>
      <w:proofErr w:type="spellEnd"/>
      <w:r w:rsidRPr="48585CDC">
        <w:rPr>
          <w:rFonts w:eastAsia="Times New Roman"/>
        </w:rPr>
        <w:t xml:space="preserve"> key competencies for feasibility and for 4 out of 15 for consistency of assessment [40]. Although an outcome-based strategy does not necessarily result in learning, it unquestionably creates all the conditions that do. The prerequisites for implementing competency frameworks include clearly defining the learning outcomes that should be attained by learners, giving them opportunities to practise these outcomes in a variety of settings, creating opportunities for assessment and feedback, and fostering reflection on personal performance.</w:t>
      </w:r>
      <w:r w:rsidRPr="48585CDC">
        <w:t xml:space="preserve"> </w:t>
      </w:r>
      <w:r w:rsidRPr="48585CDC">
        <w:rPr>
          <w:rFonts w:eastAsia="Times New Roman"/>
        </w:rPr>
        <w:t xml:space="preserve">According to Vasiliki Andreou et al., [40] that not all </w:t>
      </w:r>
      <w:proofErr w:type="spellStart"/>
      <w:r w:rsidRPr="48585CDC">
        <w:rPr>
          <w:rFonts w:eastAsia="Times New Roman"/>
        </w:rPr>
        <w:t>CanMEDS</w:t>
      </w:r>
      <w:proofErr w:type="spellEnd"/>
      <w:r w:rsidRPr="48585CDC">
        <w:rPr>
          <w:rFonts w:eastAsia="Times New Roman"/>
        </w:rPr>
        <w:t xml:space="preserve"> key abilities could be clearly matched to observable behaviour, which has implications for the assessment feasibility. In comparison to competencies under other </w:t>
      </w:r>
      <w:proofErr w:type="spellStart"/>
      <w:r w:rsidRPr="48585CDC">
        <w:rPr>
          <w:rFonts w:eastAsia="Times New Roman"/>
        </w:rPr>
        <w:t>CanMEDS</w:t>
      </w:r>
      <w:proofErr w:type="spellEnd"/>
      <w:r w:rsidRPr="48585CDC">
        <w:rPr>
          <w:rFonts w:eastAsia="Times New Roman"/>
        </w:rPr>
        <w:t xml:space="preserve"> roles, such as "Medical Expert," "Communicator," and "Scholar," some important </w:t>
      </w:r>
      <w:proofErr w:type="spellStart"/>
      <w:r w:rsidRPr="48585CDC">
        <w:rPr>
          <w:rFonts w:eastAsia="Times New Roman"/>
        </w:rPr>
        <w:t>CanMEDS</w:t>
      </w:r>
      <w:proofErr w:type="spellEnd"/>
      <w:r w:rsidRPr="48585CDC">
        <w:rPr>
          <w:rFonts w:eastAsia="Times New Roman"/>
        </w:rPr>
        <w:t xml:space="preserve"> competencies under the "Leader," "Health Advocate," and "Professional" roles received noticeably lower ratings (50%). Large variations in rating scores may indicate that the panel had trouble connecting how those </w:t>
      </w:r>
      <w:proofErr w:type="spellStart"/>
      <w:r w:rsidRPr="48585CDC">
        <w:rPr>
          <w:rFonts w:eastAsia="Times New Roman"/>
        </w:rPr>
        <w:t>CanMEDS</w:t>
      </w:r>
      <w:proofErr w:type="spellEnd"/>
      <w:r w:rsidRPr="48585CDC">
        <w:rPr>
          <w:rFonts w:eastAsia="Times New Roman"/>
        </w:rPr>
        <w:t xml:space="preserve"> competencies may be applied to and translated into workplace assessment tasks. Lack of consistent and concrete descriptions in undergraduate medical education has been blamed for the difficulty in implementing the </w:t>
      </w:r>
      <w:proofErr w:type="spellStart"/>
      <w:r w:rsidRPr="48585CDC">
        <w:rPr>
          <w:rFonts w:eastAsia="Times New Roman"/>
        </w:rPr>
        <w:t>CanMEDS</w:t>
      </w:r>
      <w:proofErr w:type="spellEnd"/>
      <w:r w:rsidRPr="48585CDC">
        <w:rPr>
          <w:rFonts w:eastAsia="Times New Roman"/>
        </w:rPr>
        <w:t xml:space="preserve"> essential competencies in workplace-based evaluation. Implementing the Can- MEDS non-medical competences have been challenging in postgraduate medical education, which has been linked to lack of training for workplace-based assessors. The study also found that there is a discrepancy between the </w:t>
      </w:r>
      <w:proofErr w:type="spellStart"/>
      <w:r w:rsidRPr="48585CDC">
        <w:rPr>
          <w:rFonts w:eastAsia="Times New Roman"/>
        </w:rPr>
        <w:t>CanMEDS</w:t>
      </w:r>
      <w:proofErr w:type="spellEnd"/>
      <w:r w:rsidRPr="48585CDC">
        <w:rPr>
          <w:rFonts w:eastAsia="Times New Roman"/>
        </w:rPr>
        <w:t xml:space="preserve"> competency framework's original goal and </w:t>
      </w:r>
      <w:r w:rsidRPr="48585CDC">
        <w:rPr>
          <w:rFonts w:eastAsia="Times New Roman"/>
        </w:rPr>
        <w:lastRenderedPageBreak/>
        <w:t xml:space="preserve">its usefulness for workplace-based evaluation. For organising workplace-based assessment and capturing medical competence, the </w:t>
      </w:r>
      <w:proofErr w:type="spellStart"/>
      <w:r w:rsidRPr="48585CDC">
        <w:rPr>
          <w:rFonts w:eastAsia="Times New Roman"/>
        </w:rPr>
        <w:t>CanMEDS</w:t>
      </w:r>
      <w:proofErr w:type="spellEnd"/>
      <w:r w:rsidRPr="48585CDC">
        <w:rPr>
          <w:rFonts w:eastAsia="Times New Roman"/>
        </w:rPr>
        <w:t xml:space="preserve"> essential competencies may provide a good place to start [40]. The framework still has to be further developed and contextualised in order to support observations of trainee behaviour involving all seven </w:t>
      </w:r>
      <w:proofErr w:type="spellStart"/>
      <w:r w:rsidRPr="48585CDC">
        <w:rPr>
          <w:rFonts w:eastAsia="Times New Roman"/>
        </w:rPr>
        <w:t>CanMEDS</w:t>
      </w:r>
      <w:proofErr w:type="spellEnd"/>
      <w:r w:rsidRPr="48585CDC">
        <w:rPr>
          <w:rFonts w:eastAsia="Times New Roman"/>
        </w:rPr>
        <w:t xml:space="preserve"> roles during clinical practise. To assemble more data on the </w:t>
      </w:r>
      <w:proofErr w:type="spellStart"/>
      <w:r w:rsidRPr="48585CDC">
        <w:rPr>
          <w:rFonts w:eastAsia="Times New Roman"/>
        </w:rPr>
        <w:t>CanMEDS</w:t>
      </w:r>
      <w:proofErr w:type="spellEnd"/>
      <w:r w:rsidRPr="48585CDC">
        <w:rPr>
          <w:rFonts w:eastAsia="Times New Roman"/>
        </w:rPr>
        <w:t xml:space="preserve"> framework, future research should examine implementation issues in various healthcare contexts and settings [40].</w:t>
      </w:r>
    </w:p>
    <w:p w14:paraId="1C851DB5" w14:textId="56454E7A" w:rsidR="000D4098" w:rsidRDefault="48585CDC" w:rsidP="48585CDC">
      <w:p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Barret et al did a qualitative study to find out the perception of the trainer and trainee about the WPBAs [29]. Teunissen's "experience, trajectories, and reifications" serve as the study's conceptual underpinning (ETR). The framework's goal is to explain how an individual's varied encounters with a given learning concept cause them to follow a specific, unique learning trajectory that eventually helps them learn. The study illustrated WPBA as a mere "tick-box" activity where WBAs were finished at the end of a year or training position to satisfy requirements. Forms were rarely completed, and WBAs were not set up prospectively. following a case-based discussion or during patient-trainee interactions. The opinions of the WBAs' sincerity were similarly impacted by these recurring tendencies. A mini-CEX was perceived by trainees as a "set-up" rather than a live observation that just involved taking a patient's history or doing a physical examination. In the study, Most trainers thought trainees should come to them to finish WBAs and remembered having to "chase" trainees to finish them. Additionally, only the Trainers connected WBA experiences to the e-portfolio technology, and their evaluations of the learning value were more closely related to time commitments and inadequate technological configurations. One instructor felt there wasn't enough time to assess communication issues even though it was their obligation to ensure technical skill mastery [29]. Nesbitt published the views of University College London students in the UK. With 31% of the cohort indicating that WBAs interfered with their teaching time with the evaluating doctors, there was disagreement within the cohort as to whether WBAs were effective tools to promote contact with seniors [44]. Al-Kadri described the experience of a Saudi Arabian university where WBAs are now required. According to the authors' summary, their students believe that the validity of their WBA results depends on who is evaluating them [45]. As per Ali, although participating in WBAs did not encourage students to have more favourable opinions of WBAs, those who understood its purpose did show an appreciation for WBAs' contribution to their education. This discovery is consistent with the finding that trainees' inadequate comprehension of WBA tools is a major issue. It was interesting to note that people with experience weren't any more likely than those without experience to show a </w:t>
      </w:r>
      <w:r w:rsidRPr="48585CDC">
        <w:rPr>
          <w:rFonts w:ascii="Times New Roman" w:eastAsia="Times New Roman" w:hAnsi="Times New Roman" w:cs="Times New Roman"/>
          <w:sz w:val="24"/>
          <w:szCs w:val="24"/>
        </w:rPr>
        <w:lastRenderedPageBreak/>
        <w:t>positive comprehension, indicating that knowledge of WBAs may be acquired without experience. Although having experience with WBAs is crucial, comprehension also seems to be linked to students' creation of favourable impressions, and experience alone may even be detrimental. The money spent by medical colleges could help change how people view and interact with WBAs at work [38].</w:t>
      </w:r>
    </w:p>
    <w:p w14:paraId="39D15842" w14:textId="77777777" w:rsidR="000D4098" w:rsidRDefault="000D4098" w:rsidP="48585CDC">
      <w:pPr>
        <w:spacing w:line="360" w:lineRule="auto"/>
        <w:jc w:val="both"/>
        <w:rPr>
          <w:rFonts w:ascii="Times New Roman" w:hAnsi="Times New Roman" w:cs="Times New Roman"/>
          <w:sz w:val="24"/>
          <w:szCs w:val="24"/>
          <w:lang w:val="en-GB"/>
        </w:rPr>
      </w:pPr>
    </w:p>
    <w:p w14:paraId="2F33BBF6"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t>Indian scenario</w:t>
      </w:r>
    </w:p>
    <w:p w14:paraId="6EBE99FE" w14:textId="14DBB390" w:rsidR="000D4098" w:rsidRDefault="48585CDC" w:rsidP="48585CDC">
      <w:pPr>
        <w:pStyle w:val="NormalWeb"/>
        <w:spacing w:before="400" w:beforeAutospacing="0" w:after="400" w:afterAutospacing="0" w:line="360" w:lineRule="auto"/>
        <w:jc w:val="both"/>
        <w:rPr>
          <w:lang w:val="en-GB"/>
        </w:rPr>
      </w:pPr>
      <w:r w:rsidRPr="48585CDC">
        <w:rPr>
          <w:lang w:val="en-GB"/>
        </w:rPr>
        <w:t xml:space="preserve">A few institutions in our country are using WPBA tools like the mini-CEX, DOPS, or tools that are </w:t>
      </w:r>
      <w:proofErr w:type="gramStart"/>
      <w:r w:rsidRPr="48585CDC">
        <w:rPr>
          <w:lang w:val="en-GB"/>
        </w:rPr>
        <w:t>similar to</w:t>
      </w:r>
      <w:proofErr w:type="gramEnd"/>
      <w:r w:rsidRPr="48585CDC">
        <w:rPr>
          <w:lang w:val="en-GB"/>
        </w:rPr>
        <w:t xml:space="preserve"> them. They are used independently rather than as a part of a deliberate WPBA programme, though. Initial reports on practicality and teacher and student acceptance are encouraging. Kamat C. et al conducted one-year prospective interventional study in the department of anaesthesiology, where in 55 postgraduate students and 21 faculty from department of anaesthesiology participated in the study. After orientation of faculty and postgraduates, the study was conducted to study the Direct observation of procedural skills (DOPS) effectiveness as a tool for anaesthesia assessment. Three commonly performed core skills of anaesthesiology, i.e., Spinal Anaesthesia, Epidural Anaesthesia, and Endotracheal intubation were the selected procedural skills for the assessment and found that there was a significant improvement in the post-DOPS scores indicating the improvement in the procedural skills [46].</w:t>
      </w:r>
    </w:p>
    <w:p w14:paraId="21268602" w14:textId="77777777" w:rsidR="000D4098" w:rsidRDefault="48585CDC" w:rsidP="48585CDC">
      <w:pPr>
        <w:pStyle w:val="NormalWeb"/>
        <w:spacing w:before="400" w:beforeAutospacing="0" w:after="400" w:afterAutospacing="0" w:line="360" w:lineRule="auto"/>
        <w:jc w:val="both"/>
        <w:rPr>
          <w:lang w:val="en-GB"/>
        </w:rPr>
      </w:pPr>
      <w:r w:rsidRPr="48585CDC">
        <w:rPr>
          <w:lang w:val="en-GB"/>
        </w:rPr>
        <w:t>Hill and colleagues used DOPS assessment tool during ultrasound-guided central line insertion in anaesthesia department and developed a DOPS tool focusing on key components of safe practice of central line insertion [47].</w:t>
      </w:r>
    </w:p>
    <w:p w14:paraId="5DEFC162" w14:textId="77777777" w:rsidR="000D4098" w:rsidRDefault="48585CDC" w:rsidP="48585CDC">
      <w:pPr>
        <w:pStyle w:val="NormalWeb"/>
        <w:spacing w:before="400" w:beforeAutospacing="0" w:after="400" w:afterAutospacing="0" w:line="360" w:lineRule="auto"/>
        <w:jc w:val="both"/>
        <w:rPr>
          <w:lang w:val="en-GB"/>
        </w:rPr>
      </w:pPr>
      <w:r w:rsidRPr="48585CDC">
        <w:rPr>
          <w:lang w:val="en-GB"/>
        </w:rPr>
        <w:t>Kumar</w:t>
      </w:r>
      <w:r w:rsidRPr="48585CDC">
        <w:t> </w:t>
      </w:r>
      <w:r w:rsidRPr="48585CDC">
        <w:rPr>
          <w:i/>
          <w:iCs/>
          <w:lang w:val="en-GB"/>
        </w:rPr>
        <w:t xml:space="preserve">et al conducted a study among OBG postgraduates and </w:t>
      </w:r>
      <w:r w:rsidRPr="48585CDC">
        <w:rPr>
          <w:lang w:val="en-GB"/>
        </w:rPr>
        <w:t>concluded that DOPS offers high level of satisfaction and improvement in surgical skills for OBG postgraduate trainees. The advantages of DOPS noted were, provision of rapid and constructive feedback in the form of both marks and comments [48].</w:t>
      </w:r>
    </w:p>
    <w:p w14:paraId="51DAB174" w14:textId="77777777" w:rsidR="000D4098" w:rsidRDefault="48585CDC" w:rsidP="48585CDC">
      <w:pPr>
        <w:pStyle w:val="NormalWeb"/>
        <w:spacing w:before="0" w:beforeAutospacing="0" w:after="0" w:afterAutospacing="0" w:line="360" w:lineRule="auto"/>
        <w:jc w:val="both"/>
        <w:rPr>
          <w:lang w:val="en-GB"/>
        </w:rPr>
      </w:pPr>
      <w:r w:rsidRPr="48585CDC">
        <w:rPr>
          <w:lang w:val="en-GB"/>
        </w:rPr>
        <w:t>John Roger Barton</w:t>
      </w:r>
      <w:r w:rsidRPr="48585CDC">
        <w:t> </w:t>
      </w:r>
      <w:r w:rsidRPr="48585CDC">
        <w:rPr>
          <w:i/>
          <w:iCs/>
          <w:lang w:val="en-GB"/>
        </w:rPr>
        <w:t>et al</w:t>
      </w:r>
      <w:r w:rsidRPr="48585CDC">
        <w:rPr>
          <w:lang w:val="en-GB"/>
        </w:rPr>
        <w:t xml:space="preserve">. evaluated DOPS assessment on practitioners in endoscopy colonoscopy and suggested that use of DOPS can be expanded for relicensing or </w:t>
      </w:r>
      <w:r w:rsidRPr="48585CDC">
        <w:rPr>
          <w:lang w:val="en-GB"/>
        </w:rPr>
        <w:lastRenderedPageBreak/>
        <w:t>recredentialing and should be considered for assessment of competence in all clinical areas [49].</w:t>
      </w:r>
    </w:p>
    <w:p w14:paraId="4DD69BB6" w14:textId="77777777" w:rsidR="000D4098" w:rsidRDefault="000D4098" w:rsidP="48585CDC">
      <w:pPr>
        <w:pStyle w:val="NormalWeb"/>
        <w:spacing w:before="0" w:beforeAutospacing="0" w:after="0" w:afterAutospacing="0" w:line="360" w:lineRule="auto"/>
        <w:jc w:val="both"/>
        <w:rPr>
          <w:lang w:val="en-GB"/>
        </w:rPr>
      </w:pPr>
    </w:p>
    <w:p w14:paraId="3D207686" w14:textId="77777777" w:rsidR="000D4098" w:rsidRDefault="48585CDC" w:rsidP="48585CDC">
      <w:pPr>
        <w:pStyle w:val="NormalWeb"/>
        <w:spacing w:before="0" w:beforeAutospacing="0" w:after="0" w:afterAutospacing="0" w:line="360" w:lineRule="auto"/>
        <w:jc w:val="both"/>
        <w:rPr>
          <w:lang w:val="en-GB"/>
        </w:rPr>
      </w:pPr>
      <w:r w:rsidRPr="48585CDC">
        <w:rPr>
          <w:lang w:val="en-GB"/>
        </w:rPr>
        <w:t>Liaqat Ali</w:t>
      </w:r>
      <w:r w:rsidRPr="48585CDC">
        <w:t> </w:t>
      </w:r>
      <w:r w:rsidRPr="48585CDC">
        <w:rPr>
          <w:i/>
          <w:iCs/>
          <w:lang w:val="en-GB"/>
        </w:rPr>
        <w:t>et al</w:t>
      </w:r>
      <w:r w:rsidRPr="48585CDC">
        <w:rPr>
          <w:lang w:val="en-GB"/>
        </w:rPr>
        <w:t xml:space="preserve">. did a comparative study among urology postgraduates while performing various urology procedures like TURP, Cystoscopy, URS, etc., and demonstrated that DOPS is effective assessment tool and improves the skills of urology postgraduate residents [50]. </w:t>
      </w:r>
    </w:p>
    <w:p w14:paraId="216FD19E" w14:textId="77777777" w:rsidR="000D4098" w:rsidRDefault="48585CDC" w:rsidP="48585CDC">
      <w:pPr>
        <w:pStyle w:val="NormalWeb"/>
        <w:spacing w:before="0" w:beforeAutospacing="0" w:after="0" w:afterAutospacing="0" w:line="360" w:lineRule="auto"/>
        <w:jc w:val="both"/>
        <w:rPr>
          <w:lang w:val="en-GB"/>
        </w:rPr>
      </w:pPr>
      <w:proofErr w:type="spellStart"/>
      <w:r w:rsidRPr="48585CDC">
        <w:rPr>
          <w:lang w:val="en-GB"/>
        </w:rPr>
        <w:t>Profanter</w:t>
      </w:r>
      <w:proofErr w:type="spellEnd"/>
      <w:r w:rsidRPr="48585CDC">
        <w:rPr>
          <w:lang w:val="en-GB"/>
        </w:rPr>
        <w:t xml:space="preserve"> and </w:t>
      </w:r>
      <w:proofErr w:type="spellStart"/>
      <w:r w:rsidRPr="48585CDC">
        <w:rPr>
          <w:lang w:val="en-GB"/>
        </w:rPr>
        <w:t>Perathoner</w:t>
      </w:r>
      <w:proofErr w:type="spellEnd"/>
      <w:r w:rsidRPr="48585CDC">
        <w:rPr>
          <w:lang w:val="en-GB"/>
        </w:rPr>
        <w:t xml:space="preserve"> in their benchmark study of prospective randomized trial in small groups of undergraduates, concluded that DOPS is an efficient tool in teaching clinical skills as compared to OSCE [51].</w:t>
      </w:r>
    </w:p>
    <w:p w14:paraId="59C95331" w14:textId="1E04DB62" w:rsidR="000D4098" w:rsidRDefault="48585CDC" w:rsidP="48585CDC">
      <w:pPr>
        <w:pStyle w:val="NormalWeb"/>
        <w:spacing w:before="0" w:beforeAutospacing="0" w:after="0" w:afterAutospacing="0" w:line="360" w:lineRule="auto"/>
        <w:jc w:val="both"/>
        <w:rPr>
          <w:lang w:val="en-GB"/>
        </w:rPr>
      </w:pPr>
      <w:r w:rsidRPr="48585CDC">
        <w:rPr>
          <w:lang w:val="en-GB"/>
        </w:rPr>
        <w:t>Joshi MK et al studied about the acceptability and possibility of using a mini-clinical evaluation activity as a formative evaluation tool for workplace-based evaluation of surgical postgraduate students. Over the course of seven months, nine faculty members conducted a total of 60 mini-CEXs with 16 second-year postgraduate students from the department. During this time, each resident had a minimum of three and a maximum of five contacts. Interviewing skills, physical examination skills, counselling skills, clinical judgement, and an overall impression were all tested throughout the mini-CEX. They discovered that while most postgraduates enjoyed the laid-back atmosphere during the exercises, a few of them became anxious when faculty members were watching them while they interviewed or examined the patient. They also discovered that all postgraduates agreed that the mini-CEX could be used for internal assessment [52].</w:t>
      </w:r>
    </w:p>
    <w:p w14:paraId="1B8972DE" w14:textId="77777777" w:rsidR="000D4098" w:rsidRDefault="000D4098" w:rsidP="48585CDC">
      <w:pPr>
        <w:pStyle w:val="NormalWeb"/>
        <w:spacing w:before="0" w:beforeAutospacing="0" w:after="0" w:afterAutospacing="0" w:line="360" w:lineRule="auto"/>
        <w:jc w:val="both"/>
        <w:rPr>
          <w:lang w:val="en-GB"/>
        </w:rPr>
      </w:pPr>
    </w:p>
    <w:p w14:paraId="03086FFD" w14:textId="02633538" w:rsidR="000D4098" w:rsidRDefault="48585CDC" w:rsidP="48585CDC">
      <w:pPr>
        <w:pStyle w:val="NormalWeb"/>
        <w:spacing w:before="0" w:beforeAutospacing="0" w:after="0" w:afterAutospacing="0" w:line="360" w:lineRule="auto"/>
        <w:jc w:val="both"/>
      </w:pPr>
      <w:r w:rsidRPr="48585CDC">
        <w:rPr>
          <w:lang w:val="en-GB"/>
        </w:rPr>
        <w:t xml:space="preserve">Khalil S et al conducted a </w:t>
      </w:r>
      <w:r w:rsidRPr="48585CDC">
        <w:t>cross-sectional study from August 2015 to January 2016 in the paediatric department of a teaching hospital in India to study the adoption of a Mini-Clinical Evaluation Exercise (Mini-CEX) Programme to Evaluate Postgraduate Paediatric Trainees' Clinical Competence</w:t>
      </w:r>
      <w:r w:rsidRPr="48585CDC">
        <w:rPr>
          <w:lang w:val="en-GB"/>
        </w:rPr>
        <w:t xml:space="preserve">. </w:t>
      </w:r>
      <w:r w:rsidRPr="48585CDC">
        <w:t xml:space="preserve">A total of 20 final year postgraduate students were assessed with a total of 112 Mini-CEX encounters conducted by six faculty members.  Ninety percent of the participating students felt that Mini-CEX changed their attitude towards teaching, and it should be included as a routine in postgraduate teaching. Only 25% thought that it induced anxiety in them. On assessment of faculty perception of Mini CEX, all thought they had a valuable experience and the teacher’s feedback would improve students’ performance, whereas 50% were doubted whether it was a valid method of assessment [53]. </w:t>
      </w:r>
    </w:p>
    <w:p w14:paraId="75BCFF5E" w14:textId="77777777" w:rsidR="000D4098" w:rsidRDefault="000D4098" w:rsidP="48585CDC">
      <w:pPr>
        <w:pStyle w:val="NormalWeb"/>
        <w:spacing w:before="0" w:beforeAutospacing="0" w:after="0" w:afterAutospacing="0" w:line="360" w:lineRule="auto"/>
        <w:jc w:val="both"/>
      </w:pPr>
    </w:p>
    <w:p w14:paraId="6E9DBDC5" w14:textId="13337799" w:rsidR="000D4098" w:rsidRDefault="48585CDC" w:rsidP="48585CDC">
      <w:pPr>
        <w:pStyle w:val="NormalWeb"/>
        <w:spacing w:before="0" w:beforeAutospacing="0" w:after="0" w:afterAutospacing="0" w:line="360" w:lineRule="auto"/>
        <w:jc w:val="both"/>
        <w:rPr>
          <w:lang w:val="en-GB"/>
        </w:rPr>
      </w:pPr>
      <w:r w:rsidRPr="48585CDC">
        <w:t>Gupta et al studied about t</w:t>
      </w:r>
      <w:r w:rsidRPr="48585CDC">
        <w:rPr>
          <w:lang w:val="en-GB"/>
        </w:rPr>
        <w:t xml:space="preserve">he Mini-clinical Evaluation Exercise Acceptability and Feasibility as a Learning Tool for Paediatric Postgraduate Students. The study was conducted from May </w:t>
      </w:r>
      <w:r w:rsidRPr="48585CDC">
        <w:rPr>
          <w:lang w:val="en-GB"/>
        </w:rPr>
        <w:lastRenderedPageBreak/>
        <w:t xml:space="preserve">2016 to October 2016 in the department of paediatrics at a tertiary level medical university in Northern India. There </w:t>
      </w:r>
      <w:proofErr w:type="gramStart"/>
      <w:r w:rsidRPr="48585CDC">
        <w:rPr>
          <w:lang w:val="en-GB"/>
        </w:rPr>
        <w:t>were</w:t>
      </w:r>
      <w:proofErr w:type="gramEnd"/>
      <w:r w:rsidRPr="48585CDC">
        <w:rPr>
          <w:lang w:val="en-GB"/>
        </w:rPr>
        <w:t xml:space="preserve"> a total of 87 mini-CEX contacts with 29 residents, 3 SR, and 13 staff members. Residents who were asked open-ended questions said that the mini-CEX increased their clinical abilities, promoted their personal growth, and allowed for better one-on-one student-teacher interactions. They asked for more of such encounters even though some of them thought it was hectic in between their work schedule. Faculty perceived that they found it useful for improved learning for themselves also.  However, the faculty also felt that it requires more time to assess the students so shall not be possible for a larger batch. Some faculty concerned about the subjective bias.  However, instructors and residents both suggested integrating Mini-CEX in the curriculum [54].</w:t>
      </w:r>
    </w:p>
    <w:p w14:paraId="348632D1" w14:textId="77777777" w:rsidR="000D4098" w:rsidRDefault="000D4098" w:rsidP="48585CDC">
      <w:pPr>
        <w:pStyle w:val="NormalWeb"/>
        <w:spacing w:before="0" w:beforeAutospacing="0" w:after="0" w:afterAutospacing="0" w:line="360" w:lineRule="auto"/>
        <w:jc w:val="both"/>
      </w:pPr>
    </w:p>
    <w:p w14:paraId="1B584655" w14:textId="60576CB3" w:rsidR="000D4098" w:rsidRDefault="48585CDC" w:rsidP="48585CDC">
      <w:pPr>
        <w:pStyle w:val="NormalWeb"/>
        <w:spacing w:before="0" w:beforeAutospacing="0" w:after="0" w:afterAutospacing="0" w:line="360" w:lineRule="auto"/>
        <w:jc w:val="both"/>
        <w:rPr>
          <w:lang w:val="en-GB"/>
        </w:rPr>
      </w:pPr>
      <w:r w:rsidRPr="48585CDC">
        <w:t>Sethi et al conducted</w:t>
      </w:r>
      <w:r w:rsidRPr="48585CDC">
        <w:rPr>
          <w:lang w:val="en-GB"/>
        </w:rPr>
        <w:t xml:space="preserve"> a study to find the effectiveness of mini-CEX as a formative assessment tool in the postgraduates of Psychiatry from April 2019 to September 2019 at the Pt. BD Sharma PGIMS, Rohtak, Department of Psychiatry. The trainee will rotate between all five assessors (including the investigator) according to a tentative schedule of mini-CEX sessions, which also ensures that no two sessions will be with the same assessor </w:t>
      </w:r>
      <w:proofErr w:type="gramStart"/>
      <w:r w:rsidRPr="48585CDC">
        <w:rPr>
          <w:lang w:val="en-GB"/>
        </w:rPr>
        <w:t>back to back</w:t>
      </w:r>
      <w:proofErr w:type="gramEnd"/>
      <w:r w:rsidRPr="48585CDC">
        <w:rPr>
          <w:lang w:val="en-GB"/>
        </w:rPr>
        <w:t xml:space="preserve">. A minimum of two weeks </w:t>
      </w:r>
      <w:proofErr w:type="gramStart"/>
      <w:r w:rsidRPr="48585CDC">
        <w:rPr>
          <w:lang w:val="en-GB"/>
        </w:rPr>
        <w:t>has to</w:t>
      </w:r>
      <w:proofErr w:type="gramEnd"/>
      <w:r w:rsidRPr="48585CDC">
        <w:rPr>
          <w:lang w:val="en-GB"/>
        </w:rPr>
        <w:t xml:space="preserve"> pass between two mini-CEX interactions. After the study was finished, feedback from professors and graduate students was obtained using feedback forms specifically created for the purpose, and these forms were then verified by the senior faculty members. Postgraduates were asked to complete Learning Self-Efficacy Scale also for clinical skills. Comparing the mini-CEX to other teaching techniques, 61% of postgraduate students said it was a superior method, 36% said it enhanced their clinical abilities, and 64% said it increased their </w:t>
      </w:r>
      <w:proofErr w:type="spellStart"/>
      <w:proofErr w:type="gramStart"/>
      <w:r w:rsidRPr="48585CDC">
        <w:rPr>
          <w:lang w:val="en-GB"/>
        </w:rPr>
        <w:t>confidence.A</w:t>
      </w:r>
      <w:proofErr w:type="spellEnd"/>
      <w:proofErr w:type="gramEnd"/>
      <w:r w:rsidRPr="48585CDC">
        <w:rPr>
          <w:lang w:val="en-GB"/>
        </w:rPr>
        <w:t xml:space="preserve"> third of them claimed to have felt stressed and anxious throughout the interactions. A large proportion (88%) of residents felt that the mini-CEX should be regularly employed in academic contexts. </w:t>
      </w:r>
      <w:proofErr w:type="gramStart"/>
      <w:r w:rsidRPr="48585CDC">
        <w:rPr>
          <w:lang w:val="en-GB"/>
        </w:rPr>
        <w:t>Similar to</w:t>
      </w:r>
      <w:proofErr w:type="gramEnd"/>
      <w:r w:rsidRPr="48585CDC">
        <w:rPr>
          <w:lang w:val="en-GB"/>
        </w:rPr>
        <w:t xml:space="preserve"> the previous point, the majority of consultants who had already received training in a variety of assessment exercises discovered that mini-CEX was superior to more conventional assessment techniques like bedside case discussions and outpatient departments because it offered quick feedback and had a structured format for evaluation. </w:t>
      </w:r>
      <w:proofErr w:type="gramStart"/>
      <w:r w:rsidRPr="48585CDC">
        <w:rPr>
          <w:lang w:val="en-GB"/>
        </w:rPr>
        <w:t>The majority of</w:t>
      </w:r>
      <w:proofErr w:type="gramEnd"/>
      <w:r w:rsidRPr="48585CDC">
        <w:rPr>
          <w:lang w:val="en-GB"/>
        </w:rPr>
        <w:t xml:space="preserve"> the faculty members (70%) suggested mini-CEX as a suitable formative evaluation tool and that it should be included early in the training, despite the drawbacks of subjective bias and time restrictions. During comments, </w:t>
      </w:r>
      <w:proofErr w:type="gramStart"/>
      <w:r w:rsidRPr="48585CDC">
        <w:rPr>
          <w:lang w:val="en-GB"/>
        </w:rPr>
        <w:t>the majority of</w:t>
      </w:r>
      <w:proofErr w:type="gramEnd"/>
      <w:r w:rsidRPr="48585CDC">
        <w:rPr>
          <w:lang w:val="en-GB"/>
        </w:rPr>
        <w:t xml:space="preserve"> the students expressed their agreement that this activity had improved their ability to learn and their clinical skills. The faculty stated that mini-CEX was superior because it offered quick response and had a focused, organised pattern of evaluation [55]. </w:t>
      </w:r>
    </w:p>
    <w:p w14:paraId="248EEC85" w14:textId="77777777" w:rsidR="000D4098" w:rsidRDefault="000D4098" w:rsidP="48585CDC">
      <w:pPr>
        <w:pStyle w:val="NormalWeb"/>
        <w:spacing w:before="0" w:beforeAutospacing="0" w:after="0" w:afterAutospacing="0" w:line="360" w:lineRule="auto"/>
        <w:jc w:val="both"/>
        <w:rPr>
          <w:lang w:val="en-GB"/>
        </w:rPr>
      </w:pPr>
    </w:p>
    <w:p w14:paraId="1A14624A" w14:textId="516CDB2C" w:rsidR="000D4098" w:rsidRDefault="48585CDC" w:rsidP="48585CDC">
      <w:pPr>
        <w:pStyle w:val="NormalWeb"/>
        <w:spacing w:before="0" w:beforeAutospacing="0" w:after="0" w:afterAutospacing="0" w:line="360" w:lineRule="auto"/>
        <w:jc w:val="both"/>
        <w:rPr>
          <w:lang w:val="en-GB" w:eastAsia="en-US"/>
        </w:rPr>
      </w:pPr>
      <w:r w:rsidRPr="48585CDC">
        <w:rPr>
          <w:lang w:val="en-GB"/>
        </w:rPr>
        <w:t xml:space="preserve">Batra et al conducted a study on the method for evaluating residents in the department of surgery is the "Mini Clinical Evaluation Exercise" (Mini-CEX). From May 2019 to September 2019, the study was carried out in a tertiary care facility where the department of surgery had residents. In this study data gathering, diagnosis, therapy, and counselling were the focus areas. There was significant improvement in interviewing skills, physical examination skills, professionalism, and counselling skills after mini-CEX but no difference was obtained in clinical judgement and organisation efficiency skills [56]. </w:t>
      </w:r>
    </w:p>
    <w:p w14:paraId="1B0B7EA9" w14:textId="77777777" w:rsidR="000D4098" w:rsidRDefault="000D4098" w:rsidP="48585CDC">
      <w:pPr>
        <w:spacing w:line="360" w:lineRule="auto"/>
        <w:jc w:val="both"/>
        <w:rPr>
          <w:rFonts w:ascii="Times New Roman" w:hAnsi="Times New Roman" w:cs="Times New Roman"/>
          <w:sz w:val="24"/>
          <w:szCs w:val="24"/>
          <w:lang w:val="en-US"/>
        </w:rPr>
      </w:pPr>
    </w:p>
    <w:p w14:paraId="2306E1B4"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t>Advantages of WPBA</w:t>
      </w:r>
    </w:p>
    <w:p w14:paraId="5A0D74BB" w14:textId="77777777" w:rsidR="000D4098" w:rsidRDefault="000D4098" w:rsidP="48585CDC">
      <w:pPr>
        <w:spacing w:line="360" w:lineRule="auto"/>
        <w:jc w:val="both"/>
        <w:rPr>
          <w:rFonts w:ascii="Times New Roman" w:hAnsi="Times New Roman" w:cs="Times New Roman"/>
          <w:b/>
          <w:bCs/>
          <w:sz w:val="24"/>
          <w:szCs w:val="24"/>
          <w:lang w:val="en-US"/>
        </w:rPr>
      </w:pPr>
    </w:p>
    <w:p w14:paraId="51440891"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The assessment of the trainee in the workplace reduces the artificiality of traditional method of assessment.</w:t>
      </w:r>
    </w:p>
    <w:p w14:paraId="3A098C53"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The workplace-based assessment maintains the content and context specificity of the assessment.</w:t>
      </w:r>
    </w:p>
    <w:p w14:paraId="1B592A57"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The workplace can be used as a sampling situation where the trainee will work after qualifying.</w:t>
      </w:r>
    </w:p>
    <w:p w14:paraId="46BA0B72"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It is feasible to assess the competency holistically.</w:t>
      </w:r>
    </w:p>
    <w:p w14:paraId="6A55E4F6"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A variety of skills can be assessed across a range of contexts and scenarios.</w:t>
      </w:r>
    </w:p>
    <w:p w14:paraId="7C3D9551"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Assessment can be incorporated into the regular activities without detracting from it.</w:t>
      </w:r>
    </w:p>
    <w:p w14:paraId="61965077"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It assesses the ‘does’ level of Miller’s pyramid.</w:t>
      </w:r>
    </w:p>
    <w:p w14:paraId="5E99D1CD"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Assessment of professionalism is possible.</w:t>
      </w:r>
    </w:p>
    <w:p w14:paraId="4E1286E1"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Assessment is for learning rather than assessment of learning.</w:t>
      </w:r>
    </w:p>
    <w:p w14:paraId="37CD44AC"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 xml:space="preserve">It emphasizes the learning of communication with patients, peers, communication with paramedical workers and team management than focusing only on treating the illness. </w:t>
      </w:r>
    </w:p>
    <w:p w14:paraId="58D059A4"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Many assessors can evaluate and provide inputs for a single trainee.</w:t>
      </w:r>
    </w:p>
    <w:p w14:paraId="4C0BDCA4"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It is learner centric by providing the opportunity for the learners to actively participate in patient selection and decision making.</w:t>
      </w:r>
    </w:p>
    <w:p w14:paraId="7E1C6747"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 xml:space="preserve">WBPA modulates the learning process by providing feedback for the learner to improve. </w:t>
      </w:r>
    </w:p>
    <w:p w14:paraId="22B2F79F"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It is a longitudinal assessment rather than a midterm or end of posting assessment.</w:t>
      </w:r>
    </w:p>
    <w:p w14:paraId="46D246BC"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The feedback is more effective when it is given in relation to a particular task. It promotes careful observation and feedback during work, which can facilitate</w:t>
      </w:r>
      <w:r w:rsidRPr="48585CDC">
        <w:rPr>
          <w:rFonts w:ascii="Times New Roman" w:hAnsi="Times New Roman" w:cs="Times New Roman"/>
        </w:rPr>
        <w:t xml:space="preserve"> </w:t>
      </w:r>
      <w:r w:rsidRPr="48585CDC">
        <w:rPr>
          <w:rFonts w:ascii="Times New Roman" w:hAnsi="Times New Roman" w:cs="Times New Roman"/>
          <w:lang w:val="en-US"/>
        </w:rPr>
        <w:t>problem- and context-specific learning.</w:t>
      </w:r>
      <w:r w:rsidRPr="48585CDC">
        <w:rPr>
          <w:rFonts w:ascii="Times New Roman" w:hAnsi="Times New Roman" w:cs="Times New Roman"/>
        </w:rPr>
        <w:t xml:space="preserve"> </w:t>
      </w:r>
    </w:p>
    <w:p w14:paraId="0BF06813"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lastRenderedPageBreak/>
        <w:t>Since WBPA assessments are done using multiple assessors at multiple times, it is very much reliable.</w:t>
      </w:r>
    </w:p>
    <w:p w14:paraId="20D56936" w14:textId="77777777" w:rsidR="000D4098" w:rsidRDefault="48585CDC" w:rsidP="48585CDC">
      <w:pPr>
        <w:pStyle w:val="ListParagraph"/>
        <w:numPr>
          <w:ilvl w:val="0"/>
          <w:numId w:val="19"/>
        </w:numPr>
        <w:spacing w:line="360" w:lineRule="auto"/>
        <w:jc w:val="both"/>
        <w:rPr>
          <w:rFonts w:ascii="Times New Roman" w:hAnsi="Times New Roman" w:cs="Times New Roman"/>
          <w:lang w:val="en-US"/>
        </w:rPr>
      </w:pPr>
      <w:r w:rsidRPr="48585CDC">
        <w:rPr>
          <w:rFonts w:ascii="Times New Roman" w:hAnsi="Times New Roman" w:cs="Times New Roman"/>
          <w:lang w:val="en-US"/>
        </w:rPr>
        <w:t>WPBA had a positive educational impact (Kirkpatrick level 1) and could lead to modifications in attitudes (Kirkpatrick level 2a) or even changes in behavior (Kirkpatrick level 3) and helped to improve clinical skills (Kirkpatrick level 2b).</w:t>
      </w:r>
    </w:p>
    <w:p w14:paraId="3631FAF5" w14:textId="77777777" w:rsidR="000D4098" w:rsidRDefault="48585CDC" w:rsidP="48585CDC">
      <w:pPr>
        <w:spacing w:line="360" w:lineRule="auto"/>
        <w:jc w:val="both"/>
        <w:rPr>
          <w:rFonts w:ascii="Times New Roman" w:hAnsi="Times New Roman" w:cs="Times New Roman"/>
          <w:sz w:val="24"/>
          <w:szCs w:val="24"/>
        </w:rPr>
      </w:pPr>
      <w:r w:rsidRPr="48585CDC">
        <w:rPr>
          <w:rFonts w:ascii="Times New Roman" w:hAnsi="Times New Roman" w:cs="Times New Roman"/>
          <w:sz w:val="24"/>
          <w:szCs w:val="24"/>
        </w:rPr>
        <w:t>Although there were several factors that affected usefulness, WBAs were generally thought to be helpful because they offered learning opportunities, knowledge enhancement, curriculum coverage, formalisation of training, reflection and feedback tools, and adjuncts to educational supervisor (ES) and clinical supervisor (CS) reports. The style of validation and the time of validation, as well as the engagement of trainee and trainer and their alignment with one another, appeared to be key factors in the usefulness of the WBA [57].</w:t>
      </w:r>
    </w:p>
    <w:p w14:paraId="367567A4" w14:textId="77777777" w:rsidR="000D4098" w:rsidRDefault="000D4098" w:rsidP="48585CDC">
      <w:pPr>
        <w:pStyle w:val="ListParagraph"/>
        <w:spacing w:line="360" w:lineRule="auto"/>
        <w:jc w:val="both"/>
        <w:rPr>
          <w:rFonts w:ascii="Times New Roman" w:hAnsi="Times New Roman" w:cs="Times New Roman"/>
          <w:lang w:val="en-US"/>
        </w:rPr>
      </w:pPr>
    </w:p>
    <w:p w14:paraId="5115C1DD"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t>Limitations of WPBA</w:t>
      </w:r>
    </w:p>
    <w:p w14:paraId="4ABB1978" w14:textId="77777777"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WPBA are supplement to formative assessment rather than replacement to conventional methods.</w:t>
      </w:r>
    </w:p>
    <w:p w14:paraId="06CCF6CD" w14:textId="77777777"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Student who performed well in initial interactions may become overconfident while the weaker trainee can be deterred by the first few interactions and refrain from asking for feedback.</w:t>
      </w:r>
    </w:p>
    <w:p w14:paraId="0024C0A9" w14:textId="77777777"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Since senior and experienced assessors will give lower but more accurate ratings, the trainee may prefer less experienced assessors to get more ratings.</w:t>
      </w:r>
    </w:p>
    <w:p w14:paraId="21227BCA" w14:textId="75EC29A1"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 xml:space="preserve">The reliability of the WPBA tool depends on how the tool being used and it requires faculty training for the effective use of these tools. The largest hurdle in implementing WPBA is faculty training. Clarity regarding what to assess and what standards to anticipate, as well as the skill of providing useful comments, are two key areas where assessor training is crucial. </w:t>
      </w:r>
    </w:p>
    <w:p w14:paraId="633C58FC" w14:textId="67A00541"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 xml:space="preserve">Training in assessment clarity and norms will lessen the likelihood that assessors would overlook subpar performance or a crucial ability. </w:t>
      </w:r>
    </w:p>
    <w:p w14:paraId="590CA31D" w14:textId="24F13827"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Any trainer must have training in providing constructive criticism because feedback greatly aids in learning. If the feedback is not given in an acceptable, constructive manner with ideas for development, the benefit of the entire process may be lost.</w:t>
      </w:r>
    </w:p>
    <w:p w14:paraId="5DFC8B6F" w14:textId="3E445F53"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The dual responsibilities of faculty members as teachers and assessors may conflict. This could lead to reluctance to record negative or mediocre evaluations.</w:t>
      </w:r>
    </w:p>
    <w:p w14:paraId="1ED021D5" w14:textId="39F184E3"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t xml:space="preserve">To make these tools more acceptable, trainees must also be </w:t>
      </w:r>
      <w:proofErr w:type="spellStart"/>
      <w:r w:rsidRPr="48585CDC">
        <w:rPr>
          <w:rFonts w:ascii="Times New Roman" w:eastAsia="Times New Roman" w:hAnsi="Times New Roman" w:cs="Times New Roman"/>
          <w:lang w:val="en-US"/>
        </w:rPr>
        <w:t>sensitised</w:t>
      </w:r>
      <w:proofErr w:type="spellEnd"/>
      <w:r w:rsidRPr="48585CDC">
        <w:rPr>
          <w:rFonts w:ascii="Times New Roman" w:eastAsia="Times New Roman" w:hAnsi="Times New Roman" w:cs="Times New Roman"/>
          <w:lang w:val="en-US"/>
        </w:rPr>
        <w:t xml:space="preserve"> and given the positive consequences of feedback.</w:t>
      </w:r>
    </w:p>
    <w:p w14:paraId="57BD887F" w14:textId="2C3C4458" w:rsidR="000D4098" w:rsidRDefault="48585CDC" w:rsidP="48585CDC">
      <w:pPr>
        <w:pStyle w:val="ListParagraph"/>
        <w:numPr>
          <w:ilvl w:val="0"/>
          <w:numId w:val="20"/>
        </w:numPr>
        <w:spacing w:line="360" w:lineRule="auto"/>
        <w:jc w:val="both"/>
        <w:rPr>
          <w:rFonts w:ascii="Times New Roman" w:eastAsia="Times New Roman" w:hAnsi="Times New Roman" w:cs="Times New Roman"/>
          <w:lang w:val="en-US"/>
        </w:rPr>
      </w:pPr>
      <w:r w:rsidRPr="48585CDC">
        <w:rPr>
          <w:rFonts w:ascii="Times New Roman" w:eastAsia="Times New Roman" w:hAnsi="Times New Roman" w:cs="Times New Roman"/>
          <w:lang w:val="en-US"/>
        </w:rPr>
        <w:lastRenderedPageBreak/>
        <w:t>There may be inertia in introducing new assessment tools like WPBA.</w:t>
      </w:r>
    </w:p>
    <w:p w14:paraId="1D2A6195" w14:textId="77777777" w:rsidR="000D4098" w:rsidRDefault="000D4098" w:rsidP="48585CDC">
      <w:pPr>
        <w:pStyle w:val="ListParagraph"/>
        <w:spacing w:line="360" w:lineRule="auto"/>
        <w:jc w:val="both"/>
        <w:rPr>
          <w:rFonts w:ascii="Times New Roman" w:hAnsi="Times New Roman" w:cs="Times New Roman"/>
          <w:lang w:val="en-US"/>
        </w:rPr>
      </w:pPr>
    </w:p>
    <w:p w14:paraId="7DEE44C0" w14:textId="77777777" w:rsidR="000D4098" w:rsidRDefault="48585CDC" w:rsidP="48585CDC">
      <w:pPr>
        <w:spacing w:line="360" w:lineRule="auto"/>
        <w:jc w:val="both"/>
        <w:rPr>
          <w:rFonts w:ascii="Times New Roman" w:hAnsi="Times New Roman" w:cs="Times New Roman"/>
          <w:sz w:val="24"/>
          <w:szCs w:val="24"/>
        </w:rPr>
      </w:pPr>
      <w:r w:rsidRPr="48585CDC">
        <w:rPr>
          <w:rFonts w:ascii="Times New Roman" w:hAnsi="Times New Roman" w:cs="Times New Roman"/>
          <w:sz w:val="24"/>
          <w:szCs w:val="24"/>
        </w:rPr>
        <w:t>There is an inherent bias in the system because many people only give assessments that describe what went well, leaving out the ones that did not. This results in a lack of documentation of all learning experiences, which reduces the content validity of the instrument.</w:t>
      </w:r>
    </w:p>
    <w:p w14:paraId="38D07FB9"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hAnsi="Times New Roman" w:cs="Times New Roman"/>
          <w:sz w:val="24"/>
          <w:szCs w:val="24"/>
        </w:rPr>
        <w:t xml:space="preserve">Lack of time to validate, delayed scheduling of validation, e-mail validation rather than face-to-face validation, varying quality of input, lack of follow-up on feedback, tick-box exercise, importance of quantity over quality, and loss of accuracy are some of the challenges identified. </w:t>
      </w:r>
    </w:p>
    <w:p w14:paraId="31C0AD5B"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Researches  revealed that there was a lack of time for both the trainee and the trainer, difficulty in finding an assessor who was willing and qualified, a lack of enthusiasm, a lack of trainer training and knowledge regarding the requirements of the trainee, an emphasis on quantity rather than quality, uncertainty about validity, a delay between the event and the completion of feedback, and a lack of understanding of the purpose of WBAs are the barriers in using WPBAs as assessment tools [57]. Research shows that learners may not know how to use the input from WBAs, while assessors may not know how to conduct WBAs. Stakeholders also claimed that the lengthy implementation times for WBAs made it difficult to integrate them into existing workflows. Stakeholders questioned the evidence supporting WBAs, particularly their content and discriminant validity, and claimed to find the frameworks, definitions, and tools for WBAs to be complex, ambiguous, divisive, and insignificant. For trainees, who were worried about being evaluated under unnatural circumstances, which were frequently brought on by the stress of observation, the tension between summative and formative assessment was obvious. Unsettlingly, this conflict seems to jeopardise formative WBAs as well, with trainees believing that "formative" WBAs are being employed for summative evaluations. The assessor-trainee relationship, the assessor's assessment literacy, and the competency of the trainees all have an impact on how frequently trainees choose assessors who would favourably evaluate them. The preferences and attitudes of stakeholders (particularly assessors) regarding particular WBAs have an impact on both the choice of a WBA and subsequent engagement.</w:t>
      </w:r>
    </w:p>
    <w:p w14:paraId="47C74B08"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Assessors with inadequate clinical expertise may consider trainees with equally weak clinical expertise as competent if they use their own level of clinical expertise as the benchmark by which they rate a trainee's competency. Additionally, prejudices held by assessors may influence how they remember observed behaviour and make judgments about trainees. Similar to this, those who find evaluations uncomfortable and/or who lack the training necessary to support their choice may "fail to fail" trainees who require additional support. The assessor's position within the evaluation environment also affects the decision; comments will be </w:t>
      </w:r>
      <w:r w:rsidRPr="48585CDC">
        <w:rPr>
          <w:rFonts w:ascii="Times New Roman" w:eastAsia="Times New Roman" w:hAnsi="Times New Roman" w:cs="Times New Roman"/>
          <w:sz w:val="24"/>
          <w:szCs w:val="24"/>
        </w:rPr>
        <w:lastRenderedPageBreak/>
        <w:t xml:space="preserve">influenced by a person's profession (for example, nurse vs. clinician), seniority, and perceived role as an assessor or instructor [39]. </w:t>
      </w:r>
    </w:p>
    <w:p w14:paraId="43965CFB" w14:textId="77777777" w:rsidR="000D4098" w:rsidRDefault="48585CDC" w:rsidP="48585CDC">
      <w:pPr>
        <w:spacing w:line="360" w:lineRule="auto"/>
        <w:jc w:val="both"/>
        <w:rPr>
          <w:rFonts w:ascii="Times New Roman" w:hAnsi="Times New Roman" w:cs="Times New Roman"/>
          <w:sz w:val="24"/>
          <w:szCs w:val="24"/>
          <w:lang w:val="en-US"/>
        </w:rPr>
      </w:pPr>
      <w:r w:rsidRPr="48585CDC">
        <w:rPr>
          <w:rFonts w:ascii="Times New Roman" w:hAnsi="Times New Roman" w:cs="Times New Roman"/>
          <w:sz w:val="24"/>
          <w:szCs w:val="24"/>
          <w:lang w:val="en-US"/>
        </w:rPr>
        <w:t xml:space="preserve">Through workplace-based evaluation, the supervisors have the chance to analyze the trainee’s clinical practice. However, many trainees view workplace-based assessments as a test to pass rather than an opportunity to learn, and they may adjust their practice expressly for these exams. Lack of confidence in their supervisor may be one cause of this inauthenticity. Due to the advent of entrustment as a recommended method for supervisors to assess trainees' progress toward competent practice, most of the research and criticism have concentrated on supervisors' need to trust trainees. The trainers trust the trainees who are believed to be capable, diligent, honest, and responsible. They look for confidence, perception, and a willingness to solicit help, take criticism, and willing to learn from feedback. Domain et al discussed how workplace-based assessment affects how much trainees trust their supervisors. Instead of purposefully assessing trust moment by moment, trainees made trust decisions naturally. Although they acknowledged the significance of this feeling of trust in their training and assessment, participants needed encouragement to explain how they came to trust their supervisor. This may be due to the unconscious nature of these decisions. The limited trust that trainees first displayed—primarily based on the supervisors' perceived duty to perform their duties—was followed by an increase in trust that was influenced by experience. In their research, Domian et al. discovered that Bourdieu's idea of "feel for the game" perfectly captured how trainees trust decisions in workplace-based assessments were made intuitively in reaction to supervisor behavior [58,59].  These fast-paced interactions give little room for thought, but practice gives players a sense of the game that helps them maneuver through these situations. Our findings imply that trainees may experience emotional costs </w:t>
      </w:r>
      <w:proofErr w:type="gramStart"/>
      <w:r w:rsidRPr="48585CDC">
        <w:rPr>
          <w:rFonts w:ascii="Times New Roman" w:hAnsi="Times New Roman" w:cs="Times New Roman"/>
          <w:sz w:val="24"/>
          <w:szCs w:val="24"/>
          <w:lang w:val="en-US"/>
        </w:rPr>
        <w:t>as a result of</w:t>
      </w:r>
      <w:proofErr w:type="gramEnd"/>
      <w:r w:rsidRPr="48585CDC">
        <w:rPr>
          <w:rFonts w:ascii="Times New Roman" w:hAnsi="Times New Roman" w:cs="Times New Roman"/>
          <w:sz w:val="24"/>
          <w:szCs w:val="24"/>
          <w:lang w:val="en-US"/>
        </w:rPr>
        <w:t xml:space="preserve"> the trial-and-error process needed in learning to navigate this complexity. We believe it might add to the emotional strain that impression management is said to involve [60]. While increasing trainees' knowledge of the learning process and its emotional effects may be beneficial, this learning may be essential to trainee development. The study also found that Positive effects result from supervisor credibility building trust among trainees. Impression management is regarded by students as essential in surgical training </w:t>
      </w:r>
      <w:proofErr w:type="gramStart"/>
      <w:r w:rsidRPr="48585CDC">
        <w:rPr>
          <w:rFonts w:ascii="Times New Roman" w:hAnsi="Times New Roman" w:cs="Times New Roman"/>
          <w:sz w:val="24"/>
          <w:szCs w:val="24"/>
          <w:lang w:val="en-US"/>
        </w:rPr>
        <w:t>in order to</w:t>
      </w:r>
      <w:proofErr w:type="gramEnd"/>
      <w:r w:rsidRPr="48585CDC">
        <w:rPr>
          <w:rFonts w:ascii="Times New Roman" w:hAnsi="Times New Roman" w:cs="Times New Roman"/>
          <w:sz w:val="24"/>
          <w:szCs w:val="24"/>
          <w:lang w:val="en-US"/>
        </w:rPr>
        <w:t xml:space="preserve"> access chances for practice and learning; yet, it adds emotional work, can impede learning, and can jeopardize patient care. Trust made it possible to communicate feelings honestly [58].</w:t>
      </w:r>
    </w:p>
    <w:p w14:paraId="7A79D24F" w14:textId="77777777" w:rsidR="000D4098" w:rsidRDefault="48585CDC" w:rsidP="48585CDC">
      <w:pPr>
        <w:spacing w:line="360" w:lineRule="auto"/>
        <w:jc w:val="both"/>
        <w:rPr>
          <w:rFonts w:ascii="Times New Roman" w:hAnsi="Times New Roman" w:cs="Times New Roman"/>
          <w:sz w:val="24"/>
          <w:szCs w:val="24"/>
          <w:lang w:val="en-US"/>
        </w:rPr>
      </w:pPr>
      <w:r w:rsidRPr="48585CDC">
        <w:rPr>
          <w:rFonts w:ascii="Times New Roman" w:hAnsi="Times New Roman" w:cs="Times New Roman"/>
          <w:sz w:val="24"/>
          <w:szCs w:val="24"/>
          <w:lang w:val="en-US"/>
        </w:rPr>
        <w:t xml:space="preserve">Medical students seem to have unfavorable opinions on WBAs. Although having experience with WBAs had little bearing on their viewpoint, having knowledge of WBAs appeared to have an impact on attitudes. This shows that how medical students are exposed to WBAs should be </w:t>
      </w:r>
      <w:r w:rsidRPr="48585CDC">
        <w:rPr>
          <w:rFonts w:ascii="Times New Roman" w:hAnsi="Times New Roman" w:cs="Times New Roman"/>
          <w:sz w:val="24"/>
          <w:szCs w:val="24"/>
          <w:lang w:val="en-US"/>
        </w:rPr>
        <w:lastRenderedPageBreak/>
        <w:t xml:space="preserve">carefully considered </w:t>
      </w:r>
      <w:proofErr w:type="gramStart"/>
      <w:r w:rsidRPr="48585CDC">
        <w:rPr>
          <w:rFonts w:ascii="Times New Roman" w:hAnsi="Times New Roman" w:cs="Times New Roman"/>
          <w:sz w:val="24"/>
          <w:szCs w:val="24"/>
          <w:lang w:val="en-US"/>
        </w:rPr>
        <w:t>in order to</w:t>
      </w:r>
      <w:proofErr w:type="gramEnd"/>
      <w:r w:rsidRPr="48585CDC">
        <w:rPr>
          <w:rFonts w:ascii="Times New Roman" w:hAnsi="Times New Roman" w:cs="Times New Roman"/>
          <w:sz w:val="24"/>
          <w:szCs w:val="24"/>
          <w:lang w:val="en-US"/>
        </w:rPr>
        <w:t xml:space="preserve"> guarantee that it supports the development of passion and positivism that the students can carry into their professional lives [38].</w:t>
      </w:r>
    </w:p>
    <w:p w14:paraId="2E862BB1" w14:textId="77777777" w:rsidR="000D4098" w:rsidRDefault="48585CDC" w:rsidP="48585CDC">
      <w:pPr>
        <w:spacing w:line="360" w:lineRule="auto"/>
        <w:jc w:val="both"/>
        <w:rPr>
          <w:rFonts w:ascii="Times New Roman" w:hAnsi="Times New Roman" w:cs="Times New Roman"/>
          <w:sz w:val="24"/>
          <w:szCs w:val="24"/>
          <w:lang w:val="en-US"/>
        </w:rPr>
      </w:pPr>
      <w:r w:rsidRPr="48585CDC">
        <w:rPr>
          <w:rFonts w:ascii="Times New Roman" w:hAnsi="Times New Roman" w:cs="Times New Roman"/>
          <w:sz w:val="24"/>
          <w:szCs w:val="24"/>
          <w:lang w:val="en-US"/>
        </w:rPr>
        <w:t xml:space="preserve">The misalignment between how supervisors cognitively form evaluations of the trainee and how they are asked to document these judgments poses </w:t>
      </w:r>
      <w:proofErr w:type="gramStart"/>
      <w:r w:rsidRPr="48585CDC">
        <w:rPr>
          <w:rFonts w:ascii="Times New Roman" w:hAnsi="Times New Roman" w:cs="Times New Roman"/>
          <w:sz w:val="24"/>
          <w:szCs w:val="24"/>
          <w:lang w:val="en-US"/>
        </w:rPr>
        <w:t>a serious danger</w:t>
      </w:r>
      <w:proofErr w:type="gramEnd"/>
      <w:r w:rsidRPr="48585CDC">
        <w:rPr>
          <w:rFonts w:ascii="Times New Roman" w:hAnsi="Times New Roman" w:cs="Times New Roman"/>
          <w:sz w:val="24"/>
          <w:szCs w:val="24"/>
          <w:lang w:val="en-US"/>
        </w:rPr>
        <w:t xml:space="preserve"> to the validity of many extant WBAs. Recent research reveals that the poor psychometric performance of WBAs may not be a result of divergent interpretations of the observed data, but rather of the questions and scales that were utilized. Many of the WBAs in EM now in use rating scales that are linked to a specified level of training (for example, "below, meets, or over expectations"). These scales, however, are based on the rater's anticipated performance for a specific training level. The upper end of the rating scale anchors used in </w:t>
      </w:r>
      <w:proofErr w:type="spellStart"/>
      <w:r w:rsidRPr="48585CDC">
        <w:rPr>
          <w:rFonts w:ascii="Times New Roman" w:hAnsi="Times New Roman" w:cs="Times New Roman"/>
          <w:sz w:val="24"/>
          <w:szCs w:val="24"/>
          <w:lang w:val="en-US"/>
        </w:rPr>
        <w:t>entrustability</w:t>
      </w:r>
      <w:proofErr w:type="spellEnd"/>
      <w:r w:rsidRPr="48585CDC">
        <w:rPr>
          <w:rFonts w:ascii="Times New Roman" w:hAnsi="Times New Roman" w:cs="Times New Roman"/>
          <w:sz w:val="24"/>
          <w:szCs w:val="24"/>
          <w:lang w:val="en-US"/>
        </w:rPr>
        <w:t xml:space="preserve"> measures are the standard of competence or autonomous performance. The way the descriptive anchors are referred to in the literature and how they are specifically phrased varies (e.g., </w:t>
      </w:r>
      <w:proofErr w:type="spellStart"/>
      <w:r w:rsidRPr="48585CDC">
        <w:rPr>
          <w:rFonts w:ascii="Times New Roman" w:hAnsi="Times New Roman" w:cs="Times New Roman"/>
          <w:sz w:val="24"/>
          <w:szCs w:val="24"/>
          <w:lang w:val="en-US"/>
        </w:rPr>
        <w:t>entrustability</w:t>
      </w:r>
      <w:proofErr w:type="spellEnd"/>
      <w:r w:rsidRPr="48585CDC">
        <w:rPr>
          <w:rFonts w:ascii="Times New Roman" w:hAnsi="Times New Roman" w:cs="Times New Roman"/>
          <w:sz w:val="24"/>
          <w:szCs w:val="24"/>
          <w:lang w:val="en-US"/>
        </w:rPr>
        <w:t xml:space="preserve">, entrustment, and independence anchors) [16]. </w:t>
      </w:r>
    </w:p>
    <w:p w14:paraId="6C46FD0A" w14:textId="77777777" w:rsidR="000D4098" w:rsidRDefault="000D4098" w:rsidP="48585CDC">
      <w:pPr>
        <w:spacing w:line="360" w:lineRule="auto"/>
        <w:jc w:val="both"/>
        <w:rPr>
          <w:rFonts w:ascii="Times New Roman" w:hAnsi="Times New Roman" w:cs="Times New Roman"/>
          <w:sz w:val="24"/>
          <w:szCs w:val="24"/>
          <w:lang w:val="en-US"/>
        </w:rPr>
      </w:pPr>
    </w:p>
    <w:p w14:paraId="7A665D5E"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t xml:space="preserve">Barriers to establish WPBA in the operating </w:t>
      </w:r>
      <w:proofErr w:type="gramStart"/>
      <w:r w:rsidRPr="48585CDC">
        <w:rPr>
          <w:rFonts w:ascii="Times New Roman" w:hAnsi="Times New Roman" w:cs="Times New Roman"/>
          <w:b/>
          <w:bCs/>
          <w:sz w:val="24"/>
          <w:szCs w:val="24"/>
          <w:lang w:val="en-US"/>
        </w:rPr>
        <w:t>theatre</w:t>
      </w:r>
      <w:proofErr w:type="gramEnd"/>
    </w:p>
    <w:p w14:paraId="4418DF5A" w14:textId="77777777" w:rsidR="000D4098" w:rsidRDefault="48585CDC" w:rsidP="48585CDC">
      <w:pPr>
        <w:spacing w:line="360" w:lineRule="auto"/>
        <w:jc w:val="both"/>
        <w:rPr>
          <w:rFonts w:ascii="Times New Roman" w:hAnsi="Times New Roman" w:cs="Times New Roman"/>
          <w:sz w:val="24"/>
          <w:szCs w:val="24"/>
          <w:lang w:val="en-US"/>
        </w:rPr>
      </w:pPr>
      <w:proofErr w:type="gramStart"/>
      <w:r w:rsidRPr="48585CDC">
        <w:rPr>
          <w:rFonts w:ascii="Times New Roman" w:hAnsi="Times New Roman" w:cs="Times New Roman"/>
          <w:sz w:val="24"/>
          <w:szCs w:val="24"/>
          <w:lang w:val="en-US"/>
        </w:rPr>
        <w:t>In order to</w:t>
      </w:r>
      <w:proofErr w:type="gramEnd"/>
      <w:r w:rsidRPr="48585CDC">
        <w:rPr>
          <w:rFonts w:ascii="Times New Roman" w:hAnsi="Times New Roman" w:cs="Times New Roman"/>
          <w:sz w:val="24"/>
          <w:szCs w:val="24"/>
          <w:lang w:val="en-US"/>
        </w:rPr>
        <w:t xml:space="preserve"> achieve systematic supervised training in the operating room, the stakeholders have identified three levels of barriers: </w:t>
      </w:r>
    </w:p>
    <w:p w14:paraId="093D5172" w14:textId="77777777" w:rsidR="000D4098" w:rsidRDefault="48585CDC" w:rsidP="48585CDC">
      <w:pPr>
        <w:spacing w:line="360" w:lineRule="auto"/>
        <w:jc w:val="both"/>
        <w:rPr>
          <w:rFonts w:ascii="Times New Roman" w:hAnsi="Times New Roman" w:cs="Times New Roman"/>
          <w:sz w:val="24"/>
          <w:szCs w:val="24"/>
          <w:lang w:val="en-US"/>
        </w:rPr>
      </w:pPr>
      <w:r w:rsidRPr="48585CDC">
        <w:rPr>
          <w:rFonts w:ascii="Times New Roman" w:hAnsi="Times New Roman" w:cs="Times New Roman"/>
          <w:sz w:val="24"/>
          <w:szCs w:val="24"/>
          <w:lang w:val="en-US"/>
        </w:rPr>
        <w:t xml:space="preserve">1. </w:t>
      </w:r>
      <w:r w:rsidRPr="48585CDC">
        <w:rPr>
          <w:rFonts w:ascii="Times New Roman" w:hAnsi="Times New Roman" w:cs="Times New Roman"/>
          <w:i/>
          <w:iCs/>
          <w:sz w:val="24"/>
          <w:szCs w:val="24"/>
          <w:lang w:val="en-US"/>
        </w:rPr>
        <w:t>Challenges at the organizational level-</w:t>
      </w:r>
      <w:r w:rsidRPr="48585CDC">
        <w:rPr>
          <w:rFonts w:ascii="Times New Roman" w:hAnsi="Times New Roman" w:cs="Times New Roman"/>
          <w:sz w:val="24"/>
          <w:szCs w:val="24"/>
          <w:lang w:val="en-US"/>
        </w:rPr>
        <w:t xml:space="preserve"> By effectively advocating for better training conditions, such as allocating more theatre time per patient, ring-fencing beds for elective admissions, and establishing training opportunities at nearby diagnosis and treatment facilities, these may be amenable to change. </w:t>
      </w:r>
    </w:p>
    <w:p w14:paraId="285DD1BE" w14:textId="792F27E7" w:rsidR="000D4098" w:rsidRDefault="48585CDC" w:rsidP="48585CDC">
      <w:pPr>
        <w:spacing w:line="360" w:lineRule="auto"/>
        <w:jc w:val="both"/>
        <w:rPr>
          <w:rFonts w:ascii="Times New Roman" w:hAnsi="Times New Roman" w:cs="Times New Roman"/>
          <w:sz w:val="24"/>
          <w:szCs w:val="24"/>
          <w:lang w:val="en-US"/>
        </w:rPr>
      </w:pPr>
      <w:r w:rsidRPr="48585CDC">
        <w:rPr>
          <w:rFonts w:ascii="Times New Roman" w:hAnsi="Times New Roman" w:cs="Times New Roman"/>
          <w:sz w:val="24"/>
          <w:szCs w:val="24"/>
          <w:lang w:val="en-US"/>
        </w:rPr>
        <w:t xml:space="preserve">2. </w:t>
      </w:r>
      <w:r w:rsidRPr="48585CDC">
        <w:rPr>
          <w:rFonts w:ascii="Times New Roman" w:hAnsi="Times New Roman" w:cs="Times New Roman"/>
          <w:i/>
          <w:iCs/>
          <w:sz w:val="24"/>
          <w:szCs w:val="24"/>
          <w:lang w:val="en-US"/>
        </w:rPr>
        <w:t xml:space="preserve">Professional level challenges: </w:t>
      </w:r>
      <w:r w:rsidRPr="48585CDC">
        <w:rPr>
          <w:rFonts w:ascii="Times New Roman" w:hAnsi="Times New Roman" w:cs="Times New Roman"/>
          <w:sz w:val="24"/>
          <w:szCs w:val="24"/>
          <w:lang w:val="en-US"/>
        </w:rPr>
        <w:t xml:space="preserve">These can be changed through proactive planning and workload </w:t>
      </w:r>
      <w:proofErr w:type="spellStart"/>
      <w:r w:rsidRPr="48585CDC">
        <w:rPr>
          <w:rFonts w:ascii="Times New Roman" w:hAnsi="Times New Roman" w:cs="Times New Roman"/>
          <w:sz w:val="24"/>
          <w:szCs w:val="24"/>
          <w:lang w:val="en-US"/>
        </w:rPr>
        <w:t>reorganisation</w:t>
      </w:r>
      <w:proofErr w:type="spellEnd"/>
      <w:r w:rsidRPr="48585CDC">
        <w:rPr>
          <w:rFonts w:ascii="Times New Roman" w:hAnsi="Times New Roman" w:cs="Times New Roman"/>
          <w:sz w:val="24"/>
          <w:szCs w:val="24"/>
          <w:lang w:val="en-US"/>
        </w:rPr>
        <w:t xml:space="preserve"> by the main stakeholders (clinical supervisors and trainees). </w:t>
      </w:r>
    </w:p>
    <w:p w14:paraId="2E3A8ED2" w14:textId="31033C1E" w:rsidR="000D4098" w:rsidRDefault="48585CDC" w:rsidP="48585CDC">
      <w:pPr>
        <w:spacing w:line="360" w:lineRule="auto"/>
        <w:jc w:val="both"/>
        <w:rPr>
          <w:rFonts w:ascii="Times New Roman" w:hAnsi="Times New Roman" w:cs="Times New Roman"/>
          <w:i/>
          <w:iCs/>
          <w:sz w:val="24"/>
          <w:szCs w:val="24"/>
          <w:lang w:val="en-US"/>
        </w:rPr>
      </w:pPr>
      <w:r w:rsidRPr="48585CDC">
        <w:rPr>
          <w:rFonts w:ascii="Times New Roman" w:hAnsi="Times New Roman" w:cs="Times New Roman"/>
          <w:i/>
          <w:iCs/>
          <w:sz w:val="24"/>
          <w:szCs w:val="24"/>
          <w:lang w:val="en-US"/>
        </w:rPr>
        <w:t xml:space="preserve"> </w:t>
      </w:r>
    </w:p>
    <w:p w14:paraId="569C523F" w14:textId="3E9211AA" w:rsidR="000D4098" w:rsidRDefault="48585CDC" w:rsidP="48585CDC">
      <w:pPr>
        <w:spacing w:line="360" w:lineRule="auto"/>
        <w:jc w:val="both"/>
        <w:rPr>
          <w:rFonts w:ascii="Times New Roman" w:hAnsi="Times New Roman" w:cs="Times New Roman"/>
          <w:sz w:val="24"/>
          <w:szCs w:val="24"/>
          <w:lang w:val="en-US"/>
        </w:rPr>
      </w:pPr>
      <w:r w:rsidRPr="48585CDC">
        <w:rPr>
          <w:rFonts w:ascii="Times New Roman" w:hAnsi="Times New Roman" w:cs="Times New Roman"/>
          <w:i/>
          <w:iCs/>
          <w:sz w:val="24"/>
          <w:szCs w:val="24"/>
          <w:lang w:val="en-US"/>
        </w:rPr>
        <w:t xml:space="preserve">3. Individual level challenges - </w:t>
      </w:r>
      <w:r w:rsidRPr="48585CDC">
        <w:rPr>
          <w:rFonts w:ascii="Times New Roman" w:hAnsi="Times New Roman" w:cs="Times New Roman"/>
          <w:sz w:val="24"/>
          <w:szCs w:val="24"/>
          <w:lang w:val="en-US"/>
        </w:rPr>
        <w:t xml:space="preserve">These are amenable to direct change by </w:t>
      </w:r>
      <w:proofErr w:type="gramStart"/>
      <w:r w:rsidRPr="48585CDC">
        <w:rPr>
          <w:rFonts w:ascii="Times New Roman" w:hAnsi="Times New Roman" w:cs="Times New Roman"/>
          <w:sz w:val="24"/>
          <w:szCs w:val="24"/>
          <w:lang w:val="en-US"/>
        </w:rPr>
        <w:t>particular clinical</w:t>
      </w:r>
      <w:proofErr w:type="gramEnd"/>
      <w:r w:rsidRPr="48585CDC">
        <w:rPr>
          <w:rFonts w:ascii="Times New Roman" w:hAnsi="Times New Roman" w:cs="Times New Roman"/>
          <w:sz w:val="24"/>
          <w:szCs w:val="24"/>
          <w:lang w:val="en-US"/>
        </w:rPr>
        <w:t xml:space="preserve"> supervisory teams and trainee teams with the aim of improving their training environment, such as better matching of suitable trainees to suitable surgical cases [5].</w:t>
      </w:r>
    </w:p>
    <w:p w14:paraId="460C2D61" w14:textId="77777777" w:rsidR="000D4098" w:rsidRDefault="000D4098" w:rsidP="48585CDC">
      <w:pPr>
        <w:spacing w:line="360" w:lineRule="auto"/>
        <w:jc w:val="both"/>
        <w:rPr>
          <w:rFonts w:ascii="Times New Roman" w:hAnsi="Times New Roman" w:cs="Times New Roman"/>
          <w:sz w:val="24"/>
          <w:szCs w:val="24"/>
          <w:lang w:val="en-US"/>
        </w:rPr>
      </w:pPr>
    </w:p>
    <w:p w14:paraId="5C35AAB1"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t>Methods to improve WPBA as an assessment tool.</w:t>
      </w:r>
    </w:p>
    <w:p w14:paraId="11E23AF2"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Lack of suitable WBA tools does not pose a problem to implementation. WBA tools abound in our journals, each one created with an own set of elements, formats, procedures, and goals. Others require thorough assessment reports to be completed after months of supervision, while some only have a single item that must be filled after each activity. Some WBA have minimal or no stakes, while others have strict timelines for progression. Some people place a higher </w:t>
      </w:r>
      <w:r w:rsidRPr="48585CDC">
        <w:rPr>
          <w:rFonts w:ascii="Times New Roman" w:eastAsia="Times New Roman" w:hAnsi="Times New Roman" w:cs="Times New Roman"/>
          <w:sz w:val="24"/>
          <w:szCs w:val="24"/>
        </w:rPr>
        <w:lastRenderedPageBreak/>
        <w:t>priority on the documentation of feedback than others, while many people try to balance the two. Therefore, rather than establishing "de novo" tools, the Accreditation Council for Graduate Medical Education (ACGME) advises referring at current WBA tools and evaluating their effectiveness when developing assessment procedures [61].</w:t>
      </w:r>
    </w:p>
    <w:p w14:paraId="2EFC05F2" w14:textId="77777777" w:rsidR="000D4098" w:rsidRDefault="000D4098" w:rsidP="48585CDC">
      <w:pPr>
        <w:spacing w:line="360" w:lineRule="auto"/>
        <w:jc w:val="both"/>
        <w:rPr>
          <w:rFonts w:ascii="Times New Roman" w:eastAsia="Times New Roman" w:hAnsi="Times New Roman" w:cs="Times New Roman"/>
          <w:sz w:val="24"/>
          <w:szCs w:val="24"/>
        </w:rPr>
      </w:pPr>
    </w:p>
    <w:p w14:paraId="157CD8F4"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Regular trainer education and training should be provided. This might also increase system trainer faith. A more enthusiastic, motivated, and engaged workforce is likely to result in better utilisation of WPBA. For optimal learning, trainees should be proactive in WBAs and inform their instructors of their plans to finish them well in advance. They should be committed, motivated trainees who engage in reflective practise. Lack of time is a major challenge that can be overcome by improved task organisation, scheduling WBA sessions in the schedule, and other methods.</w:t>
      </w:r>
    </w:p>
    <w:p w14:paraId="719BB96B"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To improve the validity and learning episode of "on the job learning," efforts should be made to include overall learning events, even if the outcome or experience was not favourable. The trainees should not be penalised based on the reflections. It is not recommended to utilise the individual WBAs as a summative measure [57].</w:t>
      </w:r>
    </w:p>
    <w:p w14:paraId="7E252139"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It became clear through stakeholder interactions with WBA's many answer formats that there is no one response format that works for all. Although a strong design may be appropriate for some teachers because it matches their method of feedback, other teachers may find it distracting and out of place. Additionally, the design could be excellent for specific circumstances at a particular time but need modifications for regional variations or developing changes in practise. The practicality is affected by teachers' preferences for various tools or their desire to utilise the tool that best fits a certain context.</w:t>
      </w:r>
      <w:r w:rsidRPr="48585CDC">
        <w:rPr>
          <w:rFonts w:ascii="Times New Roman" w:hAnsi="Times New Roman" w:cs="Times New Roman"/>
          <w:sz w:val="24"/>
          <w:szCs w:val="24"/>
        </w:rPr>
        <w:t xml:space="preserve"> </w:t>
      </w:r>
      <w:r w:rsidRPr="48585CDC">
        <w:rPr>
          <w:rFonts w:ascii="Times New Roman" w:eastAsia="Times New Roman" w:hAnsi="Times New Roman" w:cs="Times New Roman"/>
          <w:sz w:val="24"/>
          <w:szCs w:val="24"/>
        </w:rPr>
        <w:t>For example, an assessment programme that allows teachers to choose their tool may increase acceptability for teachers, which may compound the challenges of administering assessments to teachers and then gathering them for competency committees to make summative judgements for learners. A strategy worth looking into is the strategic use of variously developed instruments that best match the learning process of residents.</w:t>
      </w:r>
    </w:p>
    <w:p w14:paraId="71788283"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The coaching relationship between the trainer and trainee should be given priority, and attempts should be made to create WBA tools that may act as a mediator to enhance teaching, learning, and feedback sharing within that relationship at work. WBA design and procedure can mitigate coaching, but they also have the potential to damage the connection. It would be wise to keep an eye out for WBA procedures that would make it difficult for residents to request coaching and feedback if they felt it would add to the stress of completing forms [61].</w:t>
      </w:r>
    </w:p>
    <w:p w14:paraId="3733D0B4"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lastRenderedPageBreak/>
        <w:t>The ability to directly examine what a trainee accomplishes in the workplace makes WBAs more appealing than other evaluations like multiple-choice questions or OSCEs. This reduces the need to infer competence from lower tiers of Miller's pyramid, hence elevating the validity of WBAs over that of other evaluations. The highest tier of Miller's pyramid is directly targeted. All parties involved should have enough training and assessment knowledge. To better comprehend the interactions between users, tools, and context—which in turn must be understood to further improve WBAs—it is essential to have a solid grasp of user views on WBAs. The transition from formative to summative WBAs causes trainees to put less emphasis on learning and more on performance, which lowers engagement with the feedback and compromises the validity of the WBAs. Additionally, because summative WBAs carry more weight, assessors are less strict with their comments and judgments, especially when they lack confidence in their ability to defend their choices. This frustrates assessors who are attempting to separate their responsibilities as teachers and assessors. Some have proposed that in order to address these problems, stakeholders should be informed of the intended purpose (whether formative or summative) of each WBA in order to promote responsible use. WBAs have generally been shown to have low reliability, while using entrustment-based scales to redefine scales increases dependability. For acceptable generalisability, around ten WBAs are needed. However, determining the "ideal number" of WBAs is challenging. Some claim that the number of WBAs needed should depend on how well trainees perform since for trainees who perform well, fewer WBAs are needed to produce accurate estimations of competence [39].</w:t>
      </w:r>
    </w:p>
    <w:p w14:paraId="59DA5FA2" w14:textId="77777777" w:rsidR="000D4098" w:rsidRDefault="48585CDC" w:rsidP="48585CDC">
      <w:pPr>
        <w:spacing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In general, how WBAs are used (such as hasty retrospective completion) is influenced by users' attitudes toward, availability of time for, and training in WBAs, which reduces a WBA's validity. Similar to this, leniency in the assessor-trainee connection can undermine validity or improve it by allowing longitudinal assessment. Results may vary depending on the environment, including the case's difficulty and speciality.</w:t>
      </w:r>
    </w:p>
    <w:p w14:paraId="2993A651" w14:textId="77777777" w:rsidR="000D4098" w:rsidRDefault="48585CDC" w:rsidP="48585CDC">
      <w:pPr>
        <w:spacing w:line="360" w:lineRule="auto"/>
        <w:jc w:val="both"/>
        <w:rPr>
          <w:rFonts w:ascii="Times New Roman" w:hAnsi="Times New Roman" w:cs="Times New Roman"/>
          <w:sz w:val="24"/>
          <w:szCs w:val="24"/>
          <w:lang w:val="en-GB"/>
        </w:rPr>
      </w:pPr>
      <w:r w:rsidRPr="48585CDC">
        <w:rPr>
          <w:rFonts w:ascii="Times New Roman" w:hAnsi="Times New Roman" w:cs="Times New Roman"/>
          <w:sz w:val="24"/>
          <w:szCs w:val="24"/>
          <w:lang w:val="en-GB"/>
        </w:rPr>
        <w:t>The amount of time needed for WBAs determines their viability. While their validity is greatly impacted by their intent, WBAs' validity can be improved by utilising entrustment-based definitions (i.e., summative or formative). The formative-summative tension, user disengagement, and assessor-trainee relationships are three significant topics that have an impact on the usability of WPBAs. These seem to be key factors to consider when building, implementing, and assessing WBAs [39].</w:t>
      </w:r>
    </w:p>
    <w:p w14:paraId="20602A73" w14:textId="77777777" w:rsidR="000D4098" w:rsidRDefault="000D4098" w:rsidP="48585CDC">
      <w:pPr>
        <w:spacing w:line="360" w:lineRule="auto"/>
        <w:jc w:val="both"/>
        <w:rPr>
          <w:rFonts w:ascii="Times New Roman" w:hAnsi="Times New Roman" w:cs="Times New Roman"/>
          <w:sz w:val="24"/>
          <w:szCs w:val="24"/>
          <w:lang w:val="en-US"/>
        </w:rPr>
      </w:pPr>
    </w:p>
    <w:p w14:paraId="24493A06" w14:textId="77777777" w:rsidR="000D4098" w:rsidRDefault="000D4098" w:rsidP="48585CDC">
      <w:pPr>
        <w:spacing w:line="360" w:lineRule="auto"/>
        <w:jc w:val="both"/>
        <w:rPr>
          <w:rFonts w:ascii="Times New Roman" w:hAnsi="Times New Roman" w:cs="Times New Roman"/>
          <w:b/>
          <w:bCs/>
          <w:sz w:val="24"/>
          <w:szCs w:val="24"/>
          <w:lang w:val="en-US"/>
        </w:rPr>
      </w:pPr>
    </w:p>
    <w:p w14:paraId="2843AD28" w14:textId="77777777" w:rsidR="000D4098" w:rsidRDefault="000D4098" w:rsidP="48585CDC">
      <w:pPr>
        <w:spacing w:line="360" w:lineRule="auto"/>
        <w:jc w:val="both"/>
        <w:rPr>
          <w:rFonts w:ascii="Times New Roman" w:hAnsi="Times New Roman" w:cs="Times New Roman"/>
          <w:b/>
          <w:bCs/>
          <w:sz w:val="24"/>
          <w:szCs w:val="24"/>
          <w:lang w:val="en-US"/>
        </w:rPr>
      </w:pPr>
    </w:p>
    <w:p w14:paraId="47569B1E"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lastRenderedPageBreak/>
        <w:t>Role of feedback in WPBA</w:t>
      </w:r>
    </w:p>
    <w:p w14:paraId="6089A197" w14:textId="77777777" w:rsidR="000D4098" w:rsidRDefault="000D4098" w:rsidP="48585CDC">
      <w:pPr>
        <w:spacing w:line="360" w:lineRule="auto"/>
        <w:jc w:val="both"/>
        <w:rPr>
          <w:rFonts w:ascii="Times New Roman" w:hAnsi="Times New Roman" w:cs="Times New Roman"/>
          <w:sz w:val="24"/>
          <w:szCs w:val="24"/>
          <w:lang w:val="en-GB"/>
        </w:rPr>
      </w:pPr>
      <w:r w:rsidRPr="48585CDC">
        <w:rPr>
          <w:rFonts w:ascii="Times New Roman" w:hAnsi="Times New Roman" w:cs="Times New Roman"/>
          <w:sz w:val="24"/>
          <w:szCs w:val="24"/>
          <w:lang w:val="en-US"/>
        </w:rPr>
        <w:t xml:space="preserve">Feedback provides information and is not intended to be judgmental. The trainee is given specific, subjective comments on their observed performance in a way that is useful for them to consider and use to improve their future performance. Providing good quality and timely feedback has an essential role in learning and professional development in medicine. </w:t>
      </w:r>
      <w:r w:rsidRPr="48585CDC">
        <w:rPr>
          <w:rFonts w:ascii="Times New Roman" w:hAnsi="Times New Roman" w:cs="Times New Roman"/>
          <w:sz w:val="24"/>
          <w:szCs w:val="24"/>
          <w:shd w:val="clear" w:color="auto" w:fill="FFFFFF"/>
        </w:rPr>
        <w:t xml:space="preserve">Feedback during learning allows students to take feedback on board immediately and to try to realise improvement during the learning process. This is often more effective and productive to the learning experience than end-of task feedback measures (usually summative) which require students to remember the feedback and apply the recommended strategies to a future task. </w:t>
      </w:r>
      <w:r w:rsidRPr="48585CDC">
        <w:rPr>
          <w:rFonts w:ascii="Times New Roman" w:hAnsi="Times New Roman" w:cs="Times New Roman"/>
          <w:sz w:val="24"/>
          <w:szCs w:val="24"/>
          <w:lang w:val="en-US"/>
        </w:rPr>
        <w:t>There are several methods described to help assessors to provide feedback to trainees. O</w:t>
      </w:r>
      <w:proofErr w:type="spellStart"/>
      <w:r w:rsidRPr="48585CDC">
        <w:rPr>
          <w:rFonts w:ascii="Times New Roman" w:hAnsi="Times New Roman" w:cs="Times New Roman"/>
          <w:sz w:val="24"/>
          <w:szCs w:val="24"/>
          <w:lang w:val="en-GB"/>
        </w:rPr>
        <w:t>ne</w:t>
      </w:r>
      <w:proofErr w:type="spellEnd"/>
      <w:r w:rsidRPr="48585CDC">
        <w:rPr>
          <w:rFonts w:ascii="Times New Roman" w:hAnsi="Times New Roman" w:cs="Times New Roman"/>
          <w:sz w:val="24"/>
          <w:szCs w:val="24"/>
          <w:lang w:val="en-GB"/>
        </w:rPr>
        <w:t xml:space="preserve"> of the older but more commonly used feedback techniques in clinical medicine is that described by Pendleton [62]. Pendleton's rules of feedback include the following:</w:t>
      </w:r>
    </w:p>
    <w:p w14:paraId="1B0919F0" w14:textId="77777777" w:rsidR="000D4098" w:rsidRDefault="48585CDC" w:rsidP="48585CDC">
      <w:pPr>
        <w:pStyle w:val="ListParagraph"/>
        <w:numPr>
          <w:ilvl w:val="0"/>
          <w:numId w:val="21"/>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 The trainee identifies what went well and discusses what did not go well and how they could improve this aspect of performance.</w:t>
      </w:r>
    </w:p>
    <w:p w14:paraId="4734DE3C" w14:textId="77777777" w:rsidR="000D4098" w:rsidRDefault="48585CDC" w:rsidP="48585CDC">
      <w:pPr>
        <w:pStyle w:val="ListParagraph"/>
        <w:numPr>
          <w:ilvl w:val="0"/>
          <w:numId w:val="21"/>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The assessor highlights what they observed went well and identifies observed areas for improvement. </w:t>
      </w:r>
    </w:p>
    <w:p w14:paraId="523E79AA" w14:textId="77777777" w:rsidR="000D4098" w:rsidRDefault="48585CDC" w:rsidP="48585CDC">
      <w:pPr>
        <w:pStyle w:val="ListParagraph"/>
        <w:numPr>
          <w:ilvl w:val="0"/>
          <w:numId w:val="21"/>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Both agrees the areas of improvement and works on the action plan for future improvement. </w:t>
      </w:r>
    </w:p>
    <w:p w14:paraId="41CE4EBE" w14:textId="77777777" w:rsidR="000D4098" w:rsidRDefault="48585CDC" w:rsidP="48585CDC">
      <w:pPr>
        <w:spacing w:line="360" w:lineRule="auto"/>
        <w:jc w:val="both"/>
        <w:rPr>
          <w:rFonts w:ascii="Times New Roman" w:hAnsi="Times New Roman" w:cs="Times New Roman"/>
          <w:sz w:val="24"/>
          <w:szCs w:val="24"/>
          <w:lang w:val="en-GB"/>
        </w:rPr>
      </w:pPr>
      <w:r w:rsidRPr="48585CDC">
        <w:rPr>
          <w:rFonts w:ascii="Times New Roman" w:hAnsi="Times New Roman" w:cs="Times New Roman"/>
          <w:sz w:val="24"/>
          <w:szCs w:val="24"/>
          <w:lang w:val="en-GB"/>
        </w:rPr>
        <w:t>The following rules to be followed [63] for the feedback to be effective.</w:t>
      </w:r>
    </w:p>
    <w:p w14:paraId="22AF9CA7" w14:textId="77777777" w:rsidR="000D4098" w:rsidRDefault="48585CDC" w:rsidP="48585CDC">
      <w:pPr>
        <w:pStyle w:val="ListParagraph"/>
        <w:numPr>
          <w:ilvl w:val="0"/>
          <w:numId w:val="22"/>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Be </w:t>
      </w:r>
      <w:proofErr w:type="gramStart"/>
      <w:r w:rsidRPr="48585CDC">
        <w:rPr>
          <w:rFonts w:ascii="Times New Roman" w:hAnsi="Times New Roman" w:cs="Times New Roman"/>
          <w:lang w:val="en-GB"/>
        </w:rPr>
        <w:t>clear</w:t>
      </w:r>
      <w:proofErr w:type="gramEnd"/>
    </w:p>
    <w:p w14:paraId="46196D09" w14:textId="77777777" w:rsidR="000D4098" w:rsidRDefault="48585CDC" w:rsidP="48585CDC">
      <w:pPr>
        <w:pStyle w:val="ListParagraph"/>
        <w:numPr>
          <w:ilvl w:val="0"/>
          <w:numId w:val="22"/>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Be </w:t>
      </w:r>
      <w:proofErr w:type="gramStart"/>
      <w:r w:rsidRPr="48585CDC">
        <w:rPr>
          <w:rFonts w:ascii="Times New Roman" w:hAnsi="Times New Roman" w:cs="Times New Roman"/>
          <w:lang w:val="en-GB"/>
        </w:rPr>
        <w:t>specific</w:t>
      </w:r>
      <w:proofErr w:type="gramEnd"/>
    </w:p>
    <w:p w14:paraId="5878DF37" w14:textId="77777777" w:rsidR="000D4098" w:rsidRDefault="48585CDC" w:rsidP="48585CDC">
      <w:pPr>
        <w:pStyle w:val="ListParagraph"/>
        <w:numPr>
          <w:ilvl w:val="0"/>
          <w:numId w:val="22"/>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Be </w:t>
      </w:r>
      <w:proofErr w:type="gramStart"/>
      <w:r w:rsidRPr="48585CDC">
        <w:rPr>
          <w:rFonts w:ascii="Times New Roman" w:hAnsi="Times New Roman" w:cs="Times New Roman"/>
          <w:lang w:val="en-GB"/>
        </w:rPr>
        <w:t>constructive</w:t>
      </w:r>
      <w:proofErr w:type="gramEnd"/>
    </w:p>
    <w:p w14:paraId="30181EDE" w14:textId="77777777" w:rsidR="000D4098" w:rsidRDefault="48585CDC" w:rsidP="48585CDC">
      <w:pPr>
        <w:pStyle w:val="ListParagraph"/>
        <w:numPr>
          <w:ilvl w:val="0"/>
          <w:numId w:val="22"/>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Be descriptive rather than </w:t>
      </w:r>
      <w:proofErr w:type="gramStart"/>
      <w:r w:rsidRPr="48585CDC">
        <w:rPr>
          <w:rFonts w:ascii="Times New Roman" w:hAnsi="Times New Roman" w:cs="Times New Roman"/>
          <w:lang w:val="en-GB"/>
        </w:rPr>
        <w:t>evaluative</w:t>
      </w:r>
      <w:proofErr w:type="gramEnd"/>
    </w:p>
    <w:p w14:paraId="2864F4FB" w14:textId="77777777" w:rsidR="000D4098" w:rsidRDefault="48585CDC" w:rsidP="48585CDC">
      <w:pPr>
        <w:pStyle w:val="ListParagraph"/>
        <w:numPr>
          <w:ilvl w:val="0"/>
          <w:numId w:val="22"/>
        </w:numPr>
        <w:spacing w:line="360" w:lineRule="auto"/>
        <w:jc w:val="both"/>
        <w:rPr>
          <w:rFonts w:ascii="Times New Roman" w:hAnsi="Times New Roman" w:cs="Times New Roman"/>
          <w:lang w:val="en-GB"/>
        </w:rPr>
      </w:pPr>
      <w:r w:rsidRPr="48585CDC">
        <w:rPr>
          <w:rFonts w:ascii="Times New Roman" w:hAnsi="Times New Roman" w:cs="Times New Roman"/>
          <w:lang w:val="en-GB"/>
        </w:rPr>
        <w:t xml:space="preserve">Timing is </w:t>
      </w:r>
      <w:proofErr w:type="gramStart"/>
      <w:r w:rsidRPr="48585CDC">
        <w:rPr>
          <w:rFonts w:ascii="Times New Roman" w:hAnsi="Times New Roman" w:cs="Times New Roman"/>
          <w:lang w:val="en-GB"/>
        </w:rPr>
        <w:t>important</w:t>
      </w:r>
      <w:proofErr w:type="gramEnd"/>
    </w:p>
    <w:p w14:paraId="4416FBDA" w14:textId="77777777" w:rsidR="000D4098" w:rsidRDefault="48585CDC" w:rsidP="48585CDC">
      <w:pPr>
        <w:pStyle w:val="ListParagraph"/>
        <w:numPr>
          <w:ilvl w:val="0"/>
          <w:numId w:val="22"/>
        </w:numPr>
        <w:spacing w:line="360" w:lineRule="auto"/>
        <w:jc w:val="both"/>
        <w:rPr>
          <w:rFonts w:ascii="Times New Roman" w:hAnsi="Times New Roman" w:cs="Times New Roman"/>
          <w:lang w:val="en-GB"/>
        </w:rPr>
      </w:pPr>
      <w:r w:rsidRPr="48585CDC">
        <w:rPr>
          <w:rFonts w:ascii="Times New Roman" w:hAnsi="Times New Roman" w:cs="Times New Roman"/>
          <w:lang w:val="en-GB"/>
        </w:rPr>
        <w:t>Comment on the behaviour and not the personality</w:t>
      </w:r>
    </w:p>
    <w:p w14:paraId="40C8BCA7" w14:textId="77777777" w:rsidR="000D4098" w:rsidRDefault="48585CDC" w:rsidP="48585CDC">
      <w:pPr>
        <w:spacing w:line="360" w:lineRule="auto"/>
        <w:jc w:val="both"/>
        <w:rPr>
          <w:rFonts w:ascii="Times New Roman" w:hAnsi="Times New Roman" w:cs="Times New Roman"/>
          <w:sz w:val="24"/>
          <w:szCs w:val="24"/>
          <w:lang w:val="en-GB"/>
        </w:rPr>
      </w:pPr>
      <w:r w:rsidRPr="48585CDC">
        <w:rPr>
          <w:rFonts w:ascii="Times New Roman" w:hAnsi="Times New Roman" w:cs="Times New Roman"/>
          <w:sz w:val="24"/>
          <w:szCs w:val="24"/>
          <w:lang w:val="en-GB"/>
        </w:rPr>
        <w:t>Teachers perceived that their primary responsibility is mentoring students to develop their surgical skills (i.e., for formative feedback). The teachers all expressed a desire to aid residents in honing their surgical abilities and preparing for solo practise. They stated a need for assessment tools to promote formative feedback because they stated that feedback was their purpose for assessment. Numerous educators underlined the need for a pathway for remediation whenever negative, critical, or constructive feedback is given. This will allow students to advance through more coaching and clinical experiences [61].</w:t>
      </w:r>
    </w:p>
    <w:p w14:paraId="6FFA2011" w14:textId="77777777" w:rsidR="000D4098" w:rsidRDefault="48585CDC" w:rsidP="48585CDC">
      <w:pPr>
        <w:spacing w:line="360" w:lineRule="auto"/>
        <w:jc w:val="both"/>
        <w:rPr>
          <w:rFonts w:ascii="Times New Roman" w:hAnsi="Times New Roman" w:cs="Times New Roman"/>
          <w:sz w:val="24"/>
          <w:szCs w:val="24"/>
          <w:lang w:val="en-GB"/>
        </w:rPr>
      </w:pPr>
      <w:r w:rsidRPr="48585CDC">
        <w:rPr>
          <w:rFonts w:ascii="Times New Roman" w:hAnsi="Times New Roman" w:cs="Times New Roman"/>
          <w:sz w:val="24"/>
          <w:szCs w:val="24"/>
          <w:lang w:val="en-GB"/>
        </w:rPr>
        <w:t xml:space="preserve">Narrative feedback is the most helpful because it is more relevant and easier to understand than numerical ratings. Feedback should be observation-based and focus on certain aspects of the </w:t>
      </w:r>
      <w:r w:rsidRPr="48585CDC">
        <w:rPr>
          <w:rFonts w:ascii="Times New Roman" w:hAnsi="Times New Roman" w:cs="Times New Roman"/>
          <w:sz w:val="24"/>
          <w:szCs w:val="24"/>
          <w:lang w:val="en-GB"/>
        </w:rPr>
        <w:lastRenderedPageBreak/>
        <w:t xml:space="preserve">interaction. Feedback should also be concentrated on general procedures to promote transferability, be actionable, and ideally identify goals tailored to trainees' learning objectives and needs in a timely manner to maximise its relevance and trainees' opportunities to put it into practise. It should also be benchmarked to be developmentally appropriate, honest, and framed using standards or norms to provide trainees with clear benchmarks to work toward. </w:t>
      </w:r>
      <w:proofErr w:type="gramStart"/>
      <w:r w:rsidRPr="48585CDC">
        <w:rPr>
          <w:rFonts w:ascii="Times New Roman" w:hAnsi="Times New Roman" w:cs="Times New Roman"/>
          <w:sz w:val="24"/>
          <w:szCs w:val="24"/>
          <w:lang w:val="en-GB"/>
        </w:rPr>
        <w:t>In order to</w:t>
      </w:r>
      <w:proofErr w:type="gramEnd"/>
      <w:r w:rsidRPr="48585CDC">
        <w:rPr>
          <w:rFonts w:ascii="Times New Roman" w:hAnsi="Times New Roman" w:cs="Times New Roman"/>
          <w:sz w:val="24"/>
          <w:szCs w:val="24"/>
          <w:lang w:val="en-GB"/>
        </w:rPr>
        <w:t xml:space="preserve"> give senior trainees a comprehensive picture of their progress, holistic feedback is especially valuable. This can be helped by compiling input from many assessors. Consistencies and a preference for focusing on individual characteristics, such as mannerisms, were themes of low-quality comments [39].</w:t>
      </w:r>
    </w:p>
    <w:p w14:paraId="69AD1E5D" w14:textId="1A615EFE" w:rsidR="000D4098" w:rsidRDefault="48585CDC" w:rsidP="48585CDC">
      <w:pPr>
        <w:pStyle w:val="NormalWeb"/>
        <w:spacing w:line="360" w:lineRule="auto"/>
        <w:jc w:val="both"/>
      </w:pPr>
      <w:r w:rsidRPr="48585CDC">
        <w:t xml:space="preserve">MSF is thought to boost employee motivation, resulting in positive behaviour changes, higher output, and increased self-awareness, all of which are vital for the progress of any organisation [64]. The Sheffield Peer Review Assessment Tool (SPRAT), used by MSF, does not give enough information on trainees about whom concerns are raised, according to Archer et al.'s non-comparative action-based study [65]. More assessments are needed for these trainees. Additionally, they believed that unchecked assessor self-selection introduces leniency bias and that it should be stopped. According to qualitative research by Sargeant et al, only few doctors who received negative feedback from MSF modified their behaviour [66]. Doctors did not alter their behaviour if the feedback was positive. The most common critique was particular, related to communication skills, and was provided by patients. The area of feedback used the least by medical colleagues was clinical competence. In a different qualitative study using focus groups and interviews, Sargeant et al. found that family doctors typically agreed with the comments from their patients [66] In a prospective observational cohort study, Holmboe et al. collected feedback from mini-CEX sessions and demonstrated that mini-CEX often yields an improvement suggestion, with the majority of the suggestions focusing on the clinical abilities of medical interviewing, physical examination, and counselling [67]. Marriot et al study on PBA revealed that trainees rated the clinical supervisor's input as ranging from somewhat to very helpful. Feedback was assessed similarly by clinical supervisors [68]. According to Canavan et al., many MSF forms had no comments at all, and of those that did, a significant portion were found to lack information that may be utilised to act, decreasing the utility of such comments [69]. In the study by Burford et al., most of the trainees did not anticipate changing their behaviour in response to feedback from the MSF tools utilised, although the TAB's perceived utility was consistently greater than the mini-PAT's [70]. </w:t>
      </w:r>
    </w:p>
    <w:p w14:paraId="3172CF18" w14:textId="77777777" w:rsidR="000D4098" w:rsidRDefault="48585CDC" w:rsidP="48585CDC">
      <w:pPr>
        <w:pStyle w:val="NormalWeb"/>
        <w:spacing w:line="360" w:lineRule="auto"/>
        <w:jc w:val="both"/>
        <w:rPr>
          <w:rFonts w:eastAsia="Times New Roman"/>
        </w:rPr>
      </w:pPr>
      <w:r w:rsidRPr="48585CDC">
        <w:rPr>
          <w:rFonts w:eastAsia="Times New Roman"/>
        </w:rPr>
        <w:lastRenderedPageBreak/>
        <w:t xml:space="preserve">Left unchecked, feedback may have significant and, in some circumstances, devastating repercussions for trainees who are "at danger of failing," "underperforming," or "in difficulty." In the lack of precise performance metrics, attempts to define "underperformance" or "bad performance" remain </w:t>
      </w:r>
      <w:bookmarkStart w:id="0" w:name="_Int_V9yqU4jf"/>
      <w:r w:rsidRPr="48585CDC">
        <w:rPr>
          <w:rFonts w:eastAsia="Times New Roman"/>
        </w:rPr>
        <w:t>largely subjective</w:t>
      </w:r>
      <w:bookmarkEnd w:id="0"/>
      <w:r w:rsidRPr="48585CDC">
        <w:rPr>
          <w:rFonts w:eastAsia="Times New Roman"/>
        </w:rPr>
        <w:t xml:space="preserve">. The most restrictive (2013) definition given in research conducted in the UK is that a trainee who is underperforming "requires intervention above the regular degree of supervisor-trainee engagement". This is a descriptive definition, but it does not identify the main reason why the trainee is having problems; rather, it gives a broad description of a trainee who is not yet reaching the requirements of their training level. Aileen Barrett from Ireland conducted a systematic review Using pre-established, internationally recognized, BEME (Best Evidence in Medical Education) Collaboration guidelines to address the following research questions: </w:t>
      </w:r>
    </w:p>
    <w:p w14:paraId="1C7FA87C" w14:textId="77777777" w:rsidR="000D4098" w:rsidRDefault="48585CDC" w:rsidP="48585CDC">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Can workplace-based assessment be used to identify and remediate underperformance among postgraduate medical trainees? </w:t>
      </w:r>
    </w:p>
    <w:p w14:paraId="686F4B93" w14:textId="77777777" w:rsidR="000D4098" w:rsidRDefault="48585CDC" w:rsidP="48585CDC">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 xml:space="preserve">Of those tools thought to identify and/or remediate underperforming trainees, what features specifically contribute to their usefulness for identifying or remediating underperformance among postgraduate medical trainees? </w:t>
      </w:r>
    </w:p>
    <w:p w14:paraId="10B33EE4" w14:textId="77777777" w:rsidR="000D4098" w:rsidRDefault="48585CDC" w:rsidP="48585CDC">
      <w:pPr>
        <w:spacing w:before="100" w:beforeAutospacing="1" w:after="100" w:afterAutospacing="1" w:line="360" w:lineRule="auto"/>
        <w:ind w:left="360"/>
        <w:jc w:val="both"/>
        <w:rPr>
          <w:rFonts w:ascii="Times New Roman" w:eastAsia="Times New Roman" w:hAnsi="Times New Roman" w:cs="Times New Roman"/>
          <w:sz w:val="24"/>
          <w:szCs w:val="24"/>
        </w:rPr>
      </w:pPr>
      <w:r w:rsidRPr="48585CDC">
        <w:rPr>
          <w:rFonts w:ascii="Times New Roman" w:eastAsia="Times New Roman" w:hAnsi="Times New Roman" w:cs="Times New Roman"/>
          <w:sz w:val="24"/>
          <w:szCs w:val="24"/>
        </w:rPr>
        <w:t>The authors found that Trainees who had been judged to be underwhelming or performing poorly (by other measures) did not always select less complex cases for their WBA. To complete a direct observation of procedural skills (DOPS) evaluation and conduct a mini-PAT, this group of trainees was more likely to approach a nursing colleague. This would suggest that those who were aware of their performance issues avoided their senior colleagues and medical peers to some extent [71]. A change in practise may be less likely to occur and assessments may become more of a "tick-box exercise" if a competency or element of performance is found to be "achieving" or "above expectation," according to the potential "ceiling effect" of WBA rating systems [72]. It is crucial to fully investigate the tools' capabilities to find the weaker performance baseline and/or to help raise performance above this baseline.</w:t>
      </w:r>
    </w:p>
    <w:p w14:paraId="4780674D" w14:textId="77777777" w:rsidR="000D4098" w:rsidRDefault="000D4098" w:rsidP="48585CDC">
      <w:pPr>
        <w:spacing w:line="360" w:lineRule="auto"/>
        <w:jc w:val="both"/>
        <w:rPr>
          <w:rFonts w:ascii="Times New Roman" w:hAnsi="Times New Roman" w:cs="Times New Roman"/>
          <w:b/>
          <w:bCs/>
          <w:sz w:val="24"/>
          <w:szCs w:val="24"/>
          <w:lang w:val="en-US"/>
        </w:rPr>
      </w:pPr>
    </w:p>
    <w:p w14:paraId="2407D0D6" w14:textId="77777777" w:rsidR="000D4098" w:rsidRDefault="48585CDC" w:rsidP="48585CDC">
      <w:pPr>
        <w:spacing w:line="360" w:lineRule="auto"/>
        <w:jc w:val="both"/>
        <w:rPr>
          <w:rFonts w:ascii="Times New Roman" w:hAnsi="Times New Roman" w:cs="Times New Roman"/>
          <w:b/>
          <w:bCs/>
          <w:sz w:val="24"/>
          <w:szCs w:val="24"/>
          <w:lang w:val="en-US"/>
        </w:rPr>
      </w:pPr>
      <w:r w:rsidRPr="48585CDC">
        <w:rPr>
          <w:rFonts w:ascii="Times New Roman" w:hAnsi="Times New Roman" w:cs="Times New Roman"/>
          <w:b/>
          <w:bCs/>
          <w:sz w:val="24"/>
          <w:szCs w:val="24"/>
          <w:lang w:val="en-US"/>
        </w:rPr>
        <w:t>Conclusion</w:t>
      </w:r>
    </w:p>
    <w:p w14:paraId="5AE36FBE" w14:textId="038E6DF4" w:rsidR="000D4098" w:rsidRDefault="000D4098" w:rsidP="48585CDC">
      <w:pPr>
        <w:spacing w:line="360" w:lineRule="auto"/>
        <w:jc w:val="both"/>
        <w:rPr>
          <w:rFonts w:ascii="Times New Roman" w:hAnsi="Times New Roman" w:cs="Times New Roman"/>
          <w:sz w:val="24"/>
          <w:szCs w:val="24"/>
        </w:rPr>
      </w:pPr>
      <w:r w:rsidRPr="48585CDC">
        <w:rPr>
          <w:rFonts w:ascii="Times New Roman" w:hAnsi="Times New Roman" w:cs="Times New Roman"/>
          <w:sz w:val="24"/>
          <w:szCs w:val="24"/>
          <w:lang w:val="en-US"/>
        </w:rPr>
        <w:t xml:space="preserve">The workplace-based assessments </w:t>
      </w:r>
      <w:r w:rsidRPr="48585CDC">
        <w:rPr>
          <w:rFonts w:ascii="Times New Roman" w:hAnsi="Times New Roman" w:cs="Times New Roman"/>
          <w:sz w:val="24"/>
          <w:szCs w:val="24"/>
          <w:shd w:val="clear" w:color="auto" w:fill="FFFFFF"/>
        </w:rPr>
        <w:t xml:space="preserve">bring higher levels of learning as it touches higher levels of learning on Bloom’s taxonomy, i.e., applying, analysing, and evaluating. It is a low stake assessment used for formative assessment. </w:t>
      </w:r>
      <w:r w:rsidR="48585CDC" w:rsidRPr="48585CDC">
        <w:rPr>
          <w:rFonts w:ascii="Times New Roman" w:hAnsi="Times New Roman" w:cs="Times New Roman"/>
          <w:sz w:val="24"/>
          <w:szCs w:val="24"/>
        </w:rPr>
        <w:t xml:space="preserve">Since they are designed to be performed more </w:t>
      </w:r>
      <w:r w:rsidR="48585CDC" w:rsidRPr="48585CDC">
        <w:rPr>
          <w:rFonts w:ascii="Times New Roman" w:hAnsi="Times New Roman" w:cs="Times New Roman"/>
          <w:sz w:val="24"/>
          <w:szCs w:val="24"/>
        </w:rPr>
        <w:lastRenderedPageBreak/>
        <w:t>frequently and are primarily intended for low-stakes formative purposes (assessment for learning), they may not be as reliable as assessments that are primarily intended for summative purposes (assessment of learning), which are intended to make high-stakes decisions about certification or training progression</w:t>
      </w:r>
      <w:r w:rsidRPr="48585CDC">
        <w:rPr>
          <w:rFonts w:ascii="Times New Roman" w:eastAsia="Book Antiqua" w:hAnsi="Times New Roman" w:cs="Times New Roman"/>
          <w:sz w:val="24"/>
          <w:szCs w:val="24"/>
        </w:rPr>
        <w:t xml:space="preserve">. But it can be used as a summative tool if the reliability of the WPBA assessment is increased. </w:t>
      </w:r>
      <w:r w:rsidR="48585CDC" w:rsidRPr="48585CDC">
        <w:rPr>
          <w:rFonts w:ascii="Times New Roman" w:eastAsia="Book Antiqua" w:hAnsi="Times New Roman" w:cs="Times New Roman"/>
          <w:sz w:val="24"/>
          <w:szCs w:val="24"/>
        </w:rPr>
        <w:t>Since trainees are evaluated based on direct observation of their actual clinical practise, WPBAs have high face validity as measurements of performance on a day-to-day basis.</w:t>
      </w:r>
      <w:r w:rsidRPr="48585CDC">
        <w:rPr>
          <w:rFonts w:ascii="Times New Roman" w:hAnsi="Times New Roman" w:cs="Times New Roman"/>
          <w:sz w:val="24"/>
          <w:szCs w:val="24"/>
        </w:rPr>
        <w:t xml:space="preserve"> </w:t>
      </w:r>
      <w:r w:rsidRPr="48585CDC">
        <w:rPr>
          <w:rFonts w:ascii="Times New Roman" w:hAnsi="Times New Roman" w:cs="Times New Roman"/>
          <w:sz w:val="24"/>
          <w:szCs w:val="24"/>
          <w:shd w:val="clear" w:color="auto" w:fill="FFFFFF"/>
        </w:rPr>
        <w:t xml:space="preserve">Even though the WPBAs are being used then and there in postgraduate students to assess their competency, it is not included as a part of postgraduate undergraduate curriculum except a few courses like foundation course in UK postgraduate education.  But it should be incorporated in regular UG curriculum as a formative assessment especially in CBME curriculum to assess the competency in the workplace as an authentic assessment. </w:t>
      </w:r>
    </w:p>
    <w:p w14:paraId="6242A93C" w14:textId="77777777" w:rsidR="000D4098" w:rsidRDefault="000D4098" w:rsidP="48585CDC">
      <w:pPr>
        <w:spacing w:line="360" w:lineRule="auto"/>
        <w:jc w:val="both"/>
        <w:rPr>
          <w:rFonts w:ascii="Times New Roman" w:eastAsia="Book Antiqua" w:hAnsi="Times New Roman" w:cs="Times New Roman"/>
          <w:sz w:val="24"/>
          <w:szCs w:val="24"/>
        </w:rPr>
      </w:pPr>
    </w:p>
    <w:p w14:paraId="4A399997" w14:textId="50E63242" w:rsidR="48585CDC" w:rsidRDefault="48585CDC" w:rsidP="48585CDC">
      <w:pPr>
        <w:spacing w:line="360" w:lineRule="auto"/>
        <w:jc w:val="both"/>
        <w:rPr>
          <w:rFonts w:ascii="Times New Roman" w:hAnsi="Times New Roman" w:cs="Times New Roman"/>
          <w:sz w:val="24"/>
          <w:szCs w:val="24"/>
        </w:rPr>
      </w:pPr>
      <w:r w:rsidRPr="48585CDC">
        <w:rPr>
          <w:rFonts w:ascii="Times New Roman" w:hAnsi="Times New Roman" w:cs="Times New Roman"/>
          <w:sz w:val="24"/>
          <w:szCs w:val="24"/>
        </w:rPr>
        <w:t xml:space="preserve">WPBAs can be implemented by giving clinical supervisors and trainees useful, timely training on the tools, encouraging appropriate tool use for formative assessment, demonstrating in practise the viability of workplace learning and assessment, and conducting "field testing" that prompts tool modification. By providing assessors and trainees with continual training and support, conflicts and prejudices may be reduced. Additionally, if many assessors are employed, caution must be taken to prevent rating contamination by deferring required discussion until after ratings have been issued. </w:t>
      </w:r>
    </w:p>
    <w:p w14:paraId="66779DD6" w14:textId="77777777" w:rsidR="003F5F9C" w:rsidRPr="00B63550" w:rsidRDefault="003F5F9C" w:rsidP="00B63550">
      <w:pPr>
        <w:spacing w:line="360" w:lineRule="auto"/>
        <w:jc w:val="both"/>
        <w:rPr>
          <w:rFonts w:ascii="Times New Roman" w:hAnsi="Times New Roman" w:cs="Times New Roman"/>
          <w:sz w:val="24"/>
          <w:szCs w:val="24"/>
        </w:rPr>
      </w:pPr>
    </w:p>
    <w:p w14:paraId="489633D5" w14:textId="477887C7" w:rsidR="003F5F9C" w:rsidRPr="00B63550" w:rsidRDefault="008406B0" w:rsidP="00B63550">
      <w:pPr>
        <w:pStyle w:val="NormalWeb"/>
        <w:spacing w:before="0" w:beforeAutospacing="0" w:after="0" w:afterAutospacing="0" w:line="360" w:lineRule="auto"/>
        <w:rPr>
          <w:b/>
          <w:bCs/>
          <w:lang w:val="en-US"/>
        </w:rPr>
      </w:pPr>
      <w:r w:rsidRPr="00B63550">
        <w:rPr>
          <w:b/>
          <w:bCs/>
          <w:lang w:val="en-US"/>
        </w:rPr>
        <w:t>References:</w:t>
      </w:r>
      <w:r w:rsidR="003F5F9C" w:rsidRPr="00B63550">
        <w:rPr>
          <w:b/>
          <w:bCs/>
          <w:lang w:val="en-US"/>
        </w:rPr>
        <w:t xml:space="preserve"> </w:t>
      </w:r>
    </w:p>
    <w:p w14:paraId="454F5CDA"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Yuying Liang and Lorraine M. Noble. Chinese doctors’ views on workplace-based assessment: trainee and supervisor perspectives of the mini-CEX. Medical education online 2020, VOL. 26, 1869393.  https://doi.org/10.1080/10872981.2020.1869393 </w:t>
      </w:r>
    </w:p>
    <w:p w14:paraId="10A9F54F"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rPr>
        <w:t>Govaerts</w:t>
      </w:r>
      <w:proofErr w:type="spellEnd"/>
      <w:r w:rsidRPr="00B63550">
        <w:rPr>
          <w:rFonts w:eastAsia="Book Antiqua"/>
        </w:rPr>
        <w:t xml:space="preserve"> M. Workplace-based assessment and assessment for learning: threats to validity. J Grad Med Educ. 2015;7(2):265–7. </w:t>
      </w:r>
      <w:hyperlink r:id="rId7">
        <w:r w:rsidRPr="00B63550">
          <w:rPr>
            <w:rStyle w:val="Hyperlink"/>
            <w:rFonts w:eastAsia="Book Antiqua"/>
          </w:rPr>
          <w:t>https://doi.org/10.43 00/JGME-D-15-00101.1</w:t>
        </w:r>
      </w:hyperlink>
      <w:r w:rsidRPr="00B63550">
        <w:rPr>
          <w:rFonts w:eastAsia="Book Antiqua"/>
        </w:rPr>
        <w:t>.</w:t>
      </w:r>
    </w:p>
    <w:p w14:paraId="63349091"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Miller GE. The assessment of clinical skills/ competence/ performance.</w:t>
      </w:r>
      <w:r w:rsidRPr="00B63550">
        <w:rPr>
          <w:rStyle w:val="apple-converted-space"/>
          <w:rFonts w:eastAsia="Book Antiqua"/>
          <w:shd w:val="clear" w:color="auto" w:fill="FFFFFF"/>
        </w:rPr>
        <w:t> </w:t>
      </w:r>
      <w:proofErr w:type="spellStart"/>
      <w:r w:rsidRPr="00B63550">
        <w:rPr>
          <w:rStyle w:val="ref-journal"/>
          <w:rFonts w:eastAsia="Book Antiqua"/>
          <w:i/>
          <w:iCs/>
        </w:rPr>
        <w:t>Acad</w:t>
      </w:r>
      <w:proofErr w:type="spellEnd"/>
      <w:r w:rsidRPr="00B63550">
        <w:rPr>
          <w:rStyle w:val="ref-journal"/>
          <w:rFonts w:eastAsia="Book Antiqua"/>
          <w:i/>
          <w:iCs/>
        </w:rPr>
        <w:t xml:space="preserve"> Med.</w:t>
      </w:r>
      <w:r w:rsidRPr="00B63550">
        <w:rPr>
          <w:rStyle w:val="apple-converted-space"/>
          <w:rFonts w:eastAsia="Book Antiqua"/>
          <w:i/>
          <w:iCs/>
        </w:rPr>
        <w:t> </w:t>
      </w:r>
      <w:r w:rsidRPr="00B63550">
        <w:rPr>
          <w:rFonts w:eastAsia="Book Antiqua"/>
        </w:rPr>
        <w:t>1990;</w:t>
      </w:r>
      <w:r w:rsidRPr="00B63550">
        <w:rPr>
          <w:rStyle w:val="ref-vol"/>
          <w:rFonts w:eastAsia="Book Antiqua"/>
        </w:rPr>
        <w:t>65</w:t>
      </w:r>
      <w:r w:rsidRPr="00B63550">
        <w:rPr>
          <w:rFonts w:eastAsia="Book Antiqua"/>
        </w:rPr>
        <w:t>:S63–67.</w:t>
      </w:r>
    </w:p>
    <w:p w14:paraId="729B05B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Pulito, Andrew &amp; Donnelly, Michael &amp; Plymale, Margaret &amp; Mentzer, Robert. (2006). What Do Faculty Observe of Medical Students' Clinical Performance?. Teaching and learning in medicine. 18. 99-104. 10.1207/s15328015tlm1802_2.</w:t>
      </w:r>
    </w:p>
    <w:p w14:paraId="4036D45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lastRenderedPageBreak/>
        <w:t>JD Beard, J Marriott, H Purdie and J Crossley. Assessing the surgical skills of trainees in the operating theatre: a prospective observational study of the methodology. Health Technology Assessment 2011; Vol. 15: No. 1</w:t>
      </w:r>
    </w:p>
    <w:p w14:paraId="127CAA28" w14:textId="77777777" w:rsidR="003F5F9C" w:rsidRPr="00B63550" w:rsidRDefault="003F5F9C" w:rsidP="00B63550">
      <w:pPr>
        <w:pStyle w:val="ListParagraph"/>
        <w:numPr>
          <w:ilvl w:val="0"/>
          <w:numId w:val="24"/>
        </w:numPr>
        <w:spacing w:before="100" w:beforeAutospacing="1" w:after="100" w:afterAutospacing="1" w:line="360" w:lineRule="auto"/>
        <w:rPr>
          <w:rFonts w:ascii="Times New Roman" w:eastAsia="Book Antiqua" w:hAnsi="Times New Roman" w:cs="Times New Roman"/>
        </w:rPr>
      </w:pPr>
      <w:r w:rsidRPr="00B63550">
        <w:rPr>
          <w:rFonts w:ascii="Times New Roman" w:eastAsia="Book Antiqua" w:hAnsi="Times New Roman" w:cs="Times New Roman"/>
        </w:rPr>
        <w:t xml:space="preserve">Andrea C. </w:t>
      </w:r>
      <w:proofErr w:type="spellStart"/>
      <w:r w:rsidRPr="00B63550">
        <w:rPr>
          <w:rFonts w:ascii="Times New Roman" w:eastAsia="Book Antiqua" w:hAnsi="Times New Roman" w:cs="Times New Roman"/>
        </w:rPr>
        <w:t>Lörwald</w:t>
      </w:r>
      <w:proofErr w:type="spellEnd"/>
      <w:r w:rsidRPr="00B63550">
        <w:rPr>
          <w:rFonts w:ascii="Times New Roman" w:eastAsia="Book Antiqua" w:hAnsi="Times New Roman" w:cs="Times New Roman"/>
        </w:rPr>
        <w:t xml:space="preserve">, Felicitas-Maria </w:t>
      </w:r>
      <w:proofErr w:type="spellStart"/>
      <w:r w:rsidRPr="00B63550">
        <w:rPr>
          <w:rFonts w:ascii="Times New Roman" w:eastAsia="Book Antiqua" w:hAnsi="Times New Roman" w:cs="Times New Roman"/>
        </w:rPr>
        <w:t>Lahner</w:t>
      </w:r>
      <w:proofErr w:type="spellEnd"/>
      <w:r w:rsidRPr="00B63550">
        <w:rPr>
          <w:rFonts w:ascii="Times New Roman" w:eastAsia="Book Antiqua" w:hAnsi="Times New Roman" w:cs="Times New Roman"/>
        </w:rPr>
        <w:t xml:space="preserve">, Robert Greif, Christoph </w:t>
      </w:r>
      <w:proofErr w:type="spellStart"/>
      <w:r w:rsidRPr="00B63550">
        <w:rPr>
          <w:rFonts w:ascii="Times New Roman" w:eastAsia="Book Antiqua" w:hAnsi="Times New Roman" w:cs="Times New Roman"/>
        </w:rPr>
        <w:t>Berendonk</w:t>
      </w:r>
      <w:proofErr w:type="spellEnd"/>
      <w:r w:rsidRPr="00B63550">
        <w:rPr>
          <w:rFonts w:ascii="Times New Roman" w:eastAsia="Book Antiqua" w:hAnsi="Times New Roman" w:cs="Times New Roman"/>
        </w:rPr>
        <w:t xml:space="preserve">, John </w:t>
      </w:r>
      <w:proofErr w:type="spellStart"/>
      <w:r w:rsidRPr="00B63550">
        <w:rPr>
          <w:rFonts w:ascii="Times New Roman" w:eastAsia="Book Antiqua" w:hAnsi="Times New Roman" w:cs="Times New Roman"/>
        </w:rPr>
        <w:t>Norcini</w:t>
      </w:r>
      <w:proofErr w:type="spellEnd"/>
      <w:r w:rsidRPr="00B63550">
        <w:rPr>
          <w:rFonts w:ascii="Times New Roman" w:eastAsia="Book Antiqua" w:hAnsi="Times New Roman" w:cs="Times New Roman"/>
        </w:rPr>
        <w:t xml:space="preserve"> &amp; </w:t>
      </w:r>
      <w:proofErr w:type="spellStart"/>
      <w:r w:rsidRPr="00B63550">
        <w:rPr>
          <w:rFonts w:ascii="Times New Roman" w:eastAsia="Book Antiqua" w:hAnsi="Times New Roman" w:cs="Times New Roman"/>
        </w:rPr>
        <w:t>Sören</w:t>
      </w:r>
      <w:proofErr w:type="spellEnd"/>
      <w:r w:rsidRPr="00B63550">
        <w:rPr>
          <w:rFonts w:ascii="Times New Roman" w:eastAsia="Book Antiqua" w:hAnsi="Times New Roman" w:cs="Times New Roman"/>
        </w:rPr>
        <w:t xml:space="preserve"> </w:t>
      </w:r>
      <w:proofErr w:type="spellStart"/>
      <w:r w:rsidRPr="00B63550">
        <w:rPr>
          <w:rFonts w:ascii="Times New Roman" w:eastAsia="Book Antiqua" w:hAnsi="Times New Roman" w:cs="Times New Roman"/>
        </w:rPr>
        <w:t>Huwendiek</w:t>
      </w:r>
      <w:proofErr w:type="spellEnd"/>
      <w:r w:rsidRPr="00B63550">
        <w:rPr>
          <w:rFonts w:ascii="Times New Roman" w:eastAsia="Book Antiqua" w:hAnsi="Times New Roman" w:cs="Times New Roman"/>
        </w:rPr>
        <w:t xml:space="preserve"> (2017): Factors influencing the educational impact of Mini-CEX and DOPS: A qualitative synthesis, Medical Teacher, DOI: 10.1080/0142159X.2017.1408901 </w:t>
      </w:r>
    </w:p>
    <w:p w14:paraId="53987BE0"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Ferguson PC, </w:t>
      </w:r>
      <w:proofErr w:type="spellStart"/>
      <w:r w:rsidRPr="00B63550">
        <w:rPr>
          <w:rFonts w:eastAsia="Book Antiqua"/>
        </w:rPr>
        <w:t>Caverzagie</w:t>
      </w:r>
      <w:proofErr w:type="spellEnd"/>
      <w:r w:rsidRPr="00B63550">
        <w:rPr>
          <w:rFonts w:eastAsia="Book Antiqua"/>
        </w:rPr>
        <w:t xml:space="preserve"> KJ, </w:t>
      </w:r>
      <w:proofErr w:type="spellStart"/>
      <w:r w:rsidRPr="00B63550">
        <w:rPr>
          <w:rFonts w:eastAsia="Book Antiqua"/>
        </w:rPr>
        <w:t>Nousiainen</w:t>
      </w:r>
      <w:proofErr w:type="spellEnd"/>
      <w:r w:rsidRPr="00B63550">
        <w:rPr>
          <w:rFonts w:eastAsia="Book Antiqua"/>
        </w:rPr>
        <w:t xml:space="preserve"> MT, Snell L. Changing the culture of medical training: an important step toward the implementation of competency-based medical education. Med Teach. 2017;39(6):599–602</w:t>
      </w:r>
    </w:p>
    <w:p w14:paraId="1BD514D2"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Frank JR, Snell LS, Cate OT, </w:t>
      </w:r>
      <w:proofErr w:type="spellStart"/>
      <w:r w:rsidRPr="00B63550">
        <w:rPr>
          <w:rFonts w:eastAsia="Book Antiqua"/>
        </w:rPr>
        <w:t>Holmboe</w:t>
      </w:r>
      <w:proofErr w:type="spellEnd"/>
      <w:r w:rsidRPr="00B63550">
        <w:rPr>
          <w:rFonts w:eastAsia="Book Antiqua"/>
        </w:rPr>
        <w:t xml:space="preserve"> ES, </w:t>
      </w:r>
      <w:proofErr w:type="spellStart"/>
      <w:r w:rsidRPr="00B63550">
        <w:rPr>
          <w:rFonts w:eastAsia="Book Antiqua"/>
        </w:rPr>
        <w:t>Carraccio</w:t>
      </w:r>
      <w:proofErr w:type="spellEnd"/>
      <w:r w:rsidRPr="00B63550">
        <w:rPr>
          <w:rFonts w:eastAsia="Book Antiqua"/>
        </w:rPr>
        <w:t xml:space="preserve"> C, Swing SR, et al. Competency-based medical education: theory to practice. Med Teach. 2010;32(8):638–45. </w:t>
      </w:r>
    </w:p>
    <w:p w14:paraId="588C8AF6"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Yousuf </w:t>
      </w:r>
      <w:proofErr w:type="spellStart"/>
      <w:r w:rsidRPr="00B63550">
        <w:rPr>
          <w:rFonts w:eastAsia="Book Antiqua"/>
          <w:lang w:val="en-GB"/>
        </w:rPr>
        <w:t>Guraya</w:t>
      </w:r>
      <w:proofErr w:type="spellEnd"/>
      <w:r w:rsidRPr="00B63550">
        <w:rPr>
          <w:rFonts w:eastAsia="Book Antiqua"/>
          <w:lang w:val="en-GB"/>
        </w:rPr>
        <w:t xml:space="preserve"> S. Workplace-based Assessment; Applications and Educational Impact. Malays J Med Sci. 2015 Nov;22(6):5-10. PMID: 28223879; PMCID: PMC5295751</w:t>
      </w:r>
    </w:p>
    <w:p w14:paraId="22BBF4EF"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Weston PS, Smith CA. 2014. The use of mini-CEX in UK foundation training six years following its introduction: lessons still to be learned and the benefit of formal teaching regarding its utility. Med Teach. 36:155–163</w:t>
      </w:r>
    </w:p>
    <w:p w14:paraId="1FB02814"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Wall D, Singh D, Whitehouse A, Hassell A, Howes J. Self-assessment by trainees using self-TAB as part of the team assessment of behaviour multisource feedback tool.</w:t>
      </w:r>
      <w:r w:rsidRPr="00B63550">
        <w:rPr>
          <w:rStyle w:val="apple-converted-space"/>
          <w:rFonts w:eastAsia="Book Antiqua"/>
          <w:shd w:val="clear" w:color="auto" w:fill="FFFFFF"/>
        </w:rPr>
        <w:t> </w:t>
      </w:r>
      <w:r w:rsidRPr="00B63550">
        <w:rPr>
          <w:rStyle w:val="ref-journal"/>
          <w:rFonts w:eastAsia="Book Antiqua"/>
          <w:i/>
          <w:iCs/>
        </w:rPr>
        <w:t>Med Teach.</w:t>
      </w:r>
      <w:r w:rsidRPr="00B63550">
        <w:rPr>
          <w:rStyle w:val="apple-converted-space"/>
          <w:rFonts w:eastAsia="Book Antiqua"/>
          <w:i/>
          <w:iCs/>
        </w:rPr>
        <w:t> </w:t>
      </w:r>
      <w:r w:rsidRPr="00B63550">
        <w:rPr>
          <w:rFonts w:eastAsia="Book Antiqua"/>
        </w:rPr>
        <w:t>2012;</w:t>
      </w:r>
      <w:r w:rsidRPr="00B63550">
        <w:rPr>
          <w:rStyle w:val="ref-vol"/>
          <w:rFonts w:eastAsia="Book Antiqua"/>
        </w:rPr>
        <w:t>34</w:t>
      </w:r>
      <w:r w:rsidRPr="00B63550">
        <w:rPr>
          <w:rFonts w:eastAsia="Book Antiqua"/>
        </w:rPr>
        <w:t xml:space="preserve">(2):165–167. </w:t>
      </w:r>
      <w:proofErr w:type="spellStart"/>
      <w:r w:rsidRPr="00B63550">
        <w:rPr>
          <w:rFonts w:eastAsia="Book Antiqua"/>
        </w:rPr>
        <w:t>doi</w:t>
      </w:r>
      <w:proofErr w:type="spellEnd"/>
      <w:r w:rsidRPr="00B63550">
        <w:rPr>
          <w:rFonts w:eastAsia="Book Antiqua"/>
        </w:rPr>
        <w:t>: 10.3109/0142159X.2012.644840.</w:t>
      </w:r>
    </w:p>
    <w:p w14:paraId="43FE4408"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Campbell J, Richards S, Dickens A, Greco M, Narayanan A, Brearley S. Assessing the professional performance of UK doctors: an evaluation of the utility of the General Medical Council patient and colleague questionnaires.</w:t>
      </w:r>
      <w:r w:rsidRPr="00B63550">
        <w:rPr>
          <w:rStyle w:val="apple-converted-space"/>
          <w:rFonts w:eastAsia="Book Antiqua"/>
          <w:shd w:val="clear" w:color="auto" w:fill="FFFFFF"/>
        </w:rPr>
        <w:t> </w:t>
      </w:r>
      <w:proofErr w:type="spellStart"/>
      <w:r w:rsidRPr="00B63550">
        <w:rPr>
          <w:rStyle w:val="ref-journal"/>
          <w:rFonts w:eastAsia="Book Antiqua"/>
          <w:i/>
          <w:iCs/>
        </w:rPr>
        <w:t>Qualy</w:t>
      </w:r>
      <w:proofErr w:type="spellEnd"/>
      <w:r w:rsidRPr="00B63550">
        <w:rPr>
          <w:rStyle w:val="ref-journal"/>
          <w:rFonts w:eastAsia="Book Antiqua"/>
          <w:i/>
          <w:iCs/>
        </w:rPr>
        <w:t xml:space="preserve"> </w:t>
      </w:r>
      <w:proofErr w:type="spellStart"/>
      <w:r w:rsidRPr="00B63550">
        <w:rPr>
          <w:rStyle w:val="ref-journal"/>
          <w:rFonts w:eastAsia="Book Antiqua"/>
          <w:i/>
          <w:iCs/>
        </w:rPr>
        <w:t>Saf</w:t>
      </w:r>
      <w:proofErr w:type="spellEnd"/>
      <w:r w:rsidRPr="00B63550">
        <w:rPr>
          <w:rStyle w:val="ref-journal"/>
          <w:rFonts w:eastAsia="Book Antiqua"/>
          <w:i/>
          <w:iCs/>
        </w:rPr>
        <w:t xml:space="preserve"> Health Care.</w:t>
      </w:r>
      <w:r w:rsidRPr="00B63550">
        <w:rPr>
          <w:rStyle w:val="apple-converted-space"/>
          <w:rFonts w:eastAsia="Book Antiqua"/>
          <w:i/>
          <w:iCs/>
        </w:rPr>
        <w:t> </w:t>
      </w:r>
      <w:r w:rsidRPr="00B63550">
        <w:rPr>
          <w:rFonts w:eastAsia="Book Antiqua"/>
        </w:rPr>
        <w:t>2008;</w:t>
      </w:r>
      <w:r w:rsidRPr="00B63550">
        <w:rPr>
          <w:rStyle w:val="ref-vol"/>
          <w:rFonts w:eastAsia="Book Antiqua"/>
        </w:rPr>
        <w:t>17</w:t>
      </w:r>
      <w:r w:rsidRPr="00B63550">
        <w:rPr>
          <w:rFonts w:eastAsia="Book Antiqua"/>
        </w:rPr>
        <w:t xml:space="preserve">(3):187–193. </w:t>
      </w:r>
      <w:proofErr w:type="spellStart"/>
      <w:r w:rsidRPr="00B63550">
        <w:rPr>
          <w:rFonts w:eastAsia="Book Antiqua"/>
        </w:rPr>
        <w:t>doi</w:t>
      </w:r>
      <w:proofErr w:type="spellEnd"/>
      <w:r w:rsidRPr="00B63550">
        <w:rPr>
          <w:rFonts w:eastAsia="Book Antiqua"/>
        </w:rPr>
        <w:t>: 10.1136/qshc.2007.024679.</w:t>
      </w:r>
    </w:p>
    <w:p w14:paraId="0C84CCAA"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Mackillop LH, Crossley J, Vivekananda-Schmidt P, Wade W, Armitage M. A single generic multi-source feedback tool for revalidation of all UK career-grade doctors: Does one size fit all?</w:t>
      </w:r>
      <w:r w:rsidRPr="00B63550">
        <w:rPr>
          <w:rStyle w:val="apple-converted-space"/>
          <w:rFonts w:eastAsia="Book Antiqua"/>
          <w:shd w:val="clear" w:color="auto" w:fill="FFFFFF"/>
        </w:rPr>
        <w:t> </w:t>
      </w:r>
      <w:r w:rsidRPr="00B63550">
        <w:rPr>
          <w:rStyle w:val="ref-journal"/>
          <w:rFonts w:eastAsia="Book Antiqua"/>
          <w:i/>
          <w:iCs/>
        </w:rPr>
        <w:t>Med Teach.</w:t>
      </w:r>
      <w:r w:rsidRPr="00B63550">
        <w:rPr>
          <w:rStyle w:val="apple-converted-space"/>
          <w:rFonts w:eastAsia="Book Antiqua"/>
          <w:i/>
          <w:iCs/>
        </w:rPr>
        <w:t> </w:t>
      </w:r>
      <w:r w:rsidRPr="00B63550">
        <w:rPr>
          <w:rFonts w:eastAsia="Book Antiqua"/>
        </w:rPr>
        <w:t>2011;</w:t>
      </w:r>
      <w:r w:rsidRPr="00B63550">
        <w:rPr>
          <w:rStyle w:val="ref-vol"/>
          <w:rFonts w:eastAsia="Book Antiqua"/>
        </w:rPr>
        <w:t>33</w:t>
      </w:r>
      <w:r w:rsidRPr="00B63550">
        <w:rPr>
          <w:rFonts w:eastAsia="Book Antiqua"/>
        </w:rPr>
        <w:t xml:space="preserve">(2):e75–e83. </w:t>
      </w:r>
      <w:proofErr w:type="spellStart"/>
      <w:r w:rsidRPr="00B63550">
        <w:rPr>
          <w:rFonts w:eastAsia="Book Antiqua"/>
        </w:rPr>
        <w:t>doi</w:t>
      </w:r>
      <w:proofErr w:type="spellEnd"/>
      <w:r w:rsidRPr="00B63550">
        <w:rPr>
          <w:rFonts w:eastAsia="Book Antiqua"/>
        </w:rPr>
        <w:t>: 10.3109/0142159X.2010.535870.</w:t>
      </w:r>
    </w:p>
    <w:p w14:paraId="5DAC3C7F" w14:textId="77777777" w:rsidR="003F5F9C" w:rsidRPr="00B63550" w:rsidRDefault="003F5F9C" w:rsidP="00B63550">
      <w:pPr>
        <w:pStyle w:val="NormalWeb"/>
        <w:numPr>
          <w:ilvl w:val="0"/>
          <w:numId w:val="24"/>
        </w:numPr>
        <w:spacing w:line="360" w:lineRule="auto"/>
        <w:rPr>
          <w:rStyle w:val="Hyperlink"/>
          <w:rFonts w:eastAsia="Book Antiqua"/>
        </w:rPr>
      </w:pPr>
      <w:r w:rsidRPr="00B63550">
        <w:rPr>
          <w:rFonts w:eastAsia="Book Antiqua"/>
        </w:rPr>
        <w:t>Marcio M. Gomes</w:t>
      </w:r>
      <w:r w:rsidRPr="00B63550">
        <w:rPr>
          <w:rFonts w:eastAsia="Book Antiqua"/>
          <w:position w:val="8"/>
        </w:rPr>
        <w:t xml:space="preserve"> </w:t>
      </w:r>
      <w:r w:rsidRPr="00B63550">
        <w:rPr>
          <w:rFonts w:eastAsia="Book Antiqua"/>
        </w:rPr>
        <w:t xml:space="preserve">et al. Teaching and assessing intra‐operative consultations in competency‐based medical education: development of a workplace‐based assessment instrument. </w:t>
      </w:r>
      <w:proofErr w:type="spellStart"/>
      <w:r w:rsidRPr="00B63550">
        <w:rPr>
          <w:rFonts w:eastAsia="Book Antiqua"/>
        </w:rPr>
        <w:t>Virchows</w:t>
      </w:r>
      <w:proofErr w:type="spellEnd"/>
      <w:r w:rsidRPr="00B63550">
        <w:rPr>
          <w:rFonts w:eastAsia="Book Antiqua"/>
        </w:rPr>
        <w:t xml:space="preserve"> </w:t>
      </w:r>
      <w:proofErr w:type="spellStart"/>
      <w:r w:rsidRPr="00B63550">
        <w:rPr>
          <w:rFonts w:eastAsia="Book Antiqua"/>
        </w:rPr>
        <w:t>Archiv</w:t>
      </w:r>
      <w:proofErr w:type="spellEnd"/>
      <w:r w:rsidRPr="00B63550">
        <w:rPr>
          <w:rFonts w:eastAsia="Book Antiqua"/>
        </w:rPr>
        <w:t xml:space="preserve"> (2021) 479:803–813. </w:t>
      </w:r>
      <w:hyperlink r:id="rId8" w:history="1">
        <w:r w:rsidRPr="00B63550">
          <w:rPr>
            <w:rStyle w:val="Hyperlink"/>
            <w:rFonts w:eastAsia="Book Antiqua"/>
          </w:rPr>
          <w:t>https://doi.org/10.1007/s00428-021-03113-6</w:t>
        </w:r>
      </w:hyperlink>
    </w:p>
    <w:p w14:paraId="3399AA7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lastRenderedPageBreak/>
        <w:t xml:space="preserve">Michael Gottlieb et al. Direct Observation Tools in Emergency Medicine: A Systematic Review of the Literature.  </w:t>
      </w:r>
      <w:proofErr w:type="spellStart"/>
      <w:r w:rsidRPr="00B63550">
        <w:rPr>
          <w:rFonts w:eastAsia="Book Antiqua"/>
        </w:rPr>
        <w:t>doi</w:t>
      </w:r>
      <w:proofErr w:type="spellEnd"/>
      <w:r w:rsidRPr="00B63550">
        <w:rPr>
          <w:rFonts w:eastAsia="Book Antiqua"/>
        </w:rPr>
        <w:t>: 10.1002/aet2</w:t>
      </w:r>
    </w:p>
    <w:p w14:paraId="292D0792"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Cheung  et al. The Ottawa Emergency Department Shift Observation Tool (O-</w:t>
      </w:r>
      <w:proofErr w:type="spellStart"/>
      <w:r w:rsidRPr="00B63550">
        <w:rPr>
          <w:rFonts w:eastAsia="Book Antiqua"/>
        </w:rPr>
        <w:t>EDShOT</w:t>
      </w:r>
      <w:proofErr w:type="spellEnd"/>
      <w:r w:rsidRPr="00B63550">
        <w:rPr>
          <w:rFonts w:eastAsia="Book Antiqua"/>
        </w:rPr>
        <w:t xml:space="preserve">): A New Tool for Assessing Resident Competence in the Emergency Department.  </w:t>
      </w:r>
      <w:proofErr w:type="spellStart"/>
      <w:r w:rsidRPr="00B63550">
        <w:rPr>
          <w:rFonts w:eastAsia="Book Antiqua"/>
        </w:rPr>
        <w:t>doi</w:t>
      </w:r>
      <w:proofErr w:type="spellEnd"/>
      <w:r w:rsidRPr="00B63550">
        <w:rPr>
          <w:rFonts w:eastAsia="Book Antiqua"/>
        </w:rPr>
        <w:t xml:space="preserve">: 10.1002/aet2.10419 </w:t>
      </w:r>
    </w:p>
    <w:p w14:paraId="3F88474D"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Bandiera G, Lendrum D. Daily encounter cards facilitate competency-based feedback while leniency bias persists. Can J Emerg Med 2008;10:44–50</w:t>
      </w:r>
    </w:p>
    <w:p w14:paraId="6A2437F3"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rPr>
        <w:t>Sherbino</w:t>
      </w:r>
      <w:proofErr w:type="spellEnd"/>
      <w:r w:rsidRPr="00B63550">
        <w:rPr>
          <w:rFonts w:eastAsia="Book Antiqua"/>
        </w:rPr>
        <w:t xml:space="preserve"> J, </w:t>
      </w:r>
      <w:proofErr w:type="spellStart"/>
      <w:r w:rsidRPr="00B63550">
        <w:rPr>
          <w:rFonts w:eastAsia="Book Antiqua"/>
        </w:rPr>
        <w:t>Kulasegaram</w:t>
      </w:r>
      <w:proofErr w:type="spellEnd"/>
      <w:r w:rsidRPr="00B63550">
        <w:rPr>
          <w:rFonts w:eastAsia="Book Antiqua"/>
        </w:rPr>
        <w:t xml:space="preserve"> K, Worster A, Norman GR. The reliability of encounter cards to assess the </w:t>
      </w:r>
      <w:proofErr w:type="spellStart"/>
      <w:r w:rsidRPr="00B63550">
        <w:rPr>
          <w:rFonts w:eastAsia="Book Antiqua"/>
        </w:rPr>
        <w:t>CanMEDS</w:t>
      </w:r>
      <w:proofErr w:type="spellEnd"/>
      <w:r w:rsidRPr="00B63550">
        <w:rPr>
          <w:rFonts w:eastAsia="Book Antiqua"/>
        </w:rPr>
        <w:t xml:space="preserve">  roles. Adv Heal Sci Educ 2013;18:987–96.</w:t>
      </w:r>
    </w:p>
    <w:p w14:paraId="0A836376"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Harden RM, Gleeson FA. Assessment of clinical competence using an objective structured clinical examination (OSCE)</w:t>
      </w:r>
      <w:r w:rsidRPr="00B63550">
        <w:rPr>
          <w:rStyle w:val="apple-converted-space"/>
          <w:rFonts w:eastAsia="Book Antiqua"/>
          <w:shd w:val="clear" w:color="auto" w:fill="FFFFFF"/>
        </w:rPr>
        <w:t> </w:t>
      </w:r>
      <w:r w:rsidRPr="00B63550">
        <w:rPr>
          <w:rStyle w:val="ref-journal"/>
          <w:rFonts w:eastAsia="Book Antiqua"/>
          <w:i/>
          <w:iCs/>
        </w:rPr>
        <w:t>Med Educ.</w:t>
      </w:r>
      <w:r w:rsidRPr="00B63550">
        <w:rPr>
          <w:rStyle w:val="apple-converted-space"/>
          <w:rFonts w:eastAsia="Book Antiqua"/>
          <w:i/>
          <w:iCs/>
        </w:rPr>
        <w:t> </w:t>
      </w:r>
      <w:r w:rsidRPr="00B63550">
        <w:rPr>
          <w:rFonts w:eastAsia="Book Antiqua"/>
        </w:rPr>
        <w:t>1979;</w:t>
      </w:r>
      <w:r w:rsidRPr="00B63550">
        <w:rPr>
          <w:rStyle w:val="ref-vol"/>
          <w:rFonts w:eastAsia="Book Antiqua"/>
        </w:rPr>
        <w:t>13</w:t>
      </w:r>
      <w:r w:rsidRPr="00B63550">
        <w:rPr>
          <w:rFonts w:eastAsia="Book Antiqua"/>
        </w:rPr>
        <w:t>:38–54</w:t>
      </w:r>
    </w:p>
    <w:p w14:paraId="6D8B54D8"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Norcini JJ, Blank LL, Arnold GK, Kimball HR. The mini-CEX (clinical evaluation exercise): a preliminary investigation. Ann Intern Med. 1995;123(10):795–9. doi:10.1059/0003-4819-123-10-199511150-00008. </w:t>
      </w:r>
    </w:p>
    <w:p w14:paraId="1542DE67" w14:textId="77777777" w:rsidR="003F5F9C" w:rsidRPr="00B63550" w:rsidRDefault="003F5F9C" w:rsidP="00B63550">
      <w:pPr>
        <w:pStyle w:val="NormalWeb"/>
        <w:numPr>
          <w:ilvl w:val="0"/>
          <w:numId w:val="24"/>
        </w:numPr>
        <w:spacing w:before="0" w:beforeAutospacing="0" w:after="0" w:afterAutospacing="0" w:line="360" w:lineRule="auto"/>
        <w:rPr>
          <w:rFonts w:eastAsia="Book Antiqua"/>
          <w:lang w:val="en-GB"/>
        </w:rPr>
      </w:pPr>
      <w:r w:rsidRPr="00B63550">
        <w:rPr>
          <w:rFonts w:eastAsia="Book Antiqua"/>
          <w:lang w:val="en-GB"/>
        </w:rPr>
        <w:t xml:space="preserve">Wilkinson JR, Crossley JG, Wragg A, Mills P, Cowan G, Wade W. Implementing workplace-based assessment across the medical specialties in the United Kingdom. Med Educ. 2008 Apr;42(4):364-73. </w:t>
      </w:r>
      <w:proofErr w:type="spellStart"/>
      <w:r w:rsidRPr="00B63550">
        <w:rPr>
          <w:rFonts w:eastAsia="Book Antiqua"/>
          <w:lang w:val="en-GB"/>
        </w:rPr>
        <w:t>doi</w:t>
      </w:r>
      <w:proofErr w:type="spellEnd"/>
      <w:r w:rsidRPr="00B63550">
        <w:rPr>
          <w:rFonts w:eastAsia="Book Antiqua"/>
          <w:lang w:val="en-GB"/>
        </w:rPr>
        <w:t>: 10.1111/j.1365-2923.2008.</w:t>
      </w:r>
      <w:proofErr w:type="gramStart"/>
      <w:r w:rsidRPr="00B63550">
        <w:rPr>
          <w:rFonts w:eastAsia="Book Antiqua"/>
          <w:lang w:val="en-GB"/>
        </w:rPr>
        <w:t>03010.x.</w:t>
      </w:r>
      <w:proofErr w:type="gramEnd"/>
      <w:r w:rsidRPr="00B63550">
        <w:rPr>
          <w:rFonts w:eastAsia="Book Antiqua"/>
          <w:lang w:val="en-GB"/>
        </w:rPr>
        <w:t xml:space="preserve"> PMID: 18338989.</w:t>
      </w:r>
    </w:p>
    <w:p w14:paraId="415AD9AE" w14:textId="77777777" w:rsidR="003F5F9C" w:rsidRPr="00B63550" w:rsidRDefault="003F5F9C" w:rsidP="00B63550">
      <w:pPr>
        <w:pStyle w:val="NormalWeb"/>
        <w:numPr>
          <w:ilvl w:val="0"/>
          <w:numId w:val="24"/>
        </w:numPr>
        <w:spacing w:before="0" w:beforeAutospacing="0" w:after="0" w:afterAutospacing="0" w:line="360" w:lineRule="auto"/>
        <w:rPr>
          <w:rFonts w:eastAsia="Book Antiqua"/>
          <w:lang w:val="en-GB"/>
        </w:rPr>
      </w:pPr>
      <w:r w:rsidRPr="00B63550">
        <w:rPr>
          <w:rFonts w:eastAsia="Book Antiqua"/>
          <w:lang w:val="en-GB"/>
        </w:rPr>
        <w:t xml:space="preserve">Carr SJ. Assessing clinical competency in medical senior house officers: how and why should we do it? Postgrad Med J. 2004 Feb;80(940):63-6. </w:t>
      </w:r>
      <w:proofErr w:type="spellStart"/>
      <w:r w:rsidRPr="00B63550">
        <w:rPr>
          <w:rFonts w:eastAsia="Book Antiqua"/>
          <w:lang w:val="en-GB"/>
        </w:rPr>
        <w:t>doi</w:t>
      </w:r>
      <w:proofErr w:type="spellEnd"/>
      <w:r w:rsidRPr="00B63550">
        <w:rPr>
          <w:rFonts w:eastAsia="Book Antiqua"/>
          <w:lang w:val="en-GB"/>
        </w:rPr>
        <w:t>: 10.1136/pmj.2003.011718. PMID: 14970290; PMCID: PMC1742939.</w:t>
      </w:r>
    </w:p>
    <w:p w14:paraId="555DADE5"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shd w:val="clear" w:color="auto" w:fill="FFFFFF"/>
        </w:rPr>
        <w:t>Rethans</w:t>
      </w:r>
      <w:proofErr w:type="spellEnd"/>
      <w:r w:rsidRPr="00B63550">
        <w:rPr>
          <w:rFonts w:eastAsia="Book Antiqua"/>
          <w:shd w:val="clear" w:color="auto" w:fill="FFFFFF"/>
        </w:rPr>
        <w:t xml:space="preserve"> JJ, </w:t>
      </w:r>
      <w:proofErr w:type="spellStart"/>
      <w:r w:rsidRPr="00B63550">
        <w:rPr>
          <w:rFonts w:eastAsia="Book Antiqua"/>
          <w:shd w:val="clear" w:color="auto" w:fill="FFFFFF"/>
        </w:rPr>
        <w:t>Norcini</w:t>
      </w:r>
      <w:proofErr w:type="spellEnd"/>
      <w:r w:rsidRPr="00B63550">
        <w:rPr>
          <w:rFonts w:eastAsia="Book Antiqua"/>
          <w:shd w:val="clear" w:color="auto" w:fill="FFFFFF"/>
        </w:rPr>
        <w:t xml:space="preserve"> JJ, </w:t>
      </w:r>
      <w:proofErr w:type="spellStart"/>
      <w:r w:rsidRPr="00B63550">
        <w:rPr>
          <w:rFonts w:eastAsia="Book Antiqua"/>
          <w:shd w:val="clear" w:color="auto" w:fill="FFFFFF"/>
        </w:rPr>
        <w:t>Barón</w:t>
      </w:r>
      <w:proofErr w:type="spellEnd"/>
      <w:r w:rsidRPr="00B63550">
        <w:rPr>
          <w:rFonts w:eastAsia="Book Antiqua"/>
          <w:shd w:val="clear" w:color="auto" w:fill="FFFFFF"/>
        </w:rPr>
        <w:t xml:space="preserve">-Maldonado M, Blackmore D, Jolly BC, LaDuca T, Lew S, Page GG, Southgate LH. The relationship between competence and performance: implications for assessing practice performance. Med Educ. 2002 Oct;36(10):901-9. </w:t>
      </w:r>
      <w:proofErr w:type="spellStart"/>
      <w:r w:rsidRPr="00B63550">
        <w:rPr>
          <w:rFonts w:eastAsia="Book Antiqua"/>
          <w:shd w:val="clear" w:color="auto" w:fill="FFFFFF"/>
        </w:rPr>
        <w:t>doi</w:t>
      </w:r>
      <w:proofErr w:type="spellEnd"/>
      <w:r w:rsidRPr="00B63550">
        <w:rPr>
          <w:rFonts w:eastAsia="Book Antiqua"/>
          <w:shd w:val="clear" w:color="auto" w:fill="FFFFFF"/>
        </w:rPr>
        <w:t>: 10.1046/j.1365-2923.2002.01316.x. PMID: 12390456.</w:t>
      </w:r>
    </w:p>
    <w:p w14:paraId="05E50130"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Sloan DA, Donnelley MB, Schwartz R, et al. The objective structured clinical examination—the new gold standard for evaluating postgraduate clinical  performance. Ann </w:t>
      </w:r>
      <w:proofErr w:type="spellStart"/>
      <w:r w:rsidRPr="00B63550">
        <w:rPr>
          <w:rFonts w:eastAsia="Book Antiqua"/>
        </w:rPr>
        <w:t>Surg</w:t>
      </w:r>
      <w:proofErr w:type="spellEnd"/>
      <w:r w:rsidRPr="00B63550">
        <w:rPr>
          <w:rFonts w:eastAsia="Book Antiqua"/>
        </w:rPr>
        <w:t xml:space="preserve"> 1995;222:735–42.</w:t>
      </w:r>
    </w:p>
    <w:p w14:paraId="3D6B3D7E"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Novack DH, Cohen D, Peitzman SJ, et al. A pilot test of </w:t>
      </w:r>
      <w:proofErr w:type="spellStart"/>
      <w:r w:rsidRPr="00B63550">
        <w:rPr>
          <w:rFonts w:eastAsia="Book Antiqua"/>
        </w:rPr>
        <w:t>webOSCE</w:t>
      </w:r>
      <w:proofErr w:type="spellEnd"/>
      <w:r w:rsidRPr="00B63550">
        <w:rPr>
          <w:rFonts w:eastAsia="Book Antiqua"/>
        </w:rPr>
        <w:t>: a system for assessing trainees’ clinical skills via teleconference. Medical Teacher 2002;24:483–7</w:t>
      </w:r>
    </w:p>
    <w:p w14:paraId="5622E74F"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rPr>
        <w:t>Issenburg</w:t>
      </w:r>
      <w:proofErr w:type="spellEnd"/>
      <w:r w:rsidRPr="00B63550">
        <w:rPr>
          <w:rFonts w:eastAsia="Book Antiqua"/>
        </w:rPr>
        <w:t xml:space="preserve"> SB, </w:t>
      </w:r>
      <w:proofErr w:type="spellStart"/>
      <w:r w:rsidRPr="00B63550">
        <w:rPr>
          <w:rFonts w:eastAsia="Book Antiqua"/>
        </w:rPr>
        <w:t>McGaghie</w:t>
      </w:r>
      <w:proofErr w:type="spellEnd"/>
      <w:r w:rsidRPr="00B63550">
        <w:rPr>
          <w:rFonts w:eastAsia="Book Antiqua"/>
        </w:rPr>
        <w:t xml:space="preserve"> WC, Waugh RA. Computers and evaluation of clinical competence. Ann Intern Med 1999;130:244</w:t>
      </w:r>
    </w:p>
    <w:p w14:paraId="1410A80E"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Klass D. Revaluation of clinical competency. Am J Phys Med </w:t>
      </w:r>
      <w:proofErr w:type="spellStart"/>
      <w:r w:rsidRPr="00B63550">
        <w:rPr>
          <w:rFonts w:eastAsia="Book Antiqua"/>
        </w:rPr>
        <w:t>Rehabil</w:t>
      </w:r>
      <w:proofErr w:type="spellEnd"/>
      <w:r w:rsidRPr="00B63550">
        <w:rPr>
          <w:rFonts w:eastAsia="Book Antiqua"/>
        </w:rPr>
        <w:t xml:space="preserve"> 2000;79:481–6</w:t>
      </w:r>
    </w:p>
    <w:p w14:paraId="5E0BD93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lastRenderedPageBreak/>
        <w:t xml:space="preserve">Boulet JR, </w:t>
      </w:r>
      <w:proofErr w:type="spellStart"/>
      <w:r w:rsidRPr="00B63550">
        <w:rPr>
          <w:rFonts w:eastAsia="Book Antiqua"/>
        </w:rPr>
        <w:t>McKInley</w:t>
      </w:r>
      <w:proofErr w:type="spellEnd"/>
      <w:r w:rsidRPr="00B63550">
        <w:rPr>
          <w:rFonts w:eastAsia="Book Antiqua"/>
        </w:rPr>
        <w:t xml:space="preserve"> DW, </w:t>
      </w:r>
      <w:proofErr w:type="spellStart"/>
      <w:r w:rsidRPr="00B63550">
        <w:rPr>
          <w:rFonts w:eastAsia="Book Antiqua"/>
        </w:rPr>
        <w:t>Norcini</w:t>
      </w:r>
      <w:proofErr w:type="spellEnd"/>
      <w:r w:rsidRPr="00B63550">
        <w:rPr>
          <w:rFonts w:eastAsia="Book Antiqua"/>
        </w:rPr>
        <w:t xml:space="preserve"> JJ, et al. Assessing the comparability of  standardised patient and physician evaluations of clinical skills. Advances in Health Sciences Education 2002;7:85–97</w:t>
      </w:r>
    </w:p>
    <w:p w14:paraId="0798A1F8"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Barrett A, Galvin R, </w:t>
      </w:r>
      <w:proofErr w:type="spellStart"/>
      <w:r w:rsidRPr="00B63550">
        <w:rPr>
          <w:rFonts w:eastAsia="Book Antiqua"/>
        </w:rPr>
        <w:t>Scherpbier</w:t>
      </w:r>
      <w:proofErr w:type="spellEnd"/>
      <w:r w:rsidRPr="00B63550">
        <w:rPr>
          <w:rFonts w:eastAsia="Book Antiqua"/>
        </w:rPr>
        <w:t xml:space="preserve"> AJJA, et al. Postgrad Med J 2017;93:138–142</w:t>
      </w:r>
    </w:p>
    <w:p w14:paraId="058A6729"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Wu Y, Gong M, Zhang D, Zhang C. Educational impact of the mini-Clinical Evaluation Exercise in resident standardization training: a comparative study between resident and professional degree postgraduate trainees. J Int Med Res. 2020 May;48(5):300060520920052. </w:t>
      </w:r>
      <w:proofErr w:type="spellStart"/>
      <w:r w:rsidRPr="00B63550">
        <w:rPr>
          <w:rFonts w:eastAsia="Book Antiqua"/>
          <w:lang w:val="en-GB"/>
        </w:rPr>
        <w:t>doi</w:t>
      </w:r>
      <w:proofErr w:type="spellEnd"/>
      <w:r w:rsidRPr="00B63550">
        <w:rPr>
          <w:rFonts w:eastAsia="Book Antiqua"/>
          <w:lang w:val="en-GB"/>
        </w:rPr>
        <w:t>: 10.1177/0300060520920052. PMID: 32459121; PMCID: PMC7278105</w:t>
      </w:r>
    </w:p>
    <w:p w14:paraId="29A44EFC"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Xu D, Sun B, Wan X, et al.</w:t>
      </w:r>
      <w:r w:rsidRPr="00B63550">
        <w:rPr>
          <w:rStyle w:val="apple-converted-space"/>
          <w:rFonts w:eastAsia="Book Antiqua"/>
          <w:shd w:val="clear" w:color="auto" w:fill="FFFFFF"/>
        </w:rPr>
        <w:t> </w:t>
      </w:r>
      <w:r w:rsidRPr="00B63550">
        <w:rPr>
          <w:rStyle w:val="ref-title"/>
          <w:rFonts w:eastAsia="Book Antiqua"/>
        </w:rPr>
        <w:t>Reformation of medical education in China</w:t>
      </w:r>
      <w:r w:rsidRPr="00B63550">
        <w:rPr>
          <w:rFonts w:eastAsia="Book Antiqua"/>
          <w:shd w:val="clear" w:color="auto" w:fill="FFFFFF"/>
        </w:rPr>
        <w:t>.</w:t>
      </w:r>
      <w:r w:rsidRPr="00B63550">
        <w:rPr>
          <w:rStyle w:val="apple-converted-space"/>
          <w:rFonts w:eastAsia="Book Antiqua"/>
          <w:shd w:val="clear" w:color="auto" w:fill="FFFFFF"/>
        </w:rPr>
        <w:t> </w:t>
      </w:r>
      <w:r w:rsidRPr="00B63550">
        <w:rPr>
          <w:rStyle w:val="ref-journal"/>
          <w:rFonts w:eastAsia="Book Antiqua"/>
          <w:i/>
          <w:iCs/>
        </w:rPr>
        <w:t>Lancet</w:t>
      </w:r>
      <w:r w:rsidRPr="00B63550">
        <w:rPr>
          <w:rStyle w:val="apple-converted-space"/>
          <w:rFonts w:eastAsia="Book Antiqua"/>
          <w:shd w:val="clear" w:color="auto" w:fill="FFFFFF"/>
        </w:rPr>
        <w:t> </w:t>
      </w:r>
      <w:r w:rsidRPr="00B63550">
        <w:rPr>
          <w:rFonts w:eastAsia="Book Antiqua"/>
          <w:shd w:val="clear" w:color="auto" w:fill="FFFFFF"/>
        </w:rPr>
        <w:t>2010;</w:t>
      </w:r>
      <w:r w:rsidRPr="00B63550">
        <w:rPr>
          <w:rStyle w:val="apple-converted-space"/>
          <w:rFonts w:eastAsia="Book Antiqua"/>
          <w:shd w:val="clear" w:color="auto" w:fill="FFFFFF"/>
        </w:rPr>
        <w:t> </w:t>
      </w:r>
      <w:r w:rsidRPr="00B63550">
        <w:rPr>
          <w:rStyle w:val="ref-vol"/>
          <w:rFonts w:eastAsia="Book Antiqua"/>
        </w:rPr>
        <w:t>375</w:t>
      </w:r>
      <w:r w:rsidRPr="00B63550">
        <w:rPr>
          <w:rFonts w:eastAsia="Book Antiqua"/>
          <w:shd w:val="clear" w:color="auto" w:fill="FFFFFF"/>
        </w:rPr>
        <w:t>: 1502–1504</w:t>
      </w:r>
    </w:p>
    <w:p w14:paraId="1F76F124" w14:textId="77777777" w:rsidR="003F5F9C" w:rsidRPr="00B63550" w:rsidRDefault="003F5F9C" w:rsidP="00B63550">
      <w:pPr>
        <w:pStyle w:val="ListParagraph"/>
        <w:numPr>
          <w:ilvl w:val="0"/>
          <w:numId w:val="24"/>
        </w:numPr>
        <w:spacing w:before="200" w:after="200" w:line="360" w:lineRule="auto"/>
        <w:rPr>
          <w:rFonts w:ascii="Times New Roman" w:eastAsia="Book Antiqua" w:hAnsi="Times New Roman" w:cs="Times New Roman"/>
        </w:rPr>
      </w:pPr>
      <w:r w:rsidRPr="00B63550">
        <w:rPr>
          <w:rStyle w:val="citation"/>
          <w:rFonts w:ascii="Times New Roman" w:eastAsia="Book Antiqua" w:hAnsi="Times New Roman" w:cs="Times New Roman"/>
        </w:rPr>
        <w:t>DeLisa J A. Evaluation of clinical competency.</w:t>
      </w:r>
      <w:r w:rsidRPr="00B63550">
        <w:rPr>
          <w:rStyle w:val="apple-converted-space"/>
          <w:rFonts w:ascii="Times New Roman" w:eastAsia="Book Antiqua" w:hAnsi="Times New Roman" w:cs="Times New Roman"/>
        </w:rPr>
        <w:t> </w:t>
      </w:r>
      <w:r w:rsidRPr="00B63550">
        <w:rPr>
          <w:rStyle w:val="ref-journal"/>
          <w:rFonts w:ascii="Times New Roman" w:eastAsia="Book Antiqua" w:hAnsi="Times New Roman" w:cs="Times New Roman"/>
          <w:i/>
          <w:iCs/>
        </w:rPr>
        <w:t xml:space="preserve">Am J Phys Med </w:t>
      </w:r>
      <w:proofErr w:type="spellStart"/>
      <w:r w:rsidRPr="00B63550">
        <w:rPr>
          <w:rStyle w:val="ref-journal"/>
          <w:rFonts w:ascii="Times New Roman" w:eastAsia="Book Antiqua" w:hAnsi="Times New Roman" w:cs="Times New Roman"/>
          <w:i/>
          <w:iCs/>
        </w:rPr>
        <w:t>Rehabil</w:t>
      </w:r>
      <w:proofErr w:type="spellEnd"/>
      <w:r w:rsidRPr="00B63550">
        <w:rPr>
          <w:rStyle w:val="apple-converted-space"/>
          <w:rFonts w:ascii="Times New Roman" w:eastAsia="Book Antiqua" w:hAnsi="Times New Roman" w:cs="Times New Roman"/>
        </w:rPr>
        <w:t> </w:t>
      </w:r>
      <w:r w:rsidRPr="00B63550">
        <w:rPr>
          <w:rStyle w:val="citation"/>
          <w:rFonts w:ascii="Times New Roman" w:eastAsia="Book Antiqua" w:hAnsi="Times New Roman" w:cs="Times New Roman"/>
        </w:rPr>
        <w:t>2000</w:t>
      </w:r>
      <w:r w:rsidRPr="00B63550">
        <w:rPr>
          <w:rStyle w:val="ref-vol"/>
          <w:rFonts w:ascii="Times New Roman" w:eastAsia="Book Antiqua" w:hAnsi="Times New Roman" w:cs="Times New Roman"/>
        </w:rPr>
        <w:t>79</w:t>
      </w:r>
      <w:r w:rsidRPr="00B63550">
        <w:rPr>
          <w:rStyle w:val="citation"/>
          <w:rFonts w:ascii="Times New Roman" w:eastAsia="Book Antiqua" w:hAnsi="Times New Roman" w:cs="Times New Roman"/>
        </w:rPr>
        <w:t>474–477. [</w:t>
      </w:r>
      <w:hyperlink r:id="rId9">
        <w:r w:rsidRPr="00B63550">
          <w:rPr>
            <w:rStyle w:val="Hyperlink"/>
            <w:rFonts w:ascii="Times New Roman" w:eastAsia="Book Antiqua" w:hAnsi="Times New Roman" w:cs="Times New Roman"/>
          </w:rPr>
          <w:t>PubMed</w:t>
        </w:r>
      </w:hyperlink>
      <w:r w:rsidRPr="00B63550">
        <w:rPr>
          <w:rStyle w:val="citation"/>
          <w:rFonts w:ascii="Times New Roman" w:eastAsia="Book Antiqua" w:hAnsi="Times New Roman" w:cs="Times New Roman"/>
        </w:rPr>
        <w:t>]</w:t>
      </w:r>
      <w:r w:rsidRPr="00B63550">
        <w:rPr>
          <w:rStyle w:val="apple-converted-space"/>
          <w:rFonts w:ascii="Times New Roman" w:eastAsia="Book Antiqua" w:hAnsi="Times New Roman" w:cs="Times New Roman"/>
        </w:rPr>
        <w:t> </w:t>
      </w:r>
      <w:r w:rsidRPr="00B63550">
        <w:rPr>
          <w:rStyle w:val="nowrap"/>
          <w:rFonts w:ascii="Times New Roman" w:eastAsia="Book Antiqua" w:hAnsi="Times New Roman" w:cs="Times New Roman"/>
        </w:rPr>
        <w:t>[</w:t>
      </w:r>
      <w:hyperlink r:id="rId10">
        <w:r w:rsidRPr="00B63550">
          <w:rPr>
            <w:rStyle w:val="Hyperlink"/>
            <w:rFonts w:ascii="Times New Roman" w:eastAsia="Book Antiqua" w:hAnsi="Times New Roman" w:cs="Times New Roman"/>
          </w:rPr>
          <w:t>Google Scholar</w:t>
        </w:r>
      </w:hyperlink>
      <w:r w:rsidRPr="00B63550">
        <w:rPr>
          <w:rStyle w:val="nowrap"/>
          <w:rFonts w:ascii="Times New Roman" w:eastAsia="Book Antiqua" w:hAnsi="Times New Roman" w:cs="Times New Roman"/>
        </w:rPr>
        <w:t>]</w:t>
      </w:r>
    </w:p>
    <w:p w14:paraId="310DB285" w14:textId="77777777" w:rsidR="003F5F9C" w:rsidRPr="00B63550" w:rsidRDefault="003F5F9C" w:rsidP="00B63550">
      <w:pPr>
        <w:pStyle w:val="ListParagraph"/>
        <w:numPr>
          <w:ilvl w:val="0"/>
          <w:numId w:val="24"/>
        </w:numPr>
        <w:spacing w:before="200" w:after="200" w:line="360" w:lineRule="auto"/>
        <w:rPr>
          <w:rFonts w:ascii="Times New Roman" w:eastAsia="Book Antiqua" w:hAnsi="Times New Roman" w:cs="Times New Roman"/>
        </w:rPr>
      </w:pPr>
      <w:r w:rsidRPr="00B63550">
        <w:rPr>
          <w:rStyle w:val="citation"/>
          <w:rFonts w:ascii="Times New Roman" w:eastAsia="Book Antiqua" w:hAnsi="Times New Roman" w:cs="Times New Roman"/>
        </w:rPr>
        <w:t>Durning S J, Cation L J, Markert R J.</w:t>
      </w:r>
      <w:r w:rsidRPr="00B63550">
        <w:rPr>
          <w:rStyle w:val="Emphasis"/>
          <w:rFonts w:ascii="Times New Roman" w:eastAsia="Book Antiqua" w:hAnsi="Times New Roman" w:cs="Times New Roman"/>
        </w:rPr>
        <w:t>et al</w:t>
      </w:r>
      <w:r w:rsidRPr="00B63550">
        <w:rPr>
          <w:rStyle w:val="apple-converted-space"/>
          <w:rFonts w:ascii="Times New Roman" w:eastAsia="Book Antiqua" w:hAnsi="Times New Roman" w:cs="Times New Roman"/>
        </w:rPr>
        <w:t> </w:t>
      </w:r>
      <w:r w:rsidRPr="00B63550">
        <w:rPr>
          <w:rStyle w:val="citation"/>
          <w:rFonts w:ascii="Times New Roman" w:eastAsia="Book Antiqua" w:hAnsi="Times New Roman" w:cs="Times New Roman"/>
        </w:rPr>
        <w:t>Assessing the reliability and validity of the mini‐clinical evaluation exercise for Internal medicine residency training.</w:t>
      </w:r>
      <w:r w:rsidRPr="00B63550">
        <w:rPr>
          <w:rStyle w:val="apple-converted-space"/>
          <w:rFonts w:ascii="Times New Roman" w:eastAsia="Book Antiqua" w:hAnsi="Times New Roman" w:cs="Times New Roman"/>
        </w:rPr>
        <w:t> </w:t>
      </w:r>
      <w:proofErr w:type="spellStart"/>
      <w:r w:rsidRPr="00B63550">
        <w:rPr>
          <w:rStyle w:val="ref-journal"/>
          <w:rFonts w:ascii="Times New Roman" w:eastAsia="Book Antiqua" w:hAnsi="Times New Roman" w:cs="Times New Roman"/>
          <w:i/>
          <w:iCs/>
        </w:rPr>
        <w:t>Acad</w:t>
      </w:r>
      <w:proofErr w:type="spellEnd"/>
      <w:r w:rsidRPr="00B63550">
        <w:rPr>
          <w:rStyle w:val="ref-journal"/>
          <w:rFonts w:ascii="Times New Roman" w:eastAsia="Book Antiqua" w:hAnsi="Times New Roman" w:cs="Times New Roman"/>
          <w:i/>
          <w:iCs/>
        </w:rPr>
        <w:t xml:space="preserve"> Med</w:t>
      </w:r>
      <w:r w:rsidRPr="00B63550">
        <w:rPr>
          <w:rStyle w:val="apple-converted-space"/>
          <w:rFonts w:ascii="Times New Roman" w:eastAsia="Book Antiqua" w:hAnsi="Times New Roman" w:cs="Times New Roman"/>
        </w:rPr>
        <w:t> </w:t>
      </w:r>
      <w:r w:rsidRPr="00B63550">
        <w:rPr>
          <w:rStyle w:val="citation"/>
          <w:rFonts w:ascii="Times New Roman" w:eastAsia="Book Antiqua" w:hAnsi="Times New Roman" w:cs="Times New Roman"/>
        </w:rPr>
        <w:t>2002</w:t>
      </w:r>
      <w:r w:rsidRPr="00B63550">
        <w:rPr>
          <w:rStyle w:val="ref-vol"/>
          <w:rFonts w:ascii="Times New Roman" w:eastAsia="Book Antiqua" w:hAnsi="Times New Roman" w:cs="Times New Roman"/>
        </w:rPr>
        <w:t>77</w:t>
      </w:r>
      <w:r w:rsidRPr="00B63550">
        <w:rPr>
          <w:rStyle w:val="citation"/>
          <w:rFonts w:ascii="Times New Roman" w:eastAsia="Book Antiqua" w:hAnsi="Times New Roman" w:cs="Times New Roman"/>
        </w:rPr>
        <w:t>900–904.</w:t>
      </w:r>
    </w:p>
    <w:p w14:paraId="758653E2"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Mitchell C, Bhat S, Herbert A, Baker P. Workplace-based assessments of junior doctors: do scores predict training difficulties? Med Educ. 2011 Dec;45(12):1190-8. </w:t>
      </w:r>
      <w:proofErr w:type="spellStart"/>
      <w:r w:rsidRPr="00B63550">
        <w:rPr>
          <w:rFonts w:eastAsia="Book Antiqua"/>
          <w:lang w:val="en-GB"/>
        </w:rPr>
        <w:t>doi</w:t>
      </w:r>
      <w:proofErr w:type="spellEnd"/>
      <w:r w:rsidRPr="00B63550">
        <w:rPr>
          <w:rFonts w:eastAsia="Book Antiqua"/>
          <w:lang w:val="en-GB"/>
        </w:rPr>
        <w:t>: 10.1111/j.1365-2923.2011.</w:t>
      </w:r>
      <w:proofErr w:type="gramStart"/>
      <w:r w:rsidRPr="00B63550">
        <w:rPr>
          <w:rFonts w:eastAsia="Book Antiqua"/>
          <w:lang w:val="en-GB"/>
        </w:rPr>
        <w:t>04056.x.</w:t>
      </w:r>
      <w:proofErr w:type="gramEnd"/>
      <w:r w:rsidRPr="00B63550">
        <w:rPr>
          <w:rFonts w:eastAsia="Book Antiqua"/>
          <w:lang w:val="en-GB"/>
        </w:rPr>
        <w:t xml:space="preserve"> </w:t>
      </w:r>
      <w:proofErr w:type="spellStart"/>
      <w:r w:rsidRPr="00B63550">
        <w:rPr>
          <w:rFonts w:eastAsia="Book Antiqua"/>
          <w:lang w:val="en-GB"/>
        </w:rPr>
        <w:t>Epub</w:t>
      </w:r>
      <w:proofErr w:type="spellEnd"/>
      <w:r w:rsidRPr="00B63550">
        <w:rPr>
          <w:rFonts w:eastAsia="Book Antiqua"/>
          <w:lang w:val="en-GB"/>
        </w:rPr>
        <w:t xml:space="preserve"> 2011 Oct 13. PMID: 21995509</w:t>
      </w:r>
    </w:p>
    <w:p w14:paraId="3D4CEE74"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lang w:val="en-GB"/>
        </w:rPr>
        <w:t>McKavanagh</w:t>
      </w:r>
      <w:proofErr w:type="spellEnd"/>
      <w:r w:rsidRPr="00B63550">
        <w:rPr>
          <w:rFonts w:eastAsia="Book Antiqua"/>
          <w:lang w:val="en-GB"/>
        </w:rPr>
        <w:t xml:space="preserve"> P, Smyth A, Carragher A. Hospital consultants and </w:t>
      </w:r>
      <w:proofErr w:type="gramStart"/>
      <w:r w:rsidRPr="00B63550">
        <w:rPr>
          <w:rFonts w:eastAsia="Book Antiqua"/>
          <w:lang w:val="en-GB"/>
        </w:rPr>
        <w:t>workplace based</w:t>
      </w:r>
      <w:proofErr w:type="gramEnd"/>
      <w:r w:rsidRPr="00B63550">
        <w:rPr>
          <w:rFonts w:eastAsia="Book Antiqua"/>
          <w:lang w:val="en-GB"/>
        </w:rPr>
        <w:t xml:space="preserve"> assessments: how foundation doctors view these educational interactions? Postgrad Med J. 2012 Mar;88(1037):119-24. </w:t>
      </w:r>
      <w:proofErr w:type="spellStart"/>
      <w:r w:rsidRPr="00B63550">
        <w:rPr>
          <w:rFonts w:eastAsia="Book Antiqua"/>
          <w:lang w:val="en-GB"/>
        </w:rPr>
        <w:t>doi</w:t>
      </w:r>
      <w:proofErr w:type="spellEnd"/>
      <w:r w:rsidRPr="00B63550">
        <w:rPr>
          <w:rFonts w:eastAsia="Book Antiqua"/>
          <w:lang w:val="en-GB"/>
        </w:rPr>
        <w:t xml:space="preserve">: 10.1136/postgradmedj-2011-130121. </w:t>
      </w:r>
      <w:proofErr w:type="spellStart"/>
      <w:r w:rsidRPr="00B63550">
        <w:rPr>
          <w:rFonts w:eastAsia="Book Antiqua"/>
          <w:lang w:val="en-GB"/>
        </w:rPr>
        <w:t>Epub</w:t>
      </w:r>
      <w:proofErr w:type="spellEnd"/>
      <w:r w:rsidRPr="00B63550">
        <w:rPr>
          <w:rFonts w:eastAsia="Book Antiqua"/>
          <w:lang w:val="en-GB"/>
        </w:rPr>
        <w:t xml:space="preserve"> 2012 Jan 13. PMID: 22247316</w:t>
      </w:r>
    </w:p>
    <w:p w14:paraId="4B649A9A"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McLeod RA, Mires GJ, Ker JS. The use of the Direct observation of procedural skills (DOPS) assessment tool in the clinical setting - The perceptions of students.</w:t>
      </w:r>
      <w:r w:rsidRPr="00B63550">
        <w:rPr>
          <w:rStyle w:val="apple-converted-space"/>
          <w:rFonts w:eastAsia="Book Antiqua"/>
          <w:shd w:val="clear" w:color="auto" w:fill="FFFFFF"/>
        </w:rPr>
        <w:t> </w:t>
      </w:r>
      <w:r w:rsidRPr="00B63550">
        <w:rPr>
          <w:rStyle w:val="ref-journal"/>
          <w:rFonts w:eastAsia="Book Antiqua"/>
          <w:i/>
          <w:iCs/>
        </w:rPr>
        <w:t>Int J Clin Ski.</w:t>
      </w:r>
      <w:r w:rsidRPr="00B63550">
        <w:rPr>
          <w:rStyle w:val="apple-converted-space"/>
          <w:rFonts w:eastAsia="Book Antiqua"/>
          <w:i/>
          <w:iCs/>
        </w:rPr>
        <w:t> </w:t>
      </w:r>
      <w:r w:rsidRPr="00B63550">
        <w:rPr>
          <w:rFonts w:eastAsia="Book Antiqua"/>
        </w:rPr>
        <w:t>2011;</w:t>
      </w:r>
      <w:r w:rsidRPr="00B63550">
        <w:rPr>
          <w:rStyle w:val="ref-vol"/>
          <w:rFonts w:eastAsia="Book Antiqua"/>
        </w:rPr>
        <w:t>5</w:t>
      </w:r>
      <w:r w:rsidRPr="00B63550">
        <w:rPr>
          <w:rFonts w:eastAsia="Book Antiqua"/>
        </w:rPr>
        <w:t>:102–7</w:t>
      </w:r>
    </w:p>
    <w:p w14:paraId="6D8BE434"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shd w:val="clear" w:color="auto" w:fill="FFFFFF"/>
        </w:rPr>
        <w:t>Morris A, Hewitt J, Roberts CM. Practical experience of using directly observed procedures, mini-clinical evaluation examinations, and peer observation in pre-registration house officer (FY1) trainees.</w:t>
      </w:r>
      <w:r w:rsidRPr="00B63550">
        <w:rPr>
          <w:rStyle w:val="apple-converted-space"/>
          <w:rFonts w:eastAsia="Book Antiqua"/>
          <w:shd w:val="clear" w:color="auto" w:fill="FFFFFF"/>
        </w:rPr>
        <w:t> </w:t>
      </w:r>
      <w:r w:rsidRPr="00B63550">
        <w:rPr>
          <w:rStyle w:val="ref-journal"/>
          <w:rFonts w:eastAsia="Book Antiqua"/>
          <w:i/>
          <w:iCs/>
        </w:rPr>
        <w:t>Postgrad Med J.</w:t>
      </w:r>
      <w:r w:rsidRPr="00B63550">
        <w:rPr>
          <w:rStyle w:val="apple-converted-space"/>
          <w:rFonts w:eastAsia="Book Antiqua"/>
          <w:i/>
          <w:iCs/>
        </w:rPr>
        <w:t> </w:t>
      </w:r>
      <w:r w:rsidRPr="00B63550">
        <w:rPr>
          <w:rFonts w:eastAsia="Book Antiqua"/>
        </w:rPr>
        <w:t>2006;</w:t>
      </w:r>
      <w:r w:rsidRPr="00B63550">
        <w:rPr>
          <w:rStyle w:val="ref-vol"/>
          <w:rFonts w:eastAsia="Book Antiqua"/>
        </w:rPr>
        <w:t>82</w:t>
      </w:r>
      <w:r w:rsidRPr="00B63550">
        <w:rPr>
          <w:rFonts w:eastAsia="Book Antiqua"/>
        </w:rPr>
        <w:t>:285–8.</w:t>
      </w:r>
    </w:p>
    <w:p w14:paraId="2ABE8C10"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b/>
          <w:bCs/>
        </w:rPr>
        <w:t xml:space="preserve">Jason Ali and Aaron Goh. </w:t>
      </w:r>
      <w:r w:rsidRPr="00B63550">
        <w:rPr>
          <w:rFonts w:eastAsia="Book Antiqua"/>
        </w:rPr>
        <w:t>Student perceptions of workplace-based assessment. The  clinical teacher 2016; 13: 1–6</w:t>
      </w:r>
    </w:p>
    <w:p w14:paraId="6B100E50"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lastRenderedPageBreak/>
        <w:t xml:space="preserve">Shaun Prentice, Jill Benson, Emily Kirkpatrick, Lambert </w:t>
      </w:r>
      <w:proofErr w:type="spellStart"/>
      <w:r w:rsidRPr="00B63550">
        <w:rPr>
          <w:rFonts w:eastAsia="Book Antiqua"/>
        </w:rPr>
        <w:t>Schuwirth</w:t>
      </w:r>
      <w:proofErr w:type="spellEnd"/>
      <w:r w:rsidRPr="00B63550">
        <w:rPr>
          <w:rFonts w:eastAsia="Book Antiqua"/>
        </w:rPr>
        <w:t xml:space="preserve">. Workplace-based assessments in postgraduate medical education – a hermeneutic review. </w:t>
      </w:r>
      <w:proofErr w:type="spellStart"/>
      <w:r w:rsidRPr="00B63550">
        <w:rPr>
          <w:rFonts w:eastAsia="Book Antiqua"/>
        </w:rPr>
        <w:t>doi</w:t>
      </w:r>
      <w:proofErr w:type="spellEnd"/>
      <w:r w:rsidRPr="00B63550">
        <w:rPr>
          <w:rFonts w:eastAsia="Book Antiqua"/>
        </w:rPr>
        <w:t xml:space="preserve">: 10.1111/MEDU.14221  </w:t>
      </w:r>
    </w:p>
    <w:p w14:paraId="6201FE5C"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Andreou V, Peters S, </w:t>
      </w:r>
      <w:proofErr w:type="spellStart"/>
      <w:r w:rsidRPr="00B63550">
        <w:rPr>
          <w:rFonts w:eastAsia="Book Antiqua"/>
        </w:rPr>
        <w:t>Eggermont</w:t>
      </w:r>
      <w:proofErr w:type="spellEnd"/>
      <w:r w:rsidRPr="00B63550">
        <w:rPr>
          <w:rFonts w:eastAsia="Book Antiqua"/>
        </w:rPr>
        <w:t xml:space="preserve"> J, </w:t>
      </w:r>
      <w:proofErr w:type="spellStart"/>
      <w:r w:rsidRPr="00B63550">
        <w:rPr>
          <w:rFonts w:eastAsia="Book Antiqua"/>
        </w:rPr>
        <w:t>Embo</w:t>
      </w:r>
      <w:proofErr w:type="spellEnd"/>
      <w:r w:rsidRPr="00B63550">
        <w:rPr>
          <w:rFonts w:eastAsia="Book Antiqua"/>
        </w:rPr>
        <w:t xml:space="preserve"> M, Michels NR, Schoenmakers B. Fitness-for-purpose of the </w:t>
      </w:r>
      <w:proofErr w:type="spellStart"/>
      <w:r w:rsidRPr="00B63550">
        <w:rPr>
          <w:rFonts w:eastAsia="Book Antiqua"/>
        </w:rPr>
        <w:t>CanMEDS</w:t>
      </w:r>
      <w:proofErr w:type="spellEnd"/>
      <w:r w:rsidRPr="00B63550">
        <w:rPr>
          <w:rFonts w:eastAsia="Book Antiqua"/>
        </w:rPr>
        <w:t xml:space="preserve"> competencies for workplace-based assessment in General Practitioner's Training: a Delphi study. BMC Med Educ. 2023 Apr 1;23(1):204. </w:t>
      </w:r>
      <w:proofErr w:type="spellStart"/>
      <w:r w:rsidRPr="00B63550">
        <w:rPr>
          <w:rFonts w:eastAsia="Book Antiqua"/>
        </w:rPr>
        <w:t>doi</w:t>
      </w:r>
      <w:proofErr w:type="spellEnd"/>
      <w:r w:rsidRPr="00B63550">
        <w:rPr>
          <w:rFonts w:eastAsia="Book Antiqua"/>
        </w:rPr>
        <w:t>: 10.1186/s12909-023-04207-2. PMID: 37005633; PMCID: PMC10067520.</w:t>
      </w:r>
    </w:p>
    <w:p w14:paraId="0187ED76" w14:textId="77777777" w:rsidR="003F5F9C" w:rsidRPr="00B63550" w:rsidRDefault="003F5F9C" w:rsidP="00B63550">
      <w:pPr>
        <w:pStyle w:val="NormalWeb"/>
        <w:numPr>
          <w:ilvl w:val="0"/>
          <w:numId w:val="24"/>
        </w:numPr>
        <w:spacing w:line="360" w:lineRule="auto"/>
        <w:rPr>
          <w:rFonts w:eastAsia="Book Antiqua"/>
          <w:color w:val="000000" w:themeColor="text1"/>
        </w:rPr>
      </w:pPr>
      <w:r w:rsidRPr="00B63550">
        <w:rPr>
          <w:rFonts w:eastAsia="Book Antiqua"/>
        </w:rPr>
        <w:t xml:space="preserve">Frank JR, Snell L, </w:t>
      </w:r>
      <w:proofErr w:type="spellStart"/>
      <w:r w:rsidRPr="00B63550">
        <w:rPr>
          <w:rFonts w:eastAsia="Book Antiqua"/>
        </w:rPr>
        <w:t>Sherbino</w:t>
      </w:r>
      <w:proofErr w:type="spellEnd"/>
      <w:r w:rsidRPr="00B63550">
        <w:rPr>
          <w:rFonts w:eastAsia="Book Antiqua"/>
        </w:rPr>
        <w:t xml:space="preserve"> J. </w:t>
      </w:r>
      <w:proofErr w:type="spellStart"/>
      <w:r w:rsidRPr="00B63550">
        <w:rPr>
          <w:rFonts w:eastAsia="Book Antiqua"/>
        </w:rPr>
        <w:t>CanMEDS</w:t>
      </w:r>
      <w:proofErr w:type="spellEnd"/>
      <w:r w:rsidRPr="00B63550">
        <w:rPr>
          <w:rFonts w:eastAsia="Book Antiqua"/>
        </w:rPr>
        <w:t xml:space="preserve"> 2015 physician competency framework: Royal College of Physicians &amp; Surgeons of Canada. 2015. </w:t>
      </w:r>
    </w:p>
    <w:p w14:paraId="56AD79C5" w14:textId="77777777" w:rsidR="003F5F9C" w:rsidRPr="00B63550" w:rsidRDefault="003F5F9C" w:rsidP="00B63550">
      <w:pPr>
        <w:pStyle w:val="NormalWeb"/>
        <w:numPr>
          <w:ilvl w:val="0"/>
          <w:numId w:val="24"/>
        </w:numPr>
        <w:spacing w:line="360" w:lineRule="auto"/>
        <w:rPr>
          <w:rFonts w:eastAsia="Book Antiqua"/>
          <w:color w:val="000000" w:themeColor="text1"/>
        </w:rPr>
      </w:pPr>
      <w:r w:rsidRPr="00B63550">
        <w:rPr>
          <w:rFonts w:eastAsia="Book Antiqua"/>
        </w:rPr>
        <w:t xml:space="preserve">.Norman G. </w:t>
      </w:r>
      <w:proofErr w:type="spellStart"/>
      <w:r w:rsidRPr="00B63550">
        <w:rPr>
          <w:rFonts w:eastAsia="Book Antiqua"/>
        </w:rPr>
        <w:t>CanMEDS</w:t>
      </w:r>
      <w:proofErr w:type="spellEnd"/>
      <w:r w:rsidRPr="00B63550">
        <w:rPr>
          <w:rFonts w:eastAsia="Book Antiqua"/>
        </w:rPr>
        <w:t xml:space="preserve"> and other outcomes. Adv Health Sci Educ. 2011;16(5):547–51.</w:t>
      </w:r>
    </w:p>
    <w:p w14:paraId="5825535B"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rPr>
        <w:t>Nousiainen</w:t>
      </w:r>
      <w:proofErr w:type="spellEnd"/>
      <w:r w:rsidRPr="00B63550">
        <w:rPr>
          <w:rFonts w:eastAsia="Book Antiqua"/>
        </w:rPr>
        <w:t xml:space="preserve"> MT, </w:t>
      </w:r>
      <w:proofErr w:type="spellStart"/>
      <w:r w:rsidRPr="00B63550">
        <w:rPr>
          <w:rFonts w:eastAsia="Book Antiqua"/>
        </w:rPr>
        <w:t>Caverzagie</w:t>
      </w:r>
      <w:proofErr w:type="spellEnd"/>
      <w:r w:rsidRPr="00B63550">
        <w:rPr>
          <w:rFonts w:eastAsia="Book Antiqua"/>
        </w:rPr>
        <w:t xml:space="preserve"> KJ, Ferguson PC, Frank JR. Implementing competency-based medical education: What changes in curricular </w:t>
      </w:r>
      <w:proofErr w:type="spellStart"/>
      <w:r w:rsidRPr="00B63550">
        <w:rPr>
          <w:rFonts w:eastAsia="Book Antiqua"/>
        </w:rPr>
        <w:t>struc</w:t>
      </w:r>
      <w:proofErr w:type="spellEnd"/>
      <w:r w:rsidRPr="00B63550">
        <w:rPr>
          <w:rFonts w:eastAsia="Book Antiqua"/>
        </w:rPr>
        <w:t xml:space="preserve">- </w:t>
      </w:r>
      <w:proofErr w:type="spellStart"/>
      <w:r w:rsidRPr="00B63550">
        <w:rPr>
          <w:rFonts w:eastAsia="Book Antiqua"/>
        </w:rPr>
        <w:t>ture</w:t>
      </w:r>
      <w:proofErr w:type="spellEnd"/>
      <w:r w:rsidRPr="00B63550">
        <w:rPr>
          <w:rFonts w:eastAsia="Book Antiqua"/>
        </w:rPr>
        <w:t xml:space="preserve"> and processes are needed? Med Teach. 2017;39(6):594–8</w:t>
      </w:r>
    </w:p>
    <w:p w14:paraId="2AFBB8BB"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Nesbitt A, Baird F, Canning B, Griffin A, Sturrock A. Student perception of workplace- based assessment. </w:t>
      </w:r>
      <w:r w:rsidRPr="00B63550">
        <w:rPr>
          <w:rFonts w:eastAsia="Book Antiqua"/>
          <w:i/>
          <w:iCs/>
        </w:rPr>
        <w:t xml:space="preserve">Clin Teach </w:t>
      </w:r>
      <w:r w:rsidRPr="00B63550">
        <w:rPr>
          <w:rFonts w:eastAsia="Book Antiqua"/>
        </w:rPr>
        <w:t>2013;</w:t>
      </w:r>
      <w:r w:rsidRPr="00B63550">
        <w:rPr>
          <w:rFonts w:eastAsia="Book Antiqua"/>
          <w:b/>
          <w:bCs/>
        </w:rPr>
        <w:t>10</w:t>
      </w:r>
      <w:r w:rsidRPr="00B63550">
        <w:rPr>
          <w:rFonts w:eastAsia="Book Antiqua"/>
        </w:rPr>
        <w:t>(6):399–404</w:t>
      </w:r>
    </w:p>
    <w:p w14:paraId="15EA9C47"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Al-Kadri HM, Al-Kadi MT, Van Der Vleuten CP. Workplace- based assessment and students’ approaches to learning: a qualitative inquiry. </w:t>
      </w:r>
      <w:r w:rsidRPr="00B63550">
        <w:rPr>
          <w:rFonts w:eastAsia="Book Antiqua"/>
          <w:i/>
          <w:iCs/>
        </w:rPr>
        <w:t xml:space="preserve">Med Teach </w:t>
      </w:r>
      <w:r w:rsidRPr="00B63550">
        <w:rPr>
          <w:rFonts w:eastAsia="Book Antiqua"/>
        </w:rPr>
        <w:t>2013;</w:t>
      </w:r>
      <w:r w:rsidRPr="00B63550">
        <w:rPr>
          <w:rFonts w:eastAsia="Book Antiqua"/>
          <w:b/>
          <w:bCs/>
        </w:rPr>
        <w:t>35</w:t>
      </w:r>
      <w:r w:rsidRPr="00B63550">
        <w:rPr>
          <w:rFonts w:eastAsia="Book Antiqua"/>
        </w:rPr>
        <w:t>:S31–S38</w:t>
      </w:r>
    </w:p>
    <w:p w14:paraId="647A0810"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lang w:val="en-GB"/>
        </w:rPr>
        <w:t>Kamat</w:t>
      </w:r>
      <w:proofErr w:type="spellEnd"/>
      <w:r w:rsidRPr="00B63550">
        <w:rPr>
          <w:rFonts w:eastAsia="Book Antiqua"/>
          <w:lang w:val="en-GB"/>
        </w:rPr>
        <w:t xml:space="preserve"> C, </w:t>
      </w:r>
      <w:proofErr w:type="spellStart"/>
      <w:r w:rsidRPr="00B63550">
        <w:rPr>
          <w:rFonts w:eastAsia="Book Antiqua"/>
          <w:lang w:val="en-GB"/>
        </w:rPr>
        <w:t>Todakar</w:t>
      </w:r>
      <w:proofErr w:type="spellEnd"/>
      <w:r w:rsidRPr="00B63550">
        <w:rPr>
          <w:rFonts w:eastAsia="Book Antiqua"/>
          <w:lang w:val="en-GB"/>
        </w:rPr>
        <w:t xml:space="preserve"> M, Patil M, Teli A. Changing trends in assessment: Effectiveness of Direct observation of procedural skills (DOPS) as an assessment tool in </w:t>
      </w:r>
      <w:proofErr w:type="spellStart"/>
      <w:r w:rsidRPr="00B63550">
        <w:rPr>
          <w:rFonts w:eastAsia="Book Antiqua"/>
          <w:lang w:val="en-GB"/>
        </w:rPr>
        <w:t>anesthesiology</w:t>
      </w:r>
      <w:proofErr w:type="spellEnd"/>
      <w:r w:rsidRPr="00B63550">
        <w:rPr>
          <w:rFonts w:eastAsia="Book Antiqua"/>
          <w:lang w:val="en-GB"/>
        </w:rPr>
        <w:t xml:space="preserve"> postgraduate students. J </w:t>
      </w:r>
      <w:proofErr w:type="spellStart"/>
      <w:r w:rsidRPr="00B63550">
        <w:rPr>
          <w:rFonts w:eastAsia="Book Antiqua"/>
          <w:lang w:val="en-GB"/>
        </w:rPr>
        <w:t>Anaesthesiol</w:t>
      </w:r>
      <w:proofErr w:type="spellEnd"/>
      <w:r w:rsidRPr="00B63550">
        <w:rPr>
          <w:rFonts w:eastAsia="Book Antiqua"/>
          <w:lang w:val="en-GB"/>
        </w:rPr>
        <w:t xml:space="preserve"> Clin </w:t>
      </w:r>
      <w:proofErr w:type="spellStart"/>
      <w:r w:rsidRPr="00B63550">
        <w:rPr>
          <w:rFonts w:eastAsia="Book Antiqua"/>
          <w:lang w:val="en-GB"/>
        </w:rPr>
        <w:t>Pharmacol</w:t>
      </w:r>
      <w:proofErr w:type="spellEnd"/>
      <w:r w:rsidRPr="00B63550">
        <w:rPr>
          <w:rFonts w:eastAsia="Book Antiqua"/>
          <w:lang w:val="en-GB"/>
        </w:rPr>
        <w:t xml:space="preserve">. 2022 Apr-Jun;38(2):275-280. </w:t>
      </w:r>
      <w:proofErr w:type="spellStart"/>
      <w:r w:rsidRPr="00B63550">
        <w:rPr>
          <w:rFonts w:eastAsia="Book Antiqua"/>
          <w:lang w:val="en-GB"/>
        </w:rPr>
        <w:t>doi</w:t>
      </w:r>
      <w:proofErr w:type="spellEnd"/>
      <w:r w:rsidRPr="00B63550">
        <w:rPr>
          <w:rFonts w:eastAsia="Book Antiqua"/>
          <w:lang w:val="en-GB"/>
        </w:rPr>
        <w:t xml:space="preserve">: 10.4103/joacp.JOACP_329_20. </w:t>
      </w:r>
      <w:proofErr w:type="spellStart"/>
      <w:r w:rsidRPr="00B63550">
        <w:rPr>
          <w:rFonts w:eastAsia="Book Antiqua"/>
          <w:lang w:val="en-GB"/>
        </w:rPr>
        <w:t>Epub</w:t>
      </w:r>
      <w:proofErr w:type="spellEnd"/>
      <w:r w:rsidRPr="00B63550">
        <w:rPr>
          <w:rFonts w:eastAsia="Book Antiqua"/>
          <w:lang w:val="en-GB"/>
        </w:rPr>
        <w:t xml:space="preserve"> 2022 Jul 28. PMID: 36171945; PMCID: PMC9511833.</w:t>
      </w:r>
    </w:p>
    <w:p w14:paraId="38943776"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Hill K, Silcock D, Burns F, Jeffrey S, Chaudhri S. Abstract PR071:Use of a directly observed procedural skills assessment tool for candidate evaluation after an ultrasound guided central line insertion workshop. </w:t>
      </w:r>
      <w:proofErr w:type="spellStart"/>
      <w:r w:rsidRPr="00B63550">
        <w:rPr>
          <w:rFonts w:eastAsia="Book Antiqua"/>
          <w:i/>
          <w:iCs/>
        </w:rPr>
        <w:t>Anesth</w:t>
      </w:r>
      <w:proofErr w:type="spellEnd"/>
      <w:r w:rsidRPr="00B63550">
        <w:rPr>
          <w:rFonts w:eastAsia="Book Antiqua"/>
          <w:i/>
          <w:iCs/>
        </w:rPr>
        <w:t xml:space="preserve"> </w:t>
      </w:r>
      <w:proofErr w:type="spellStart"/>
      <w:r w:rsidRPr="00B63550">
        <w:rPr>
          <w:rFonts w:eastAsia="Book Antiqua"/>
          <w:i/>
          <w:iCs/>
        </w:rPr>
        <w:t>Analg</w:t>
      </w:r>
      <w:proofErr w:type="spellEnd"/>
      <w:r w:rsidRPr="00B63550">
        <w:rPr>
          <w:rFonts w:eastAsia="Book Antiqua"/>
          <w:i/>
          <w:iCs/>
        </w:rPr>
        <w:t xml:space="preserve">. </w:t>
      </w:r>
      <w:r w:rsidRPr="00B63550">
        <w:rPr>
          <w:rFonts w:eastAsia="Book Antiqua"/>
        </w:rPr>
        <w:t>2016;123:101–2</w:t>
      </w:r>
    </w:p>
    <w:p w14:paraId="2920880E"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Kumar N, Singh NK, Rudra S, Pathak S. Effect of formative evaluation using direct observation of procedural skills in assessment of postgraduate students of obstetrics and </w:t>
      </w:r>
      <w:proofErr w:type="spellStart"/>
      <w:r w:rsidRPr="00B63550">
        <w:rPr>
          <w:rFonts w:eastAsia="Book Antiqua"/>
        </w:rPr>
        <w:t>gynaecology:Prospective</w:t>
      </w:r>
      <w:proofErr w:type="spellEnd"/>
      <w:r w:rsidRPr="00B63550">
        <w:rPr>
          <w:rFonts w:eastAsia="Book Antiqua"/>
        </w:rPr>
        <w:t xml:space="preserve"> study. </w:t>
      </w:r>
      <w:r w:rsidRPr="00B63550">
        <w:rPr>
          <w:rFonts w:eastAsia="Book Antiqua"/>
          <w:i/>
          <w:iCs/>
        </w:rPr>
        <w:t xml:space="preserve">J Adv Med Educ Prof. </w:t>
      </w:r>
      <w:r w:rsidRPr="00B63550">
        <w:rPr>
          <w:rFonts w:eastAsia="Book Antiqua"/>
        </w:rPr>
        <w:t>2017;5:1–5.</w:t>
      </w:r>
    </w:p>
    <w:p w14:paraId="601040EC"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Barton JR, Corbett S, van der Vleuten CP. English Bowel Cancer Screening </w:t>
      </w:r>
      <w:proofErr w:type="spellStart"/>
      <w:r w:rsidRPr="00B63550">
        <w:rPr>
          <w:rFonts w:eastAsia="Book Antiqua"/>
        </w:rPr>
        <w:t>Programme;UK</w:t>
      </w:r>
      <w:proofErr w:type="spellEnd"/>
      <w:r w:rsidRPr="00B63550">
        <w:rPr>
          <w:rFonts w:eastAsia="Book Antiqua"/>
        </w:rPr>
        <w:t xml:space="preserve"> Joint Advisory Group for Gastrointestinal Endoscopy. |</w:t>
      </w:r>
      <w:proofErr w:type="spellStart"/>
      <w:r w:rsidRPr="00B63550">
        <w:rPr>
          <w:rFonts w:eastAsia="Book Antiqua"/>
        </w:rPr>
        <w:t>iThe</w:t>
      </w:r>
      <w:proofErr w:type="spellEnd"/>
      <w:r w:rsidRPr="00B63550">
        <w:rPr>
          <w:rFonts w:eastAsia="Book Antiqua"/>
        </w:rPr>
        <w:t xml:space="preserve"> validity and reliability of a direct observation of procedural skills assessment </w:t>
      </w:r>
      <w:proofErr w:type="spellStart"/>
      <w:r w:rsidRPr="00B63550">
        <w:rPr>
          <w:rFonts w:eastAsia="Book Antiqua"/>
        </w:rPr>
        <w:t>tool:Assessing</w:t>
      </w:r>
      <w:proofErr w:type="spellEnd"/>
      <w:r w:rsidRPr="00B63550">
        <w:rPr>
          <w:rFonts w:eastAsia="Book Antiqua"/>
        </w:rPr>
        <w:t xml:space="preserve"> </w:t>
      </w:r>
      <w:proofErr w:type="spellStart"/>
      <w:r w:rsidRPr="00B63550">
        <w:rPr>
          <w:rFonts w:eastAsia="Book Antiqua"/>
        </w:rPr>
        <w:t>colonoscopic</w:t>
      </w:r>
      <w:proofErr w:type="spellEnd"/>
      <w:r w:rsidRPr="00B63550">
        <w:rPr>
          <w:rFonts w:eastAsia="Book Antiqua"/>
        </w:rPr>
        <w:t xml:space="preserve"> skills of senior endoscopists. </w:t>
      </w:r>
      <w:proofErr w:type="spellStart"/>
      <w:r w:rsidRPr="00B63550">
        <w:rPr>
          <w:rFonts w:eastAsia="Book Antiqua"/>
          <w:i/>
          <w:iCs/>
        </w:rPr>
        <w:t>Gastrointest</w:t>
      </w:r>
      <w:proofErr w:type="spellEnd"/>
      <w:r w:rsidRPr="00B63550">
        <w:rPr>
          <w:rFonts w:eastAsia="Book Antiqua"/>
          <w:i/>
          <w:iCs/>
        </w:rPr>
        <w:t xml:space="preserve"> </w:t>
      </w:r>
      <w:proofErr w:type="spellStart"/>
      <w:r w:rsidRPr="00B63550">
        <w:rPr>
          <w:rFonts w:eastAsia="Book Antiqua"/>
          <w:i/>
          <w:iCs/>
        </w:rPr>
        <w:t>Endosc</w:t>
      </w:r>
      <w:proofErr w:type="spellEnd"/>
      <w:r w:rsidRPr="00B63550">
        <w:rPr>
          <w:rFonts w:eastAsia="Book Antiqua"/>
          <w:i/>
          <w:iCs/>
        </w:rPr>
        <w:t xml:space="preserve">. </w:t>
      </w:r>
      <w:r w:rsidRPr="00B63550">
        <w:rPr>
          <w:rFonts w:eastAsia="Book Antiqua"/>
        </w:rPr>
        <w:t>2012;75:591–7</w:t>
      </w:r>
    </w:p>
    <w:p w14:paraId="6A9794A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lastRenderedPageBreak/>
        <w:t xml:space="preserve">Ali L, Ali S, Orakzai N, Ali N. Effectiveness of Direct observation of procedural skills (DOPS) in postgraduate training in urology at institute of kidney diseases, Peshawar. </w:t>
      </w:r>
      <w:r w:rsidRPr="00B63550">
        <w:rPr>
          <w:rFonts w:eastAsia="Book Antiqua"/>
          <w:i/>
          <w:iCs/>
        </w:rPr>
        <w:t xml:space="preserve">J Coll Physicians </w:t>
      </w:r>
      <w:proofErr w:type="spellStart"/>
      <w:r w:rsidRPr="00B63550">
        <w:rPr>
          <w:rFonts w:eastAsia="Book Antiqua"/>
          <w:i/>
          <w:iCs/>
        </w:rPr>
        <w:t>Surg</w:t>
      </w:r>
      <w:proofErr w:type="spellEnd"/>
      <w:r w:rsidRPr="00B63550">
        <w:rPr>
          <w:rFonts w:eastAsia="Book Antiqua"/>
          <w:i/>
          <w:iCs/>
        </w:rPr>
        <w:t xml:space="preserve"> Pak. </w:t>
      </w:r>
      <w:r w:rsidRPr="00B63550">
        <w:rPr>
          <w:rFonts w:eastAsia="Book Antiqua"/>
        </w:rPr>
        <w:t xml:space="preserve">2019;29:516–9.  </w:t>
      </w:r>
    </w:p>
    <w:p w14:paraId="542E61E5"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rPr>
        <w:t>Profanter</w:t>
      </w:r>
      <w:proofErr w:type="spellEnd"/>
      <w:r w:rsidRPr="00B63550">
        <w:rPr>
          <w:rFonts w:eastAsia="Book Antiqua"/>
        </w:rPr>
        <w:t xml:space="preserve"> C, </w:t>
      </w:r>
      <w:proofErr w:type="spellStart"/>
      <w:r w:rsidRPr="00B63550">
        <w:rPr>
          <w:rFonts w:eastAsia="Book Antiqua"/>
        </w:rPr>
        <w:t>Perathoner</w:t>
      </w:r>
      <w:proofErr w:type="spellEnd"/>
      <w:r w:rsidRPr="00B63550">
        <w:rPr>
          <w:rFonts w:eastAsia="Book Antiqua"/>
        </w:rPr>
        <w:t xml:space="preserve"> A. DOPS (Direct Observation of Procedural Skills) in undergraduate </w:t>
      </w:r>
      <w:proofErr w:type="spellStart"/>
      <w:r w:rsidRPr="00B63550">
        <w:rPr>
          <w:rFonts w:eastAsia="Book Antiqua"/>
        </w:rPr>
        <w:t>skills-lab:Does</w:t>
      </w:r>
      <w:proofErr w:type="spellEnd"/>
      <w:r w:rsidRPr="00B63550">
        <w:rPr>
          <w:rFonts w:eastAsia="Book Antiqua"/>
        </w:rPr>
        <w:t xml:space="preserve"> it </w:t>
      </w:r>
      <w:proofErr w:type="spellStart"/>
      <w:r w:rsidRPr="00B63550">
        <w:rPr>
          <w:rFonts w:eastAsia="Book Antiqua"/>
        </w:rPr>
        <w:t>work?Analysis</w:t>
      </w:r>
      <w:proofErr w:type="spellEnd"/>
      <w:r w:rsidRPr="00B63550">
        <w:rPr>
          <w:rFonts w:eastAsia="Book Antiqua"/>
        </w:rPr>
        <w:t xml:space="preserve"> of skills-performance and curricular side effects. </w:t>
      </w:r>
      <w:r w:rsidRPr="00B63550">
        <w:rPr>
          <w:rFonts w:eastAsia="Book Antiqua"/>
          <w:i/>
          <w:iCs/>
        </w:rPr>
        <w:t xml:space="preserve">GMS Z Med </w:t>
      </w:r>
      <w:proofErr w:type="spellStart"/>
      <w:r w:rsidRPr="00B63550">
        <w:rPr>
          <w:rFonts w:eastAsia="Book Antiqua"/>
          <w:i/>
          <w:iCs/>
        </w:rPr>
        <w:t>Ausbild</w:t>
      </w:r>
      <w:proofErr w:type="spellEnd"/>
      <w:r w:rsidRPr="00B63550">
        <w:rPr>
          <w:rFonts w:eastAsia="Book Antiqua"/>
          <w:i/>
          <w:iCs/>
        </w:rPr>
        <w:t xml:space="preserve">. </w:t>
      </w:r>
      <w:r w:rsidRPr="00B63550">
        <w:rPr>
          <w:rFonts w:eastAsia="Book Antiqua"/>
        </w:rPr>
        <w:t>2015;32:Doc45</w:t>
      </w:r>
    </w:p>
    <w:p w14:paraId="126E73DF"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Joshi MK, Singh T, Badyal DK. </w:t>
      </w:r>
      <w:proofErr w:type="gramStart"/>
      <w:r w:rsidRPr="00B63550">
        <w:rPr>
          <w:rFonts w:eastAsia="Book Antiqua"/>
          <w:lang w:val="en-GB"/>
        </w:rPr>
        <w:t>Acceptability</w:t>
      </w:r>
      <w:proofErr w:type="gramEnd"/>
      <w:r w:rsidRPr="00B63550">
        <w:rPr>
          <w:rFonts w:eastAsia="Book Antiqua"/>
          <w:lang w:val="en-GB"/>
        </w:rPr>
        <w:t xml:space="preserve"> and feasibility of mini-clinical evaluation exercise as a formative assessment tool for workplace-based assessment for surgical postgraduate students. J Postgrad Med. 2017 Apr-Jun;63(2):100-105. </w:t>
      </w:r>
      <w:proofErr w:type="spellStart"/>
      <w:r w:rsidRPr="00B63550">
        <w:rPr>
          <w:rFonts w:eastAsia="Book Antiqua"/>
          <w:lang w:val="en-GB"/>
        </w:rPr>
        <w:t>doi</w:t>
      </w:r>
      <w:proofErr w:type="spellEnd"/>
      <w:r w:rsidRPr="00B63550">
        <w:rPr>
          <w:rFonts w:eastAsia="Book Antiqua"/>
          <w:lang w:val="en-GB"/>
        </w:rPr>
        <w:t>: 10.4103/0022-3859.201411. PMID: 28272063; PMCID: PMC5414419.</w:t>
      </w:r>
    </w:p>
    <w:p w14:paraId="325FF82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Khalil S, Aggarwal A, Mishra D. Implementation of a Mini-Clinical Evaluation Exercise (Mini-CEX) Program to Assess the Clinical Competence of Postgraduate Trainees in </w:t>
      </w:r>
      <w:proofErr w:type="spellStart"/>
      <w:r w:rsidRPr="00B63550">
        <w:rPr>
          <w:rFonts w:eastAsia="Book Antiqua"/>
          <w:lang w:val="en-GB"/>
        </w:rPr>
        <w:t>Pediatrics</w:t>
      </w:r>
      <w:proofErr w:type="spellEnd"/>
      <w:r w:rsidRPr="00B63550">
        <w:rPr>
          <w:rFonts w:eastAsia="Book Antiqua"/>
          <w:lang w:val="en-GB"/>
        </w:rPr>
        <w:t xml:space="preserve">. Indian </w:t>
      </w:r>
      <w:proofErr w:type="spellStart"/>
      <w:r w:rsidRPr="00B63550">
        <w:rPr>
          <w:rFonts w:eastAsia="Book Antiqua"/>
          <w:lang w:val="en-GB"/>
        </w:rPr>
        <w:t>Pediatr</w:t>
      </w:r>
      <w:proofErr w:type="spellEnd"/>
      <w:r w:rsidRPr="00B63550">
        <w:rPr>
          <w:rFonts w:eastAsia="Book Antiqua"/>
          <w:lang w:val="en-GB"/>
        </w:rPr>
        <w:t xml:space="preserve">. 2017 Apr 15;54(4):284-287. </w:t>
      </w:r>
      <w:proofErr w:type="spellStart"/>
      <w:r w:rsidRPr="00B63550">
        <w:rPr>
          <w:rFonts w:eastAsia="Book Antiqua"/>
          <w:lang w:val="en-GB"/>
        </w:rPr>
        <w:t>doi</w:t>
      </w:r>
      <w:proofErr w:type="spellEnd"/>
      <w:r w:rsidRPr="00B63550">
        <w:rPr>
          <w:rFonts w:eastAsia="Book Antiqua"/>
          <w:lang w:val="en-GB"/>
        </w:rPr>
        <w:t xml:space="preserve">: 10.1007/s13312-017-1089-z. </w:t>
      </w:r>
      <w:proofErr w:type="spellStart"/>
      <w:r w:rsidRPr="00B63550">
        <w:rPr>
          <w:rFonts w:eastAsia="Book Antiqua"/>
          <w:lang w:val="en-GB"/>
        </w:rPr>
        <w:t>Epub</w:t>
      </w:r>
      <w:proofErr w:type="spellEnd"/>
      <w:r w:rsidRPr="00B63550">
        <w:rPr>
          <w:rFonts w:eastAsia="Book Antiqua"/>
          <w:lang w:val="en-GB"/>
        </w:rPr>
        <w:t xml:space="preserve"> 2017 Feb 2. PMID: 28159950</w:t>
      </w:r>
    </w:p>
    <w:p w14:paraId="26BF7DE2"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Gupta S, Sharma M, Singh T. The Acceptability and Feasibility of Mini-clinical Evaluation Exercise as a Learning Tool for </w:t>
      </w:r>
      <w:proofErr w:type="spellStart"/>
      <w:r w:rsidRPr="00B63550">
        <w:rPr>
          <w:rFonts w:eastAsia="Book Antiqua"/>
        </w:rPr>
        <w:t>Pediatric</w:t>
      </w:r>
      <w:proofErr w:type="spellEnd"/>
      <w:r w:rsidRPr="00B63550">
        <w:rPr>
          <w:rFonts w:eastAsia="Book Antiqua"/>
        </w:rPr>
        <w:t xml:space="preserve"> Postgraduate Students. Int J Appl Basic Med Res. 2017 Dec;7(</w:t>
      </w:r>
      <w:proofErr w:type="spellStart"/>
      <w:r w:rsidRPr="00B63550">
        <w:rPr>
          <w:rFonts w:eastAsia="Book Antiqua"/>
        </w:rPr>
        <w:t>Suppl</w:t>
      </w:r>
      <w:proofErr w:type="spellEnd"/>
      <w:r w:rsidRPr="00B63550">
        <w:rPr>
          <w:rFonts w:eastAsia="Book Antiqua"/>
        </w:rPr>
        <w:t xml:space="preserve"> 1):S19-S22. </w:t>
      </w:r>
      <w:proofErr w:type="spellStart"/>
      <w:r w:rsidRPr="00B63550">
        <w:rPr>
          <w:rFonts w:eastAsia="Book Antiqua"/>
        </w:rPr>
        <w:t>doi</w:t>
      </w:r>
      <w:proofErr w:type="spellEnd"/>
      <w:r w:rsidRPr="00B63550">
        <w:rPr>
          <w:rFonts w:eastAsia="Book Antiqua"/>
        </w:rPr>
        <w:t>: 10.4103/ijabmr.IJABMR_152_17. PMID: 29344452; PMCID: PMC5769164.</w:t>
      </w:r>
    </w:p>
    <w:p w14:paraId="1B4D03CC"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Sethi S, Srivastava V, Verma P. Mini-Clinical Evaluation Exercise as a Tool for Formative Assessment of Postgraduates in Psychiatry. Int J Appl Basic Med Res. 2021 Jan-Mar;11(1):27-31. </w:t>
      </w:r>
      <w:proofErr w:type="spellStart"/>
      <w:r w:rsidRPr="00B63550">
        <w:rPr>
          <w:rFonts w:eastAsia="Book Antiqua"/>
          <w:lang w:val="en-GB"/>
        </w:rPr>
        <w:t>doi</w:t>
      </w:r>
      <w:proofErr w:type="spellEnd"/>
      <w:r w:rsidRPr="00B63550">
        <w:rPr>
          <w:rFonts w:eastAsia="Book Antiqua"/>
          <w:lang w:val="en-GB"/>
        </w:rPr>
        <w:t xml:space="preserve">: 10.4103/ijabmr.IJABMR_305_20. </w:t>
      </w:r>
      <w:proofErr w:type="spellStart"/>
      <w:r w:rsidRPr="00B63550">
        <w:rPr>
          <w:rFonts w:eastAsia="Book Antiqua"/>
          <w:lang w:val="en-GB"/>
        </w:rPr>
        <w:t>Epub</w:t>
      </w:r>
      <w:proofErr w:type="spellEnd"/>
      <w:r w:rsidRPr="00B63550">
        <w:rPr>
          <w:rFonts w:eastAsia="Book Antiqua"/>
          <w:lang w:val="en-GB"/>
        </w:rPr>
        <w:t xml:space="preserve"> 2021 Jan 26. PMID: 33842292; PMCID: PMC8025951</w:t>
      </w:r>
    </w:p>
    <w:p w14:paraId="74976187"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lang w:val="en-GB"/>
        </w:rPr>
        <w:t xml:space="preserve">Batra P, Batra R, Verma N, </w:t>
      </w:r>
      <w:proofErr w:type="spellStart"/>
      <w:r w:rsidRPr="00B63550">
        <w:rPr>
          <w:rFonts w:eastAsia="Book Antiqua"/>
          <w:lang w:val="en-GB"/>
        </w:rPr>
        <w:t>Bokariya</w:t>
      </w:r>
      <w:proofErr w:type="spellEnd"/>
      <w:r w:rsidRPr="00B63550">
        <w:rPr>
          <w:rFonts w:eastAsia="Book Antiqua"/>
          <w:lang w:val="en-GB"/>
        </w:rPr>
        <w:t xml:space="preserve"> P, Garg S, Yadav S. Mini clinical evaluation exercise (Mini-CEX): A tool for assessment of residents in department of surgery. J </w:t>
      </w:r>
      <w:proofErr w:type="spellStart"/>
      <w:r w:rsidRPr="00B63550">
        <w:rPr>
          <w:rFonts w:eastAsia="Book Antiqua"/>
          <w:lang w:val="en-GB"/>
        </w:rPr>
        <w:t>Educ</w:t>
      </w:r>
      <w:proofErr w:type="spellEnd"/>
      <w:r w:rsidRPr="00B63550">
        <w:rPr>
          <w:rFonts w:eastAsia="Book Antiqua"/>
          <w:lang w:val="en-GB"/>
        </w:rPr>
        <w:t xml:space="preserve"> Health </w:t>
      </w:r>
      <w:proofErr w:type="spellStart"/>
      <w:r w:rsidRPr="00B63550">
        <w:rPr>
          <w:rFonts w:eastAsia="Book Antiqua"/>
          <w:lang w:val="en-GB"/>
        </w:rPr>
        <w:t>Promot</w:t>
      </w:r>
      <w:proofErr w:type="spellEnd"/>
      <w:r w:rsidRPr="00B63550">
        <w:rPr>
          <w:rFonts w:eastAsia="Book Antiqua"/>
          <w:lang w:val="en-GB"/>
        </w:rPr>
        <w:t xml:space="preserve">. 2022 Aug </w:t>
      </w:r>
      <w:proofErr w:type="gramStart"/>
      <w:r w:rsidRPr="00B63550">
        <w:rPr>
          <w:rFonts w:eastAsia="Book Antiqua"/>
          <w:lang w:val="en-GB"/>
        </w:rPr>
        <w:t>25;11:253</w:t>
      </w:r>
      <w:proofErr w:type="gramEnd"/>
      <w:r w:rsidRPr="00B63550">
        <w:rPr>
          <w:rFonts w:eastAsia="Book Antiqua"/>
          <w:lang w:val="en-GB"/>
        </w:rPr>
        <w:t xml:space="preserve">. </w:t>
      </w:r>
      <w:proofErr w:type="spellStart"/>
      <w:r w:rsidRPr="00B63550">
        <w:rPr>
          <w:rFonts w:eastAsia="Book Antiqua"/>
          <w:lang w:val="en-GB"/>
        </w:rPr>
        <w:t>doi</w:t>
      </w:r>
      <w:proofErr w:type="spellEnd"/>
      <w:r w:rsidRPr="00B63550">
        <w:rPr>
          <w:rFonts w:eastAsia="Book Antiqua"/>
          <w:lang w:val="en-GB"/>
        </w:rPr>
        <w:t>: 10.4103/jehp.jehp_1600_21. PMID: 36325223; PMCID: PMC9621368.</w:t>
      </w:r>
    </w:p>
    <w:p w14:paraId="6E856FA0"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Kamal Raj Aryal, et al. Work-Based Assessments in Higher General Surgical Training Program: A Mixed Methods Study Exploring Trainers’ and Trainees’ Views and Experiences. </w:t>
      </w:r>
      <w:proofErr w:type="spellStart"/>
      <w:r w:rsidRPr="00B63550">
        <w:rPr>
          <w:rFonts w:eastAsia="Book Antiqua"/>
        </w:rPr>
        <w:t>Surg</w:t>
      </w:r>
      <w:proofErr w:type="spellEnd"/>
      <w:r w:rsidRPr="00B63550">
        <w:rPr>
          <w:rFonts w:eastAsia="Book Antiqua"/>
        </w:rPr>
        <w:t xml:space="preserve"> J 2020;6:e49–e61</w:t>
      </w:r>
    </w:p>
    <w:p w14:paraId="1018496F"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Damian J et al. How Trainees Come to Trust Supervisors in Workplace-Based Assessment: A Grounded Theory Study . </w:t>
      </w:r>
      <w:proofErr w:type="spellStart"/>
      <w:r w:rsidRPr="00B63550">
        <w:rPr>
          <w:rFonts w:eastAsia="Book Antiqua"/>
        </w:rPr>
        <w:t>Acad</w:t>
      </w:r>
      <w:proofErr w:type="spellEnd"/>
      <w:r w:rsidRPr="00B63550">
        <w:rPr>
          <w:rFonts w:eastAsia="Book Antiqua"/>
        </w:rPr>
        <w:t xml:space="preserve"> Med. 2022;97:704–710.  </w:t>
      </w:r>
    </w:p>
    <w:p w14:paraId="0EC5E7FE"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Bourdieu P. </w:t>
      </w:r>
      <w:r w:rsidRPr="00B63550">
        <w:rPr>
          <w:rFonts w:eastAsia="Book Antiqua"/>
          <w:i/>
          <w:iCs/>
        </w:rPr>
        <w:t>The Logic of Practice</w:t>
      </w:r>
      <w:r w:rsidRPr="00B63550">
        <w:rPr>
          <w:rFonts w:eastAsia="Book Antiqua"/>
        </w:rPr>
        <w:t>. Cambridge, UK: Polity Press; 1990</w:t>
      </w:r>
    </w:p>
    <w:p w14:paraId="5961A562"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Patel P, </w:t>
      </w:r>
      <w:proofErr w:type="spellStart"/>
      <w:r w:rsidRPr="00B63550">
        <w:rPr>
          <w:rFonts w:eastAsia="Book Antiqua"/>
        </w:rPr>
        <w:t>Martimianakis</w:t>
      </w:r>
      <w:proofErr w:type="spellEnd"/>
      <w:r w:rsidRPr="00B63550">
        <w:rPr>
          <w:rFonts w:eastAsia="Book Antiqua"/>
        </w:rPr>
        <w:t xml:space="preserve"> MA, </w:t>
      </w:r>
      <w:proofErr w:type="spellStart"/>
      <w:r w:rsidRPr="00B63550">
        <w:rPr>
          <w:rFonts w:eastAsia="Book Antiqua"/>
        </w:rPr>
        <w:t>Zilbert</w:t>
      </w:r>
      <w:proofErr w:type="spellEnd"/>
      <w:r w:rsidRPr="00B63550">
        <w:rPr>
          <w:rFonts w:eastAsia="Book Antiqua"/>
        </w:rPr>
        <w:t xml:space="preserve"> NR, et al.. Fake it ’til you make it: Pressures to measure up in surgical training. </w:t>
      </w:r>
      <w:proofErr w:type="spellStart"/>
      <w:r w:rsidRPr="00B63550">
        <w:rPr>
          <w:rFonts w:eastAsia="Book Antiqua"/>
          <w:i/>
          <w:iCs/>
        </w:rPr>
        <w:t>Acad</w:t>
      </w:r>
      <w:proofErr w:type="spellEnd"/>
      <w:r w:rsidRPr="00B63550">
        <w:rPr>
          <w:rFonts w:eastAsia="Book Antiqua"/>
          <w:i/>
          <w:iCs/>
        </w:rPr>
        <w:t xml:space="preserve"> Med</w:t>
      </w:r>
      <w:r w:rsidRPr="00B63550">
        <w:rPr>
          <w:rFonts w:eastAsia="Book Antiqua"/>
        </w:rPr>
        <w:t>. 2018;93:769–774</w:t>
      </w:r>
    </w:p>
    <w:p w14:paraId="12127D97" w14:textId="77777777" w:rsidR="003F5F9C" w:rsidRPr="00B63550" w:rsidRDefault="003F5F9C" w:rsidP="00B63550">
      <w:pPr>
        <w:pStyle w:val="NormalWeb"/>
        <w:numPr>
          <w:ilvl w:val="0"/>
          <w:numId w:val="24"/>
        </w:numPr>
        <w:spacing w:line="360" w:lineRule="auto"/>
        <w:rPr>
          <w:rFonts w:eastAsia="Book Antiqua"/>
        </w:rPr>
      </w:pPr>
      <w:proofErr w:type="spellStart"/>
      <w:r w:rsidRPr="00B63550">
        <w:rPr>
          <w:rFonts w:eastAsia="Book Antiqua"/>
        </w:rPr>
        <w:lastRenderedPageBreak/>
        <w:t>Nawaaz</w:t>
      </w:r>
      <w:proofErr w:type="spellEnd"/>
      <w:r w:rsidRPr="00B63550">
        <w:rPr>
          <w:rFonts w:eastAsia="Book Antiqua"/>
        </w:rPr>
        <w:t xml:space="preserve"> A. Nathoo, Ravi Sidhu &amp; Andrea Gingerich (2020): Educational Impact Drives Feasibility of Implementing Daily Assessment in the Workplace, Teaching and Learning in Medicine, DOI: 10.1080/10401334.2020.1729162  </w:t>
      </w:r>
    </w:p>
    <w:p w14:paraId="6A68CD4A"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Pendleton D, Schofield T, Tate P. A method for giving feedback. In: </w:t>
      </w:r>
      <w:r w:rsidRPr="00B63550">
        <w:rPr>
          <w:rFonts w:eastAsia="Book Antiqua"/>
          <w:i/>
          <w:iCs/>
        </w:rPr>
        <w:t>The consultation: an approach to learning and teaching</w:t>
      </w:r>
      <w:r w:rsidRPr="00B63550">
        <w:rPr>
          <w:rFonts w:eastAsia="Book Antiqua"/>
        </w:rPr>
        <w:t>. Oxford: Oxford University Press, 198468–71</w:t>
      </w:r>
    </w:p>
    <w:p w14:paraId="51987C01"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Branch W T, Paranjape A. Feedback and reflection: teaching methods for clinical settings. </w:t>
      </w:r>
      <w:proofErr w:type="spellStart"/>
      <w:r w:rsidRPr="00B63550">
        <w:rPr>
          <w:rFonts w:eastAsia="Book Antiqua"/>
          <w:i/>
          <w:iCs/>
        </w:rPr>
        <w:t>Acad</w:t>
      </w:r>
      <w:proofErr w:type="spellEnd"/>
      <w:r w:rsidRPr="00B63550">
        <w:rPr>
          <w:rFonts w:eastAsia="Book Antiqua"/>
          <w:i/>
          <w:iCs/>
        </w:rPr>
        <w:t xml:space="preserve"> Med</w:t>
      </w:r>
      <w:r w:rsidRPr="00B63550">
        <w:rPr>
          <w:rFonts w:eastAsia="Book Antiqua"/>
        </w:rPr>
        <w:t xml:space="preserve"> 2002771185–1188</w:t>
      </w:r>
    </w:p>
    <w:p w14:paraId="61DA1052"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Abdulla A: A critical analysis of mini peer assessment tool (mini-PAT). J R Soc Med 2008, 101:22–26.</w:t>
      </w:r>
    </w:p>
    <w:p w14:paraId="05B11174"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Brown, Jeremy &amp; Lowe, Kathryn &amp; Fillingham, Jill &amp; Murphy, Philip &amp; Bamforth, Margaret &amp; Shaw, N j. (2014). An investigation into the use of multi-source feedback (MSF) as a work-based assessment tool. Medical teacher. 36. 10.3109/0142159X.2014.909920.</w:t>
      </w:r>
    </w:p>
    <w:p w14:paraId="74F745AF"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Sargeant J, Mann K, Sinclair D, van der Vleuten C, </w:t>
      </w:r>
      <w:proofErr w:type="spellStart"/>
      <w:r w:rsidRPr="00B63550">
        <w:rPr>
          <w:rFonts w:eastAsia="Book Antiqua"/>
        </w:rPr>
        <w:t>Metsemakers</w:t>
      </w:r>
      <w:proofErr w:type="spellEnd"/>
      <w:r w:rsidRPr="00B63550">
        <w:rPr>
          <w:rFonts w:eastAsia="Book Antiqua"/>
        </w:rPr>
        <w:t xml:space="preserve"> J. Challenges in multisource feedback: intended and unintended outcomes. Med Educ. 2007 Jun;41(6):583-91. </w:t>
      </w:r>
      <w:proofErr w:type="spellStart"/>
      <w:r w:rsidRPr="00B63550">
        <w:rPr>
          <w:rFonts w:eastAsia="Book Antiqua"/>
        </w:rPr>
        <w:t>doi</w:t>
      </w:r>
      <w:proofErr w:type="spellEnd"/>
      <w:r w:rsidRPr="00B63550">
        <w:rPr>
          <w:rFonts w:eastAsia="Book Antiqua"/>
        </w:rPr>
        <w:t>: 10.1111/j.1365-2923.2007.02769.x. PMID: 17518839.</w:t>
      </w:r>
    </w:p>
    <w:p w14:paraId="4D3953C4"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Holmboe ES, Yepes M, Williams F, Huot SJ. Feedback and the mini clinical evaluation exercise. J Gen Intern Med. 2004 May;19(5 Pt 2):558-61. </w:t>
      </w:r>
      <w:proofErr w:type="spellStart"/>
      <w:r w:rsidRPr="00B63550">
        <w:rPr>
          <w:rFonts w:eastAsia="Book Antiqua"/>
        </w:rPr>
        <w:t>doi</w:t>
      </w:r>
      <w:proofErr w:type="spellEnd"/>
      <w:r w:rsidRPr="00B63550">
        <w:rPr>
          <w:rFonts w:eastAsia="Book Antiqua"/>
        </w:rPr>
        <w:t>: 10.1111/j.1525-1497.2004.30134.x. PMID: 15109324; PMCID: PMC1492325.</w:t>
      </w:r>
    </w:p>
    <w:p w14:paraId="2B4F7686"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Marriott J, Purdie H, Crossley J, Beard JD: Evaluation of procedure-based assessment for assessing trainees' skills in the operating theatre. Br J </w:t>
      </w:r>
      <w:proofErr w:type="spellStart"/>
      <w:r w:rsidRPr="00B63550">
        <w:rPr>
          <w:rFonts w:eastAsia="Book Antiqua"/>
        </w:rPr>
        <w:t>Surg</w:t>
      </w:r>
      <w:proofErr w:type="spellEnd"/>
      <w:r w:rsidRPr="00B63550">
        <w:rPr>
          <w:rFonts w:eastAsia="Book Antiqua"/>
        </w:rPr>
        <w:t xml:space="preserve"> 2010, 98(3):450–457</w:t>
      </w:r>
    </w:p>
    <w:p w14:paraId="2282B0DF"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Canavan C, Holtman MC, Richmond M, </w:t>
      </w:r>
      <w:proofErr w:type="spellStart"/>
      <w:r w:rsidRPr="00B63550">
        <w:rPr>
          <w:rFonts w:eastAsia="Book Antiqua"/>
        </w:rPr>
        <w:t>Katsufrakis</w:t>
      </w:r>
      <w:proofErr w:type="spellEnd"/>
      <w:r w:rsidRPr="00B63550">
        <w:rPr>
          <w:rFonts w:eastAsia="Book Antiqua"/>
        </w:rPr>
        <w:t xml:space="preserve"> PJ: The quality of written comments on professional </w:t>
      </w:r>
      <w:proofErr w:type="spellStart"/>
      <w:r w:rsidRPr="00B63550">
        <w:rPr>
          <w:rFonts w:eastAsia="Book Antiqua"/>
        </w:rPr>
        <w:t>behaviors</w:t>
      </w:r>
      <w:proofErr w:type="spellEnd"/>
      <w:r w:rsidRPr="00B63550">
        <w:rPr>
          <w:rFonts w:eastAsia="Book Antiqua"/>
        </w:rPr>
        <w:t xml:space="preserve"> in a developmental multisource feedback program. </w:t>
      </w:r>
      <w:proofErr w:type="spellStart"/>
      <w:r w:rsidRPr="00B63550">
        <w:rPr>
          <w:rFonts w:eastAsia="Book Antiqua"/>
        </w:rPr>
        <w:t>Acad</w:t>
      </w:r>
      <w:proofErr w:type="spellEnd"/>
      <w:r w:rsidRPr="00B63550">
        <w:rPr>
          <w:rFonts w:eastAsia="Book Antiqua"/>
        </w:rPr>
        <w:t xml:space="preserve"> Med 2010, 85(10 </w:t>
      </w:r>
      <w:proofErr w:type="spellStart"/>
      <w:r w:rsidRPr="00B63550">
        <w:rPr>
          <w:rFonts w:eastAsia="Book Antiqua"/>
        </w:rPr>
        <w:t>Suppl</w:t>
      </w:r>
      <w:proofErr w:type="spellEnd"/>
      <w:r w:rsidRPr="00B63550">
        <w:rPr>
          <w:rFonts w:eastAsia="Book Antiqua"/>
        </w:rPr>
        <w:t xml:space="preserve">):S106–S109.  </w:t>
      </w:r>
    </w:p>
    <w:p w14:paraId="0AC82BB7"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 xml:space="preserve">Burford B, </w:t>
      </w:r>
      <w:proofErr w:type="spellStart"/>
      <w:r w:rsidRPr="00B63550">
        <w:rPr>
          <w:rFonts w:eastAsia="Book Antiqua"/>
        </w:rPr>
        <w:t>Illing</w:t>
      </w:r>
      <w:proofErr w:type="spellEnd"/>
      <w:r w:rsidRPr="00B63550">
        <w:rPr>
          <w:rFonts w:eastAsia="Book Antiqua"/>
        </w:rPr>
        <w:t xml:space="preserve"> J, </w:t>
      </w:r>
      <w:proofErr w:type="spellStart"/>
      <w:r w:rsidRPr="00B63550">
        <w:rPr>
          <w:rFonts w:eastAsia="Book Antiqua"/>
        </w:rPr>
        <w:t>Kergon</w:t>
      </w:r>
      <w:proofErr w:type="spellEnd"/>
      <w:r w:rsidRPr="00B63550">
        <w:rPr>
          <w:rFonts w:eastAsia="Book Antiqua"/>
        </w:rPr>
        <w:t xml:space="preserve"> C, Morrow G, Livingston M: User perceptions of multi-source feedback tools for junior doctors. Med Educ. 2010, 44 (2):165–76. </w:t>
      </w:r>
      <w:proofErr w:type="spellStart"/>
      <w:r w:rsidRPr="00B63550">
        <w:rPr>
          <w:rFonts w:eastAsia="Book Antiqua"/>
        </w:rPr>
        <w:t>Epub</w:t>
      </w:r>
      <w:proofErr w:type="spellEnd"/>
      <w:r w:rsidRPr="00B63550">
        <w:rPr>
          <w:rFonts w:eastAsia="Book Antiqua"/>
        </w:rPr>
        <w:t xml:space="preserve"> 2010 Jan 5.  </w:t>
      </w:r>
    </w:p>
    <w:p w14:paraId="3C41B0A5"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Barrett et al. A BEME (Best Evidence in Medical Education) systematic review of the use of workplace-based assessment in identifying and remediating poor performance among postgraduate medical trainees.  Systematic Reviews (2015) 4:65</w:t>
      </w:r>
    </w:p>
    <w:p w14:paraId="3F228761" w14:textId="77777777" w:rsidR="003F5F9C" w:rsidRPr="00B63550" w:rsidRDefault="003F5F9C" w:rsidP="00B63550">
      <w:pPr>
        <w:pStyle w:val="NormalWeb"/>
        <w:numPr>
          <w:ilvl w:val="0"/>
          <w:numId w:val="24"/>
        </w:numPr>
        <w:spacing w:line="360" w:lineRule="auto"/>
        <w:rPr>
          <w:rFonts w:eastAsia="Book Antiqua"/>
        </w:rPr>
      </w:pPr>
      <w:r w:rsidRPr="00B63550">
        <w:rPr>
          <w:rFonts w:eastAsia="Book Antiqua"/>
        </w:rPr>
        <w:t>Archer J, McGraw M, Davies H: Republished paper: Assuring validity of multisource feedback in a national programme. Postgrad Med J 2010, 86 (1019):526–31</w:t>
      </w:r>
    </w:p>
    <w:p w14:paraId="2AB05B1F" w14:textId="77777777" w:rsidR="003F5F9C" w:rsidRPr="00B63550" w:rsidRDefault="003F5F9C" w:rsidP="00B63550">
      <w:pPr>
        <w:pStyle w:val="NormalWeb"/>
        <w:numPr>
          <w:ilvl w:val="0"/>
          <w:numId w:val="24"/>
        </w:numPr>
        <w:spacing w:line="360" w:lineRule="auto"/>
      </w:pPr>
      <w:r w:rsidRPr="00B63550">
        <w:lastRenderedPageBreak/>
        <w:t xml:space="preserve">Goff, B.A., Nielsen, P.E., Lentz, G.M. et al. (2002). Surgical skills assessment: a blinded examination of obstetrics and </w:t>
      </w:r>
      <w:proofErr w:type="spellStart"/>
      <w:r w:rsidRPr="00B63550">
        <w:t>gynecology</w:t>
      </w:r>
      <w:proofErr w:type="spellEnd"/>
      <w:r w:rsidRPr="00B63550">
        <w:t xml:space="preserve"> residents. American Journal of Obstetrics and </w:t>
      </w:r>
      <w:proofErr w:type="spellStart"/>
      <w:r w:rsidRPr="00B63550">
        <w:t>Gynecology</w:t>
      </w:r>
      <w:proofErr w:type="spellEnd"/>
      <w:r w:rsidRPr="00B63550">
        <w:t xml:space="preserve"> 186 (4): 613–617</w:t>
      </w:r>
    </w:p>
    <w:p w14:paraId="4AA487A8" w14:textId="77777777" w:rsidR="003F5F9C" w:rsidRPr="00B63550" w:rsidRDefault="003F5F9C" w:rsidP="00B63550">
      <w:pPr>
        <w:pStyle w:val="NormalWeb"/>
        <w:numPr>
          <w:ilvl w:val="0"/>
          <w:numId w:val="24"/>
        </w:numPr>
        <w:spacing w:line="360" w:lineRule="auto"/>
      </w:pPr>
      <w:proofErr w:type="spellStart"/>
      <w:r w:rsidRPr="00B63550">
        <w:rPr>
          <w:rFonts w:eastAsia="Cambria"/>
          <w:color w:val="212121"/>
        </w:rPr>
        <w:t>Maatsch</w:t>
      </w:r>
      <w:proofErr w:type="spellEnd"/>
      <w:r w:rsidRPr="00B63550">
        <w:rPr>
          <w:rFonts w:eastAsia="Cambria"/>
          <w:color w:val="212121"/>
        </w:rPr>
        <w:t xml:space="preserve"> JL, </w:t>
      </w:r>
      <w:proofErr w:type="spellStart"/>
      <w:r w:rsidRPr="00B63550">
        <w:rPr>
          <w:rFonts w:eastAsia="Cambria"/>
          <w:color w:val="212121"/>
        </w:rPr>
        <w:t>Krome</w:t>
      </w:r>
      <w:proofErr w:type="spellEnd"/>
      <w:r w:rsidRPr="00B63550">
        <w:rPr>
          <w:rFonts w:eastAsia="Cambria"/>
          <w:color w:val="212121"/>
        </w:rPr>
        <w:t xml:space="preserve"> RL, Sprafka S, Maclean CB. The Emergency Medicine Specialty Certification Examination (EMSCE) </w:t>
      </w:r>
      <w:r w:rsidRPr="00B63550">
        <w:rPr>
          <w:rFonts w:eastAsia="Cambria"/>
          <w:i/>
          <w:iCs/>
          <w:color w:val="212121"/>
        </w:rPr>
        <w:t xml:space="preserve">JACEP. </w:t>
      </w:r>
      <w:r w:rsidRPr="00B63550">
        <w:rPr>
          <w:rFonts w:eastAsia="Cambria"/>
          <w:color w:val="212121"/>
        </w:rPr>
        <w:t xml:space="preserve">1976;5(7):529–534. </w:t>
      </w:r>
      <w:r w:rsidRPr="00B63550">
        <w:t xml:space="preserve"> </w:t>
      </w:r>
    </w:p>
    <w:p w14:paraId="24F5183E" w14:textId="77777777" w:rsidR="003F5F9C" w:rsidRPr="00B63550" w:rsidRDefault="001B5653" w:rsidP="00B63550">
      <w:pPr>
        <w:pStyle w:val="NormalWeb"/>
        <w:numPr>
          <w:ilvl w:val="0"/>
          <w:numId w:val="24"/>
        </w:numPr>
        <w:spacing w:line="360" w:lineRule="auto"/>
      </w:pPr>
      <w:hyperlink r:id="rId11">
        <w:r w:rsidR="003F5F9C" w:rsidRPr="00B63550">
          <w:rPr>
            <w:rStyle w:val="Hyperlink"/>
            <w:rFonts w:eastAsia="Times New Roman"/>
          </w:rPr>
          <w:t>https://www.rcpath.org/static/bf959429-aa0c-48d7-a267902f7c8609dd/definitions-of-assessment-tools.pdf</w:t>
        </w:r>
      </w:hyperlink>
    </w:p>
    <w:p w14:paraId="69AFBEB0" w14:textId="77777777" w:rsidR="003F5F9C" w:rsidRPr="00B63550" w:rsidRDefault="003F5F9C" w:rsidP="00B63550">
      <w:pPr>
        <w:pStyle w:val="NormalWeb"/>
        <w:numPr>
          <w:ilvl w:val="0"/>
          <w:numId w:val="24"/>
        </w:numPr>
        <w:spacing w:line="360" w:lineRule="auto"/>
      </w:pPr>
      <w:proofErr w:type="spellStart"/>
      <w:r w:rsidRPr="00B63550">
        <w:rPr>
          <w:rFonts w:eastAsia="Cambria"/>
          <w:color w:val="212121"/>
        </w:rPr>
        <w:t>Burkill</w:t>
      </w:r>
      <w:proofErr w:type="spellEnd"/>
      <w:r w:rsidRPr="00B63550">
        <w:rPr>
          <w:rFonts w:eastAsia="Cambria"/>
          <w:color w:val="212121"/>
        </w:rPr>
        <w:t xml:space="preserve"> G. Work-based assessment for trainees—more than just a few new tools? </w:t>
      </w:r>
      <w:r w:rsidRPr="00B63550">
        <w:rPr>
          <w:rFonts w:eastAsia="Cambria"/>
          <w:i/>
          <w:iCs/>
          <w:color w:val="212121"/>
        </w:rPr>
        <w:t xml:space="preserve">Clin </w:t>
      </w:r>
      <w:proofErr w:type="spellStart"/>
      <w:r w:rsidRPr="00B63550">
        <w:rPr>
          <w:rFonts w:eastAsia="Cambria"/>
          <w:i/>
          <w:iCs/>
          <w:color w:val="212121"/>
        </w:rPr>
        <w:t>Radiol</w:t>
      </w:r>
      <w:proofErr w:type="spellEnd"/>
      <w:r w:rsidRPr="00B63550">
        <w:rPr>
          <w:rFonts w:eastAsia="Cambria"/>
          <w:i/>
          <w:iCs/>
          <w:color w:val="212121"/>
        </w:rPr>
        <w:t xml:space="preserve">. </w:t>
      </w:r>
      <w:r w:rsidRPr="00B63550">
        <w:rPr>
          <w:rFonts w:eastAsia="Cambria"/>
          <w:color w:val="212121"/>
        </w:rPr>
        <w:t xml:space="preserve">2008;63(1):12–14. </w:t>
      </w:r>
      <w:proofErr w:type="spellStart"/>
      <w:r w:rsidRPr="00B63550">
        <w:rPr>
          <w:rFonts w:eastAsia="Cambria"/>
          <w:color w:val="212121"/>
        </w:rPr>
        <w:t>doi</w:t>
      </w:r>
      <w:proofErr w:type="spellEnd"/>
      <w:r w:rsidRPr="00B63550">
        <w:rPr>
          <w:rFonts w:eastAsia="Cambria"/>
          <w:color w:val="212121"/>
        </w:rPr>
        <w:t>: 10.1016/j.crad.2007.07.014</w:t>
      </w:r>
    </w:p>
    <w:p w14:paraId="163360AC" w14:textId="77777777" w:rsidR="003F5F9C" w:rsidRPr="00B63550" w:rsidRDefault="003F5F9C" w:rsidP="00B63550">
      <w:pPr>
        <w:pStyle w:val="NormalWeb"/>
        <w:numPr>
          <w:ilvl w:val="0"/>
          <w:numId w:val="24"/>
        </w:numPr>
        <w:spacing w:line="360" w:lineRule="auto"/>
      </w:pPr>
      <w:r w:rsidRPr="00B63550">
        <w:rPr>
          <w:rFonts w:eastAsia="Roboto"/>
          <w:color w:val="212121"/>
        </w:rPr>
        <w:t xml:space="preserve">Cheung WJ, Dudek N, Wood TJ, Frank JR. Daily Encounter Cards-Evaluating the Quality of Documented Assessments. J Grad Med Educ. 2016 Oct;8(4):601-604. </w:t>
      </w:r>
      <w:proofErr w:type="spellStart"/>
      <w:r w:rsidRPr="00B63550">
        <w:rPr>
          <w:rFonts w:eastAsia="Roboto"/>
          <w:color w:val="212121"/>
        </w:rPr>
        <w:t>doi</w:t>
      </w:r>
      <w:proofErr w:type="spellEnd"/>
      <w:r w:rsidRPr="00B63550">
        <w:rPr>
          <w:rFonts w:eastAsia="Roboto"/>
          <w:color w:val="212121"/>
        </w:rPr>
        <w:t>: 10.4300/JGME-D-15-00505.1. PMID: 27777675; PMCID: PMC5058597.</w:t>
      </w:r>
    </w:p>
    <w:p w14:paraId="109BEB15" w14:textId="77777777" w:rsidR="003F5F9C" w:rsidRDefault="003F5F9C" w:rsidP="48585CDC">
      <w:pPr>
        <w:spacing w:line="360" w:lineRule="auto"/>
        <w:jc w:val="both"/>
        <w:rPr>
          <w:rFonts w:ascii="Times New Roman" w:hAnsi="Times New Roman" w:cs="Times New Roman"/>
          <w:sz w:val="24"/>
          <w:szCs w:val="24"/>
        </w:rPr>
      </w:pPr>
    </w:p>
    <w:p w14:paraId="4025FE43" w14:textId="257324EA" w:rsidR="48585CDC" w:rsidRDefault="48585CDC" w:rsidP="48585CDC">
      <w:pPr>
        <w:spacing w:line="360" w:lineRule="auto"/>
        <w:jc w:val="both"/>
        <w:rPr>
          <w:rFonts w:ascii="Times New Roman" w:hAnsi="Times New Roman" w:cs="Times New Roman"/>
          <w:color w:val="FF0000"/>
          <w:sz w:val="24"/>
          <w:szCs w:val="24"/>
        </w:rPr>
      </w:pPr>
    </w:p>
    <w:p w14:paraId="554A7AF7" w14:textId="77777777" w:rsidR="00E34962" w:rsidRDefault="00E34962"/>
    <w:sectPr w:rsidR="00E34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A4D7"/>
    <w:multiLevelType w:val="hybridMultilevel"/>
    <w:tmpl w:val="5670A0CA"/>
    <w:lvl w:ilvl="0" w:tplc="120A45F0">
      <w:start w:val="1"/>
      <w:numFmt w:val="bullet"/>
      <w:lvlText w:val=""/>
      <w:lvlJc w:val="left"/>
      <w:pPr>
        <w:ind w:left="720" w:hanging="360"/>
      </w:pPr>
      <w:rPr>
        <w:rFonts w:ascii="Symbol" w:hAnsi="Symbol" w:hint="default"/>
      </w:rPr>
    </w:lvl>
    <w:lvl w:ilvl="1" w:tplc="6436EA2A">
      <w:start w:val="1"/>
      <w:numFmt w:val="bullet"/>
      <w:lvlText w:val="o"/>
      <w:lvlJc w:val="left"/>
      <w:pPr>
        <w:ind w:left="1440" w:hanging="360"/>
      </w:pPr>
      <w:rPr>
        <w:rFonts w:ascii="Courier New" w:hAnsi="Courier New" w:hint="default"/>
      </w:rPr>
    </w:lvl>
    <w:lvl w:ilvl="2" w:tplc="09C07EFE">
      <w:start w:val="1"/>
      <w:numFmt w:val="bullet"/>
      <w:lvlText w:val=""/>
      <w:lvlJc w:val="left"/>
      <w:pPr>
        <w:ind w:left="2160" w:hanging="360"/>
      </w:pPr>
      <w:rPr>
        <w:rFonts w:ascii="Wingdings" w:hAnsi="Wingdings" w:hint="default"/>
      </w:rPr>
    </w:lvl>
    <w:lvl w:ilvl="3" w:tplc="641E5B42">
      <w:start w:val="1"/>
      <w:numFmt w:val="bullet"/>
      <w:lvlText w:val=""/>
      <w:lvlJc w:val="left"/>
      <w:pPr>
        <w:ind w:left="2880" w:hanging="360"/>
      </w:pPr>
      <w:rPr>
        <w:rFonts w:ascii="Symbol" w:hAnsi="Symbol" w:hint="default"/>
      </w:rPr>
    </w:lvl>
    <w:lvl w:ilvl="4" w:tplc="61627670">
      <w:start w:val="1"/>
      <w:numFmt w:val="bullet"/>
      <w:lvlText w:val="o"/>
      <w:lvlJc w:val="left"/>
      <w:pPr>
        <w:ind w:left="3600" w:hanging="360"/>
      </w:pPr>
      <w:rPr>
        <w:rFonts w:ascii="Courier New" w:hAnsi="Courier New" w:hint="default"/>
      </w:rPr>
    </w:lvl>
    <w:lvl w:ilvl="5" w:tplc="1E749E4C">
      <w:start w:val="1"/>
      <w:numFmt w:val="bullet"/>
      <w:lvlText w:val=""/>
      <w:lvlJc w:val="left"/>
      <w:pPr>
        <w:ind w:left="4320" w:hanging="360"/>
      </w:pPr>
      <w:rPr>
        <w:rFonts w:ascii="Wingdings" w:hAnsi="Wingdings" w:hint="default"/>
      </w:rPr>
    </w:lvl>
    <w:lvl w:ilvl="6" w:tplc="4E6E21A0">
      <w:start w:val="1"/>
      <w:numFmt w:val="bullet"/>
      <w:lvlText w:val=""/>
      <w:lvlJc w:val="left"/>
      <w:pPr>
        <w:ind w:left="5040" w:hanging="360"/>
      </w:pPr>
      <w:rPr>
        <w:rFonts w:ascii="Symbol" w:hAnsi="Symbol" w:hint="default"/>
      </w:rPr>
    </w:lvl>
    <w:lvl w:ilvl="7" w:tplc="695EAEDE">
      <w:start w:val="1"/>
      <w:numFmt w:val="bullet"/>
      <w:lvlText w:val="o"/>
      <w:lvlJc w:val="left"/>
      <w:pPr>
        <w:ind w:left="5760" w:hanging="360"/>
      </w:pPr>
      <w:rPr>
        <w:rFonts w:ascii="Courier New" w:hAnsi="Courier New" w:hint="default"/>
      </w:rPr>
    </w:lvl>
    <w:lvl w:ilvl="8" w:tplc="083073A8">
      <w:start w:val="1"/>
      <w:numFmt w:val="bullet"/>
      <w:lvlText w:val=""/>
      <w:lvlJc w:val="left"/>
      <w:pPr>
        <w:ind w:left="6480" w:hanging="360"/>
      </w:pPr>
      <w:rPr>
        <w:rFonts w:ascii="Wingdings" w:hAnsi="Wingdings" w:hint="default"/>
      </w:rPr>
    </w:lvl>
  </w:abstractNum>
  <w:abstractNum w:abstractNumId="1" w15:restartNumberingAfterBreak="0">
    <w:nsid w:val="171F3EAC"/>
    <w:multiLevelType w:val="multilevel"/>
    <w:tmpl w:val="171F3E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DE4F18"/>
    <w:multiLevelType w:val="multilevel"/>
    <w:tmpl w:val="1BDE4F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E1FE7"/>
    <w:multiLevelType w:val="multilevel"/>
    <w:tmpl w:val="20DE1F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DEABCD"/>
    <w:multiLevelType w:val="hybridMultilevel"/>
    <w:tmpl w:val="3A1EFD86"/>
    <w:lvl w:ilvl="0" w:tplc="96D4BF2E">
      <w:start w:val="1"/>
      <w:numFmt w:val="bullet"/>
      <w:lvlText w:val=""/>
      <w:lvlJc w:val="left"/>
      <w:pPr>
        <w:ind w:left="720" w:hanging="360"/>
      </w:pPr>
      <w:rPr>
        <w:rFonts w:ascii="Symbol" w:hAnsi="Symbol" w:hint="default"/>
      </w:rPr>
    </w:lvl>
    <w:lvl w:ilvl="1" w:tplc="0388F1EA">
      <w:start w:val="1"/>
      <w:numFmt w:val="bullet"/>
      <w:lvlText w:val="o"/>
      <w:lvlJc w:val="left"/>
      <w:pPr>
        <w:ind w:left="1440" w:hanging="360"/>
      </w:pPr>
      <w:rPr>
        <w:rFonts w:ascii="Courier New" w:hAnsi="Courier New" w:hint="default"/>
      </w:rPr>
    </w:lvl>
    <w:lvl w:ilvl="2" w:tplc="4DC02D88">
      <w:start w:val="1"/>
      <w:numFmt w:val="bullet"/>
      <w:lvlText w:val=""/>
      <w:lvlJc w:val="left"/>
      <w:pPr>
        <w:ind w:left="2160" w:hanging="360"/>
      </w:pPr>
      <w:rPr>
        <w:rFonts w:ascii="Wingdings" w:hAnsi="Wingdings" w:hint="default"/>
      </w:rPr>
    </w:lvl>
    <w:lvl w:ilvl="3" w:tplc="4182839E">
      <w:start w:val="1"/>
      <w:numFmt w:val="bullet"/>
      <w:lvlText w:val=""/>
      <w:lvlJc w:val="left"/>
      <w:pPr>
        <w:ind w:left="2880" w:hanging="360"/>
      </w:pPr>
      <w:rPr>
        <w:rFonts w:ascii="Symbol" w:hAnsi="Symbol" w:hint="default"/>
      </w:rPr>
    </w:lvl>
    <w:lvl w:ilvl="4" w:tplc="C10C59E6">
      <w:start w:val="1"/>
      <w:numFmt w:val="bullet"/>
      <w:lvlText w:val="o"/>
      <w:lvlJc w:val="left"/>
      <w:pPr>
        <w:ind w:left="3600" w:hanging="360"/>
      </w:pPr>
      <w:rPr>
        <w:rFonts w:ascii="Courier New" w:hAnsi="Courier New" w:hint="default"/>
      </w:rPr>
    </w:lvl>
    <w:lvl w:ilvl="5" w:tplc="4A6C9826">
      <w:start w:val="1"/>
      <w:numFmt w:val="bullet"/>
      <w:lvlText w:val=""/>
      <w:lvlJc w:val="left"/>
      <w:pPr>
        <w:ind w:left="4320" w:hanging="360"/>
      </w:pPr>
      <w:rPr>
        <w:rFonts w:ascii="Wingdings" w:hAnsi="Wingdings" w:hint="default"/>
      </w:rPr>
    </w:lvl>
    <w:lvl w:ilvl="6" w:tplc="6704661A">
      <w:start w:val="1"/>
      <w:numFmt w:val="bullet"/>
      <w:lvlText w:val=""/>
      <w:lvlJc w:val="left"/>
      <w:pPr>
        <w:ind w:left="5040" w:hanging="360"/>
      </w:pPr>
      <w:rPr>
        <w:rFonts w:ascii="Symbol" w:hAnsi="Symbol" w:hint="default"/>
      </w:rPr>
    </w:lvl>
    <w:lvl w:ilvl="7" w:tplc="4FD06588">
      <w:start w:val="1"/>
      <w:numFmt w:val="bullet"/>
      <w:lvlText w:val="o"/>
      <w:lvlJc w:val="left"/>
      <w:pPr>
        <w:ind w:left="5760" w:hanging="360"/>
      </w:pPr>
      <w:rPr>
        <w:rFonts w:ascii="Courier New" w:hAnsi="Courier New" w:hint="default"/>
      </w:rPr>
    </w:lvl>
    <w:lvl w:ilvl="8" w:tplc="6E60C73E">
      <w:start w:val="1"/>
      <w:numFmt w:val="bullet"/>
      <w:lvlText w:val=""/>
      <w:lvlJc w:val="left"/>
      <w:pPr>
        <w:ind w:left="6480" w:hanging="360"/>
      </w:pPr>
      <w:rPr>
        <w:rFonts w:ascii="Wingdings" w:hAnsi="Wingdings" w:hint="default"/>
      </w:rPr>
    </w:lvl>
  </w:abstractNum>
  <w:abstractNum w:abstractNumId="5" w15:restartNumberingAfterBreak="0">
    <w:nsid w:val="21C1B588"/>
    <w:multiLevelType w:val="hybridMultilevel"/>
    <w:tmpl w:val="1C625DFA"/>
    <w:lvl w:ilvl="0" w:tplc="C05E6FA8">
      <w:start w:val="1"/>
      <w:numFmt w:val="bullet"/>
      <w:lvlText w:val=""/>
      <w:lvlJc w:val="left"/>
      <w:pPr>
        <w:ind w:left="720" w:hanging="360"/>
      </w:pPr>
      <w:rPr>
        <w:rFonts w:ascii="Symbol" w:hAnsi="Symbol" w:hint="default"/>
      </w:rPr>
    </w:lvl>
    <w:lvl w:ilvl="1" w:tplc="156E9876">
      <w:start w:val="1"/>
      <w:numFmt w:val="bullet"/>
      <w:lvlText w:val="o"/>
      <w:lvlJc w:val="left"/>
      <w:pPr>
        <w:ind w:left="1440" w:hanging="360"/>
      </w:pPr>
      <w:rPr>
        <w:rFonts w:ascii="Courier New" w:hAnsi="Courier New" w:hint="default"/>
      </w:rPr>
    </w:lvl>
    <w:lvl w:ilvl="2" w:tplc="6898F6D0">
      <w:start w:val="1"/>
      <w:numFmt w:val="bullet"/>
      <w:lvlText w:val=""/>
      <w:lvlJc w:val="left"/>
      <w:pPr>
        <w:ind w:left="2160" w:hanging="360"/>
      </w:pPr>
      <w:rPr>
        <w:rFonts w:ascii="Wingdings" w:hAnsi="Wingdings" w:hint="default"/>
      </w:rPr>
    </w:lvl>
    <w:lvl w:ilvl="3" w:tplc="1EC604DE">
      <w:start w:val="1"/>
      <w:numFmt w:val="bullet"/>
      <w:lvlText w:val=""/>
      <w:lvlJc w:val="left"/>
      <w:pPr>
        <w:ind w:left="2880" w:hanging="360"/>
      </w:pPr>
      <w:rPr>
        <w:rFonts w:ascii="Symbol" w:hAnsi="Symbol" w:hint="default"/>
      </w:rPr>
    </w:lvl>
    <w:lvl w:ilvl="4" w:tplc="F6A47CD0">
      <w:start w:val="1"/>
      <w:numFmt w:val="bullet"/>
      <w:lvlText w:val="o"/>
      <w:lvlJc w:val="left"/>
      <w:pPr>
        <w:ind w:left="3600" w:hanging="360"/>
      </w:pPr>
      <w:rPr>
        <w:rFonts w:ascii="Courier New" w:hAnsi="Courier New" w:hint="default"/>
      </w:rPr>
    </w:lvl>
    <w:lvl w:ilvl="5" w:tplc="BF8C0268">
      <w:start w:val="1"/>
      <w:numFmt w:val="bullet"/>
      <w:lvlText w:val=""/>
      <w:lvlJc w:val="left"/>
      <w:pPr>
        <w:ind w:left="4320" w:hanging="360"/>
      </w:pPr>
      <w:rPr>
        <w:rFonts w:ascii="Wingdings" w:hAnsi="Wingdings" w:hint="default"/>
      </w:rPr>
    </w:lvl>
    <w:lvl w:ilvl="6" w:tplc="D0666896">
      <w:start w:val="1"/>
      <w:numFmt w:val="bullet"/>
      <w:lvlText w:val=""/>
      <w:lvlJc w:val="left"/>
      <w:pPr>
        <w:ind w:left="5040" w:hanging="360"/>
      </w:pPr>
      <w:rPr>
        <w:rFonts w:ascii="Symbol" w:hAnsi="Symbol" w:hint="default"/>
      </w:rPr>
    </w:lvl>
    <w:lvl w:ilvl="7" w:tplc="B68EF578">
      <w:start w:val="1"/>
      <w:numFmt w:val="bullet"/>
      <w:lvlText w:val="o"/>
      <w:lvlJc w:val="left"/>
      <w:pPr>
        <w:ind w:left="5760" w:hanging="360"/>
      </w:pPr>
      <w:rPr>
        <w:rFonts w:ascii="Courier New" w:hAnsi="Courier New" w:hint="default"/>
      </w:rPr>
    </w:lvl>
    <w:lvl w:ilvl="8" w:tplc="870679F4">
      <w:start w:val="1"/>
      <w:numFmt w:val="bullet"/>
      <w:lvlText w:val=""/>
      <w:lvlJc w:val="left"/>
      <w:pPr>
        <w:ind w:left="6480" w:hanging="360"/>
      </w:pPr>
      <w:rPr>
        <w:rFonts w:ascii="Wingdings" w:hAnsi="Wingdings" w:hint="default"/>
      </w:rPr>
    </w:lvl>
  </w:abstractNum>
  <w:abstractNum w:abstractNumId="6" w15:restartNumberingAfterBreak="0">
    <w:nsid w:val="272C6F70"/>
    <w:multiLevelType w:val="multilevel"/>
    <w:tmpl w:val="272C6F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3F90B0"/>
    <w:multiLevelType w:val="hybridMultilevel"/>
    <w:tmpl w:val="40F2D2E6"/>
    <w:lvl w:ilvl="0" w:tplc="51CEBE86">
      <w:start w:val="1"/>
      <w:numFmt w:val="decimal"/>
      <w:lvlText w:val="%1."/>
      <w:lvlJc w:val="left"/>
      <w:pPr>
        <w:ind w:left="720" w:hanging="360"/>
      </w:pPr>
    </w:lvl>
    <w:lvl w:ilvl="1" w:tplc="A650C1FE">
      <w:start w:val="1"/>
      <w:numFmt w:val="lowerLetter"/>
      <w:lvlText w:val="%2."/>
      <w:lvlJc w:val="left"/>
      <w:pPr>
        <w:ind w:left="1440" w:hanging="360"/>
      </w:pPr>
    </w:lvl>
    <w:lvl w:ilvl="2" w:tplc="A342938E">
      <w:start w:val="1"/>
      <w:numFmt w:val="lowerRoman"/>
      <w:lvlText w:val="%3."/>
      <w:lvlJc w:val="right"/>
      <w:pPr>
        <w:ind w:left="2160" w:hanging="180"/>
      </w:pPr>
    </w:lvl>
    <w:lvl w:ilvl="3" w:tplc="46C8CF8A">
      <w:start w:val="1"/>
      <w:numFmt w:val="decimal"/>
      <w:lvlText w:val="%4."/>
      <w:lvlJc w:val="left"/>
      <w:pPr>
        <w:ind w:left="2880" w:hanging="360"/>
      </w:pPr>
    </w:lvl>
    <w:lvl w:ilvl="4" w:tplc="76FE7042">
      <w:start w:val="1"/>
      <w:numFmt w:val="lowerLetter"/>
      <w:lvlText w:val="%5."/>
      <w:lvlJc w:val="left"/>
      <w:pPr>
        <w:ind w:left="3600" w:hanging="360"/>
      </w:pPr>
    </w:lvl>
    <w:lvl w:ilvl="5" w:tplc="F0E8958A">
      <w:start w:val="1"/>
      <w:numFmt w:val="lowerRoman"/>
      <w:lvlText w:val="%6."/>
      <w:lvlJc w:val="right"/>
      <w:pPr>
        <w:ind w:left="4320" w:hanging="180"/>
      </w:pPr>
    </w:lvl>
    <w:lvl w:ilvl="6" w:tplc="48CABDB2">
      <w:start w:val="1"/>
      <w:numFmt w:val="decimal"/>
      <w:lvlText w:val="%7."/>
      <w:lvlJc w:val="left"/>
      <w:pPr>
        <w:ind w:left="5040" w:hanging="360"/>
      </w:pPr>
    </w:lvl>
    <w:lvl w:ilvl="7" w:tplc="CC546126">
      <w:start w:val="1"/>
      <w:numFmt w:val="lowerLetter"/>
      <w:lvlText w:val="%8."/>
      <w:lvlJc w:val="left"/>
      <w:pPr>
        <w:ind w:left="5760" w:hanging="360"/>
      </w:pPr>
    </w:lvl>
    <w:lvl w:ilvl="8" w:tplc="4D44A6B2">
      <w:start w:val="1"/>
      <w:numFmt w:val="lowerRoman"/>
      <w:lvlText w:val="%9."/>
      <w:lvlJc w:val="right"/>
      <w:pPr>
        <w:ind w:left="6480" w:hanging="180"/>
      </w:pPr>
    </w:lvl>
  </w:abstractNum>
  <w:abstractNum w:abstractNumId="8" w15:restartNumberingAfterBreak="0">
    <w:nsid w:val="2D0E5A67"/>
    <w:multiLevelType w:val="hybridMultilevel"/>
    <w:tmpl w:val="02AA9D4C"/>
    <w:lvl w:ilvl="0" w:tplc="F83CDAA4">
      <w:start w:val="1"/>
      <w:numFmt w:val="bullet"/>
      <w:lvlText w:val=""/>
      <w:lvlJc w:val="left"/>
      <w:pPr>
        <w:ind w:left="720" w:hanging="360"/>
      </w:pPr>
      <w:rPr>
        <w:rFonts w:ascii="Symbol" w:hAnsi="Symbol" w:hint="default"/>
      </w:rPr>
    </w:lvl>
    <w:lvl w:ilvl="1" w:tplc="59B84AFE">
      <w:start w:val="1"/>
      <w:numFmt w:val="bullet"/>
      <w:lvlText w:val="o"/>
      <w:lvlJc w:val="left"/>
      <w:pPr>
        <w:ind w:left="1440" w:hanging="360"/>
      </w:pPr>
      <w:rPr>
        <w:rFonts w:ascii="Courier New" w:hAnsi="Courier New" w:hint="default"/>
      </w:rPr>
    </w:lvl>
    <w:lvl w:ilvl="2" w:tplc="787A3AA0">
      <w:start w:val="1"/>
      <w:numFmt w:val="bullet"/>
      <w:lvlText w:val=""/>
      <w:lvlJc w:val="left"/>
      <w:pPr>
        <w:ind w:left="2160" w:hanging="360"/>
      </w:pPr>
      <w:rPr>
        <w:rFonts w:ascii="Wingdings" w:hAnsi="Wingdings" w:hint="default"/>
      </w:rPr>
    </w:lvl>
    <w:lvl w:ilvl="3" w:tplc="6BEA6C20">
      <w:start w:val="1"/>
      <w:numFmt w:val="bullet"/>
      <w:lvlText w:val=""/>
      <w:lvlJc w:val="left"/>
      <w:pPr>
        <w:ind w:left="2880" w:hanging="360"/>
      </w:pPr>
      <w:rPr>
        <w:rFonts w:ascii="Symbol" w:hAnsi="Symbol" w:hint="default"/>
      </w:rPr>
    </w:lvl>
    <w:lvl w:ilvl="4" w:tplc="9DC06B16">
      <w:start w:val="1"/>
      <w:numFmt w:val="bullet"/>
      <w:lvlText w:val="o"/>
      <w:lvlJc w:val="left"/>
      <w:pPr>
        <w:ind w:left="3600" w:hanging="360"/>
      </w:pPr>
      <w:rPr>
        <w:rFonts w:ascii="Courier New" w:hAnsi="Courier New" w:hint="default"/>
      </w:rPr>
    </w:lvl>
    <w:lvl w:ilvl="5" w:tplc="AC3C26A2">
      <w:start w:val="1"/>
      <w:numFmt w:val="bullet"/>
      <w:lvlText w:val=""/>
      <w:lvlJc w:val="left"/>
      <w:pPr>
        <w:ind w:left="4320" w:hanging="360"/>
      </w:pPr>
      <w:rPr>
        <w:rFonts w:ascii="Wingdings" w:hAnsi="Wingdings" w:hint="default"/>
      </w:rPr>
    </w:lvl>
    <w:lvl w:ilvl="6" w:tplc="935CB79E">
      <w:start w:val="1"/>
      <w:numFmt w:val="bullet"/>
      <w:lvlText w:val=""/>
      <w:lvlJc w:val="left"/>
      <w:pPr>
        <w:ind w:left="5040" w:hanging="360"/>
      </w:pPr>
      <w:rPr>
        <w:rFonts w:ascii="Symbol" w:hAnsi="Symbol" w:hint="default"/>
      </w:rPr>
    </w:lvl>
    <w:lvl w:ilvl="7" w:tplc="DC3A42A6">
      <w:start w:val="1"/>
      <w:numFmt w:val="bullet"/>
      <w:lvlText w:val="o"/>
      <w:lvlJc w:val="left"/>
      <w:pPr>
        <w:ind w:left="5760" w:hanging="360"/>
      </w:pPr>
      <w:rPr>
        <w:rFonts w:ascii="Courier New" w:hAnsi="Courier New" w:hint="default"/>
      </w:rPr>
    </w:lvl>
    <w:lvl w:ilvl="8" w:tplc="4CD05FA2">
      <w:start w:val="1"/>
      <w:numFmt w:val="bullet"/>
      <w:lvlText w:val=""/>
      <w:lvlJc w:val="left"/>
      <w:pPr>
        <w:ind w:left="6480" w:hanging="360"/>
      </w:pPr>
      <w:rPr>
        <w:rFonts w:ascii="Wingdings" w:hAnsi="Wingdings" w:hint="default"/>
      </w:rPr>
    </w:lvl>
  </w:abstractNum>
  <w:abstractNum w:abstractNumId="9" w15:restartNumberingAfterBreak="0">
    <w:nsid w:val="2F7EDDE9"/>
    <w:multiLevelType w:val="hybridMultilevel"/>
    <w:tmpl w:val="7DDCF70E"/>
    <w:lvl w:ilvl="0" w:tplc="54B2BD3E">
      <w:start w:val="1"/>
      <w:numFmt w:val="bullet"/>
      <w:lvlText w:val=""/>
      <w:lvlJc w:val="left"/>
      <w:pPr>
        <w:ind w:left="720" w:hanging="360"/>
      </w:pPr>
      <w:rPr>
        <w:rFonts w:ascii="Symbol" w:hAnsi="Symbol" w:hint="default"/>
      </w:rPr>
    </w:lvl>
    <w:lvl w:ilvl="1" w:tplc="7E0AE8CC">
      <w:start w:val="1"/>
      <w:numFmt w:val="bullet"/>
      <w:lvlText w:val="o"/>
      <w:lvlJc w:val="left"/>
      <w:pPr>
        <w:ind w:left="1440" w:hanging="360"/>
      </w:pPr>
      <w:rPr>
        <w:rFonts w:ascii="Courier New" w:hAnsi="Courier New" w:hint="default"/>
      </w:rPr>
    </w:lvl>
    <w:lvl w:ilvl="2" w:tplc="68D087A4">
      <w:start w:val="1"/>
      <w:numFmt w:val="bullet"/>
      <w:lvlText w:val=""/>
      <w:lvlJc w:val="left"/>
      <w:pPr>
        <w:ind w:left="2160" w:hanging="360"/>
      </w:pPr>
      <w:rPr>
        <w:rFonts w:ascii="Wingdings" w:hAnsi="Wingdings" w:hint="default"/>
      </w:rPr>
    </w:lvl>
    <w:lvl w:ilvl="3" w:tplc="29F2947C">
      <w:start w:val="1"/>
      <w:numFmt w:val="bullet"/>
      <w:lvlText w:val=""/>
      <w:lvlJc w:val="left"/>
      <w:pPr>
        <w:ind w:left="2880" w:hanging="360"/>
      </w:pPr>
      <w:rPr>
        <w:rFonts w:ascii="Symbol" w:hAnsi="Symbol" w:hint="default"/>
      </w:rPr>
    </w:lvl>
    <w:lvl w:ilvl="4" w:tplc="03ECACAC">
      <w:start w:val="1"/>
      <w:numFmt w:val="bullet"/>
      <w:lvlText w:val="o"/>
      <w:lvlJc w:val="left"/>
      <w:pPr>
        <w:ind w:left="3600" w:hanging="360"/>
      </w:pPr>
      <w:rPr>
        <w:rFonts w:ascii="Courier New" w:hAnsi="Courier New" w:hint="default"/>
      </w:rPr>
    </w:lvl>
    <w:lvl w:ilvl="5" w:tplc="EB3CD9D8">
      <w:start w:val="1"/>
      <w:numFmt w:val="bullet"/>
      <w:lvlText w:val=""/>
      <w:lvlJc w:val="left"/>
      <w:pPr>
        <w:ind w:left="4320" w:hanging="360"/>
      </w:pPr>
      <w:rPr>
        <w:rFonts w:ascii="Wingdings" w:hAnsi="Wingdings" w:hint="default"/>
      </w:rPr>
    </w:lvl>
    <w:lvl w:ilvl="6" w:tplc="C97E950C">
      <w:start w:val="1"/>
      <w:numFmt w:val="bullet"/>
      <w:lvlText w:val=""/>
      <w:lvlJc w:val="left"/>
      <w:pPr>
        <w:ind w:left="5040" w:hanging="360"/>
      </w:pPr>
      <w:rPr>
        <w:rFonts w:ascii="Symbol" w:hAnsi="Symbol" w:hint="default"/>
      </w:rPr>
    </w:lvl>
    <w:lvl w:ilvl="7" w:tplc="7ADCC40C">
      <w:start w:val="1"/>
      <w:numFmt w:val="bullet"/>
      <w:lvlText w:val="o"/>
      <w:lvlJc w:val="left"/>
      <w:pPr>
        <w:ind w:left="5760" w:hanging="360"/>
      </w:pPr>
      <w:rPr>
        <w:rFonts w:ascii="Courier New" w:hAnsi="Courier New" w:hint="default"/>
      </w:rPr>
    </w:lvl>
    <w:lvl w:ilvl="8" w:tplc="A9604D7E">
      <w:start w:val="1"/>
      <w:numFmt w:val="bullet"/>
      <w:lvlText w:val=""/>
      <w:lvlJc w:val="left"/>
      <w:pPr>
        <w:ind w:left="6480" w:hanging="360"/>
      </w:pPr>
      <w:rPr>
        <w:rFonts w:ascii="Wingdings" w:hAnsi="Wingdings" w:hint="default"/>
      </w:rPr>
    </w:lvl>
  </w:abstractNum>
  <w:abstractNum w:abstractNumId="10" w15:restartNumberingAfterBreak="0">
    <w:nsid w:val="3C4FC45E"/>
    <w:multiLevelType w:val="hybridMultilevel"/>
    <w:tmpl w:val="DE2E20AC"/>
    <w:lvl w:ilvl="0" w:tplc="C2222CA4">
      <w:start w:val="1"/>
      <w:numFmt w:val="bullet"/>
      <w:lvlText w:val=""/>
      <w:lvlJc w:val="left"/>
      <w:pPr>
        <w:ind w:left="720" w:hanging="360"/>
      </w:pPr>
      <w:rPr>
        <w:rFonts w:ascii="Symbol" w:hAnsi="Symbol" w:hint="default"/>
      </w:rPr>
    </w:lvl>
    <w:lvl w:ilvl="1" w:tplc="D6FAEC2A">
      <w:start w:val="1"/>
      <w:numFmt w:val="bullet"/>
      <w:lvlText w:val="o"/>
      <w:lvlJc w:val="left"/>
      <w:pPr>
        <w:ind w:left="1440" w:hanging="360"/>
      </w:pPr>
      <w:rPr>
        <w:rFonts w:ascii="Courier New" w:hAnsi="Courier New" w:hint="default"/>
      </w:rPr>
    </w:lvl>
    <w:lvl w:ilvl="2" w:tplc="91E209C4">
      <w:start w:val="1"/>
      <w:numFmt w:val="bullet"/>
      <w:lvlText w:val=""/>
      <w:lvlJc w:val="left"/>
      <w:pPr>
        <w:ind w:left="2160" w:hanging="360"/>
      </w:pPr>
      <w:rPr>
        <w:rFonts w:ascii="Wingdings" w:hAnsi="Wingdings" w:hint="default"/>
      </w:rPr>
    </w:lvl>
    <w:lvl w:ilvl="3" w:tplc="22383D5E">
      <w:start w:val="1"/>
      <w:numFmt w:val="bullet"/>
      <w:lvlText w:val=""/>
      <w:lvlJc w:val="left"/>
      <w:pPr>
        <w:ind w:left="2880" w:hanging="360"/>
      </w:pPr>
      <w:rPr>
        <w:rFonts w:ascii="Symbol" w:hAnsi="Symbol" w:hint="default"/>
      </w:rPr>
    </w:lvl>
    <w:lvl w:ilvl="4" w:tplc="B36CE13E">
      <w:start w:val="1"/>
      <w:numFmt w:val="bullet"/>
      <w:lvlText w:val="o"/>
      <w:lvlJc w:val="left"/>
      <w:pPr>
        <w:ind w:left="3600" w:hanging="360"/>
      </w:pPr>
      <w:rPr>
        <w:rFonts w:ascii="Courier New" w:hAnsi="Courier New" w:hint="default"/>
      </w:rPr>
    </w:lvl>
    <w:lvl w:ilvl="5" w:tplc="81B0AF78">
      <w:start w:val="1"/>
      <w:numFmt w:val="bullet"/>
      <w:lvlText w:val=""/>
      <w:lvlJc w:val="left"/>
      <w:pPr>
        <w:ind w:left="4320" w:hanging="360"/>
      </w:pPr>
      <w:rPr>
        <w:rFonts w:ascii="Wingdings" w:hAnsi="Wingdings" w:hint="default"/>
      </w:rPr>
    </w:lvl>
    <w:lvl w:ilvl="6" w:tplc="385EC5C4">
      <w:start w:val="1"/>
      <w:numFmt w:val="bullet"/>
      <w:lvlText w:val=""/>
      <w:lvlJc w:val="left"/>
      <w:pPr>
        <w:ind w:left="5040" w:hanging="360"/>
      </w:pPr>
      <w:rPr>
        <w:rFonts w:ascii="Symbol" w:hAnsi="Symbol" w:hint="default"/>
      </w:rPr>
    </w:lvl>
    <w:lvl w:ilvl="7" w:tplc="917CE5FC">
      <w:start w:val="1"/>
      <w:numFmt w:val="bullet"/>
      <w:lvlText w:val="o"/>
      <w:lvlJc w:val="left"/>
      <w:pPr>
        <w:ind w:left="5760" w:hanging="360"/>
      </w:pPr>
      <w:rPr>
        <w:rFonts w:ascii="Courier New" w:hAnsi="Courier New" w:hint="default"/>
      </w:rPr>
    </w:lvl>
    <w:lvl w:ilvl="8" w:tplc="A468DB0E">
      <w:start w:val="1"/>
      <w:numFmt w:val="bullet"/>
      <w:lvlText w:val=""/>
      <w:lvlJc w:val="left"/>
      <w:pPr>
        <w:ind w:left="6480" w:hanging="360"/>
      </w:pPr>
      <w:rPr>
        <w:rFonts w:ascii="Wingdings" w:hAnsi="Wingdings" w:hint="default"/>
      </w:rPr>
    </w:lvl>
  </w:abstractNum>
  <w:abstractNum w:abstractNumId="11" w15:restartNumberingAfterBreak="0">
    <w:nsid w:val="3D7D9658"/>
    <w:multiLevelType w:val="hybridMultilevel"/>
    <w:tmpl w:val="7AC424BE"/>
    <w:lvl w:ilvl="0" w:tplc="E7EA79B0">
      <w:start w:val="1"/>
      <w:numFmt w:val="bullet"/>
      <w:lvlText w:val=""/>
      <w:lvlJc w:val="left"/>
      <w:pPr>
        <w:ind w:left="720" w:hanging="360"/>
      </w:pPr>
      <w:rPr>
        <w:rFonts w:ascii="Symbol" w:hAnsi="Symbol" w:hint="default"/>
      </w:rPr>
    </w:lvl>
    <w:lvl w:ilvl="1" w:tplc="C7B26B82">
      <w:start w:val="1"/>
      <w:numFmt w:val="bullet"/>
      <w:lvlText w:val="o"/>
      <w:lvlJc w:val="left"/>
      <w:pPr>
        <w:ind w:left="1440" w:hanging="360"/>
      </w:pPr>
      <w:rPr>
        <w:rFonts w:ascii="Courier New" w:hAnsi="Courier New" w:hint="default"/>
      </w:rPr>
    </w:lvl>
    <w:lvl w:ilvl="2" w:tplc="BE1021E0">
      <w:start w:val="1"/>
      <w:numFmt w:val="bullet"/>
      <w:lvlText w:val=""/>
      <w:lvlJc w:val="left"/>
      <w:pPr>
        <w:ind w:left="2160" w:hanging="360"/>
      </w:pPr>
      <w:rPr>
        <w:rFonts w:ascii="Wingdings" w:hAnsi="Wingdings" w:hint="default"/>
      </w:rPr>
    </w:lvl>
    <w:lvl w:ilvl="3" w:tplc="EB6C13B2">
      <w:start w:val="1"/>
      <w:numFmt w:val="bullet"/>
      <w:lvlText w:val=""/>
      <w:lvlJc w:val="left"/>
      <w:pPr>
        <w:ind w:left="2880" w:hanging="360"/>
      </w:pPr>
      <w:rPr>
        <w:rFonts w:ascii="Symbol" w:hAnsi="Symbol" w:hint="default"/>
      </w:rPr>
    </w:lvl>
    <w:lvl w:ilvl="4" w:tplc="DC3EEC24">
      <w:start w:val="1"/>
      <w:numFmt w:val="bullet"/>
      <w:lvlText w:val="o"/>
      <w:lvlJc w:val="left"/>
      <w:pPr>
        <w:ind w:left="3600" w:hanging="360"/>
      </w:pPr>
      <w:rPr>
        <w:rFonts w:ascii="Courier New" w:hAnsi="Courier New" w:hint="default"/>
      </w:rPr>
    </w:lvl>
    <w:lvl w:ilvl="5" w:tplc="DE9A62D8">
      <w:start w:val="1"/>
      <w:numFmt w:val="bullet"/>
      <w:lvlText w:val=""/>
      <w:lvlJc w:val="left"/>
      <w:pPr>
        <w:ind w:left="4320" w:hanging="360"/>
      </w:pPr>
      <w:rPr>
        <w:rFonts w:ascii="Wingdings" w:hAnsi="Wingdings" w:hint="default"/>
      </w:rPr>
    </w:lvl>
    <w:lvl w:ilvl="6" w:tplc="85186436">
      <w:start w:val="1"/>
      <w:numFmt w:val="bullet"/>
      <w:lvlText w:val=""/>
      <w:lvlJc w:val="left"/>
      <w:pPr>
        <w:ind w:left="5040" w:hanging="360"/>
      </w:pPr>
      <w:rPr>
        <w:rFonts w:ascii="Symbol" w:hAnsi="Symbol" w:hint="default"/>
      </w:rPr>
    </w:lvl>
    <w:lvl w:ilvl="7" w:tplc="FBF21034">
      <w:start w:val="1"/>
      <w:numFmt w:val="bullet"/>
      <w:lvlText w:val="o"/>
      <w:lvlJc w:val="left"/>
      <w:pPr>
        <w:ind w:left="5760" w:hanging="360"/>
      </w:pPr>
      <w:rPr>
        <w:rFonts w:ascii="Courier New" w:hAnsi="Courier New" w:hint="default"/>
      </w:rPr>
    </w:lvl>
    <w:lvl w:ilvl="8" w:tplc="1F5ECAFA">
      <w:start w:val="1"/>
      <w:numFmt w:val="bullet"/>
      <w:lvlText w:val=""/>
      <w:lvlJc w:val="left"/>
      <w:pPr>
        <w:ind w:left="6480" w:hanging="360"/>
      </w:pPr>
      <w:rPr>
        <w:rFonts w:ascii="Wingdings" w:hAnsi="Wingdings" w:hint="default"/>
      </w:rPr>
    </w:lvl>
  </w:abstractNum>
  <w:abstractNum w:abstractNumId="12" w15:restartNumberingAfterBreak="0">
    <w:nsid w:val="414DD806"/>
    <w:multiLevelType w:val="hybridMultilevel"/>
    <w:tmpl w:val="D68C3F2C"/>
    <w:lvl w:ilvl="0" w:tplc="E86E5FA6">
      <w:start w:val="1"/>
      <w:numFmt w:val="bullet"/>
      <w:lvlText w:val=""/>
      <w:lvlJc w:val="left"/>
      <w:pPr>
        <w:ind w:left="720" w:hanging="360"/>
      </w:pPr>
      <w:rPr>
        <w:rFonts w:ascii="Symbol" w:hAnsi="Symbol" w:hint="default"/>
      </w:rPr>
    </w:lvl>
    <w:lvl w:ilvl="1" w:tplc="C97C330C">
      <w:start w:val="1"/>
      <w:numFmt w:val="bullet"/>
      <w:lvlText w:val="o"/>
      <w:lvlJc w:val="left"/>
      <w:pPr>
        <w:ind w:left="1440" w:hanging="360"/>
      </w:pPr>
      <w:rPr>
        <w:rFonts w:ascii="Courier New" w:hAnsi="Courier New" w:hint="default"/>
      </w:rPr>
    </w:lvl>
    <w:lvl w:ilvl="2" w:tplc="B87A9436">
      <w:start w:val="1"/>
      <w:numFmt w:val="bullet"/>
      <w:lvlText w:val=""/>
      <w:lvlJc w:val="left"/>
      <w:pPr>
        <w:ind w:left="2160" w:hanging="360"/>
      </w:pPr>
      <w:rPr>
        <w:rFonts w:ascii="Wingdings" w:hAnsi="Wingdings" w:hint="default"/>
      </w:rPr>
    </w:lvl>
    <w:lvl w:ilvl="3" w:tplc="594C1396">
      <w:start w:val="1"/>
      <w:numFmt w:val="bullet"/>
      <w:lvlText w:val=""/>
      <w:lvlJc w:val="left"/>
      <w:pPr>
        <w:ind w:left="2880" w:hanging="360"/>
      </w:pPr>
      <w:rPr>
        <w:rFonts w:ascii="Symbol" w:hAnsi="Symbol" w:hint="default"/>
      </w:rPr>
    </w:lvl>
    <w:lvl w:ilvl="4" w:tplc="CE62F9A4">
      <w:start w:val="1"/>
      <w:numFmt w:val="bullet"/>
      <w:lvlText w:val="o"/>
      <w:lvlJc w:val="left"/>
      <w:pPr>
        <w:ind w:left="3600" w:hanging="360"/>
      </w:pPr>
      <w:rPr>
        <w:rFonts w:ascii="Courier New" w:hAnsi="Courier New" w:hint="default"/>
      </w:rPr>
    </w:lvl>
    <w:lvl w:ilvl="5" w:tplc="90546648">
      <w:start w:val="1"/>
      <w:numFmt w:val="bullet"/>
      <w:lvlText w:val=""/>
      <w:lvlJc w:val="left"/>
      <w:pPr>
        <w:ind w:left="4320" w:hanging="360"/>
      </w:pPr>
      <w:rPr>
        <w:rFonts w:ascii="Wingdings" w:hAnsi="Wingdings" w:hint="default"/>
      </w:rPr>
    </w:lvl>
    <w:lvl w:ilvl="6" w:tplc="3AAC4494">
      <w:start w:val="1"/>
      <w:numFmt w:val="bullet"/>
      <w:lvlText w:val=""/>
      <w:lvlJc w:val="left"/>
      <w:pPr>
        <w:ind w:left="5040" w:hanging="360"/>
      </w:pPr>
      <w:rPr>
        <w:rFonts w:ascii="Symbol" w:hAnsi="Symbol" w:hint="default"/>
      </w:rPr>
    </w:lvl>
    <w:lvl w:ilvl="7" w:tplc="76FAF3FC">
      <w:start w:val="1"/>
      <w:numFmt w:val="bullet"/>
      <w:lvlText w:val="o"/>
      <w:lvlJc w:val="left"/>
      <w:pPr>
        <w:ind w:left="5760" w:hanging="360"/>
      </w:pPr>
      <w:rPr>
        <w:rFonts w:ascii="Courier New" w:hAnsi="Courier New" w:hint="default"/>
      </w:rPr>
    </w:lvl>
    <w:lvl w:ilvl="8" w:tplc="CF22DF3C">
      <w:start w:val="1"/>
      <w:numFmt w:val="bullet"/>
      <w:lvlText w:val=""/>
      <w:lvlJc w:val="left"/>
      <w:pPr>
        <w:ind w:left="6480" w:hanging="360"/>
      </w:pPr>
      <w:rPr>
        <w:rFonts w:ascii="Wingdings" w:hAnsi="Wingdings" w:hint="default"/>
      </w:rPr>
    </w:lvl>
  </w:abstractNum>
  <w:abstractNum w:abstractNumId="13" w15:restartNumberingAfterBreak="0">
    <w:nsid w:val="446DB040"/>
    <w:multiLevelType w:val="hybridMultilevel"/>
    <w:tmpl w:val="679AEC5C"/>
    <w:lvl w:ilvl="0" w:tplc="21CAC662">
      <w:start w:val="1"/>
      <w:numFmt w:val="bullet"/>
      <w:lvlText w:val=""/>
      <w:lvlJc w:val="left"/>
      <w:pPr>
        <w:ind w:left="720" w:hanging="360"/>
      </w:pPr>
      <w:rPr>
        <w:rFonts w:ascii="Symbol" w:hAnsi="Symbol" w:hint="default"/>
      </w:rPr>
    </w:lvl>
    <w:lvl w:ilvl="1" w:tplc="1D1ACFB0">
      <w:start w:val="1"/>
      <w:numFmt w:val="bullet"/>
      <w:lvlText w:val="o"/>
      <w:lvlJc w:val="left"/>
      <w:pPr>
        <w:ind w:left="1440" w:hanging="360"/>
      </w:pPr>
      <w:rPr>
        <w:rFonts w:ascii="Courier New" w:hAnsi="Courier New" w:hint="default"/>
      </w:rPr>
    </w:lvl>
    <w:lvl w:ilvl="2" w:tplc="18EEA1BA">
      <w:start w:val="1"/>
      <w:numFmt w:val="bullet"/>
      <w:lvlText w:val=""/>
      <w:lvlJc w:val="left"/>
      <w:pPr>
        <w:ind w:left="2160" w:hanging="360"/>
      </w:pPr>
      <w:rPr>
        <w:rFonts w:ascii="Wingdings" w:hAnsi="Wingdings" w:hint="default"/>
      </w:rPr>
    </w:lvl>
    <w:lvl w:ilvl="3" w:tplc="F2D47398">
      <w:start w:val="1"/>
      <w:numFmt w:val="bullet"/>
      <w:lvlText w:val=""/>
      <w:lvlJc w:val="left"/>
      <w:pPr>
        <w:ind w:left="2880" w:hanging="360"/>
      </w:pPr>
      <w:rPr>
        <w:rFonts w:ascii="Symbol" w:hAnsi="Symbol" w:hint="default"/>
      </w:rPr>
    </w:lvl>
    <w:lvl w:ilvl="4" w:tplc="E9529C1E">
      <w:start w:val="1"/>
      <w:numFmt w:val="bullet"/>
      <w:lvlText w:val="o"/>
      <w:lvlJc w:val="left"/>
      <w:pPr>
        <w:ind w:left="3600" w:hanging="360"/>
      </w:pPr>
      <w:rPr>
        <w:rFonts w:ascii="Courier New" w:hAnsi="Courier New" w:hint="default"/>
      </w:rPr>
    </w:lvl>
    <w:lvl w:ilvl="5" w:tplc="A380149C">
      <w:start w:val="1"/>
      <w:numFmt w:val="bullet"/>
      <w:lvlText w:val=""/>
      <w:lvlJc w:val="left"/>
      <w:pPr>
        <w:ind w:left="4320" w:hanging="360"/>
      </w:pPr>
      <w:rPr>
        <w:rFonts w:ascii="Wingdings" w:hAnsi="Wingdings" w:hint="default"/>
      </w:rPr>
    </w:lvl>
    <w:lvl w:ilvl="6" w:tplc="EB8889C0">
      <w:start w:val="1"/>
      <w:numFmt w:val="bullet"/>
      <w:lvlText w:val=""/>
      <w:lvlJc w:val="left"/>
      <w:pPr>
        <w:ind w:left="5040" w:hanging="360"/>
      </w:pPr>
      <w:rPr>
        <w:rFonts w:ascii="Symbol" w:hAnsi="Symbol" w:hint="default"/>
      </w:rPr>
    </w:lvl>
    <w:lvl w:ilvl="7" w:tplc="FD7E8A30">
      <w:start w:val="1"/>
      <w:numFmt w:val="bullet"/>
      <w:lvlText w:val="o"/>
      <w:lvlJc w:val="left"/>
      <w:pPr>
        <w:ind w:left="5760" w:hanging="360"/>
      </w:pPr>
      <w:rPr>
        <w:rFonts w:ascii="Courier New" w:hAnsi="Courier New" w:hint="default"/>
      </w:rPr>
    </w:lvl>
    <w:lvl w:ilvl="8" w:tplc="CA9C535E">
      <w:start w:val="1"/>
      <w:numFmt w:val="bullet"/>
      <w:lvlText w:val=""/>
      <w:lvlJc w:val="left"/>
      <w:pPr>
        <w:ind w:left="6480" w:hanging="360"/>
      </w:pPr>
      <w:rPr>
        <w:rFonts w:ascii="Wingdings" w:hAnsi="Wingdings" w:hint="default"/>
      </w:rPr>
    </w:lvl>
  </w:abstractNum>
  <w:abstractNum w:abstractNumId="14" w15:restartNumberingAfterBreak="0">
    <w:nsid w:val="4BA9A70D"/>
    <w:multiLevelType w:val="hybridMultilevel"/>
    <w:tmpl w:val="79A2E1A2"/>
    <w:lvl w:ilvl="0" w:tplc="A240009E">
      <w:start w:val="1"/>
      <w:numFmt w:val="bullet"/>
      <w:lvlText w:val=""/>
      <w:lvlJc w:val="left"/>
      <w:pPr>
        <w:ind w:left="720" w:hanging="360"/>
      </w:pPr>
      <w:rPr>
        <w:rFonts w:ascii="Symbol" w:hAnsi="Symbol" w:hint="default"/>
      </w:rPr>
    </w:lvl>
    <w:lvl w:ilvl="1" w:tplc="F24AAE7A">
      <w:start w:val="1"/>
      <w:numFmt w:val="bullet"/>
      <w:lvlText w:val="o"/>
      <w:lvlJc w:val="left"/>
      <w:pPr>
        <w:ind w:left="1440" w:hanging="360"/>
      </w:pPr>
      <w:rPr>
        <w:rFonts w:ascii="Courier New" w:hAnsi="Courier New" w:hint="default"/>
      </w:rPr>
    </w:lvl>
    <w:lvl w:ilvl="2" w:tplc="ED3CC342">
      <w:start w:val="1"/>
      <w:numFmt w:val="bullet"/>
      <w:lvlText w:val=""/>
      <w:lvlJc w:val="left"/>
      <w:pPr>
        <w:ind w:left="2160" w:hanging="360"/>
      </w:pPr>
      <w:rPr>
        <w:rFonts w:ascii="Wingdings" w:hAnsi="Wingdings" w:hint="default"/>
      </w:rPr>
    </w:lvl>
    <w:lvl w:ilvl="3" w:tplc="51EAFF50">
      <w:start w:val="1"/>
      <w:numFmt w:val="bullet"/>
      <w:lvlText w:val=""/>
      <w:lvlJc w:val="left"/>
      <w:pPr>
        <w:ind w:left="2880" w:hanging="360"/>
      </w:pPr>
      <w:rPr>
        <w:rFonts w:ascii="Symbol" w:hAnsi="Symbol" w:hint="default"/>
      </w:rPr>
    </w:lvl>
    <w:lvl w:ilvl="4" w:tplc="594870AC">
      <w:start w:val="1"/>
      <w:numFmt w:val="bullet"/>
      <w:lvlText w:val="o"/>
      <w:lvlJc w:val="left"/>
      <w:pPr>
        <w:ind w:left="3600" w:hanging="360"/>
      </w:pPr>
      <w:rPr>
        <w:rFonts w:ascii="Courier New" w:hAnsi="Courier New" w:hint="default"/>
      </w:rPr>
    </w:lvl>
    <w:lvl w:ilvl="5" w:tplc="EF180952">
      <w:start w:val="1"/>
      <w:numFmt w:val="bullet"/>
      <w:lvlText w:val=""/>
      <w:lvlJc w:val="left"/>
      <w:pPr>
        <w:ind w:left="4320" w:hanging="360"/>
      </w:pPr>
      <w:rPr>
        <w:rFonts w:ascii="Wingdings" w:hAnsi="Wingdings" w:hint="default"/>
      </w:rPr>
    </w:lvl>
    <w:lvl w:ilvl="6" w:tplc="D8F025E0">
      <w:start w:val="1"/>
      <w:numFmt w:val="bullet"/>
      <w:lvlText w:val=""/>
      <w:lvlJc w:val="left"/>
      <w:pPr>
        <w:ind w:left="5040" w:hanging="360"/>
      </w:pPr>
      <w:rPr>
        <w:rFonts w:ascii="Symbol" w:hAnsi="Symbol" w:hint="default"/>
      </w:rPr>
    </w:lvl>
    <w:lvl w:ilvl="7" w:tplc="77183D70">
      <w:start w:val="1"/>
      <w:numFmt w:val="bullet"/>
      <w:lvlText w:val="o"/>
      <w:lvlJc w:val="left"/>
      <w:pPr>
        <w:ind w:left="5760" w:hanging="360"/>
      </w:pPr>
      <w:rPr>
        <w:rFonts w:ascii="Courier New" w:hAnsi="Courier New" w:hint="default"/>
      </w:rPr>
    </w:lvl>
    <w:lvl w:ilvl="8" w:tplc="7C1CCF8E">
      <w:start w:val="1"/>
      <w:numFmt w:val="bullet"/>
      <w:lvlText w:val=""/>
      <w:lvlJc w:val="left"/>
      <w:pPr>
        <w:ind w:left="6480" w:hanging="360"/>
      </w:pPr>
      <w:rPr>
        <w:rFonts w:ascii="Wingdings" w:hAnsi="Wingdings" w:hint="default"/>
      </w:rPr>
    </w:lvl>
  </w:abstractNum>
  <w:abstractNum w:abstractNumId="15" w15:restartNumberingAfterBreak="0">
    <w:nsid w:val="4E9C0434"/>
    <w:multiLevelType w:val="multilevel"/>
    <w:tmpl w:val="4E9C0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7D5C63"/>
    <w:multiLevelType w:val="hybridMultilevel"/>
    <w:tmpl w:val="C4CC473E"/>
    <w:lvl w:ilvl="0" w:tplc="FFFFFFFF">
      <w:start w:val="1"/>
      <w:numFmt w:val="decimal"/>
      <w:lvlText w:val="%1."/>
      <w:lvlJc w:val="left"/>
      <w:pPr>
        <w:ind w:left="720" w:hanging="360"/>
      </w:pPr>
      <w:rPr>
        <w:rFonts w:ascii="Times New Roman" w:hAnsi="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93FDB"/>
    <w:multiLevelType w:val="multilevel"/>
    <w:tmpl w:val="5BE93F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B990E5C"/>
    <w:multiLevelType w:val="multilevel"/>
    <w:tmpl w:val="6B990E5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C9D757F"/>
    <w:multiLevelType w:val="hybridMultilevel"/>
    <w:tmpl w:val="369C71B2"/>
    <w:lvl w:ilvl="0" w:tplc="565ED672">
      <w:start w:val="1"/>
      <w:numFmt w:val="bullet"/>
      <w:lvlText w:val=""/>
      <w:lvlJc w:val="left"/>
      <w:pPr>
        <w:ind w:left="720" w:hanging="360"/>
      </w:pPr>
      <w:rPr>
        <w:rFonts w:ascii="Symbol" w:hAnsi="Symbol" w:hint="default"/>
      </w:rPr>
    </w:lvl>
    <w:lvl w:ilvl="1" w:tplc="5852C15C">
      <w:start w:val="1"/>
      <w:numFmt w:val="bullet"/>
      <w:lvlText w:val="o"/>
      <w:lvlJc w:val="left"/>
      <w:pPr>
        <w:ind w:left="1440" w:hanging="360"/>
      </w:pPr>
      <w:rPr>
        <w:rFonts w:ascii="Courier New" w:hAnsi="Courier New" w:hint="default"/>
      </w:rPr>
    </w:lvl>
    <w:lvl w:ilvl="2" w:tplc="7A24267A">
      <w:start w:val="1"/>
      <w:numFmt w:val="bullet"/>
      <w:lvlText w:val=""/>
      <w:lvlJc w:val="left"/>
      <w:pPr>
        <w:ind w:left="2160" w:hanging="360"/>
      </w:pPr>
      <w:rPr>
        <w:rFonts w:ascii="Wingdings" w:hAnsi="Wingdings" w:hint="default"/>
      </w:rPr>
    </w:lvl>
    <w:lvl w:ilvl="3" w:tplc="8D660126">
      <w:start w:val="1"/>
      <w:numFmt w:val="bullet"/>
      <w:lvlText w:val=""/>
      <w:lvlJc w:val="left"/>
      <w:pPr>
        <w:ind w:left="2880" w:hanging="360"/>
      </w:pPr>
      <w:rPr>
        <w:rFonts w:ascii="Symbol" w:hAnsi="Symbol" w:hint="default"/>
      </w:rPr>
    </w:lvl>
    <w:lvl w:ilvl="4" w:tplc="7DE2E54A">
      <w:start w:val="1"/>
      <w:numFmt w:val="bullet"/>
      <w:lvlText w:val="o"/>
      <w:lvlJc w:val="left"/>
      <w:pPr>
        <w:ind w:left="3600" w:hanging="360"/>
      </w:pPr>
      <w:rPr>
        <w:rFonts w:ascii="Courier New" w:hAnsi="Courier New" w:hint="default"/>
      </w:rPr>
    </w:lvl>
    <w:lvl w:ilvl="5" w:tplc="DB000894">
      <w:start w:val="1"/>
      <w:numFmt w:val="bullet"/>
      <w:lvlText w:val=""/>
      <w:lvlJc w:val="left"/>
      <w:pPr>
        <w:ind w:left="4320" w:hanging="360"/>
      </w:pPr>
      <w:rPr>
        <w:rFonts w:ascii="Wingdings" w:hAnsi="Wingdings" w:hint="default"/>
      </w:rPr>
    </w:lvl>
    <w:lvl w:ilvl="6" w:tplc="7D580EA2">
      <w:start w:val="1"/>
      <w:numFmt w:val="bullet"/>
      <w:lvlText w:val=""/>
      <w:lvlJc w:val="left"/>
      <w:pPr>
        <w:ind w:left="5040" w:hanging="360"/>
      </w:pPr>
      <w:rPr>
        <w:rFonts w:ascii="Symbol" w:hAnsi="Symbol" w:hint="default"/>
      </w:rPr>
    </w:lvl>
    <w:lvl w:ilvl="7" w:tplc="C900B3DA">
      <w:start w:val="1"/>
      <w:numFmt w:val="bullet"/>
      <w:lvlText w:val="o"/>
      <w:lvlJc w:val="left"/>
      <w:pPr>
        <w:ind w:left="5760" w:hanging="360"/>
      </w:pPr>
      <w:rPr>
        <w:rFonts w:ascii="Courier New" w:hAnsi="Courier New" w:hint="default"/>
      </w:rPr>
    </w:lvl>
    <w:lvl w:ilvl="8" w:tplc="585E7C7E">
      <w:start w:val="1"/>
      <w:numFmt w:val="bullet"/>
      <w:lvlText w:val=""/>
      <w:lvlJc w:val="left"/>
      <w:pPr>
        <w:ind w:left="6480" w:hanging="360"/>
      </w:pPr>
      <w:rPr>
        <w:rFonts w:ascii="Wingdings" w:hAnsi="Wingdings" w:hint="default"/>
      </w:rPr>
    </w:lvl>
  </w:abstractNum>
  <w:abstractNum w:abstractNumId="20" w15:restartNumberingAfterBreak="0">
    <w:nsid w:val="764B0CD8"/>
    <w:multiLevelType w:val="multilevel"/>
    <w:tmpl w:val="880CA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7DD2B7"/>
    <w:multiLevelType w:val="hybridMultilevel"/>
    <w:tmpl w:val="C652DC68"/>
    <w:lvl w:ilvl="0" w:tplc="2340A27C">
      <w:start w:val="1"/>
      <w:numFmt w:val="decimal"/>
      <w:lvlText w:val="%1."/>
      <w:lvlJc w:val="left"/>
      <w:pPr>
        <w:ind w:left="720" w:hanging="360"/>
      </w:pPr>
    </w:lvl>
    <w:lvl w:ilvl="1" w:tplc="E4F0889A">
      <w:start w:val="1"/>
      <w:numFmt w:val="lowerLetter"/>
      <w:lvlText w:val="%2."/>
      <w:lvlJc w:val="left"/>
      <w:pPr>
        <w:ind w:left="1440" w:hanging="360"/>
      </w:pPr>
    </w:lvl>
    <w:lvl w:ilvl="2" w:tplc="0D805C46">
      <w:start w:val="1"/>
      <w:numFmt w:val="lowerRoman"/>
      <w:lvlText w:val="%3."/>
      <w:lvlJc w:val="right"/>
      <w:pPr>
        <w:ind w:left="2160" w:hanging="180"/>
      </w:pPr>
    </w:lvl>
    <w:lvl w:ilvl="3" w:tplc="555E810C">
      <w:start w:val="1"/>
      <w:numFmt w:val="decimal"/>
      <w:lvlText w:val="%4."/>
      <w:lvlJc w:val="left"/>
      <w:pPr>
        <w:ind w:left="2880" w:hanging="360"/>
      </w:pPr>
    </w:lvl>
    <w:lvl w:ilvl="4" w:tplc="10DE8C00">
      <w:start w:val="1"/>
      <w:numFmt w:val="lowerLetter"/>
      <w:lvlText w:val="%5."/>
      <w:lvlJc w:val="left"/>
      <w:pPr>
        <w:ind w:left="3600" w:hanging="360"/>
      </w:pPr>
    </w:lvl>
    <w:lvl w:ilvl="5" w:tplc="8162FA0E">
      <w:start w:val="1"/>
      <w:numFmt w:val="lowerRoman"/>
      <w:lvlText w:val="%6."/>
      <w:lvlJc w:val="right"/>
      <w:pPr>
        <w:ind w:left="4320" w:hanging="180"/>
      </w:pPr>
    </w:lvl>
    <w:lvl w:ilvl="6" w:tplc="975AE63C">
      <w:start w:val="1"/>
      <w:numFmt w:val="decimal"/>
      <w:lvlText w:val="%7."/>
      <w:lvlJc w:val="left"/>
      <w:pPr>
        <w:ind w:left="5040" w:hanging="360"/>
      </w:pPr>
    </w:lvl>
    <w:lvl w:ilvl="7" w:tplc="0A5CB214">
      <w:start w:val="1"/>
      <w:numFmt w:val="lowerLetter"/>
      <w:lvlText w:val="%8."/>
      <w:lvlJc w:val="left"/>
      <w:pPr>
        <w:ind w:left="5760" w:hanging="360"/>
      </w:pPr>
    </w:lvl>
    <w:lvl w:ilvl="8" w:tplc="19A08BAA">
      <w:start w:val="1"/>
      <w:numFmt w:val="lowerRoman"/>
      <w:lvlText w:val="%9."/>
      <w:lvlJc w:val="right"/>
      <w:pPr>
        <w:ind w:left="6480" w:hanging="180"/>
      </w:pPr>
    </w:lvl>
  </w:abstractNum>
  <w:abstractNum w:abstractNumId="22" w15:restartNumberingAfterBreak="0">
    <w:nsid w:val="7A9A460F"/>
    <w:multiLevelType w:val="multilevel"/>
    <w:tmpl w:val="7A9A46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2EE3D3"/>
    <w:multiLevelType w:val="hybridMultilevel"/>
    <w:tmpl w:val="9BAE09FE"/>
    <w:lvl w:ilvl="0" w:tplc="C7D2532A">
      <w:start w:val="1"/>
      <w:numFmt w:val="bullet"/>
      <w:lvlText w:val=""/>
      <w:lvlJc w:val="left"/>
      <w:pPr>
        <w:ind w:left="720" w:hanging="360"/>
      </w:pPr>
      <w:rPr>
        <w:rFonts w:ascii="Symbol" w:hAnsi="Symbol" w:hint="default"/>
      </w:rPr>
    </w:lvl>
    <w:lvl w:ilvl="1" w:tplc="D3E69592">
      <w:start w:val="1"/>
      <w:numFmt w:val="bullet"/>
      <w:lvlText w:val="o"/>
      <w:lvlJc w:val="left"/>
      <w:pPr>
        <w:ind w:left="1440" w:hanging="360"/>
      </w:pPr>
      <w:rPr>
        <w:rFonts w:ascii="Courier New" w:hAnsi="Courier New" w:hint="default"/>
      </w:rPr>
    </w:lvl>
    <w:lvl w:ilvl="2" w:tplc="7F880DE2">
      <w:start w:val="1"/>
      <w:numFmt w:val="bullet"/>
      <w:lvlText w:val=""/>
      <w:lvlJc w:val="left"/>
      <w:pPr>
        <w:ind w:left="2160" w:hanging="360"/>
      </w:pPr>
      <w:rPr>
        <w:rFonts w:ascii="Wingdings" w:hAnsi="Wingdings" w:hint="default"/>
      </w:rPr>
    </w:lvl>
    <w:lvl w:ilvl="3" w:tplc="D442A4DE">
      <w:start w:val="1"/>
      <w:numFmt w:val="bullet"/>
      <w:lvlText w:val=""/>
      <w:lvlJc w:val="left"/>
      <w:pPr>
        <w:ind w:left="2880" w:hanging="360"/>
      </w:pPr>
      <w:rPr>
        <w:rFonts w:ascii="Symbol" w:hAnsi="Symbol" w:hint="default"/>
      </w:rPr>
    </w:lvl>
    <w:lvl w:ilvl="4" w:tplc="6F2C5870">
      <w:start w:val="1"/>
      <w:numFmt w:val="bullet"/>
      <w:lvlText w:val="o"/>
      <w:lvlJc w:val="left"/>
      <w:pPr>
        <w:ind w:left="3600" w:hanging="360"/>
      </w:pPr>
      <w:rPr>
        <w:rFonts w:ascii="Courier New" w:hAnsi="Courier New" w:hint="default"/>
      </w:rPr>
    </w:lvl>
    <w:lvl w:ilvl="5" w:tplc="4DBED688">
      <w:start w:val="1"/>
      <w:numFmt w:val="bullet"/>
      <w:lvlText w:val=""/>
      <w:lvlJc w:val="left"/>
      <w:pPr>
        <w:ind w:left="4320" w:hanging="360"/>
      </w:pPr>
      <w:rPr>
        <w:rFonts w:ascii="Wingdings" w:hAnsi="Wingdings" w:hint="default"/>
      </w:rPr>
    </w:lvl>
    <w:lvl w:ilvl="6" w:tplc="A18856E6">
      <w:start w:val="1"/>
      <w:numFmt w:val="bullet"/>
      <w:lvlText w:val=""/>
      <w:lvlJc w:val="left"/>
      <w:pPr>
        <w:ind w:left="5040" w:hanging="360"/>
      </w:pPr>
      <w:rPr>
        <w:rFonts w:ascii="Symbol" w:hAnsi="Symbol" w:hint="default"/>
      </w:rPr>
    </w:lvl>
    <w:lvl w:ilvl="7" w:tplc="353EE416">
      <w:start w:val="1"/>
      <w:numFmt w:val="bullet"/>
      <w:lvlText w:val="o"/>
      <w:lvlJc w:val="left"/>
      <w:pPr>
        <w:ind w:left="5760" w:hanging="360"/>
      </w:pPr>
      <w:rPr>
        <w:rFonts w:ascii="Courier New" w:hAnsi="Courier New" w:hint="default"/>
      </w:rPr>
    </w:lvl>
    <w:lvl w:ilvl="8" w:tplc="BACC9260">
      <w:start w:val="1"/>
      <w:numFmt w:val="bullet"/>
      <w:lvlText w:val=""/>
      <w:lvlJc w:val="left"/>
      <w:pPr>
        <w:ind w:left="6480" w:hanging="360"/>
      </w:pPr>
      <w:rPr>
        <w:rFonts w:ascii="Wingdings" w:hAnsi="Wingdings" w:hint="default"/>
      </w:rPr>
    </w:lvl>
  </w:abstractNum>
  <w:num w:numId="1" w16cid:durableId="1141970358">
    <w:abstractNumId w:val="7"/>
  </w:num>
  <w:num w:numId="2" w16cid:durableId="953948236">
    <w:abstractNumId w:val="21"/>
  </w:num>
  <w:num w:numId="3" w16cid:durableId="295139231">
    <w:abstractNumId w:val="5"/>
  </w:num>
  <w:num w:numId="4" w16cid:durableId="915742745">
    <w:abstractNumId w:val="12"/>
  </w:num>
  <w:num w:numId="5" w16cid:durableId="1227185343">
    <w:abstractNumId w:val="13"/>
  </w:num>
  <w:num w:numId="6" w16cid:durableId="715858077">
    <w:abstractNumId w:val="9"/>
  </w:num>
  <w:num w:numId="7" w16cid:durableId="510602845">
    <w:abstractNumId w:val="10"/>
  </w:num>
  <w:num w:numId="8" w16cid:durableId="1512601292">
    <w:abstractNumId w:val="4"/>
  </w:num>
  <w:num w:numId="9" w16cid:durableId="145752256">
    <w:abstractNumId w:val="14"/>
  </w:num>
  <w:num w:numId="10" w16cid:durableId="70855993">
    <w:abstractNumId w:val="11"/>
  </w:num>
  <w:num w:numId="11" w16cid:durableId="1149248241">
    <w:abstractNumId w:val="8"/>
  </w:num>
  <w:num w:numId="12" w16cid:durableId="1038239596">
    <w:abstractNumId w:val="23"/>
  </w:num>
  <w:num w:numId="13" w16cid:durableId="589314954">
    <w:abstractNumId w:val="19"/>
  </w:num>
  <w:num w:numId="14" w16cid:durableId="622929879">
    <w:abstractNumId w:val="0"/>
  </w:num>
  <w:num w:numId="15" w16cid:durableId="684942319">
    <w:abstractNumId w:val="20"/>
  </w:num>
  <w:num w:numId="16" w16cid:durableId="903830028">
    <w:abstractNumId w:val="6"/>
  </w:num>
  <w:num w:numId="17" w16cid:durableId="1435402199">
    <w:abstractNumId w:val="17"/>
  </w:num>
  <w:num w:numId="18" w16cid:durableId="722486277">
    <w:abstractNumId w:val="22"/>
  </w:num>
  <w:num w:numId="19" w16cid:durableId="1202204586">
    <w:abstractNumId w:val="15"/>
  </w:num>
  <w:num w:numId="20" w16cid:durableId="1267617184">
    <w:abstractNumId w:val="1"/>
  </w:num>
  <w:num w:numId="21" w16cid:durableId="833491352">
    <w:abstractNumId w:val="2"/>
  </w:num>
  <w:num w:numId="22" w16cid:durableId="681975405">
    <w:abstractNumId w:val="3"/>
  </w:num>
  <w:num w:numId="23" w16cid:durableId="2083287044">
    <w:abstractNumId w:val="18"/>
  </w:num>
  <w:num w:numId="24" w16cid:durableId="1465350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98"/>
    <w:rsid w:val="00003922"/>
    <w:rsid w:val="000136E6"/>
    <w:rsid w:val="00030EBF"/>
    <w:rsid w:val="0003469D"/>
    <w:rsid w:val="0004235A"/>
    <w:rsid w:val="000540AB"/>
    <w:rsid w:val="00064A7F"/>
    <w:rsid w:val="00087927"/>
    <w:rsid w:val="000949D1"/>
    <w:rsid w:val="000B2272"/>
    <w:rsid w:val="000B2703"/>
    <w:rsid w:val="000B3AA9"/>
    <w:rsid w:val="000B7525"/>
    <w:rsid w:val="000C5C4E"/>
    <w:rsid w:val="000D20E2"/>
    <w:rsid w:val="000D31E0"/>
    <w:rsid w:val="000D4098"/>
    <w:rsid w:val="000E7A3F"/>
    <w:rsid w:val="000F5F0E"/>
    <w:rsid w:val="00105F3A"/>
    <w:rsid w:val="00140F48"/>
    <w:rsid w:val="00141131"/>
    <w:rsid w:val="0014124D"/>
    <w:rsid w:val="00144513"/>
    <w:rsid w:val="00145C1D"/>
    <w:rsid w:val="00151BFA"/>
    <w:rsid w:val="001525B1"/>
    <w:rsid w:val="001527C7"/>
    <w:rsid w:val="00170FBF"/>
    <w:rsid w:val="00177079"/>
    <w:rsid w:val="00185F74"/>
    <w:rsid w:val="00194751"/>
    <w:rsid w:val="001B5653"/>
    <w:rsid w:val="001D42EF"/>
    <w:rsid w:val="001E77FC"/>
    <w:rsid w:val="001F504E"/>
    <w:rsid w:val="001F6B9B"/>
    <w:rsid w:val="00226B6C"/>
    <w:rsid w:val="00256ECD"/>
    <w:rsid w:val="00261943"/>
    <w:rsid w:val="00264E93"/>
    <w:rsid w:val="002654E0"/>
    <w:rsid w:val="002901E1"/>
    <w:rsid w:val="00293CBC"/>
    <w:rsid w:val="002B145E"/>
    <w:rsid w:val="002B5E84"/>
    <w:rsid w:val="002D651C"/>
    <w:rsid w:val="002E746E"/>
    <w:rsid w:val="002F2F74"/>
    <w:rsid w:val="002F63A7"/>
    <w:rsid w:val="00301F01"/>
    <w:rsid w:val="003370CC"/>
    <w:rsid w:val="00337497"/>
    <w:rsid w:val="00337900"/>
    <w:rsid w:val="00341A60"/>
    <w:rsid w:val="003569FA"/>
    <w:rsid w:val="003640C6"/>
    <w:rsid w:val="00364919"/>
    <w:rsid w:val="003651A2"/>
    <w:rsid w:val="00372FC8"/>
    <w:rsid w:val="003A27BD"/>
    <w:rsid w:val="003C44FD"/>
    <w:rsid w:val="003C7F7E"/>
    <w:rsid w:val="003D4919"/>
    <w:rsid w:val="003F0477"/>
    <w:rsid w:val="003F5F9C"/>
    <w:rsid w:val="004026CD"/>
    <w:rsid w:val="004117D3"/>
    <w:rsid w:val="00414359"/>
    <w:rsid w:val="00417E9B"/>
    <w:rsid w:val="00420C88"/>
    <w:rsid w:val="00427F07"/>
    <w:rsid w:val="004608BA"/>
    <w:rsid w:val="00466F49"/>
    <w:rsid w:val="0046778D"/>
    <w:rsid w:val="00480058"/>
    <w:rsid w:val="00485962"/>
    <w:rsid w:val="00493FF5"/>
    <w:rsid w:val="004B05C5"/>
    <w:rsid w:val="004C72E6"/>
    <w:rsid w:val="004F2FE1"/>
    <w:rsid w:val="004F74CB"/>
    <w:rsid w:val="005018FA"/>
    <w:rsid w:val="00505916"/>
    <w:rsid w:val="00507391"/>
    <w:rsid w:val="00522C06"/>
    <w:rsid w:val="00535367"/>
    <w:rsid w:val="005459B7"/>
    <w:rsid w:val="005639DF"/>
    <w:rsid w:val="00584B0C"/>
    <w:rsid w:val="005876A7"/>
    <w:rsid w:val="005A1E29"/>
    <w:rsid w:val="005D0A86"/>
    <w:rsid w:val="005E69B5"/>
    <w:rsid w:val="005F640A"/>
    <w:rsid w:val="0060079A"/>
    <w:rsid w:val="00616C51"/>
    <w:rsid w:val="00626D87"/>
    <w:rsid w:val="00640414"/>
    <w:rsid w:val="00640AD3"/>
    <w:rsid w:val="006456F7"/>
    <w:rsid w:val="006472BC"/>
    <w:rsid w:val="0065307F"/>
    <w:rsid w:val="0067758A"/>
    <w:rsid w:val="006953F3"/>
    <w:rsid w:val="006A0F95"/>
    <w:rsid w:val="006A5C27"/>
    <w:rsid w:val="006F1976"/>
    <w:rsid w:val="006F332F"/>
    <w:rsid w:val="007040DD"/>
    <w:rsid w:val="00722602"/>
    <w:rsid w:val="00731323"/>
    <w:rsid w:val="00735861"/>
    <w:rsid w:val="0073672E"/>
    <w:rsid w:val="00737CB9"/>
    <w:rsid w:val="007544A5"/>
    <w:rsid w:val="007611DE"/>
    <w:rsid w:val="00767B9E"/>
    <w:rsid w:val="00772A37"/>
    <w:rsid w:val="00781D93"/>
    <w:rsid w:val="00794881"/>
    <w:rsid w:val="00797FD4"/>
    <w:rsid w:val="007B3A70"/>
    <w:rsid w:val="007D53BD"/>
    <w:rsid w:val="007D789A"/>
    <w:rsid w:val="007E1243"/>
    <w:rsid w:val="007E3E1D"/>
    <w:rsid w:val="007F7161"/>
    <w:rsid w:val="0080562B"/>
    <w:rsid w:val="00806478"/>
    <w:rsid w:val="0081463F"/>
    <w:rsid w:val="00815FC8"/>
    <w:rsid w:val="00821BF7"/>
    <w:rsid w:val="008406B0"/>
    <w:rsid w:val="00840B53"/>
    <w:rsid w:val="008421E2"/>
    <w:rsid w:val="0084502E"/>
    <w:rsid w:val="00852D10"/>
    <w:rsid w:val="00861C5F"/>
    <w:rsid w:val="00891172"/>
    <w:rsid w:val="00891AE4"/>
    <w:rsid w:val="00891CA4"/>
    <w:rsid w:val="00897EB1"/>
    <w:rsid w:val="008A45F3"/>
    <w:rsid w:val="008A7803"/>
    <w:rsid w:val="008B6CFF"/>
    <w:rsid w:val="008D73A1"/>
    <w:rsid w:val="008E5F65"/>
    <w:rsid w:val="008F786C"/>
    <w:rsid w:val="008F7E61"/>
    <w:rsid w:val="00903990"/>
    <w:rsid w:val="009039CF"/>
    <w:rsid w:val="00921DAF"/>
    <w:rsid w:val="00937975"/>
    <w:rsid w:val="00953710"/>
    <w:rsid w:val="00981C06"/>
    <w:rsid w:val="00981EF7"/>
    <w:rsid w:val="00990F32"/>
    <w:rsid w:val="009A3092"/>
    <w:rsid w:val="009B3953"/>
    <w:rsid w:val="009C61F8"/>
    <w:rsid w:val="009F12D3"/>
    <w:rsid w:val="00A145E3"/>
    <w:rsid w:val="00A152D2"/>
    <w:rsid w:val="00A1609F"/>
    <w:rsid w:val="00A219A7"/>
    <w:rsid w:val="00A34EFD"/>
    <w:rsid w:val="00A36826"/>
    <w:rsid w:val="00A36F4B"/>
    <w:rsid w:val="00A42CE7"/>
    <w:rsid w:val="00A44A8D"/>
    <w:rsid w:val="00A560F3"/>
    <w:rsid w:val="00A65C25"/>
    <w:rsid w:val="00A664A2"/>
    <w:rsid w:val="00A66FE4"/>
    <w:rsid w:val="00A73203"/>
    <w:rsid w:val="00A91DB2"/>
    <w:rsid w:val="00A93494"/>
    <w:rsid w:val="00A97186"/>
    <w:rsid w:val="00AA0592"/>
    <w:rsid w:val="00AD362B"/>
    <w:rsid w:val="00AE7770"/>
    <w:rsid w:val="00AF5586"/>
    <w:rsid w:val="00B04643"/>
    <w:rsid w:val="00B067F0"/>
    <w:rsid w:val="00B07C86"/>
    <w:rsid w:val="00B15914"/>
    <w:rsid w:val="00B40B11"/>
    <w:rsid w:val="00B5079A"/>
    <w:rsid w:val="00B61F95"/>
    <w:rsid w:val="00B63550"/>
    <w:rsid w:val="00B84B92"/>
    <w:rsid w:val="00B90384"/>
    <w:rsid w:val="00BB037D"/>
    <w:rsid w:val="00BB1735"/>
    <w:rsid w:val="00BB232D"/>
    <w:rsid w:val="00BB31D1"/>
    <w:rsid w:val="00BD2D3E"/>
    <w:rsid w:val="00BD419D"/>
    <w:rsid w:val="00BD692B"/>
    <w:rsid w:val="00BE2CC1"/>
    <w:rsid w:val="00BF48C5"/>
    <w:rsid w:val="00C01AF9"/>
    <w:rsid w:val="00C17391"/>
    <w:rsid w:val="00C22273"/>
    <w:rsid w:val="00C52D34"/>
    <w:rsid w:val="00C53537"/>
    <w:rsid w:val="00C615CB"/>
    <w:rsid w:val="00C741AF"/>
    <w:rsid w:val="00C97608"/>
    <w:rsid w:val="00CA2530"/>
    <w:rsid w:val="00CB3061"/>
    <w:rsid w:val="00CB38DD"/>
    <w:rsid w:val="00CB603D"/>
    <w:rsid w:val="00CC2271"/>
    <w:rsid w:val="00CC2809"/>
    <w:rsid w:val="00CC31B4"/>
    <w:rsid w:val="00CC6BF5"/>
    <w:rsid w:val="00CF1AA6"/>
    <w:rsid w:val="00CF7B60"/>
    <w:rsid w:val="00D04C1A"/>
    <w:rsid w:val="00D1212E"/>
    <w:rsid w:val="00D257AF"/>
    <w:rsid w:val="00D53C3B"/>
    <w:rsid w:val="00D72B53"/>
    <w:rsid w:val="00D9016E"/>
    <w:rsid w:val="00D917CB"/>
    <w:rsid w:val="00D948FF"/>
    <w:rsid w:val="00D95C41"/>
    <w:rsid w:val="00DA066D"/>
    <w:rsid w:val="00DA6AB4"/>
    <w:rsid w:val="00DE152F"/>
    <w:rsid w:val="00DE377E"/>
    <w:rsid w:val="00DF06CD"/>
    <w:rsid w:val="00E1518C"/>
    <w:rsid w:val="00E2152C"/>
    <w:rsid w:val="00E34962"/>
    <w:rsid w:val="00E52A44"/>
    <w:rsid w:val="00E64924"/>
    <w:rsid w:val="00E663BD"/>
    <w:rsid w:val="00E67BB3"/>
    <w:rsid w:val="00E86C0B"/>
    <w:rsid w:val="00E97085"/>
    <w:rsid w:val="00E97BEC"/>
    <w:rsid w:val="00EA4D51"/>
    <w:rsid w:val="00EC3469"/>
    <w:rsid w:val="00EF2534"/>
    <w:rsid w:val="00EF635D"/>
    <w:rsid w:val="00EF6BEF"/>
    <w:rsid w:val="00EF7E9D"/>
    <w:rsid w:val="00F073A5"/>
    <w:rsid w:val="00F262FF"/>
    <w:rsid w:val="00F274CE"/>
    <w:rsid w:val="00F3193E"/>
    <w:rsid w:val="00F34618"/>
    <w:rsid w:val="00F36BE8"/>
    <w:rsid w:val="00F52643"/>
    <w:rsid w:val="00F6059D"/>
    <w:rsid w:val="00F64067"/>
    <w:rsid w:val="00F765FE"/>
    <w:rsid w:val="00F77907"/>
    <w:rsid w:val="00F95C5C"/>
    <w:rsid w:val="00F95D73"/>
    <w:rsid w:val="00FA264D"/>
    <w:rsid w:val="00FA545D"/>
    <w:rsid w:val="00FA7142"/>
    <w:rsid w:val="00FD7D5B"/>
    <w:rsid w:val="00FE4BF3"/>
    <w:rsid w:val="00FE7A4A"/>
    <w:rsid w:val="00FF3928"/>
    <w:rsid w:val="48585CDC"/>
    <w:rsid w:val="6E5E01E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6A8D"/>
  <w15:chartTrackingRefBased/>
  <w15:docId w15:val="{E9F5ED22-4BB4-E244-B4A8-1C2E791F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98"/>
    <w:rPr>
      <w:rFonts w:eastAsiaTheme="minorEastAsia"/>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0D4098"/>
    <w:rPr>
      <w:rFonts w:ascii="Arial" w:eastAsia="SimHei" w:hAnsi="Arial" w:cs="Arial"/>
      <w:sz w:val="20"/>
    </w:rPr>
  </w:style>
  <w:style w:type="character" w:styleId="CommentReference">
    <w:name w:val="annotation reference"/>
    <w:basedOn w:val="DefaultParagraphFont"/>
    <w:uiPriority w:val="99"/>
    <w:semiHidden/>
    <w:unhideWhenUsed/>
    <w:rsid w:val="000D4098"/>
    <w:rPr>
      <w:sz w:val="16"/>
      <w:szCs w:val="16"/>
    </w:rPr>
  </w:style>
  <w:style w:type="character" w:styleId="Hyperlink">
    <w:name w:val="Hyperlink"/>
    <w:basedOn w:val="DefaultParagraphFont"/>
    <w:uiPriority w:val="99"/>
    <w:unhideWhenUsed/>
    <w:qFormat/>
    <w:rsid w:val="000D4098"/>
    <w:rPr>
      <w:color w:val="0000FF"/>
      <w:u w:val="single"/>
    </w:rPr>
  </w:style>
  <w:style w:type="paragraph" w:styleId="NormalWeb">
    <w:name w:val="Normal (Web)"/>
    <w:basedOn w:val="Normal"/>
    <w:uiPriority w:val="99"/>
    <w:unhideWhenUsed/>
    <w:rsid w:val="000D409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0D4098"/>
    <w:pPr>
      <w:ind w:left="720"/>
      <w:contextualSpacing/>
    </w:pPr>
    <w:rPr>
      <w:rFonts w:eastAsiaTheme="minorHAnsi"/>
      <w:sz w:val="24"/>
      <w:szCs w:val="24"/>
      <w:lang w:eastAsia="en-US"/>
    </w:rPr>
  </w:style>
  <w:style w:type="character" w:customStyle="1" w:styleId="apple-converted-space">
    <w:name w:val="apple-converted-space"/>
    <w:basedOn w:val="DefaultParagraphFont"/>
    <w:rsid w:val="003F5F9C"/>
  </w:style>
  <w:style w:type="character" w:customStyle="1" w:styleId="ref-journal">
    <w:name w:val="ref-journal"/>
    <w:basedOn w:val="DefaultParagraphFont"/>
    <w:rsid w:val="003F5F9C"/>
  </w:style>
  <w:style w:type="character" w:customStyle="1" w:styleId="ref-vol">
    <w:name w:val="ref-vol"/>
    <w:basedOn w:val="DefaultParagraphFont"/>
    <w:rsid w:val="003F5F9C"/>
  </w:style>
  <w:style w:type="character" w:customStyle="1" w:styleId="ref-title">
    <w:name w:val="ref-title"/>
    <w:basedOn w:val="DefaultParagraphFont"/>
    <w:rsid w:val="003F5F9C"/>
  </w:style>
  <w:style w:type="character" w:customStyle="1" w:styleId="citation">
    <w:name w:val="citation"/>
    <w:basedOn w:val="DefaultParagraphFont"/>
    <w:rsid w:val="003F5F9C"/>
  </w:style>
  <w:style w:type="character" w:customStyle="1" w:styleId="nowrap">
    <w:name w:val="nowrap"/>
    <w:basedOn w:val="DefaultParagraphFont"/>
    <w:rsid w:val="003F5F9C"/>
  </w:style>
  <w:style w:type="character" w:styleId="Emphasis">
    <w:name w:val="Emphasis"/>
    <w:basedOn w:val="DefaultParagraphFont"/>
    <w:uiPriority w:val="20"/>
    <w:qFormat/>
    <w:rsid w:val="003F5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9975">
      <w:bodyDiv w:val="1"/>
      <w:marLeft w:val="0"/>
      <w:marRight w:val="0"/>
      <w:marTop w:val="0"/>
      <w:marBottom w:val="0"/>
      <w:divBdr>
        <w:top w:val="none" w:sz="0" w:space="0" w:color="auto"/>
        <w:left w:val="none" w:sz="0" w:space="0" w:color="auto"/>
        <w:bottom w:val="none" w:sz="0" w:space="0" w:color="auto"/>
        <w:right w:val="none" w:sz="0" w:space="0" w:color="auto"/>
      </w:divBdr>
    </w:div>
    <w:div w:id="212427347">
      <w:bodyDiv w:val="1"/>
      <w:marLeft w:val="0"/>
      <w:marRight w:val="0"/>
      <w:marTop w:val="0"/>
      <w:marBottom w:val="0"/>
      <w:divBdr>
        <w:top w:val="none" w:sz="0" w:space="0" w:color="auto"/>
        <w:left w:val="none" w:sz="0" w:space="0" w:color="auto"/>
        <w:bottom w:val="none" w:sz="0" w:space="0" w:color="auto"/>
        <w:right w:val="none" w:sz="0" w:space="0" w:color="auto"/>
      </w:divBdr>
    </w:div>
    <w:div w:id="229120785">
      <w:bodyDiv w:val="1"/>
      <w:marLeft w:val="0"/>
      <w:marRight w:val="0"/>
      <w:marTop w:val="0"/>
      <w:marBottom w:val="0"/>
      <w:divBdr>
        <w:top w:val="none" w:sz="0" w:space="0" w:color="auto"/>
        <w:left w:val="none" w:sz="0" w:space="0" w:color="auto"/>
        <w:bottom w:val="none" w:sz="0" w:space="0" w:color="auto"/>
        <w:right w:val="none" w:sz="0" w:space="0" w:color="auto"/>
      </w:divBdr>
    </w:div>
    <w:div w:id="316112753">
      <w:bodyDiv w:val="1"/>
      <w:marLeft w:val="0"/>
      <w:marRight w:val="0"/>
      <w:marTop w:val="0"/>
      <w:marBottom w:val="0"/>
      <w:divBdr>
        <w:top w:val="none" w:sz="0" w:space="0" w:color="auto"/>
        <w:left w:val="none" w:sz="0" w:space="0" w:color="auto"/>
        <w:bottom w:val="none" w:sz="0" w:space="0" w:color="auto"/>
        <w:right w:val="none" w:sz="0" w:space="0" w:color="auto"/>
      </w:divBdr>
    </w:div>
    <w:div w:id="333187780">
      <w:bodyDiv w:val="1"/>
      <w:marLeft w:val="0"/>
      <w:marRight w:val="0"/>
      <w:marTop w:val="0"/>
      <w:marBottom w:val="0"/>
      <w:divBdr>
        <w:top w:val="none" w:sz="0" w:space="0" w:color="auto"/>
        <w:left w:val="none" w:sz="0" w:space="0" w:color="auto"/>
        <w:bottom w:val="none" w:sz="0" w:space="0" w:color="auto"/>
        <w:right w:val="none" w:sz="0" w:space="0" w:color="auto"/>
      </w:divBdr>
    </w:div>
    <w:div w:id="404576347">
      <w:bodyDiv w:val="1"/>
      <w:marLeft w:val="0"/>
      <w:marRight w:val="0"/>
      <w:marTop w:val="0"/>
      <w:marBottom w:val="0"/>
      <w:divBdr>
        <w:top w:val="none" w:sz="0" w:space="0" w:color="auto"/>
        <w:left w:val="none" w:sz="0" w:space="0" w:color="auto"/>
        <w:bottom w:val="none" w:sz="0" w:space="0" w:color="auto"/>
        <w:right w:val="none" w:sz="0" w:space="0" w:color="auto"/>
      </w:divBdr>
    </w:div>
    <w:div w:id="586966697">
      <w:bodyDiv w:val="1"/>
      <w:marLeft w:val="0"/>
      <w:marRight w:val="0"/>
      <w:marTop w:val="0"/>
      <w:marBottom w:val="0"/>
      <w:divBdr>
        <w:top w:val="none" w:sz="0" w:space="0" w:color="auto"/>
        <w:left w:val="none" w:sz="0" w:space="0" w:color="auto"/>
        <w:bottom w:val="none" w:sz="0" w:space="0" w:color="auto"/>
        <w:right w:val="none" w:sz="0" w:space="0" w:color="auto"/>
      </w:divBdr>
    </w:div>
    <w:div w:id="637801368">
      <w:bodyDiv w:val="1"/>
      <w:marLeft w:val="0"/>
      <w:marRight w:val="0"/>
      <w:marTop w:val="0"/>
      <w:marBottom w:val="0"/>
      <w:divBdr>
        <w:top w:val="none" w:sz="0" w:space="0" w:color="auto"/>
        <w:left w:val="none" w:sz="0" w:space="0" w:color="auto"/>
        <w:bottom w:val="none" w:sz="0" w:space="0" w:color="auto"/>
        <w:right w:val="none" w:sz="0" w:space="0" w:color="auto"/>
      </w:divBdr>
    </w:div>
    <w:div w:id="654988213">
      <w:bodyDiv w:val="1"/>
      <w:marLeft w:val="0"/>
      <w:marRight w:val="0"/>
      <w:marTop w:val="0"/>
      <w:marBottom w:val="0"/>
      <w:divBdr>
        <w:top w:val="none" w:sz="0" w:space="0" w:color="auto"/>
        <w:left w:val="none" w:sz="0" w:space="0" w:color="auto"/>
        <w:bottom w:val="none" w:sz="0" w:space="0" w:color="auto"/>
        <w:right w:val="none" w:sz="0" w:space="0" w:color="auto"/>
      </w:divBdr>
    </w:div>
    <w:div w:id="730424866">
      <w:bodyDiv w:val="1"/>
      <w:marLeft w:val="0"/>
      <w:marRight w:val="0"/>
      <w:marTop w:val="0"/>
      <w:marBottom w:val="0"/>
      <w:divBdr>
        <w:top w:val="none" w:sz="0" w:space="0" w:color="auto"/>
        <w:left w:val="none" w:sz="0" w:space="0" w:color="auto"/>
        <w:bottom w:val="none" w:sz="0" w:space="0" w:color="auto"/>
        <w:right w:val="none" w:sz="0" w:space="0" w:color="auto"/>
      </w:divBdr>
    </w:div>
    <w:div w:id="812522993">
      <w:bodyDiv w:val="1"/>
      <w:marLeft w:val="0"/>
      <w:marRight w:val="0"/>
      <w:marTop w:val="0"/>
      <w:marBottom w:val="0"/>
      <w:divBdr>
        <w:top w:val="none" w:sz="0" w:space="0" w:color="auto"/>
        <w:left w:val="none" w:sz="0" w:space="0" w:color="auto"/>
        <w:bottom w:val="none" w:sz="0" w:space="0" w:color="auto"/>
        <w:right w:val="none" w:sz="0" w:space="0" w:color="auto"/>
      </w:divBdr>
    </w:div>
    <w:div w:id="826475387">
      <w:bodyDiv w:val="1"/>
      <w:marLeft w:val="0"/>
      <w:marRight w:val="0"/>
      <w:marTop w:val="0"/>
      <w:marBottom w:val="0"/>
      <w:divBdr>
        <w:top w:val="none" w:sz="0" w:space="0" w:color="auto"/>
        <w:left w:val="none" w:sz="0" w:space="0" w:color="auto"/>
        <w:bottom w:val="none" w:sz="0" w:space="0" w:color="auto"/>
        <w:right w:val="none" w:sz="0" w:space="0" w:color="auto"/>
      </w:divBdr>
    </w:div>
    <w:div w:id="838420848">
      <w:bodyDiv w:val="1"/>
      <w:marLeft w:val="0"/>
      <w:marRight w:val="0"/>
      <w:marTop w:val="0"/>
      <w:marBottom w:val="0"/>
      <w:divBdr>
        <w:top w:val="none" w:sz="0" w:space="0" w:color="auto"/>
        <w:left w:val="none" w:sz="0" w:space="0" w:color="auto"/>
        <w:bottom w:val="none" w:sz="0" w:space="0" w:color="auto"/>
        <w:right w:val="none" w:sz="0" w:space="0" w:color="auto"/>
      </w:divBdr>
    </w:div>
    <w:div w:id="881481411">
      <w:bodyDiv w:val="1"/>
      <w:marLeft w:val="0"/>
      <w:marRight w:val="0"/>
      <w:marTop w:val="0"/>
      <w:marBottom w:val="0"/>
      <w:divBdr>
        <w:top w:val="none" w:sz="0" w:space="0" w:color="auto"/>
        <w:left w:val="none" w:sz="0" w:space="0" w:color="auto"/>
        <w:bottom w:val="none" w:sz="0" w:space="0" w:color="auto"/>
        <w:right w:val="none" w:sz="0" w:space="0" w:color="auto"/>
      </w:divBdr>
    </w:div>
    <w:div w:id="930698135">
      <w:bodyDiv w:val="1"/>
      <w:marLeft w:val="0"/>
      <w:marRight w:val="0"/>
      <w:marTop w:val="0"/>
      <w:marBottom w:val="0"/>
      <w:divBdr>
        <w:top w:val="none" w:sz="0" w:space="0" w:color="auto"/>
        <w:left w:val="none" w:sz="0" w:space="0" w:color="auto"/>
        <w:bottom w:val="none" w:sz="0" w:space="0" w:color="auto"/>
        <w:right w:val="none" w:sz="0" w:space="0" w:color="auto"/>
      </w:divBdr>
    </w:div>
    <w:div w:id="1107502612">
      <w:bodyDiv w:val="1"/>
      <w:marLeft w:val="0"/>
      <w:marRight w:val="0"/>
      <w:marTop w:val="0"/>
      <w:marBottom w:val="0"/>
      <w:divBdr>
        <w:top w:val="none" w:sz="0" w:space="0" w:color="auto"/>
        <w:left w:val="none" w:sz="0" w:space="0" w:color="auto"/>
        <w:bottom w:val="none" w:sz="0" w:space="0" w:color="auto"/>
        <w:right w:val="none" w:sz="0" w:space="0" w:color="auto"/>
      </w:divBdr>
    </w:div>
    <w:div w:id="1129320030">
      <w:bodyDiv w:val="1"/>
      <w:marLeft w:val="0"/>
      <w:marRight w:val="0"/>
      <w:marTop w:val="0"/>
      <w:marBottom w:val="0"/>
      <w:divBdr>
        <w:top w:val="none" w:sz="0" w:space="0" w:color="auto"/>
        <w:left w:val="none" w:sz="0" w:space="0" w:color="auto"/>
        <w:bottom w:val="none" w:sz="0" w:space="0" w:color="auto"/>
        <w:right w:val="none" w:sz="0" w:space="0" w:color="auto"/>
      </w:divBdr>
    </w:div>
    <w:div w:id="1165631930">
      <w:bodyDiv w:val="1"/>
      <w:marLeft w:val="0"/>
      <w:marRight w:val="0"/>
      <w:marTop w:val="0"/>
      <w:marBottom w:val="0"/>
      <w:divBdr>
        <w:top w:val="none" w:sz="0" w:space="0" w:color="auto"/>
        <w:left w:val="none" w:sz="0" w:space="0" w:color="auto"/>
        <w:bottom w:val="none" w:sz="0" w:space="0" w:color="auto"/>
        <w:right w:val="none" w:sz="0" w:space="0" w:color="auto"/>
      </w:divBdr>
    </w:div>
    <w:div w:id="1203981248">
      <w:bodyDiv w:val="1"/>
      <w:marLeft w:val="0"/>
      <w:marRight w:val="0"/>
      <w:marTop w:val="0"/>
      <w:marBottom w:val="0"/>
      <w:divBdr>
        <w:top w:val="none" w:sz="0" w:space="0" w:color="auto"/>
        <w:left w:val="none" w:sz="0" w:space="0" w:color="auto"/>
        <w:bottom w:val="none" w:sz="0" w:space="0" w:color="auto"/>
        <w:right w:val="none" w:sz="0" w:space="0" w:color="auto"/>
      </w:divBdr>
    </w:div>
    <w:div w:id="1345667709">
      <w:bodyDiv w:val="1"/>
      <w:marLeft w:val="0"/>
      <w:marRight w:val="0"/>
      <w:marTop w:val="0"/>
      <w:marBottom w:val="0"/>
      <w:divBdr>
        <w:top w:val="none" w:sz="0" w:space="0" w:color="auto"/>
        <w:left w:val="none" w:sz="0" w:space="0" w:color="auto"/>
        <w:bottom w:val="none" w:sz="0" w:space="0" w:color="auto"/>
        <w:right w:val="none" w:sz="0" w:space="0" w:color="auto"/>
      </w:divBdr>
    </w:div>
    <w:div w:id="1352872675">
      <w:bodyDiv w:val="1"/>
      <w:marLeft w:val="0"/>
      <w:marRight w:val="0"/>
      <w:marTop w:val="0"/>
      <w:marBottom w:val="0"/>
      <w:divBdr>
        <w:top w:val="none" w:sz="0" w:space="0" w:color="auto"/>
        <w:left w:val="none" w:sz="0" w:space="0" w:color="auto"/>
        <w:bottom w:val="none" w:sz="0" w:space="0" w:color="auto"/>
        <w:right w:val="none" w:sz="0" w:space="0" w:color="auto"/>
      </w:divBdr>
    </w:div>
    <w:div w:id="1603998766">
      <w:bodyDiv w:val="1"/>
      <w:marLeft w:val="0"/>
      <w:marRight w:val="0"/>
      <w:marTop w:val="0"/>
      <w:marBottom w:val="0"/>
      <w:divBdr>
        <w:top w:val="none" w:sz="0" w:space="0" w:color="auto"/>
        <w:left w:val="none" w:sz="0" w:space="0" w:color="auto"/>
        <w:bottom w:val="none" w:sz="0" w:space="0" w:color="auto"/>
        <w:right w:val="none" w:sz="0" w:space="0" w:color="auto"/>
      </w:divBdr>
    </w:div>
    <w:div w:id="1697345929">
      <w:bodyDiv w:val="1"/>
      <w:marLeft w:val="0"/>
      <w:marRight w:val="0"/>
      <w:marTop w:val="0"/>
      <w:marBottom w:val="0"/>
      <w:divBdr>
        <w:top w:val="none" w:sz="0" w:space="0" w:color="auto"/>
        <w:left w:val="none" w:sz="0" w:space="0" w:color="auto"/>
        <w:bottom w:val="none" w:sz="0" w:space="0" w:color="auto"/>
        <w:right w:val="none" w:sz="0" w:space="0" w:color="auto"/>
      </w:divBdr>
    </w:div>
    <w:div w:id="1731027902">
      <w:bodyDiv w:val="1"/>
      <w:marLeft w:val="0"/>
      <w:marRight w:val="0"/>
      <w:marTop w:val="0"/>
      <w:marBottom w:val="0"/>
      <w:divBdr>
        <w:top w:val="none" w:sz="0" w:space="0" w:color="auto"/>
        <w:left w:val="none" w:sz="0" w:space="0" w:color="auto"/>
        <w:bottom w:val="none" w:sz="0" w:space="0" w:color="auto"/>
        <w:right w:val="none" w:sz="0" w:space="0" w:color="auto"/>
      </w:divBdr>
    </w:div>
    <w:div w:id="1782064374">
      <w:bodyDiv w:val="1"/>
      <w:marLeft w:val="0"/>
      <w:marRight w:val="0"/>
      <w:marTop w:val="0"/>
      <w:marBottom w:val="0"/>
      <w:divBdr>
        <w:top w:val="none" w:sz="0" w:space="0" w:color="auto"/>
        <w:left w:val="none" w:sz="0" w:space="0" w:color="auto"/>
        <w:bottom w:val="none" w:sz="0" w:space="0" w:color="auto"/>
        <w:right w:val="none" w:sz="0" w:space="0" w:color="auto"/>
      </w:divBdr>
    </w:div>
    <w:div w:id="1815298290">
      <w:bodyDiv w:val="1"/>
      <w:marLeft w:val="0"/>
      <w:marRight w:val="0"/>
      <w:marTop w:val="0"/>
      <w:marBottom w:val="0"/>
      <w:divBdr>
        <w:top w:val="none" w:sz="0" w:space="0" w:color="auto"/>
        <w:left w:val="none" w:sz="0" w:space="0" w:color="auto"/>
        <w:bottom w:val="none" w:sz="0" w:space="0" w:color="auto"/>
        <w:right w:val="none" w:sz="0" w:space="0" w:color="auto"/>
      </w:divBdr>
    </w:div>
    <w:div w:id="1822500110">
      <w:bodyDiv w:val="1"/>
      <w:marLeft w:val="0"/>
      <w:marRight w:val="0"/>
      <w:marTop w:val="0"/>
      <w:marBottom w:val="0"/>
      <w:divBdr>
        <w:top w:val="none" w:sz="0" w:space="0" w:color="auto"/>
        <w:left w:val="none" w:sz="0" w:space="0" w:color="auto"/>
        <w:bottom w:val="none" w:sz="0" w:space="0" w:color="auto"/>
        <w:right w:val="none" w:sz="0" w:space="0" w:color="auto"/>
      </w:divBdr>
    </w:div>
    <w:div w:id="1838105981">
      <w:bodyDiv w:val="1"/>
      <w:marLeft w:val="0"/>
      <w:marRight w:val="0"/>
      <w:marTop w:val="0"/>
      <w:marBottom w:val="0"/>
      <w:divBdr>
        <w:top w:val="none" w:sz="0" w:space="0" w:color="auto"/>
        <w:left w:val="none" w:sz="0" w:space="0" w:color="auto"/>
        <w:bottom w:val="none" w:sz="0" w:space="0" w:color="auto"/>
        <w:right w:val="none" w:sz="0" w:space="0" w:color="auto"/>
      </w:divBdr>
    </w:div>
    <w:div w:id="1867407223">
      <w:bodyDiv w:val="1"/>
      <w:marLeft w:val="0"/>
      <w:marRight w:val="0"/>
      <w:marTop w:val="0"/>
      <w:marBottom w:val="0"/>
      <w:divBdr>
        <w:top w:val="none" w:sz="0" w:space="0" w:color="auto"/>
        <w:left w:val="none" w:sz="0" w:space="0" w:color="auto"/>
        <w:bottom w:val="none" w:sz="0" w:space="0" w:color="auto"/>
        <w:right w:val="none" w:sz="0" w:space="0" w:color="auto"/>
      </w:divBdr>
    </w:div>
    <w:div w:id="1874538649">
      <w:bodyDiv w:val="1"/>
      <w:marLeft w:val="0"/>
      <w:marRight w:val="0"/>
      <w:marTop w:val="0"/>
      <w:marBottom w:val="0"/>
      <w:divBdr>
        <w:top w:val="none" w:sz="0" w:space="0" w:color="auto"/>
        <w:left w:val="none" w:sz="0" w:space="0" w:color="auto"/>
        <w:bottom w:val="none" w:sz="0" w:space="0" w:color="auto"/>
        <w:right w:val="none" w:sz="0" w:space="0" w:color="auto"/>
      </w:divBdr>
    </w:div>
    <w:div w:id="1907758601">
      <w:bodyDiv w:val="1"/>
      <w:marLeft w:val="0"/>
      <w:marRight w:val="0"/>
      <w:marTop w:val="0"/>
      <w:marBottom w:val="0"/>
      <w:divBdr>
        <w:top w:val="none" w:sz="0" w:space="0" w:color="auto"/>
        <w:left w:val="none" w:sz="0" w:space="0" w:color="auto"/>
        <w:bottom w:val="none" w:sz="0" w:space="0" w:color="auto"/>
        <w:right w:val="none" w:sz="0" w:space="0" w:color="auto"/>
      </w:divBdr>
    </w:div>
    <w:div w:id="1908880683">
      <w:bodyDiv w:val="1"/>
      <w:marLeft w:val="0"/>
      <w:marRight w:val="0"/>
      <w:marTop w:val="0"/>
      <w:marBottom w:val="0"/>
      <w:divBdr>
        <w:top w:val="none" w:sz="0" w:space="0" w:color="auto"/>
        <w:left w:val="none" w:sz="0" w:space="0" w:color="auto"/>
        <w:bottom w:val="none" w:sz="0" w:space="0" w:color="auto"/>
        <w:right w:val="none" w:sz="0" w:space="0" w:color="auto"/>
      </w:divBdr>
    </w:div>
    <w:div w:id="2012250077">
      <w:bodyDiv w:val="1"/>
      <w:marLeft w:val="0"/>
      <w:marRight w:val="0"/>
      <w:marTop w:val="0"/>
      <w:marBottom w:val="0"/>
      <w:divBdr>
        <w:top w:val="none" w:sz="0" w:space="0" w:color="auto"/>
        <w:left w:val="none" w:sz="0" w:space="0" w:color="auto"/>
        <w:bottom w:val="none" w:sz="0" w:space="0" w:color="auto"/>
        <w:right w:val="none" w:sz="0" w:space="0" w:color="auto"/>
      </w:divBdr>
    </w:div>
    <w:div w:id="2034647060">
      <w:bodyDiv w:val="1"/>
      <w:marLeft w:val="0"/>
      <w:marRight w:val="0"/>
      <w:marTop w:val="0"/>
      <w:marBottom w:val="0"/>
      <w:divBdr>
        <w:top w:val="none" w:sz="0" w:space="0" w:color="auto"/>
        <w:left w:val="none" w:sz="0" w:space="0" w:color="auto"/>
        <w:bottom w:val="none" w:sz="0" w:space="0" w:color="auto"/>
        <w:right w:val="none" w:sz="0" w:space="0" w:color="auto"/>
      </w:divBdr>
    </w:div>
    <w:div w:id="2045011321">
      <w:bodyDiv w:val="1"/>
      <w:marLeft w:val="0"/>
      <w:marRight w:val="0"/>
      <w:marTop w:val="0"/>
      <w:marBottom w:val="0"/>
      <w:divBdr>
        <w:top w:val="none" w:sz="0" w:space="0" w:color="auto"/>
        <w:left w:val="none" w:sz="0" w:space="0" w:color="auto"/>
        <w:bottom w:val="none" w:sz="0" w:space="0" w:color="auto"/>
        <w:right w:val="none" w:sz="0" w:space="0" w:color="auto"/>
      </w:divBdr>
    </w:div>
    <w:div w:id="2052534876">
      <w:bodyDiv w:val="1"/>
      <w:marLeft w:val="0"/>
      <w:marRight w:val="0"/>
      <w:marTop w:val="0"/>
      <w:marBottom w:val="0"/>
      <w:divBdr>
        <w:top w:val="none" w:sz="0" w:space="0" w:color="auto"/>
        <w:left w:val="none" w:sz="0" w:space="0" w:color="auto"/>
        <w:bottom w:val="none" w:sz="0" w:space="0" w:color="auto"/>
        <w:right w:val="none" w:sz="0" w:space="0" w:color="auto"/>
      </w:divBdr>
    </w:div>
    <w:div w:id="2062826598">
      <w:bodyDiv w:val="1"/>
      <w:marLeft w:val="0"/>
      <w:marRight w:val="0"/>
      <w:marTop w:val="0"/>
      <w:marBottom w:val="0"/>
      <w:divBdr>
        <w:top w:val="none" w:sz="0" w:space="0" w:color="auto"/>
        <w:left w:val="none" w:sz="0" w:space="0" w:color="auto"/>
        <w:bottom w:val="none" w:sz="0" w:space="0" w:color="auto"/>
        <w:right w:val="none" w:sz="0" w:space="0" w:color="auto"/>
      </w:divBdr>
    </w:div>
    <w:div w:id="21128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428-021-031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43%2000/JGME-D-15-001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9511833/" TargetMode="External"/><Relationship Id="rId11" Type="http://schemas.openxmlformats.org/officeDocument/2006/relationships/hyperlink" Target="https://www.rcpath.org/static/bf959429-aa0c-48d7-a267902f7c8609dd/definitions-of-assessment-tools.pdf" TargetMode="External"/><Relationship Id="rId5" Type="http://schemas.openxmlformats.org/officeDocument/2006/relationships/image" Target="media/image1.png"/><Relationship Id="rId10" Type="http://schemas.openxmlformats.org/officeDocument/2006/relationships/hyperlink" Target="https://scholar.google.com/scholar_lookup?journal=Am+J+Phys+Med+Rehabil&amp;volume=79&amp;publication_year=2000&amp;pages=474-477&amp;pmid=10994891&amp;" TargetMode="External"/><Relationship Id="rId4" Type="http://schemas.openxmlformats.org/officeDocument/2006/relationships/webSettings" Target="webSettings.xml"/><Relationship Id="rId9" Type="http://schemas.openxmlformats.org/officeDocument/2006/relationships/hyperlink" Target="https://pubmed.ncbi.nlm.nih.gov/10994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16309</Words>
  <Characters>92966</Characters>
  <Application>Microsoft Office Word</Application>
  <DocSecurity>0</DocSecurity>
  <Lines>774</Lines>
  <Paragraphs>218</Paragraphs>
  <ScaleCrop>false</ScaleCrop>
  <Company/>
  <LinksUpToDate>false</LinksUpToDate>
  <CharactersWithSpaces>109057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Pabitha Devi</dc:creator>
  <cp:keywords/>
  <dc:description/>
  <cp:lastModifiedBy>Pabitha Devi</cp:lastModifiedBy>
  <cp:revision>2</cp:revision>
  <dcterms:created xsi:type="dcterms:W3CDTF">2024-10-25T11:14:00Z</dcterms:created>
  <dcterms:modified xsi:type="dcterms:W3CDTF">2024-10-25T11:14:00Z</dcterms:modified>
</cp:coreProperties>
</file>