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66548" w:rsidRPr="00AF0477" w:rsidRDefault="00CD7F6F" w:rsidP="00466548">
      <w:pPr>
        <w:pStyle w:val="papertitle"/>
        <w:spacing w:after="0"/>
        <w:rPr>
          <w:rFonts w:eastAsia="MS Mincho"/>
          <w:color w:val="000000" w:themeColor="text1"/>
        </w:rPr>
      </w:pPr>
      <w:r w:rsidRPr="00AF0477">
        <w:rPr>
          <w:rFonts w:eastAsia="MS Mincho"/>
          <w:color w:val="000000" w:themeColor="text1"/>
        </w:rPr>
        <w:t>Current research trends in arid agriculture</w:t>
      </w:r>
    </w:p>
    <w:p w:rsidR="008A55B5" w:rsidRPr="00AF0477" w:rsidRDefault="008A55B5" w:rsidP="00466548">
      <w:pPr>
        <w:rPr>
          <w:rFonts w:eastAsia="MS Mincho"/>
          <w:color w:val="000000" w:themeColor="text1"/>
        </w:rPr>
      </w:pPr>
    </w:p>
    <w:p w:rsidR="008A55B5" w:rsidRPr="00AF0477" w:rsidRDefault="008A55B5" w:rsidP="00466548">
      <w:pPr>
        <w:pStyle w:val="Author"/>
        <w:spacing w:before="0" w:after="0"/>
        <w:rPr>
          <w:rFonts w:eastAsia="MS Mincho"/>
          <w:color w:val="000000" w:themeColor="text1"/>
          <w:sz w:val="20"/>
          <w:szCs w:val="20"/>
        </w:rPr>
        <w:sectPr w:rsidR="008A55B5" w:rsidRPr="00AF0477" w:rsidSect="00AA0700">
          <w:footerReference w:type="default" r:id="rId7"/>
          <w:pgSz w:w="11909" w:h="16834" w:code="9"/>
          <w:pgMar w:top="1440" w:right="1440" w:bottom="1440" w:left="1440" w:header="720" w:footer="720" w:gutter="0"/>
          <w:pgNumType w:start="1"/>
          <w:cols w:space="720"/>
          <w:docGrid w:linePitch="360"/>
        </w:sectPr>
      </w:pPr>
    </w:p>
    <w:p w:rsidR="00BA206A" w:rsidRPr="00AF0477" w:rsidRDefault="00BA206A" w:rsidP="00DE2589">
      <w:pPr>
        <w:pStyle w:val="Author"/>
        <w:spacing w:before="0" w:after="0"/>
        <w:rPr>
          <w:rFonts w:eastAsia="MS Mincho"/>
          <w:color w:val="000000" w:themeColor="text1"/>
          <w:sz w:val="20"/>
          <w:szCs w:val="20"/>
        </w:rPr>
      </w:pPr>
      <w:r w:rsidRPr="00AF0477">
        <w:rPr>
          <w:rFonts w:eastAsia="MS Mincho"/>
          <w:color w:val="000000" w:themeColor="text1"/>
          <w:sz w:val="20"/>
          <w:szCs w:val="20"/>
        </w:rPr>
        <w:t>Keshav</w:t>
      </w:r>
    </w:p>
    <w:p w:rsidR="00BA206A" w:rsidRPr="00AF0477" w:rsidRDefault="00BA206A" w:rsidP="00DE2589">
      <w:pPr>
        <w:pStyle w:val="Affiliation"/>
        <w:rPr>
          <w:rFonts w:eastAsia="MS Mincho"/>
          <w:color w:val="000000" w:themeColor="text1"/>
        </w:rPr>
      </w:pPr>
      <w:r w:rsidRPr="00AF0477">
        <w:rPr>
          <w:rFonts w:eastAsia="MS Mincho"/>
          <w:color w:val="000000" w:themeColor="text1"/>
        </w:rPr>
        <w:t>Di</w:t>
      </w:r>
      <w:r w:rsidR="00FB727A">
        <w:rPr>
          <w:rFonts w:eastAsia="MS Mincho"/>
          <w:color w:val="000000" w:themeColor="text1"/>
        </w:rPr>
        <w:t>scipline</w:t>
      </w:r>
      <w:r w:rsidRPr="00AF0477">
        <w:rPr>
          <w:rFonts w:eastAsia="MS Mincho"/>
          <w:color w:val="000000" w:themeColor="text1"/>
        </w:rPr>
        <w:t xml:space="preserve"> of Agronomy</w:t>
      </w:r>
    </w:p>
    <w:p w:rsidR="00BA206A" w:rsidRPr="00AF0477" w:rsidRDefault="00BA206A" w:rsidP="00DE2589">
      <w:pPr>
        <w:pStyle w:val="Affiliation"/>
        <w:rPr>
          <w:rFonts w:eastAsia="MS Mincho"/>
          <w:color w:val="000000" w:themeColor="text1"/>
        </w:rPr>
      </w:pPr>
      <w:r w:rsidRPr="00AF0477">
        <w:rPr>
          <w:rFonts w:eastAsia="MS Mincho"/>
          <w:color w:val="000000" w:themeColor="text1"/>
        </w:rPr>
        <w:t>ICAR – Indian Agricultural Research Institute</w:t>
      </w:r>
    </w:p>
    <w:p w:rsidR="00BA206A" w:rsidRPr="00AF0477" w:rsidRDefault="00FB727A" w:rsidP="00DE2589">
      <w:pPr>
        <w:pStyle w:val="Affiliation"/>
        <w:rPr>
          <w:rFonts w:eastAsia="MS Mincho"/>
          <w:color w:val="000000" w:themeColor="text1"/>
        </w:rPr>
      </w:pPr>
      <w:r>
        <w:rPr>
          <w:rFonts w:eastAsia="MS Mincho"/>
          <w:color w:val="000000" w:themeColor="text1"/>
        </w:rPr>
        <w:t xml:space="preserve">CAZRI </w:t>
      </w:r>
      <w:r w:rsidR="00BA206A" w:rsidRPr="00AF0477">
        <w:rPr>
          <w:rFonts w:eastAsia="MS Mincho"/>
          <w:color w:val="000000" w:themeColor="text1"/>
        </w:rPr>
        <w:t xml:space="preserve">Hub, </w:t>
      </w:r>
      <w:r w:rsidRPr="00AF0477">
        <w:rPr>
          <w:rFonts w:eastAsia="MS Mincho"/>
          <w:color w:val="000000" w:themeColor="text1"/>
        </w:rPr>
        <w:t>Jodhpur</w:t>
      </w:r>
      <w:r>
        <w:rPr>
          <w:rFonts w:eastAsia="MS Mincho"/>
          <w:color w:val="000000" w:themeColor="text1"/>
        </w:rPr>
        <w:t xml:space="preserve">, </w:t>
      </w:r>
      <w:r w:rsidR="00BA206A" w:rsidRPr="00AF0477">
        <w:rPr>
          <w:rFonts w:eastAsia="MS Mincho"/>
          <w:color w:val="000000" w:themeColor="text1"/>
        </w:rPr>
        <w:t>India</w:t>
      </w:r>
    </w:p>
    <w:p w:rsidR="00BA206A" w:rsidRPr="00AF0477" w:rsidRDefault="00BA206A" w:rsidP="00DE2589">
      <w:pPr>
        <w:pStyle w:val="Affiliation"/>
        <w:rPr>
          <w:rFonts w:eastAsia="MS Mincho"/>
          <w:color w:val="000000" w:themeColor="text1"/>
        </w:rPr>
      </w:pPr>
      <w:r w:rsidRPr="00AF0477">
        <w:rPr>
          <w:rFonts w:eastAsia="MS Mincho"/>
          <w:color w:val="000000" w:themeColor="text1"/>
        </w:rPr>
        <w:t>Email: kkhowde@gmail.com</w:t>
      </w:r>
    </w:p>
    <w:p w:rsidR="0050196E" w:rsidRDefault="0050196E" w:rsidP="00DE2589">
      <w:pPr>
        <w:pStyle w:val="Author"/>
        <w:spacing w:before="0" w:after="0"/>
        <w:rPr>
          <w:rFonts w:eastAsia="MS Mincho"/>
          <w:color w:val="000000" w:themeColor="text1"/>
          <w:sz w:val="20"/>
          <w:szCs w:val="20"/>
        </w:rPr>
      </w:pPr>
    </w:p>
    <w:p w:rsidR="00E24A18" w:rsidRDefault="00DE2589" w:rsidP="00DE2589">
      <w:pPr>
        <w:pStyle w:val="Author"/>
        <w:spacing w:before="0" w:after="0"/>
        <w:rPr>
          <w:rFonts w:eastAsia="MS Mincho"/>
          <w:color w:val="000000" w:themeColor="text1"/>
        </w:rPr>
      </w:pPr>
      <w:r w:rsidRPr="00FF16D3">
        <w:rPr>
          <w:rFonts w:eastAsia="MS Mincho"/>
          <w:color w:val="000000" w:themeColor="text1"/>
          <w:sz w:val="20"/>
          <w:szCs w:val="20"/>
        </w:rPr>
        <w:t>Ehsas Pachauri</w:t>
      </w:r>
    </w:p>
    <w:p w:rsidR="00DE2589" w:rsidRDefault="00DE2589" w:rsidP="00DE2589">
      <w:pPr>
        <w:pStyle w:val="Affiliation"/>
        <w:ind w:right="-76"/>
        <w:rPr>
          <w:rFonts w:eastAsia="MS Mincho"/>
          <w:color w:val="000000" w:themeColor="text1"/>
        </w:rPr>
      </w:pPr>
      <w:r w:rsidRPr="00AF0477">
        <w:rPr>
          <w:rFonts w:eastAsia="MS Mincho"/>
          <w:color w:val="000000" w:themeColor="text1"/>
        </w:rPr>
        <w:t>Di</w:t>
      </w:r>
      <w:r>
        <w:rPr>
          <w:rFonts w:eastAsia="MS Mincho"/>
          <w:color w:val="000000" w:themeColor="text1"/>
        </w:rPr>
        <w:t>scipline</w:t>
      </w:r>
      <w:r w:rsidRPr="00FF16D3">
        <w:rPr>
          <w:rFonts w:eastAsia="MS Mincho"/>
          <w:color w:val="000000" w:themeColor="text1"/>
        </w:rPr>
        <w:t xml:space="preserve"> of Genetics and Plant Breeding</w:t>
      </w:r>
    </w:p>
    <w:p w:rsidR="00DE2589" w:rsidRPr="00AF0477" w:rsidRDefault="00DE2589" w:rsidP="00DE2589">
      <w:pPr>
        <w:pStyle w:val="Affiliation"/>
        <w:rPr>
          <w:rFonts w:eastAsia="MS Mincho"/>
          <w:color w:val="000000" w:themeColor="text1"/>
        </w:rPr>
      </w:pPr>
      <w:r w:rsidRPr="00AF0477">
        <w:rPr>
          <w:rFonts w:eastAsia="MS Mincho"/>
          <w:color w:val="000000" w:themeColor="text1"/>
        </w:rPr>
        <w:t>ICAR – Indian Agricultural Research Institute</w:t>
      </w:r>
    </w:p>
    <w:p w:rsidR="00DE2589" w:rsidRPr="00AF0477" w:rsidRDefault="00DE2589" w:rsidP="00DE2589">
      <w:pPr>
        <w:pStyle w:val="Affiliation"/>
        <w:rPr>
          <w:rFonts w:eastAsia="MS Mincho"/>
          <w:color w:val="000000" w:themeColor="text1"/>
        </w:rPr>
      </w:pPr>
      <w:r>
        <w:rPr>
          <w:rFonts w:eastAsia="MS Mincho"/>
          <w:color w:val="000000" w:themeColor="text1"/>
        </w:rPr>
        <w:t xml:space="preserve">CAZRI </w:t>
      </w:r>
      <w:r w:rsidRPr="00AF0477">
        <w:rPr>
          <w:rFonts w:eastAsia="MS Mincho"/>
          <w:color w:val="000000" w:themeColor="text1"/>
        </w:rPr>
        <w:t>Hub, Jodhpur</w:t>
      </w:r>
      <w:r>
        <w:rPr>
          <w:rFonts w:eastAsia="MS Mincho"/>
          <w:color w:val="000000" w:themeColor="text1"/>
        </w:rPr>
        <w:t xml:space="preserve">, </w:t>
      </w:r>
      <w:r w:rsidRPr="00AF0477">
        <w:rPr>
          <w:rFonts w:eastAsia="MS Mincho"/>
          <w:color w:val="000000" w:themeColor="text1"/>
        </w:rPr>
        <w:t>India</w:t>
      </w:r>
    </w:p>
    <w:p w:rsidR="00DE2589" w:rsidRDefault="00DE2589" w:rsidP="00DE2589">
      <w:pPr>
        <w:pStyle w:val="Affiliation"/>
        <w:rPr>
          <w:rFonts w:eastAsia="MS Mincho"/>
          <w:color w:val="000000" w:themeColor="text1"/>
        </w:rPr>
      </w:pPr>
      <w:r w:rsidRPr="00AF0477">
        <w:rPr>
          <w:rFonts w:eastAsia="MS Mincho"/>
          <w:color w:val="000000" w:themeColor="text1"/>
        </w:rPr>
        <w:t xml:space="preserve">Email: </w:t>
      </w:r>
      <w:r w:rsidRPr="00FF16D3">
        <w:rPr>
          <w:rFonts w:eastAsia="MS Mincho"/>
          <w:color w:val="000000" w:themeColor="text1"/>
        </w:rPr>
        <w:t>pachauri.ehsas2411@gmail.com</w:t>
      </w:r>
    </w:p>
    <w:p w:rsidR="00466548" w:rsidRPr="00AF0477" w:rsidRDefault="00466548" w:rsidP="00DE2589">
      <w:pPr>
        <w:pStyle w:val="Affiliation"/>
        <w:rPr>
          <w:rFonts w:eastAsia="MS Mincho"/>
          <w:color w:val="000000" w:themeColor="text1"/>
        </w:rPr>
      </w:pPr>
    </w:p>
    <w:p w:rsidR="00466548" w:rsidRPr="00AF0477" w:rsidRDefault="00466548" w:rsidP="00DE2589">
      <w:pPr>
        <w:pStyle w:val="Affiliation"/>
        <w:jc w:val="both"/>
        <w:rPr>
          <w:rFonts w:eastAsia="MS Mincho"/>
          <w:color w:val="000000" w:themeColor="text1"/>
        </w:rPr>
        <w:sectPr w:rsidR="00466548" w:rsidRPr="00AF0477" w:rsidSect="00466548">
          <w:type w:val="continuous"/>
          <w:pgSz w:w="11909" w:h="16834" w:code="9"/>
          <w:pgMar w:top="1440" w:right="1440" w:bottom="1440" w:left="1440" w:header="720" w:footer="720" w:gutter="0"/>
          <w:cols w:num="2" w:space="720"/>
          <w:docGrid w:linePitch="360"/>
        </w:sectPr>
      </w:pPr>
    </w:p>
    <w:p w:rsidR="00FF16D3" w:rsidRDefault="00DE2589" w:rsidP="00DE2589">
      <w:pPr>
        <w:pStyle w:val="Affiliation"/>
        <w:ind w:right="-76"/>
        <w:rPr>
          <w:rFonts w:eastAsia="MS Mincho"/>
          <w:noProof/>
          <w:color w:val="000000" w:themeColor="text1"/>
        </w:rPr>
      </w:pPr>
      <w:r w:rsidRPr="00E24A18">
        <w:rPr>
          <w:rFonts w:eastAsia="MS Mincho"/>
          <w:noProof/>
          <w:color w:val="000000" w:themeColor="text1"/>
        </w:rPr>
        <w:t>Akarapu Sagar</w:t>
      </w:r>
    </w:p>
    <w:p w:rsidR="00DE2589" w:rsidRPr="00AF0477" w:rsidRDefault="00DE2589" w:rsidP="00DE2589">
      <w:pPr>
        <w:pStyle w:val="Affiliation"/>
        <w:rPr>
          <w:rFonts w:eastAsia="MS Mincho"/>
          <w:color w:val="000000" w:themeColor="text1"/>
        </w:rPr>
      </w:pPr>
      <w:r w:rsidRPr="00AF0477">
        <w:rPr>
          <w:rFonts w:eastAsia="MS Mincho"/>
          <w:color w:val="000000" w:themeColor="text1"/>
        </w:rPr>
        <w:t>Di</w:t>
      </w:r>
      <w:r>
        <w:rPr>
          <w:rFonts w:eastAsia="MS Mincho"/>
          <w:color w:val="000000" w:themeColor="text1"/>
        </w:rPr>
        <w:t>scipline</w:t>
      </w:r>
      <w:r w:rsidRPr="00AF0477">
        <w:rPr>
          <w:rFonts w:eastAsia="MS Mincho"/>
          <w:color w:val="000000" w:themeColor="text1"/>
        </w:rPr>
        <w:t xml:space="preserve"> of Agronomy</w:t>
      </w:r>
    </w:p>
    <w:p w:rsidR="00DE2589" w:rsidRPr="00AF0477" w:rsidRDefault="00DE2589" w:rsidP="00DE2589">
      <w:pPr>
        <w:pStyle w:val="Affiliation"/>
        <w:rPr>
          <w:rFonts w:eastAsia="MS Mincho"/>
          <w:color w:val="000000" w:themeColor="text1"/>
        </w:rPr>
      </w:pPr>
      <w:r w:rsidRPr="00AF0477">
        <w:rPr>
          <w:rFonts w:eastAsia="MS Mincho"/>
          <w:color w:val="000000" w:themeColor="text1"/>
        </w:rPr>
        <w:t>ICAR – Indian Agricultural Research Institute</w:t>
      </w:r>
    </w:p>
    <w:p w:rsidR="00DE2589" w:rsidRPr="00AF0477" w:rsidRDefault="00DE2589" w:rsidP="00DE2589">
      <w:pPr>
        <w:pStyle w:val="Affiliation"/>
        <w:rPr>
          <w:rFonts w:eastAsia="MS Mincho"/>
          <w:color w:val="000000" w:themeColor="text1"/>
        </w:rPr>
      </w:pPr>
      <w:r>
        <w:rPr>
          <w:rFonts w:eastAsia="MS Mincho"/>
          <w:color w:val="000000" w:themeColor="text1"/>
        </w:rPr>
        <w:t xml:space="preserve">CAZRI </w:t>
      </w:r>
      <w:r w:rsidRPr="00AF0477">
        <w:rPr>
          <w:rFonts w:eastAsia="MS Mincho"/>
          <w:color w:val="000000" w:themeColor="text1"/>
        </w:rPr>
        <w:t>Hub, Jodhpur</w:t>
      </w:r>
      <w:r>
        <w:rPr>
          <w:rFonts w:eastAsia="MS Mincho"/>
          <w:color w:val="000000" w:themeColor="text1"/>
        </w:rPr>
        <w:t xml:space="preserve">, </w:t>
      </w:r>
      <w:r w:rsidRPr="00AF0477">
        <w:rPr>
          <w:rFonts w:eastAsia="MS Mincho"/>
          <w:color w:val="000000" w:themeColor="text1"/>
        </w:rPr>
        <w:t>India</w:t>
      </w:r>
    </w:p>
    <w:p w:rsidR="00DE2589" w:rsidRPr="00AF0477" w:rsidRDefault="00DE2589" w:rsidP="00DE2589">
      <w:pPr>
        <w:pStyle w:val="Affiliation"/>
        <w:rPr>
          <w:rFonts w:eastAsia="MS Mincho"/>
          <w:color w:val="000000" w:themeColor="text1"/>
        </w:rPr>
      </w:pPr>
      <w:r w:rsidRPr="00AF0477">
        <w:rPr>
          <w:rFonts w:eastAsia="MS Mincho"/>
          <w:color w:val="000000" w:themeColor="text1"/>
        </w:rPr>
        <w:t xml:space="preserve">Email: </w:t>
      </w:r>
      <w:r w:rsidRPr="00E24A18">
        <w:rPr>
          <w:rFonts w:eastAsia="MS Mincho"/>
          <w:color w:val="000000" w:themeColor="text1"/>
        </w:rPr>
        <w:t>sagarakarapu11@gmail.com</w:t>
      </w:r>
    </w:p>
    <w:p w:rsidR="0050196E" w:rsidRDefault="0050196E" w:rsidP="00DE2589">
      <w:pPr>
        <w:pStyle w:val="Affiliation"/>
        <w:rPr>
          <w:rFonts w:eastAsia="MS Mincho"/>
          <w:color w:val="000000" w:themeColor="text1"/>
        </w:rPr>
      </w:pPr>
    </w:p>
    <w:p w:rsidR="00DE2589" w:rsidRDefault="00DE2589" w:rsidP="00DE2589">
      <w:pPr>
        <w:pStyle w:val="Affiliation"/>
        <w:rPr>
          <w:rFonts w:eastAsia="MS Mincho"/>
          <w:color w:val="000000" w:themeColor="text1"/>
        </w:rPr>
      </w:pPr>
      <w:r w:rsidRPr="00FF16D3">
        <w:rPr>
          <w:rFonts w:eastAsia="MS Mincho"/>
          <w:noProof/>
          <w:color w:val="000000" w:themeColor="text1"/>
        </w:rPr>
        <w:t>Parmar Mukeshkumar Rameshbhai</w:t>
      </w:r>
      <w:r w:rsidRPr="00AF0477">
        <w:rPr>
          <w:rFonts w:eastAsia="MS Mincho"/>
          <w:color w:val="000000" w:themeColor="text1"/>
        </w:rPr>
        <w:t xml:space="preserve"> </w:t>
      </w:r>
    </w:p>
    <w:p w:rsidR="00FF16D3" w:rsidRDefault="00FB727A" w:rsidP="00DE2589">
      <w:pPr>
        <w:pStyle w:val="Affiliation"/>
        <w:rPr>
          <w:rFonts w:eastAsia="MS Mincho"/>
          <w:color w:val="000000" w:themeColor="text1"/>
        </w:rPr>
      </w:pPr>
      <w:r w:rsidRPr="00AF0477">
        <w:rPr>
          <w:rFonts w:eastAsia="MS Mincho"/>
          <w:color w:val="000000" w:themeColor="text1"/>
        </w:rPr>
        <w:t>Di</w:t>
      </w:r>
      <w:r>
        <w:rPr>
          <w:rFonts w:eastAsia="MS Mincho"/>
          <w:color w:val="000000" w:themeColor="text1"/>
        </w:rPr>
        <w:t>scipline</w:t>
      </w:r>
      <w:r w:rsidR="00FF16D3" w:rsidRPr="00FF16D3">
        <w:rPr>
          <w:rFonts w:eastAsia="MS Mincho"/>
          <w:color w:val="000000" w:themeColor="text1"/>
        </w:rPr>
        <w:t xml:space="preserve"> of Genetics and Plant Breeding</w:t>
      </w:r>
    </w:p>
    <w:p w:rsidR="00FB727A" w:rsidRPr="00AF0477" w:rsidRDefault="00FB727A" w:rsidP="00DE2589">
      <w:pPr>
        <w:pStyle w:val="Affiliation"/>
        <w:rPr>
          <w:rFonts w:eastAsia="MS Mincho"/>
          <w:color w:val="000000" w:themeColor="text1"/>
        </w:rPr>
      </w:pPr>
      <w:r w:rsidRPr="00AF0477">
        <w:rPr>
          <w:rFonts w:eastAsia="MS Mincho"/>
          <w:color w:val="000000" w:themeColor="text1"/>
        </w:rPr>
        <w:t>ICAR – Indian Agricultural Research Institute</w:t>
      </w:r>
    </w:p>
    <w:p w:rsidR="00FB727A" w:rsidRPr="00AF0477" w:rsidRDefault="00FB727A" w:rsidP="00DE2589">
      <w:pPr>
        <w:pStyle w:val="Affiliation"/>
        <w:rPr>
          <w:rFonts w:eastAsia="MS Mincho"/>
          <w:color w:val="000000" w:themeColor="text1"/>
        </w:rPr>
      </w:pPr>
      <w:r>
        <w:rPr>
          <w:rFonts w:eastAsia="MS Mincho"/>
          <w:color w:val="000000" w:themeColor="text1"/>
        </w:rPr>
        <w:t xml:space="preserve">CAZRI </w:t>
      </w:r>
      <w:r w:rsidRPr="00AF0477">
        <w:rPr>
          <w:rFonts w:eastAsia="MS Mincho"/>
          <w:color w:val="000000" w:themeColor="text1"/>
        </w:rPr>
        <w:t>Hub, Jodhpur</w:t>
      </w:r>
      <w:r>
        <w:rPr>
          <w:rFonts w:eastAsia="MS Mincho"/>
          <w:color w:val="000000" w:themeColor="text1"/>
        </w:rPr>
        <w:t xml:space="preserve">, </w:t>
      </w:r>
      <w:r w:rsidRPr="00AF0477">
        <w:rPr>
          <w:rFonts w:eastAsia="MS Mincho"/>
          <w:color w:val="000000" w:themeColor="text1"/>
        </w:rPr>
        <w:t>India</w:t>
      </w:r>
    </w:p>
    <w:p w:rsidR="00DE2589" w:rsidRPr="0050196E" w:rsidRDefault="00DE2589" w:rsidP="00DE2589">
      <w:pPr>
        <w:pStyle w:val="Affiliation"/>
        <w:ind w:right="-76"/>
        <w:rPr>
          <w:rFonts w:eastAsia="MS Mincho"/>
          <w:color w:val="000000" w:themeColor="text1"/>
        </w:rPr>
      </w:pPr>
      <w:r w:rsidRPr="00AF0477">
        <w:rPr>
          <w:rFonts w:eastAsia="MS Mincho"/>
          <w:color w:val="000000" w:themeColor="text1"/>
        </w:rPr>
        <w:t xml:space="preserve">Email: </w:t>
      </w:r>
      <w:r w:rsidRPr="00FF16D3">
        <w:rPr>
          <w:rFonts w:eastAsia="MS Mincho"/>
          <w:color w:val="000000" w:themeColor="text1"/>
        </w:rPr>
        <w:t>parmarmukesh1199@gmail.com</w:t>
      </w:r>
    </w:p>
    <w:p w:rsidR="00BA206A" w:rsidRPr="00AF0477" w:rsidRDefault="00BA206A" w:rsidP="00DE2589">
      <w:pPr>
        <w:pStyle w:val="Affiliation"/>
        <w:jc w:val="both"/>
        <w:rPr>
          <w:rFonts w:eastAsia="MS Mincho"/>
          <w:color w:val="000000" w:themeColor="text1"/>
        </w:rPr>
        <w:sectPr w:rsidR="00BA206A" w:rsidRPr="00AF0477" w:rsidSect="0050196E">
          <w:type w:val="continuous"/>
          <w:pgSz w:w="11909" w:h="16834" w:code="9"/>
          <w:pgMar w:top="1440" w:right="1440" w:bottom="1440" w:left="1440" w:header="720" w:footer="720" w:gutter="0"/>
          <w:cols w:num="2" w:space="720"/>
          <w:docGrid w:linePitch="360"/>
        </w:sectPr>
      </w:pPr>
    </w:p>
    <w:p w:rsidR="0050196E" w:rsidRPr="00AF0477" w:rsidRDefault="00574F50" w:rsidP="00DE2589">
      <w:pPr>
        <w:pStyle w:val="Author"/>
        <w:spacing w:before="0" w:after="0"/>
        <w:rPr>
          <w:rFonts w:eastAsia="MS Mincho"/>
          <w:color w:val="000000" w:themeColor="text1"/>
          <w:sz w:val="20"/>
          <w:szCs w:val="20"/>
        </w:rPr>
      </w:pPr>
      <w:r>
        <w:rPr>
          <w:rFonts w:eastAsia="MS Mincho"/>
          <w:color w:val="000000" w:themeColor="text1"/>
          <w:sz w:val="20"/>
          <w:szCs w:val="20"/>
        </w:rPr>
        <w:t>Rahul</w:t>
      </w:r>
    </w:p>
    <w:p w:rsidR="0050196E" w:rsidRPr="00AF0477" w:rsidRDefault="00FB727A" w:rsidP="00DE2589">
      <w:pPr>
        <w:pStyle w:val="Affiliation"/>
        <w:rPr>
          <w:rFonts w:eastAsia="MS Mincho"/>
          <w:color w:val="000000" w:themeColor="text1"/>
        </w:rPr>
      </w:pPr>
      <w:r w:rsidRPr="00AF0477">
        <w:rPr>
          <w:rFonts w:eastAsia="MS Mincho"/>
          <w:color w:val="000000" w:themeColor="text1"/>
        </w:rPr>
        <w:t>Di</w:t>
      </w:r>
      <w:r>
        <w:rPr>
          <w:rFonts w:eastAsia="MS Mincho"/>
          <w:color w:val="000000" w:themeColor="text1"/>
        </w:rPr>
        <w:t>scipline</w:t>
      </w:r>
      <w:r w:rsidRPr="00AF0477">
        <w:rPr>
          <w:rFonts w:eastAsia="MS Mincho"/>
          <w:color w:val="000000" w:themeColor="text1"/>
        </w:rPr>
        <w:t xml:space="preserve"> </w:t>
      </w:r>
      <w:r w:rsidR="0050196E" w:rsidRPr="00AF0477">
        <w:rPr>
          <w:rFonts w:eastAsia="MS Mincho"/>
          <w:color w:val="000000" w:themeColor="text1"/>
        </w:rPr>
        <w:t>of Agronomy</w:t>
      </w:r>
    </w:p>
    <w:p w:rsidR="00FB727A" w:rsidRPr="00AF0477" w:rsidRDefault="00FB727A" w:rsidP="00DE2589">
      <w:pPr>
        <w:pStyle w:val="Affiliation"/>
        <w:rPr>
          <w:rFonts w:eastAsia="MS Mincho"/>
          <w:color w:val="000000" w:themeColor="text1"/>
        </w:rPr>
      </w:pPr>
      <w:r w:rsidRPr="00AF0477">
        <w:rPr>
          <w:rFonts w:eastAsia="MS Mincho"/>
          <w:color w:val="000000" w:themeColor="text1"/>
        </w:rPr>
        <w:t>ICAR – Indian Agricultural Research Institute</w:t>
      </w:r>
    </w:p>
    <w:p w:rsidR="00FB727A" w:rsidRPr="00AF0477" w:rsidRDefault="00FB727A" w:rsidP="00DE2589">
      <w:pPr>
        <w:pStyle w:val="Affiliation"/>
        <w:rPr>
          <w:rFonts w:eastAsia="MS Mincho"/>
          <w:color w:val="000000" w:themeColor="text1"/>
        </w:rPr>
      </w:pPr>
      <w:r>
        <w:rPr>
          <w:rFonts w:eastAsia="MS Mincho"/>
          <w:color w:val="000000" w:themeColor="text1"/>
        </w:rPr>
        <w:t xml:space="preserve">CAZRI </w:t>
      </w:r>
      <w:r w:rsidRPr="00AF0477">
        <w:rPr>
          <w:rFonts w:eastAsia="MS Mincho"/>
          <w:color w:val="000000" w:themeColor="text1"/>
        </w:rPr>
        <w:t>Hub, Jodhpur</w:t>
      </w:r>
      <w:r>
        <w:rPr>
          <w:rFonts w:eastAsia="MS Mincho"/>
          <w:color w:val="000000" w:themeColor="text1"/>
        </w:rPr>
        <w:t xml:space="preserve">, </w:t>
      </w:r>
      <w:r w:rsidRPr="00AF0477">
        <w:rPr>
          <w:rFonts w:eastAsia="MS Mincho"/>
          <w:color w:val="000000" w:themeColor="text1"/>
        </w:rPr>
        <w:t>India</w:t>
      </w:r>
    </w:p>
    <w:p w:rsidR="0050196E" w:rsidRPr="00AF0477" w:rsidRDefault="0050196E" w:rsidP="00DE2589">
      <w:pPr>
        <w:pStyle w:val="Affiliation"/>
        <w:rPr>
          <w:rFonts w:eastAsia="MS Mincho"/>
          <w:color w:val="000000" w:themeColor="text1"/>
        </w:rPr>
      </w:pPr>
      <w:r w:rsidRPr="00AF0477">
        <w:rPr>
          <w:rFonts w:eastAsia="MS Mincho"/>
          <w:color w:val="000000" w:themeColor="text1"/>
        </w:rPr>
        <w:t xml:space="preserve">Email: </w:t>
      </w:r>
      <w:r w:rsidR="00574F50" w:rsidRPr="00574F50">
        <w:rPr>
          <w:rFonts w:eastAsia="MS Mincho"/>
          <w:color w:val="000000" w:themeColor="text1"/>
        </w:rPr>
        <w:t>rahuldhakad939@gmail.com</w:t>
      </w:r>
    </w:p>
    <w:p w:rsidR="0050196E" w:rsidRDefault="0050196E" w:rsidP="00DE2589">
      <w:pPr>
        <w:pStyle w:val="Abstract"/>
        <w:spacing w:after="0"/>
        <w:ind w:firstLine="0"/>
        <w:jc w:val="center"/>
        <w:rPr>
          <w:rFonts w:eastAsia="MS Mincho"/>
          <w:iCs/>
          <w:color w:val="000000" w:themeColor="text1"/>
          <w:sz w:val="20"/>
          <w:szCs w:val="20"/>
        </w:rPr>
      </w:pPr>
    </w:p>
    <w:p w:rsidR="00C92845" w:rsidRPr="00AF0477" w:rsidRDefault="0050196E" w:rsidP="00DE2589">
      <w:pPr>
        <w:pStyle w:val="Abstract"/>
        <w:spacing w:after="0"/>
        <w:ind w:firstLine="0"/>
        <w:jc w:val="center"/>
        <w:rPr>
          <w:rFonts w:eastAsia="MS Mincho"/>
          <w:iCs/>
          <w:color w:val="000000" w:themeColor="text1"/>
          <w:sz w:val="20"/>
          <w:szCs w:val="20"/>
        </w:rPr>
      </w:pPr>
      <w:r>
        <w:rPr>
          <w:rFonts w:eastAsia="MS Mincho"/>
          <w:iCs/>
          <w:color w:val="000000" w:themeColor="text1"/>
          <w:sz w:val="20"/>
          <w:szCs w:val="20"/>
        </w:rPr>
        <w:t>A</w:t>
      </w:r>
      <w:r w:rsidR="00402841" w:rsidRPr="00AF0477">
        <w:rPr>
          <w:rFonts w:eastAsia="MS Mincho"/>
          <w:iCs/>
          <w:color w:val="000000" w:themeColor="text1"/>
          <w:sz w:val="20"/>
          <w:szCs w:val="20"/>
        </w:rPr>
        <w:t>BSTRACT</w:t>
      </w:r>
    </w:p>
    <w:p w:rsidR="00C92845" w:rsidRPr="00AF0477" w:rsidRDefault="00C92845" w:rsidP="00DE2589">
      <w:pPr>
        <w:pStyle w:val="Abstract"/>
        <w:spacing w:after="0"/>
        <w:ind w:firstLine="720"/>
        <w:rPr>
          <w:b w:val="0"/>
          <w:color w:val="000000" w:themeColor="text1"/>
          <w:sz w:val="20"/>
          <w:szCs w:val="20"/>
        </w:rPr>
      </w:pPr>
    </w:p>
    <w:p w:rsidR="005D69AF" w:rsidRPr="00AF0477" w:rsidRDefault="005D23E6" w:rsidP="005D23E6">
      <w:pPr>
        <w:pStyle w:val="Abstract"/>
        <w:ind w:firstLine="720"/>
        <w:rPr>
          <w:rFonts w:eastAsia="MS Mincho"/>
          <w:b w:val="0"/>
          <w:color w:val="000000" w:themeColor="text1"/>
          <w:sz w:val="20"/>
          <w:szCs w:val="20"/>
        </w:rPr>
      </w:pPr>
      <w:r w:rsidRPr="00AF0477">
        <w:rPr>
          <w:rFonts w:eastAsia="MS Mincho"/>
          <w:b w:val="0"/>
          <w:color w:val="000000" w:themeColor="text1"/>
          <w:sz w:val="20"/>
          <w:szCs w:val="20"/>
        </w:rPr>
        <w:t xml:space="preserve">Arid regions, which are characterized by minimal precipitation and sparse vegetation, make up about 41.3% of the Earth's land surface. These areas </w:t>
      </w:r>
      <w:r w:rsidR="0018715C" w:rsidRPr="00AF0477">
        <w:rPr>
          <w:rFonts w:eastAsia="MS Mincho"/>
          <w:b w:val="0"/>
          <w:color w:val="000000" w:themeColor="text1"/>
          <w:sz w:val="20"/>
          <w:szCs w:val="20"/>
        </w:rPr>
        <w:t xml:space="preserve">present serious obstacles to human existence </w:t>
      </w:r>
      <w:r w:rsidRPr="00AF0477">
        <w:rPr>
          <w:rFonts w:eastAsia="MS Mincho"/>
          <w:b w:val="0"/>
          <w:color w:val="000000" w:themeColor="text1"/>
          <w:sz w:val="20"/>
          <w:szCs w:val="20"/>
        </w:rPr>
        <w:t xml:space="preserve">and are home to over 2.1 billion people worldwide. </w:t>
      </w:r>
      <w:r w:rsidR="0018715C" w:rsidRPr="00AF0477">
        <w:rPr>
          <w:rFonts w:eastAsia="MS Mincho"/>
          <w:b w:val="0"/>
          <w:color w:val="000000" w:themeColor="text1"/>
          <w:sz w:val="20"/>
          <w:szCs w:val="20"/>
        </w:rPr>
        <w:t>Arid regions are</w:t>
      </w:r>
      <w:r w:rsidRPr="00AF0477">
        <w:rPr>
          <w:rFonts w:eastAsia="MS Mincho"/>
          <w:b w:val="0"/>
          <w:color w:val="000000" w:themeColor="text1"/>
          <w:sz w:val="20"/>
          <w:szCs w:val="20"/>
        </w:rPr>
        <w:t xml:space="preserve"> impacted by the combined effects of climate change and human activities. </w:t>
      </w:r>
      <w:r w:rsidR="00680460" w:rsidRPr="00AF0477">
        <w:rPr>
          <w:rFonts w:eastAsia="MS Mincho"/>
          <w:b w:val="0"/>
          <w:color w:val="000000" w:themeColor="text1"/>
          <w:sz w:val="20"/>
          <w:szCs w:val="20"/>
        </w:rPr>
        <w:t xml:space="preserve">These areas are known for high temperature, water scarcity, poor soil fertility and low biodiversity. </w:t>
      </w:r>
      <w:r w:rsidR="0018715C" w:rsidRPr="00AF0477">
        <w:rPr>
          <w:rFonts w:eastAsia="MS Mincho"/>
          <w:b w:val="0"/>
          <w:color w:val="000000" w:themeColor="text1"/>
          <w:sz w:val="20"/>
          <w:szCs w:val="20"/>
        </w:rPr>
        <w:t>These issues can be addressed through sustainable resource management and application of cutting-edge technology, including smart irrigation, protective cultivation, integrated weed control, balanced fertilization and biotechnological breakthroughs</w:t>
      </w:r>
      <w:r w:rsidRPr="00AF0477">
        <w:rPr>
          <w:rFonts w:eastAsia="MS Mincho"/>
          <w:b w:val="0"/>
          <w:color w:val="000000" w:themeColor="text1"/>
          <w:sz w:val="20"/>
          <w:szCs w:val="20"/>
        </w:rPr>
        <w:t xml:space="preserve">. Protective cultivation </w:t>
      </w:r>
      <w:r w:rsidR="00662ACA" w:rsidRPr="00AF0477">
        <w:rPr>
          <w:rFonts w:eastAsia="MS Mincho"/>
          <w:b w:val="0"/>
          <w:color w:val="000000" w:themeColor="text1"/>
          <w:sz w:val="20"/>
          <w:szCs w:val="20"/>
        </w:rPr>
        <w:t>practices like</w:t>
      </w:r>
      <w:r w:rsidRPr="00AF0477">
        <w:rPr>
          <w:rFonts w:eastAsia="MS Mincho"/>
          <w:b w:val="0"/>
          <w:color w:val="000000" w:themeColor="text1"/>
          <w:sz w:val="20"/>
          <w:szCs w:val="20"/>
        </w:rPr>
        <w:t xml:space="preserve"> polyhouses and net houses </w:t>
      </w:r>
      <w:r w:rsidR="00662ACA" w:rsidRPr="00AF0477">
        <w:rPr>
          <w:rFonts w:eastAsia="MS Mincho"/>
          <w:b w:val="0"/>
          <w:color w:val="000000" w:themeColor="text1"/>
          <w:sz w:val="20"/>
          <w:szCs w:val="20"/>
        </w:rPr>
        <w:t>play a vital role</w:t>
      </w:r>
      <w:r w:rsidRPr="00AF0477">
        <w:rPr>
          <w:rFonts w:eastAsia="MS Mincho"/>
          <w:b w:val="0"/>
          <w:color w:val="000000" w:themeColor="text1"/>
          <w:sz w:val="20"/>
          <w:szCs w:val="20"/>
        </w:rPr>
        <w:t xml:space="preserve"> </w:t>
      </w:r>
      <w:r w:rsidR="00662ACA" w:rsidRPr="00AF0477">
        <w:rPr>
          <w:rFonts w:eastAsia="MS Mincho"/>
          <w:b w:val="0"/>
          <w:color w:val="000000" w:themeColor="text1"/>
          <w:sz w:val="20"/>
          <w:szCs w:val="20"/>
        </w:rPr>
        <w:t>in</w:t>
      </w:r>
      <w:r w:rsidRPr="00AF0477">
        <w:rPr>
          <w:rFonts w:eastAsia="MS Mincho"/>
          <w:b w:val="0"/>
          <w:color w:val="000000" w:themeColor="text1"/>
          <w:sz w:val="20"/>
          <w:szCs w:val="20"/>
        </w:rPr>
        <w:t xml:space="preserve"> optimizing crop production by regulating the microenvironment</w:t>
      </w:r>
      <w:r w:rsidR="00662ACA" w:rsidRPr="00AF0477">
        <w:rPr>
          <w:rFonts w:eastAsia="MS Mincho"/>
          <w:b w:val="0"/>
          <w:color w:val="000000" w:themeColor="text1"/>
          <w:sz w:val="20"/>
          <w:szCs w:val="20"/>
        </w:rPr>
        <w:t xml:space="preserve"> </w:t>
      </w:r>
      <w:r w:rsidRPr="00AF0477">
        <w:rPr>
          <w:rFonts w:eastAsia="MS Mincho"/>
          <w:b w:val="0"/>
          <w:color w:val="000000" w:themeColor="text1"/>
          <w:sz w:val="20"/>
          <w:szCs w:val="20"/>
        </w:rPr>
        <w:t>in arid regions where water resources are scarce.</w:t>
      </w:r>
      <w:r w:rsidR="00662ACA" w:rsidRPr="00AF0477">
        <w:rPr>
          <w:rFonts w:eastAsia="MS Mincho"/>
          <w:b w:val="0"/>
          <w:color w:val="000000" w:themeColor="text1"/>
          <w:sz w:val="20"/>
          <w:szCs w:val="20"/>
        </w:rPr>
        <w:t xml:space="preserve"> Protective cultivation</w:t>
      </w:r>
      <w:r w:rsidRPr="00AF0477">
        <w:rPr>
          <w:rFonts w:eastAsia="MS Mincho"/>
          <w:b w:val="0"/>
          <w:color w:val="000000" w:themeColor="text1"/>
          <w:sz w:val="20"/>
          <w:szCs w:val="20"/>
        </w:rPr>
        <w:t xml:space="preserve"> </w:t>
      </w:r>
      <w:r w:rsidR="00662ACA" w:rsidRPr="00AF0477">
        <w:rPr>
          <w:rFonts w:eastAsia="MS Mincho"/>
          <w:b w:val="0"/>
          <w:color w:val="000000" w:themeColor="text1"/>
          <w:sz w:val="20"/>
          <w:szCs w:val="20"/>
        </w:rPr>
        <w:t xml:space="preserve">also </w:t>
      </w:r>
      <w:r w:rsidRPr="00AF0477">
        <w:rPr>
          <w:rFonts w:eastAsia="MS Mincho"/>
          <w:b w:val="0"/>
          <w:color w:val="000000" w:themeColor="text1"/>
          <w:sz w:val="20"/>
          <w:szCs w:val="20"/>
        </w:rPr>
        <w:t>include</w:t>
      </w:r>
      <w:r w:rsidR="00662ACA" w:rsidRPr="00AF0477">
        <w:rPr>
          <w:rFonts w:eastAsia="MS Mincho"/>
          <w:b w:val="0"/>
          <w:color w:val="000000" w:themeColor="text1"/>
          <w:sz w:val="20"/>
          <w:szCs w:val="20"/>
        </w:rPr>
        <w:t>s</w:t>
      </w:r>
      <w:r w:rsidRPr="00AF0477">
        <w:rPr>
          <w:rFonts w:eastAsia="MS Mincho"/>
          <w:b w:val="0"/>
          <w:color w:val="000000" w:themeColor="text1"/>
          <w:sz w:val="20"/>
          <w:szCs w:val="20"/>
        </w:rPr>
        <w:t xml:space="preserve"> practices such as hydroponics, precision agriculture and integrated crop management strategies. </w:t>
      </w:r>
      <w:r w:rsidR="00662ACA" w:rsidRPr="00AF0477">
        <w:rPr>
          <w:rFonts w:eastAsia="MS Mincho"/>
          <w:b w:val="0"/>
          <w:color w:val="000000" w:themeColor="text1"/>
          <w:sz w:val="20"/>
          <w:szCs w:val="20"/>
        </w:rPr>
        <w:t xml:space="preserve">Water use efficiency in arid regions can be improved by </w:t>
      </w:r>
      <w:proofErr w:type="spellStart"/>
      <w:r w:rsidR="00662ACA" w:rsidRPr="00AF0477">
        <w:rPr>
          <w:rFonts w:eastAsia="MS Mincho"/>
          <w:b w:val="0"/>
          <w:color w:val="000000" w:themeColor="text1"/>
          <w:sz w:val="20"/>
          <w:szCs w:val="20"/>
        </w:rPr>
        <w:t>practising</w:t>
      </w:r>
      <w:proofErr w:type="spellEnd"/>
      <w:r w:rsidR="00662ACA" w:rsidRPr="00AF0477">
        <w:rPr>
          <w:rFonts w:eastAsia="MS Mincho"/>
          <w:b w:val="0"/>
          <w:color w:val="000000" w:themeColor="text1"/>
          <w:sz w:val="20"/>
          <w:szCs w:val="20"/>
        </w:rPr>
        <w:t xml:space="preserve"> s</w:t>
      </w:r>
      <w:r w:rsidRPr="00AF0477">
        <w:rPr>
          <w:rFonts w:eastAsia="MS Mincho"/>
          <w:b w:val="0"/>
          <w:color w:val="000000" w:themeColor="text1"/>
          <w:sz w:val="20"/>
          <w:szCs w:val="20"/>
        </w:rPr>
        <w:t>mart irrigation which use</w:t>
      </w:r>
      <w:r w:rsidR="00680460" w:rsidRPr="00AF0477">
        <w:rPr>
          <w:rFonts w:eastAsia="MS Mincho"/>
          <w:b w:val="0"/>
          <w:color w:val="000000" w:themeColor="text1"/>
          <w:sz w:val="20"/>
          <w:szCs w:val="20"/>
        </w:rPr>
        <w:t>s</w:t>
      </w:r>
      <w:r w:rsidRPr="00AF0477">
        <w:rPr>
          <w:rFonts w:eastAsia="MS Mincho"/>
          <w:b w:val="0"/>
          <w:color w:val="000000" w:themeColor="text1"/>
          <w:sz w:val="20"/>
          <w:szCs w:val="20"/>
        </w:rPr>
        <w:t xml:space="preserve"> </w:t>
      </w:r>
      <w:r w:rsidR="001227DC">
        <w:rPr>
          <w:rFonts w:eastAsia="MS Mincho"/>
          <w:b w:val="0"/>
          <w:color w:val="000000" w:themeColor="text1"/>
          <w:sz w:val="20"/>
          <w:szCs w:val="20"/>
        </w:rPr>
        <w:t xml:space="preserve">the </w:t>
      </w:r>
      <w:r w:rsidRPr="00AF0477">
        <w:rPr>
          <w:rFonts w:eastAsia="MS Mincho"/>
          <w:b w:val="0"/>
          <w:color w:val="000000" w:themeColor="text1"/>
          <w:sz w:val="20"/>
          <w:szCs w:val="20"/>
        </w:rPr>
        <w:t>Internet of Things (IoT) and artificial intelligence (AI)</w:t>
      </w:r>
      <w:r w:rsidR="00680460" w:rsidRPr="00AF0477">
        <w:rPr>
          <w:rFonts w:eastAsia="MS Mincho"/>
          <w:b w:val="0"/>
          <w:color w:val="000000" w:themeColor="text1"/>
          <w:sz w:val="20"/>
          <w:szCs w:val="20"/>
        </w:rPr>
        <w:t xml:space="preserve"> to deliver</w:t>
      </w:r>
      <w:r w:rsidRPr="00AF0477">
        <w:rPr>
          <w:rFonts w:eastAsia="MS Mincho"/>
          <w:b w:val="0"/>
          <w:color w:val="000000" w:themeColor="text1"/>
          <w:sz w:val="20"/>
          <w:szCs w:val="20"/>
        </w:rPr>
        <w:t xml:space="preserve"> water</w:t>
      </w:r>
      <w:r w:rsidR="00680460" w:rsidRPr="00AF0477">
        <w:rPr>
          <w:rFonts w:eastAsia="MS Mincho"/>
          <w:b w:val="0"/>
          <w:color w:val="000000" w:themeColor="text1"/>
          <w:sz w:val="20"/>
          <w:szCs w:val="20"/>
        </w:rPr>
        <w:t xml:space="preserve"> precisely</w:t>
      </w:r>
      <w:r w:rsidRPr="00AF0477">
        <w:rPr>
          <w:rFonts w:eastAsia="MS Mincho"/>
          <w:b w:val="0"/>
          <w:color w:val="000000" w:themeColor="text1"/>
          <w:sz w:val="20"/>
          <w:szCs w:val="20"/>
        </w:rPr>
        <w:t xml:space="preserve">, thereby enhancing yields </w:t>
      </w:r>
      <w:r w:rsidR="00680460" w:rsidRPr="00AF0477">
        <w:rPr>
          <w:rFonts w:eastAsia="MS Mincho"/>
          <w:b w:val="0"/>
          <w:color w:val="000000" w:themeColor="text1"/>
          <w:sz w:val="20"/>
          <w:szCs w:val="20"/>
        </w:rPr>
        <w:t>and fertilizer use efficiency</w:t>
      </w:r>
      <w:r w:rsidRPr="00AF0477">
        <w:rPr>
          <w:rFonts w:eastAsia="MS Mincho"/>
          <w:b w:val="0"/>
          <w:color w:val="000000" w:themeColor="text1"/>
          <w:sz w:val="20"/>
          <w:szCs w:val="20"/>
        </w:rPr>
        <w:t xml:space="preserve">. Advanced weed management approaches, including cover cropping, </w:t>
      </w:r>
      <w:r w:rsidR="00680460" w:rsidRPr="00AF0477">
        <w:rPr>
          <w:rFonts w:eastAsia="MS Mincho"/>
          <w:b w:val="0"/>
          <w:color w:val="000000" w:themeColor="text1"/>
          <w:sz w:val="20"/>
          <w:szCs w:val="20"/>
        </w:rPr>
        <w:t xml:space="preserve">allelopathy, </w:t>
      </w:r>
      <w:r w:rsidRPr="00AF0477">
        <w:rPr>
          <w:rFonts w:eastAsia="MS Mincho"/>
          <w:b w:val="0"/>
          <w:color w:val="000000" w:themeColor="text1"/>
          <w:sz w:val="20"/>
          <w:szCs w:val="20"/>
        </w:rPr>
        <w:t xml:space="preserve">genetic engineering and remote sensing are combating herbicide resistance and improving soil health. </w:t>
      </w:r>
      <w:r w:rsidR="00680460" w:rsidRPr="00AF0477">
        <w:rPr>
          <w:rFonts w:eastAsia="MS Mincho"/>
          <w:b w:val="0"/>
          <w:color w:val="000000" w:themeColor="text1"/>
          <w:sz w:val="20"/>
          <w:szCs w:val="20"/>
        </w:rPr>
        <w:t>S</w:t>
      </w:r>
      <w:r w:rsidRPr="00AF0477">
        <w:rPr>
          <w:rFonts w:eastAsia="MS Mincho"/>
          <w:b w:val="0"/>
          <w:color w:val="000000" w:themeColor="text1"/>
          <w:sz w:val="20"/>
          <w:szCs w:val="20"/>
        </w:rPr>
        <w:t>oil conservation techniques such as contour plo</w:t>
      </w:r>
      <w:r w:rsidR="00680460" w:rsidRPr="00AF0477">
        <w:rPr>
          <w:rFonts w:eastAsia="MS Mincho"/>
          <w:b w:val="0"/>
          <w:color w:val="000000" w:themeColor="text1"/>
          <w:sz w:val="20"/>
          <w:szCs w:val="20"/>
        </w:rPr>
        <w:t>ugh</w:t>
      </w:r>
      <w:r w:rsidRPr="00AF0477">
        <w:rPr>
          <w:rFonts w:eastAsia="MS Mincho"/>
          <w:b w:val="0"/>
          <w:color w:val="000000" w:themeColor="text1"/>
          <w:sz w:val="20"/>
          <w:szCs w:val="20"/>
        </w:rPr>
        <w:t>ing, mulching</w:t>
      </w:r>
      <w:r w:rsidR="00680460" w:rsidRPr="00AF0477">
        <w:rPr>
          <w:rFonts w:eastAsia="MS Mincho"/>
          <w:b w:val="0"/>
          <w:color w:val="000000" w:themeColor="text1"/>
          <w:sz w:val="20"/>
          <w:szCs w:val="20"/>
        </w:rPr>
        <w:t xml:space="preserve">, </w:t>
      </w:r>
      <w:r w:rsidRPr="00AF0477">
        <w:rPr>
          <w:rFonts w:eastAsia="MS Mincho"/>
          <w:b w:val="0"/>
          <w:color w:val="000000" w:themeColor="text1"/>
          <w:sz w:val="20"/>
          <w:szCs w:val="20"/>
        </w:rPr>
        <w:t>windbreak</w:t>
      </w:r>
      <w:r w:rsidR="00680460" w:rsidRPr="00AF0477">
        <w:rPr>
          <w:rFonts w:eastAsia="MS Mincho"/>
          <w:b w:val="0"/>
          <w:color w:val="000000" w:themeColor="text1"/>
          <w:sz w:val="20"/>
          <w:szCs w:val="20"/>
        </w:rPr>
        <w:t>s</w:t>
      </w:r>
      <w:r w:rsidRPr="00AF0477">
        <w:rPr>
          <w:rFonts w:eastAsia="MS Mincho"/>
          <w:b w:val="0"/>
          <w:color w:val="000000" w:themeColor="text1"/>
          <w:sz w:val="20"/>
          <w:szCs w:val="20"/>
        </w:rPr>
        <w:t>,</w:t>
      </w:r>
      <w:r w:rsidR="00680460" w:rsidRPr="00AF0477">
        <w:rPr>
          <w:rFonts w:eastAsia="MS Mincho"/>
          <w:b w:val="0"/>
          <w:color w:val="000000" w:themeColor="text1"/>
          <w:sz w:val="20"/>
          <w:szCs w:val="20"/>
        </w:rPr>
        <w:t xml:space="preserve"> </w:t>
      </w:r>
      <w:r w:rsidRPr="00AF0477">
        <w:rPr>
          <w:rFonts w:eastAsia="MS Mincho"/>
          <w:b w:val="0"/>
          <w:color w:val="000000" w:themeColor="text1"/>
          <w:sz w:val="20"/>
          <w:szCs w:val="20"/>
        </w:rPr>
        <w:t>afforestation and agroforestry practices</w:t>
      </w:r>
      <w:r w:rsidR="00680460" w:rsidRPr="00AF0477">
        <w:rPr>
          <w:rFonts w:eastAsia="MS Mincho"/>
          <w:b w:val="0"/>
          <w:color w:val="000000" w:themeColor="text1"/>
          <w:sz w:val="20"/>
          <w:szCs w:val="20"/>
        </w:rPr>
        <w:t xml:space="preserve"> can</w:t>
      </w:r>
      <w:r w:rsidRPr="00AF0477">
        <w:rPr>
          <w:rFonts w:eastAsia="MS Mincho"/>
          <w:b w:val="0"/>
          <w:color w:val="000000" w:themeColor="text1"/>
          <w:sz w:val="20"/>
          <w:szCs w:val="20"/>
        </w:rPr>
        <w:t xml:space="preserve"> mitigate erosion and </w:t>
      </w:r>
      <w:r w:rsidR="00680460" w:rsidRPr="00AF0477">
        <w:rPr>
          <w:rFonts w:eastAsia="MS Mincho"/>
          <w:b w:val="0"/>
          <w:color w:val="000000" w:themeColor="text1"/>
          <w:sz w:val="20"/>
          <w:szCs w:val="20"/>
        </w:rPr>
        <w:t>boost</w:t>
      </w:r>
      <w:r w:rsidRPr="00AF0477">
        <w:rPr>
          <w:rFonts w:eastAsia="MS Mincho"/>
          <w:b w:val="0"/>
          <w:color w:val="000000" w:themeColor="text1"/>
          <w:sz w:val="20"/>
          <w:szCs w:val="20"/>
        </w:rPr>
        <w:t xml:space="preserve"> soil fertility. Geographic Information Systems (GIS) and remote sensing technologies </w:t>
      </w:r>
      <w:r w:rsidR="00680460" w:rsidRPr="00AF0477">
        <w:rPr>
          <w:rFonts w:eastAsia="MS Mincho"/>
          <w:b w:val="0"/>
          <w:color w:val="000000" w:themeColor="text1"/>
          <w:sz w:val="20"/>
          <w:szCs w:val="20"/>
        </w:rPr>
        <w:t>are in extensive use for</w:t>
      </w:r>
      <w:r w:rsidRPr="00AF0477">
        <w:rPr>
          <w:rFonts w:eastAsia="MS Mincho"/>
          <w:b w:val="0"/>
          <w:color w:val="000000" w:themeColor="text1"/>
          <w:sz w:val="20"/>
          <w:szCs w:val="20"/>
        </w:rPr>
        <w:t xml:space="preserve"> assessing and mitigating land degradation, promoting ecological stability and sustainability in arid regions. Biotechnological </w:t>
      </w:r>
      <w:r w:rsidR="00680460" w:rsidRPr="00AF0477">
        <w:rPr>
          <w:rFonts w:eastAsia="MS Mincho"/>
          <w:b w:val="0"/>
          <w:color w:val="000000" w:themeColor="text1"/>
          <w:sz w:val="20"/>
          <w:szCs w:val="20"/>
        </w:rPr>
        <w:t>tools</w:t>
      </w:r>
      <w:r w:rsidRPr="00AF0477">
        <w:rPr>
          <w:rFonts w:eastAsia="MS Mincho"/>
          <w:b w:val="0"/>
          <w:color w:val="000000" w:themeColor="text1"/>
          <w:sz w:val="20"/>
          <w:szCs w:val="20"/>
        </w:rPr>
        <w:t xml:space="preserve">, Marker-assisted selection (MAS) and CRISPR Cas9 gene editing </w:t>
      </w:r>
      <w:r w:rsidR="00A857AA" w:rsidRPr="00AF0477">
        <w:rPr>
          <w:rFonts w:eastAsia="MS Mincho"/>
          <w:b w:val="0"/>
          <w:color w:val="000000" w:themeColor="text1"/>
          <w:sz w:val="20"/>
          <w:szCs w:val="20"/>
        </w:rPr>
        <w:t xml:space="preserve">offer targeted solutions for developing arid-adapted crop varieties, ensuring sustainable agricultural productivity and resilience to abiotic stresses in the challenging environment of </w:t>
      </w:r>
      <w:r w:rsidRPr="00AF0477">
        <w:rPr>
          <w:rFonts w:eastAsia="MS Mincho"/>
          <w:b w:val="0"/>
          <w:color w:val="000000" w:themeColor="text1"/>
          <w:sz w:val="20"/>
          <w:szCs w:val="20"/>
        </w:rPr>
        <w:t>arid regions. MAS expedites breeding by identifying genetic markers linked to traits like drought, heat and salinity tolerance. CRISPR Cas9 facilitates precise genetic modifications, enhancing stress tolerance by manipulating water-use efficiency and stress response genes. Collectively, all these modern technologies provide solutions for the sustainable development of arid regions.</w:t>
      </w:r>
    </w:p>
    <w:p w:rsidR="008A55B5" w:rsidRPr="00AF0477" w:rsidRDefault="0072064C" w:rsidP="00466548">
      <w:pPr>
        <w:pStyle w:val="keywords"/>
        <w:spacing w:after="0"/>
        <w:ind w:firstLine="0"/>
        <w:rPr>
          <w:rFonts w:eastAsia="MS Mincho"/>
          <w:b w:val="0"/>
          <w:i w:val="0"/>
          <w:color w:val="000000" w:themeColor="text1"/>
          <w:sz w:val="20"/>
          <w:szCs w:val="20"/>
        </w:rPr>
      </w:pPr>
      <w:r w:rsidRPr="00AF0477">
        <w:rPr>
          <w:rFonts w:eastAsia="MS Mincho"/>
          <w:i w:val="0"/>
          <w:color w:val="000000" w:themeColor="text1"/>
          <w:sz w:val="20"/>
          <w:szCs w:val="20"/>
        </w:rPr>
        <w:t>Keywords</w:t>
      </w:r>
      <w:r w:rsidR="00CC10FE" w:rsidRPr="00AF0477">
        <w:rPr>
          <w:rFonts w:eastAsia="MS Mincho"/>
          <w:i w:val="0"/>
          <w:color w:val="000000" w:themeColor="text1"/>
          <w:sz w:val="20"/>
          <w:szCs w:val="20"/>
        </w:rPr>
        <w:t xml:space="preserve"> </w:t>
      </w:r>
      <w:r w:rsidR="00CC10FE" w:rsidRPr="00AF0477">
        <w:rPr>
          <w:rFonts w:eastAsia="MS Mincho"/>
          <w:b w:val="0"/>
          <w:i w:val="0"/>
          <w:color w:val="000000" w:themeColor="text1"/>
          <w:sz w:val="20"/>
          <w:szCs w:val="20"/>
        </w:rPr>
        <w:t xml:space="preserve">– </w:t>
      </w:r>
      <w:r w:rsidR="00097037" w:rsidRPr="00AF0477">
        <w:rPr>
          <w:rFonts w:eastAsia="MS Mincho"/>
          <w:b w:val="0"/>
          <w:i w:val="0"/>
          <w:color w:val="000000" w:themeColor="text1"/>
          <w:sz w:val="20"/>
          <w:szCs w:val="20"/>
        </w:rPr>
        <w:t>a</w:t>
      </w:r>
      <w:r w:rsidR="00CC10FE" w:rsidRPr="00AF0477">
        <w:rPr>
          <w:rFonts w:eastAsia="MS Mincho"/>
          <w:b w:val="0"/>
          <w:i w:val="0"/>
          <w:color w:val="000000" w:themeColor="text1"/>
          <w:sz w:val="20"/>
          <w:szCs w:val="20"/>
        </w:rPr>
        <w:t>rid</w:t>
      </w:r>
      <w:r w:rsidR="00097037" w:rsidRPr="00AF0477">
        <w:rPr>
          <w:rFonts w:eastAsia="MS Mincho"/>
          <w:b w:val="0"/>
          <w:i w:val="0"/>
          <w:color w:val="000000" w:themeColor="text1"/>
          <w:sz w:val="20"/>
          <w:szCs w:val="20"/>
        </w:rPr>
        <w:t>;</w:t>
      </w:r>
      <w:r w:rsidR="00CC10FE" w:rsidRPr="00AF0477">
        <w:rPr>
          <w:rFonts w:eastAsia="MS Mincho"/>
          <w:b w:val="0"/>
          <w:i w:val="0"/>
          <w:color w:val="000000" w:themeColor="text1"/>
          <w:sz w:val="20"/>
          <w:szCs w:val="20"/>
        </w:rPr>
        <w:t xml:space="preserve"> resource management</w:t>
      </w:r>
      <w:r w:rsidR="00097037" w:rsidRPr="00AF0477">
        <w:rPr>
          <w:rFonts w:eastAsia="MS Mincho"/>
          <w:b w:val="0"/>
          <w:i w:val="0"/>
          <w:color w:val="000000" w:themeColor="text1"/>
          <w:sz w:val="20"/>
          <w:szCs w:val="20"/>
        </w:rPr>
        <w:t>;</w:t>
      </w:r>
      <w:r w:rsidR="00CC10FE" w:rsidRPr="00AF0477">
        <w:rPr>
          <w:rFonts w:eastAsia="MS Mincho"/>
          <w:b w:val="0"/>
          <w:i w:val="0"/>
          <w:color w:val="000000" w:themeColor="text1"/>
          <w:sz w:val="20"/>
          <w:szCs w:val="20"/>
        </w:rPr>
        <w:t xml:space="preserve"> sustainability</w:t>
      </w:r>
      <w:r w:rsidR="00097037" w:rsidRPr="00AF0477">
        <w:rPr>
          <w:rFonts w:eastAsia="MS Mincho"/>
          <w:b w:val="0"/>
          <w:i w:val="0"/>
          <w:color w:val="000000" w:themeColor="text1"/>
          <w:sz w:val="20"/>
          <w:szCs w:val="20"/>
        </w:rPr>
        <w:t>;</w:t>
      </w:r>
      <w:r w:rsidR="00CC10FE" w:rsidRPr="00AF0477">
        <w:rPr>
          <w:rFonts w:eastAsia="MS Mincho"/>
          <w:b w:val="0"/>
          <w:i w:val="0"/>
          <w:color w:val="000000" w:themeColor="text1"/>
          <w:sz w:val="20"/>
          <w:szCs w:val="20"/>
        </w:rPr>
        <w:t xml:space="preserve"> ecological stability</w:t>
      </w:r>
      <w:r w:rsidR="00097037" w:rsidRPr="00AF0477">
        <w:rPr>
          <w:rFonts w:eastAsia="MS Mincho"/>
          <w:b w:val="0"/>
          <w:i w:val="0"/>
          <w:color w:val="000000" w:themeColor="text1"/>
          <w:sz w:val="20"/>
          <w:szCs w:val="20"/>
        </w:rPr>
        <w:t>;</w:t>
      </w:r>
      <w:r w:rsidR="00CC10FE" w:rsidRPr="00AF0477">
        <w:rPr>
          <w:rFonts w:eastAsia="MS Mincho"/>
          <w:b w:val="0"/>
          <w:i w:val="0"/>
          <w:color w:val="000000" w:themeColor="text1"/>
          <w:sz w:val="20"/>
          <w:szCs w:val="20"/>
        </w:rPr>
        <w:t xml:space="preserve"> innovative technologies </w:t>
      </w:r>
    </w:p>
    <w:p w:rsidR="00466548" w:rsidRPr="00AF0477" w:rsidRDefault="00466548" w:rsidP="00466548">
      <w:pPr>
        <w:pStyle w:val="keywords"/>
        <w:spacing w:after="0"/>
        <w:ind w:firstLine="0"/>
        <w:rPr>
          <w:rFonts w:eastAsia="MS Mincho"/>
          <w:b w:val="0"/>
          <w:i w:val="0"/>
          <w:color w:val="000000" w:themeColor="text1"/>
          <w:sz w:val="20"/>
          <w:szCs w:val="20"/>
        </w:rPr>
      </w:pPr>
    </w:p>
    <w:p w:rsidR="007679B4" w:rsidRPr="00AF0477" w:rsidRDefault="00EE6A07" w:rsidP="000D5CBE">
      <w:pPr>
        <w:pStyle w:val="ListParagraph"/>
        <w:numPr>
          <w:ilvl w:val="0"/>
          <w:numId w:val="18"/>
        </w:numPr>
        <w:tabs>
          <w:tab w:val="left" w:pos="3600"/>
        </w:tabs>
        <w:ind w:left="180" w:right="29" w:hanging="180"/>
        <w:rPr>
          <w:rFonts w:eastAsia="MS Mincho"/>
          <w:b/>
          <w:bCs/>
          <w:color w:val="000000" w:themeColor="text1"/>
        </w:rPr>
      </w:pPr>
      <w:r w:rsidRPr="00AF0477">
        <w:rPr>
          <w:rFonts w:eastAsia="MS Mincho"/>
          <w:b/>
          <w:bCs/>
          <w:color w:val="000000" w:themeColor="text1"/>
        </w:rPr>
        <w:t>INTRODUCTION</w:t>
      </w:r>
    </w:p>
    <w:p w:rsidR="00097037" w:rsidRPr="00AF0477" w:rsidRDefault="00097037" w:rsidP="00DE1DB6">
      <w:pPr>
        <w:tabs>
          <w:tab w:val="left" w:pos="2235"/>
          <w:tab w:val="center" w:pos="4514"/>
        </w:tabs>
        <w:ind w:right="29"/>
        <w:rPr>
          <w:rFonts w:eastAsia="MS Mincho"/>
          <w:b/>
          <w:bCs/>
          <w:color w:val="000000" w:themeColor="text1"/>
        </w:rPr>
      </w:pPr>
    </w:p>
    <w:p w:rsidR="00643147" w:rsidRPr="00AF0477" w:rsidRDefault="00FB727A" w:rsidP="00097037">
      <w:pPr>
        <w:tabs>
          <w:tab w:val="left" w:pos="2235"/>
          <w:tab w:val="center" w:pos="4514"/>
        </w:tabs>
        <w:ind w:right="29" w:firstLine="720"/>
        <w:jc w:val="both"/>
        <w:rPr>
          <w:rFonts w:eastAsia="MS Mincho"/>
          <w:color w:val="000000" w:themeColor="text1"/>
        </w:rPr>
      </w:pPr>
      <w:r>
        <w:rPr>
          <w:rFonts w:eastAsia="MS Mincho"/>
          <w:color w:val="000000" w:themeColor="text1"/>
        </w:rPr>
        <w:t>The term "arid" is derived from the Greek word "arere," which denotes "to be dry”. The a</w:t>
      </w:r>
      <w:r w:rsidR="006F0754" w:rsidRPr="00AF0477">
        <w:rPr>
          <w:rFonts w:eastAsia="MS Mincho"/>
          <w:color w:val="000000" w:themeColor="text1"/>
        </w:rPr>
        <w:t>rid</w:t>
      </w:r>
      <w:r>
        <w:rPr>
          <w:rFonts w:eastAsia="MS Mincho"/>
          <w:color w:val="000000" w:themeColor="text1"/>
        </w:rPr>
        <w:t xml:space="preserve"> term</w:t>
      </w:r>
      <w:r w:rsidR="006F0754" w:rsidRPr="00AF0477">
        <w:rPr>
          <w:rFonts w:eastAsia="MS Mincho"/>
          <w:color w:val="000000" w:themeColor="text1"/>
        </w:rPr>
        <w:t xml:space="preserve"> typically denotes a geographic area characteri</w:t>
      </w:r>
      <w:r w:rsidR="0039564E" w:rsidRPr="00AF0477">
        <w:rPr>
          <w:rFonts w:eastAsia="MS Mincho"/>
          <w:color w:val="000000" w:themeColor="text1"/>
        </w:rPr>
        <w:t>z</w:t>
      </w:r>
      <w:r w:rsidR="006F0754" w:rsidRPr="00AF0477">
        <w:rPr>
          <w:rFonts w:eastAsia="MS Mincho"/>
          <w:color w:val="000000" w:themeColor="text1"/>
        </w:rPr>
        <w:t>ed by minimal or insufficient rainfall</w:t>
      </w:r>
      <w:r>
        <w:rPr>
          <w:rFonts w:eastAsia="MS Mincho"/>
          <w:color w:val="000000" w:themeColor="text1"/>
        </w:rPr>
        <w:t xml:space="preserve"> (&lt;250 mm)</w:t>
      </w:r>
      <w:r w:rsidR="006F0754" w:rsidRPr="00AF0477">
        <w:rPr>
          <w:rFonts w:eastAsia="MS Mincho"/>
          <w:color w:val="000000" w:themeColor="text1"/>
        </w:rPr>
        <w:t xml:space="preserve">, leading to sparse or absent vegetation, challenging agricultural conditions and precarious human habitation. Geographers and climatologists define arid zones as regions with high aridity, where precipitation falls short of potential evapotranspiration rates. </w:t>
      </w:r>
      <w:r w:rsidR="00643147" w:rsidRPr="00AF0477">
        <w:rPr>
          <w:rFonts w:eastAsia="MS Mincho"/>
          <w:color w:val="000000" w:themeColor="text1"/>
        </w:rPr>
        <w:t xml:space="preserve">Arid regions face escalating natural resource scarcity, a situation expected to worsen due to climate change and human influences on weather patterns </w:t>
      </w:r>
      <w:r w:rsidR="00643147" w:rsidRPr="00AF0477">
        <w:rPr>
          <w:rFonts w:eastAsia="MS Mincho"/>
          <w:color w:val="000000" w:themeColor="text1"/>
        </w:rPr>
        <w:fldChar w:fldCharType="begin"/>
      </w:r>
      <w:r w:rsidR="00CB2F75" w:rsidRPr="00AF0477">
        <w:rPr>
          <w:rFonts w:eastAsia="MS Mincho"/>
          <w:color w:val="000000" w:themeColor="text1"/>
        </w:rPr>
        <w:instrText xml:space="preserve"> ADDIN ZOTERO_ITEM CSL_CITATION {"citationID":"CyB7TFjd","properties":{"formattedCitation":"[1]","plainCitation":"[1]","noteIndex":0},"citationItems":[{"id":59,"uris":["http://zotero.org/users/14036693/items/TRYCFJBD"],"itemData":{"id":59,"type":"article-journal","abstract":"Using information contained in the eighteenth to twentieth century British administrative documents, preserved in the National Archives of India (NAI), we present a 218-year (1729–1947 AD) record of socioeconomic disruptions and human impacts (famines) associated with ‘rain failures’ that affected the semi-arid regions (SARs) of southern India. By mapping the southern Indian famine record onto long-term spatiotemporal measures of regional rainfall variability, we demonstrate that the SARs of southern India repeatedly experienced famines when annual rainfall reduced by ~ one standard deviation (1 SD), or more, from long-term averages. In other words, ‘rain failures’ listed in the colonial documents as causes of extreme socioeconomic disruptions, food shortages and human distress (famines) in the southern Indian SARs were fluctuations in precipitation well within the normal range of regional rainfall variability and not extreme rainfall deficits (≥ 3 SD). Our study demonstrates that extreme climate events were not necessary conditions for extreme socioeconomic disruptions and human impacts rendered by the colonial era famines in peninsular India. Based on our findings, we suggest that climate change risk assessement should consider the potential impacts of more frequent low-level anomalies (e.g. 1 SD) in drought prone semi-arid regions.","container-title":"Scientific Reports","DOI":"10.1038/s41598-021-96826-2","ISSN":"2045-2322","issue":"1","journalAbbreviation":"Sci Rep","language":"en","license":"2021 The Author(s)","note":"publisher: Nature Publishing Group","page":"17568","source":"www.nature.com","title":"Extreme rainfall deficits were not the cause of recurring colonial era famines of southern Indian semi-arid regions","volume":"11","author":[{"family":"Ray","given":"Ranjini"},{"family":"Bhattacharya","given":"Atreyee"},{"family":"Arora","given":"Gaurav"},{"family":"Bajaj","given":"Kushank"},{"family":"Horton","given":"Keyle"},{"family":"Chen","given":"Shi"},{"family":"Chakraborty","given":"Supriyo"},{"family":"Bazaz","given":"Amir"}],"issued":{"date-parts":[["2021",9,2]]}}}],"schema":"https://github.com/citation-style-language/schema/raw/master/csl-citation.json"} </w:instrText>
      </w:r>
      <w:r w:rsidR="00643147" w:rsidRPr="00AF0477">
        <w:rPr>
          <w:rFonts w:eastAsia="MS Mincho"/>
          <w:color w:val="000000" w:themeColor="text1"/>
        </w:rPr>
        <w:fldChar w:fldCharType="separate"/>
      </w:r>
      <w:r w:rsidR="00AF0477" w:rsidRPr="00AF0477">
        <w:rPr>
          <w:color w:val="000000" w:themeColor="text1"/>
          <w:szCs w:val="24"/>
          <w:lang w:val="en-GB"/>
        </w:rPr>
        <w:t>[1]</w:t>
      </w:r>
      <w:r w:rsidR="00643147" w:rsidRPr="00AF0477">
        <w:rPr>
          <w:rFonts w:eastAsia="MS Mincho"/>
          <w:color w:val="000000" w:themeColor="text1"/>
        </w:rPr>
        <w:fldChar w:fldCharType="end"/>
      </w:r>
      <w:r w:rsidR="00643147" w:rsidRPr="00AF0477">
        <w:rPr>
          <w:rFonts w:eastAsia="MS Mincho"/>
          <w:color w:val="000000" w:themeColor="text1"/>
        </w:rPr>
        <w:t xml:space="preserve">. Arid regions cover approximately 60.9 million sq. km, which is about 41.3% of the Earth's terrestrial surface and is home to over a third of the global population, supporting approximately 2.1 billion people. </w:t>
      </w:r>
      <w:r w:rsidR="00650E72" w:rsidRPr="00AF0477">
        <w:rPr>
          <w:rFonts w:eastAsia="MS Mincho"/>
          <w:color w:val="000000" w:themeColor="text1"/>
        </w:rPr>
        <w:t>These lands provide essential ecosystem services for people's livelihoods</w:t>
      </w:r>
      <w:r w:rsidR="00643147" w:rsidRPr="00AF0477">
        <w:rPr>
          <w:rFonts w:eastAsia="MS Mincho"/>
          <w:color w:val="000000" w:themeColor="text1"/>
        </w:rPr>
        <w:t xml:space="preserve">. Arid regions are classified into four categories based on the aridity index: hyper-arid, arid, semi-arid, </w:t>
      </w:r>
      <w:r w:rsidR="00643147" w:rsidRPr="00AF0477">
        <w:rPr>
          <w:rFonts w:eastAsia="MS Mincho"/>
          <w:color w:val="000000" w:themeColor="text1"/>
        </w:rPr>
        <w:lastRenderedPageBreak/>
        <w:t>and dry subhumid. The primary differentiation is between deserts (hyper-arid and arid) and semi-deserts (semi-arid). Hyper-arid zones cover 6.6% of the Earth's land surface, arid zones cover 10.6%, semi-arid zones are found across all continents</w:t>
      </w:r>
      <w:r w:rsidR="00650E72" w:rsidRPr="00AF0477">
        <w:rPr>
          <w:rFonts w:eastAsia="MS Mincho"/>
          <w:color w:val="000000" w:themeColor="text1"/>
        </w:rPr>
        <w:t>,</w:t>
      </w:r>
      <w:r w:rsidR="00643147" w:rsidRPr="00AF0477">
        <w:rPr>
          <w:rFonts w:eastAsia="MS Mincho"/>
          <w:color w:val="000000" w:themeColor="text1"/>
        </w:rPr>
        <w:t xml:space="preserve"> encompassing 15.2%, and dry subhumid regions cover 8.7% of the Earth's land surface </w:t>
      </w:r>
      <w:r w:rsidR="00650E72" w:rsidRPr="00AF0477">
        <w:rPr>
          <w:rFonts w:eastAsia="MS Mincho"/>
          <w:color w:val="000000" w:themeColor="text1"/>
        </w:rPr>
        <w:fldChar w:fldCharType="begin"/>
      </w:r>
      <w:r w:rsidR="005130B8" w:rsidRPr="00AF0477">
        <w:rPr>
          <w:rFonts w:eastAsia="MS Mincho"/>
          <w:color w:val="000000" w:themeColor="text1"/>
        </w:rPr>
        <w:instrText xml:space="preserve"> ADDIN ZOTERO_ITEM CSL_CITATION {"citationID":"H0o7FDdl","properties":{"formattedCitation":"[2]","plainCitation":"[2]","noteIndex":0},"citationItems":[{"id":61,"uris":["http://zotero.org/users/14036693/items/BW3WTSXG"],"itemData":{"id":61,"type":"webpage","abstract":"Here you will find information about the UN Decade for Deserts and the Fight against Desertification 2010-2020).","language":"EN","title":"2010–2020: UN Decade for Deserts and the Fight against Desertification","title-short":"2010–2020","URL":"https://www.un.org/en/events/desertification_decade/whynow.shtml#","accessed":{"date-parts":[["2024",5,28]]}}}],"schema":"https://github.com/citation-style-language/schema/raw/master/csl-citation.json"} </w:instrText>
      </w:r>
      <w:r w:rsidR="00650E72" w:rsidRPr="00AF0477">
        <w:rPr>
          <w:rFonts w:eastAsia="MS Mincho"/>
          <w:color w:val="000000" w:themeColor="text1"/>
        </w:rPr>
        <w:fldChar w:fldCharType="separate"/>
      </w:r>
      <w:r w:rsidR="00AF0477" w:rsidRPr="00AF0477">
        <w:rPr>
          <w:color w:val="000000" w:themeColor="text1"/>
          <w:szCs w:val="24"/>
          <w:lang w:val="en-GB"/>
        </w:rPr>
        <w:t>[2]</w:t>
      </w:r>
      <w:r w:rsidR="00650E72" w:rsidRPr="00AF0477">
        <w:rPr>
          <w:rFonts w:eastAsia="MS Mincho"/>
          <w:color w:val="000000" w:themeColor="text1"/>
        </w:rPr>
        <w:fldChar w:fldCharType="end"/>
      </w:r>
      <w:r w:rsidR="00643147" w:rsidRPr="00AF0477">
        <w:rPr>
          <w:rFonts w:eastAsia="MS Mincho"/>
          <w:color w:val="000000" w:themeColor="text1"/>
        </w:rPr>
        <w:t>.</w:t>
      </w:r>
    </w:p>
    <w:p w:rsidR="00097037" w:rsidRPr="00AF0477" w:rsidRDefault="00097037" w:rsidP="00643147">
      <w:pPr>
        <w:tabs>
          <w:tab w:val="left" w:pos="2235"/>
          <w:tab w:val="center" w:pos="4514"/>
        </w:tabs>
        <w:ind w:right="29" w:firstLine="720"/>
        <w:jc w:val="both"/>
        <w:rPr>
          <w:rFonts w:eastAsia="MS Mincho"/>
          <w:color w:val="000000" w:themeColor="text1"/>
        </w:rPr>
      </w:pPr>
    </w:p>
    <w:p w:rsidR="00097037" w:rsidRPr="00AF0477" w:rsidRDefault="00643147" w:rsidP="00FB727A">
      <w:pPr>
        <w:widowControl w:val="0"/>
        <w:tabs>
          <w:tab w:val="left" w:pos="720"/>
        </w:tabs>
        <w:autoSpaceDE w:val="0"/>
        <w:autoSpaceDN w:val="0"/>
        <w:adjustRightInd w:val="0"/>
        <w:ind w:firstLine="720"/>
        <w:jc w:val="both"/>
        <w:rPr>
          <w:rFonts w:eastAsia="MS Mincho"/>
          <w:color w:val="000000" w:themeColor="text1"/>
        </w:rPr>
      </w:pPr>
      <w:r w:rsidRPr="00AF0477">
        <w:rPr>
          <w:rFonts w:eastAsia="MS Mincho"/>
          <w:color w:val="000000" w:themeColor="text1"/>
        </w:rPr>
        <w:t>The Indian arid zone is one of the largest subtropical deserts in the world, covering a</w:t>
      </w:r>
      <w:r w:rsidR="005D4EFC">
        <w:rPr>
          <w:rFonts w:eastAsia="MS Mincho"/>
          <w:color w:val="000000" w:themeColor="text1"/>
        </w:rPr>
        <w:t>pproximately</w:t>
      </w:r>
      <w:r w:rsidRPr="00AF0477">
        <w:rPr>
          <w:rFonts w:eastAsia="MS Mincho"/>
          <w:color w:val="000000" w:themeColor="text1"/>
        </w:rPr>
        <w:t xml:space="preserve"> 20% of the country's land. It spans an area of 31.7 million hectares and is located between 24° and 29° N latitude and 70° and 76° E longitude. This zone is primarily concentrated in the states of Rajasthan (62%), Gujarat (19%), Andhra Pradesh (10%), Punjab and Haryana (9%). The largest expanse is found in western Rajasthan, covering 19.62 million hectares, followed by northwestern Gujarat with 2.16 million hectares</w:t>
      </w:r>
      <w:r w:rsidR="00655E3D" w:rsidRPr="00AF0477">
        <w:rPr>
          <w:rFonts w:eastAsia="MS Mincho"/>
          <w:color w:val="000000" w:themeColor="text1"/>
        </w:rPr>
        <w:t xml:space="preserve"> </w:t>
      </w:r>
      <w:r w:rsidRPr="00AF0477">
        <w:rPr>
          <w:rFonts w:eastAsia="MS Mincho"/>
          <w:color w:val="000000" w:themeColor="text1"/>
        </w:rPr>
        <w:fldChar w:fldCharType="begin"/>
      </w:r>
      <w:r w:rsidR="005130B8" w:rsidRPr="00AF0477">
        <w:rPr>
          <w:rFonts w:eastAsia="MS Mincho"/>
          <w:color w:val="000000" w:themeColor="text1"/>
        </w:rPr>
        <w:instrText xml:space="preserve"> ADDIN ZOTERO_ITEM CSL_CITATION {"citationID":"3fPKtzwm","properties":{"formattedCitation":"[3]","plainCitation":"[3]","noteIndex":0},"citationItems":[{"id":52,"uris":["http://zotero.org/users/14036693/items/RDQ6NTS2"],"itemData":{"id":52,"type":"chapter","abstract":"Arid lands are a vital part of the earth’s human and physical environments. Human population is thin except in Indian arid zone, which is one of the most densely populated arid zones of the world. Arid land ecosystems play a major role in global biophysical processes by reflecting and absorbing solar radiation and maintaining the balance of atmospheric constituents. Water scarcity is the predominant feature of arid lands. In hyperarid, arid and semiarid regions, water is scarce most of the time, and human settlements may cluster around rare sources of water such as rivers, springs, wells and oases. These arid lands are also characterized by persistent water scarcity, frequent drought, high climatic variability and various forms of land degradation, including desertification and loss of biodiversity. These areas occupy 41% area of the earth’s land surface and are home to roughly 2.5 billion people who rely directly on arid land ecosystem services for their livelihoods and support 50% of the world’s livestock where 44% of the world’s food is grown. As per the aridity index, there are four categories of arid lands, hyperarid, arid, semiarid and dry subhumid regions. Livelihood sustainability in these regions is threatened by a complex and interrelated range of social, economic and environmental changes that present significant challenges to researchers, policymakers and, above all, rural land users. The present chapter provides an introductory overview of arid lands of the world, its distribution, causes of aridity, inhabitants and various types of land uses for livelihood.","container-title":"Climate Variability Impacts on Land Use and Livelihoods in Drylands","ISBN":"978-3-319-56680-1","note":"journalAbbreviation: Climate Variability Impacts on Land Use and Livelihoods in Drylands\nDOI: 10.1007/978-3-319-56681-8_1","page":"3-20","source":"ResearchGate","title":"Geographic Extent and Characteristics of the World’s Arid Zones and Their Peoples","author":[{"family":"Gaur","given":"Mahesh"},{"family":"Squires","given":"Victor"}],"issued":{"date-parts":[["2018",1,1]]}}}],"schema":"https://github.com/citation-style-language/schema/raw/master/csl-citation.json"} </w:instrText>
      </w:r>
      <w:r w:rsidRPr="00AF0477">
        <w:rPr>
          <w:rFonts w:eastAsia="MS Mincho"/>
          <w:color w:val="000000" w:themeColor="text1"/>
        </w:rPr>
        <w:fldChar w:fldCharType="separate"/>
      </w:r>
      <w:r w:rsidR="00AF0477" w:rsidRPr="00AF0477">
        <w:rPr>
          <w:color w:val="000000" w:themeColor="text1"/>
          <w:szCs w:val="24"/>
          <w:lang w:val="en-GB"/>
        </w:rPr>
        <w:t>[3]</w:t>
      </w:r>
      <w:r w:rsidRPr="00AF0477">
        <w:rPr>
          <w:rFonts w:eastAsia="MS Mincho"/>
          <w:color w:val="000000" w:themeColor="text1"/>
        </w:rPr>
        <w:fldChar w:fldCharType="end"/>
      </w:r>
      <w:r w:rsidRPr="00AF0477">
        <w:rPr>
          <w:rFonts w:eastAsia="MS Mincho"/>
          <w:color w:val="000000" w:themeColor="text1"/>
        </w:rPr>
        <w:t xml:space="preserve">. </w:t>
      </w:r>
      <w:r w:rsidR="006F0754" w:rsidRPr="00AF0477">
        <w:rPr>
          <w:rFonts w:eastAsia="MS Mincho"/>
          <w:color w:val="000000" w:themeColor="text1"/>
        </w:rPr>
        <w:t>These areas have a high aridity index, frequent droughts, intense solar radiation, extreme temperature fluctuations, low and erratic precipitation, high wind speeds and dust storms. Additionally, they have poor soil fertility, high soil pH levels, rapid infiltration rates, limited groundwater resources, saline groundwater for irrigation and reduced biodiversity</w:t>
      </w:r>
      <w:r w:rsidR="00DF1E83" w:rsidRPr="00AF0477">
        <w:rPr>
          <w:rFonts w:eastAsia="MS Mincho"/>
          <w:color w:val="000000" w:themeColor="text1"/>
        </w:rPr>
        <w:t xml:space="preserve"> </w:t>
      </w:r>
      <w:r w:rsidR="00DF1E83" w:rsidRPr="00AF0477">
        <w:rPr>
          <w:rFonts w:eastAsia="MS Mincho"/>
          <w:color w:val="000000" w:themeColor="text1"/>
        </w:rPr>
        <w:fldChar w:fldCharType="begin"/>
      </w:r>
      <w:r w:rsidR="005130B8" w:rsidRPr="00AF0477">
        <w:rPr>
          <w:rFonts w:eastAsia="MS Mincho"/>
          <w:color w:val="000000" w:themeColor="text1"/>
        </w:rPr>
        <w:instrText xml:space="preserve"> ADDIN ZOTERO_ITEM CSL_CITATION {"citationID":"ht2Jl2sB","properties":{"formattedCitation":"[4]","plainCitation":"[4]","noteIndex":0},"citationItems":[{"id":57,"uris":["http://zotero.org/users/14036693/items/WJMPKLJ2"],"itemData":{"id":57,"type":"post-weblog","title":"Special Report on Climate Change and Land — IPCC site","URL":"https://www.ipcc.ch/srccl/","accessed":{"date-parts":[["2024",5,28]]}}}],"schema":"https://github.com/citation-style-language/schema/raw/master/csl-citation.json"} </w:instrText>
      </w:r>
      <w:r w:rsidR="00DF1E83" w:rsidRPr="00AF0477">
        <w:rPr>
          <w:rFonts w:eastAsia="MS Mincho"/>
          <w:color w:val="000000" w:themeColor="text1"/>
        </w:rPr>
        <w:fldChar w:fldCharType="separate"/>
      </w:r>
      <w:r w:rsidR="00AF0477" w:rsidRPr="00AF0477">
        <w:rPr>
          <w:color w:val="000000" w:themeColor="text1"/>
          <w:szCs w:val="24"/>
          <w:lang w:val="en-GB"/>
        </w:rPr>
        <w:t>[4]</w:t>
      </w:r>
      <w:r w:rsidR="00DF1E83" w:rsidRPr="00AF0477">
        <w:rPr>
          <w:rFonts w:eastAsia="MS Mincho"/>
          <w:color w:val="000000" w:themeColor="text1"/>
        </w:rPr>
        <w:fldChar w:fldCharType="end"/>
      </w:r>
      <w:r w:rsidR="006F0754" w:rsidRPr="00AF0477">
        <w:rPr>
          <w:rFonts w:eastAsia="MS Mincho"/>
          <w:color w:val="000000" w:themeColor="text1"/>
        </w:rPr>
        <w:t xml:space="preserve">. </w:t>
      </w:r>
      <w:r w:rsidR="005F2C6F" w:rsidRPr="00AF0477">
        <w:rPr>
          <w:rFonts w:eastAsia="MS Mincho"/>
          <w:color w:val="000000" w:themeColor="text1"/>
        </w:rPr>
        <w:t>Desertification is the main challenge in ari</w:t>
      </w:r>
      <w:r w:rsidR="00715361">
        <w:rPr>
          <w:rFonts w:eastAsia="MS Mincho"/>
          <w:color w:val="000000" w:themeColor="text1"/>
        </w:rPr>
        <w:t>d</w:t>
      </w:r>
      <w:r w:rsidR="005F2C6F" w:rsidRPr="00AF0477">
        <w:rPr>
          <w:rFonts w:eastAsia="MS Mincho"/>
          <w:color w:val="000000" w:themeColor="text1"/>
        </w:rPr>
        <w:t xml:space="preserve"> areas, caused by wind erosion, water erosion, waterlogging and salinity. The degradation of permanent pastures has led to the depletion of fodder resources, constraining livestock farming, which has been an important aspect of the region's economy throughout history. In recent times, industrial waste and mining activities have also been contributing to desertification. </w:t>
      </w:r>
      <w:r w:rsidRPr="00AF0477">
        <w:rPr>
          <w:rFonts w:eastAsia="MS Mincho"/>
          <w:color w:val="000000" w:themeColor="text1"/>
        </w:rPr>
        <w:t>Despite the challenging conditions, the area supports a significant human and livestock population as well as a diverse range of plants and animals. However, the growing human and livestock populations and ongoing development activities, are putting strain on the limited natural resources</w:t>
      </w:r>
      <w:r w:rsidR="005F2C6F" w:rsidRPr="00AF0477">
        <w:rPr>
          <w:rFonts w:eastAsia="MS Mincho"/>
          <w:color w:val="000000" w:themeColor="text1"/>
        </w:rPr>
        <w:t xml:space="preserve"> of the region</w:t>
      </w:r>
      <w:r w:rsidRPr="00AF0477">
        <w:rPr>
          <w:rFonts w:eastAsia="MS Mincho"/>
          <w:color w:val="000000" w:themeColor="text1"/>
        </w:rPr>
        <w:t xml:space="preserve">. </w:t>
      </w:r>
    </w:p>
    <w:p w:rsidR="00655E3D" w:rsidRPr="00AF0477" w:rsidRDefault="00655E3D" w:rsidP="00655E3D">
      <w:pPr>
        <w:widowControl w:val="0"/>
        <w:autoSpaceDE w:val="0"/>
        <w:autoSpaceDN w:val="0"/>
        <w:adjustRightInd w:val="0"/>
        <w:ind w:firstLine="720"/>
        <w:jc w:val="both"/>
        <w:rPr>
          <w:rFonts w:eastAsia="MS Mincho"/>
          <w:color w:val="000000" w:themeColor="text1"/>
        </w:rPr>
      </w:pPr>
    </w:p>
    <w:p w:rsidR="00655E3D" w:rsidRPr="00AF0477" w:rsidRDefault="001227DC" w:rsidP="001227DC">
      <w:pPr>
        <w:widowControl w:val="0"/>
        <w:autoSpaceDE w:val="0"/>
        <w:autoSpaceDN w:val="0"/>
        <w:adjustRightInd w:val="0"/>
        <w:ind w:firstLine="720"/>
        <w:jc w:val="both"/>
        <w:rPr>
          <w:rFonts w:eastAsia="MS Mincho"/>
          <w:color w:val="000000" w:themeColor="text1"/>
        </w:rPr>
      </w:pPr>
      <w:r w:rsidRPr="001227DC">
        <w:rPr>
          <w:rFonts w:eastAsia="MS Mincho"/>
          <w:color w:val="000000" w:themeColor="text1"/>
        </w:rPr>
        <w:t>To address these issues, various technologies and agricultural practices are being implemented.</w:t>
      </w:r>
      <w:r>
        <w:rPr>
          <w:rFonts w:eastAsia="MS Mincho"/>
          <w:color w:val="000000" w:themeColor="text1"/>
        </w:rPr>
        <w:t xml:space="preserve"> </w:t>
      </w:r>
      <w:r w:rsidRPr="001227DC">
        <w:rPr>
          <w:rFonts w:eastAsia="MS Mincho"/>
          <w:color w:val="000000" w:themeColor="text1"/>
        </w:rPr>
        <w:t>One significant approach mentioned is smart irrigation systems</w:t>
      </w:r>
      <w:r>
        <w:rPr>
          <w:rFonts w:eastAsia="MS Mincho"/>
          <w:color w:val="000000" w:themeColor="text1"/>
        </w:rPr>
        <w:t xml:space="preserve">, which </w:t>
      </w:r>
      <w:r w:rsidR="00655E3D" w:rsidRPr="00AF0477">
        <w:rPr>
          <w:rFonts w:eastAsia="MS Mincho"/>
          <w:color w:val="000000" w:themeColor="text1"/>
        </w:rPr>
        <w:t xml:space="preserve">can save about 80% of the water </w:t>
      </w:r>
      <w:r>
        <w:rPr>
          <w:rFonts w:eastAsia="MS Mincho"/>
          <w:color w:val="000000" w:themeColor="text1"/>
        </w:rPr>
        <w:t>and</w:t>
      </w:r>
      <w:r w:rsidR="00655E3D" w:rsidRPr="00AF0477">
        <w:rPr>
          <w:rFonts w:eastAsia="MS Mincho"/>
          <w:color w:val="000000" w:themeColor="text1"/>
        </w:rPr>
        <w:t xml:space="preserve"> also aim at saving time and energy by automatically providing water and helping in water conservatio</w:t>
      </w:r>
      <w:r w:rsidR="000D6924" w:rsidRPr="00AF0477">
        <w:rPr>
          <w:rFonts w:eastAsia="MS Mincho"/>
          <w:color w:val="000000" w:themeColor="text1"/>
        </w:rPr>
        <w:t>n</w:t>
      </w:r>
      <w:r w:rsidR="00F12286">
        <w:rPr>
          <w:rFonts w:eastAsia="MS Mincho"/>
          <w:color w:val="000000" w:themeColor="text1"/>
        </w:rPr>
        <w:t xml:space="preserve"> </w:t>
      </w:r>
      <w:r w:rsidR="004126BC"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{"citationID":"ZhAczCBp","properties":{"formattedCitation":"[5]","plainCitation":"[5]","noteIndex":0},"citationItems":[{"id":10,"uris":["http://zotero.org/users/14036693/items/SDWARJY2"],"itemData":{"id":10,"type":"article-journal","abstract":"The demand for freshwater is on the increase due to the rapid growth in the world’s population while the effect of global warming and climate change cause severe threat to water use and food security. Consequently, irrigation systems are tremendously utilized by many farmers all over the world with its associated high amount of water consumption from various sources posing a major concern. This necessitates the increased focus on improving the efficiency of water usage in irrigation agriculture. The advent and rapid successes of the Internet of Things (IoT) and advanced control strategies are being leveraged to achieve improved monitoring and control of irrigation farming. In this review, a thorough search for literature on irrigation monitoring and advanced control systems highlighting the research works within the past ten years are presented. Attention is paid on recent research works related to the monitoring and advance control concepts for precision irrigation. It is expected that this review paper will serve as a useful reference to enhance reader’s knowledge on monitoring and advanced control opportunities related to irrigation agriculture as well as assist researchers in identifying directions and gaps to future research works in this field.","container-title":"Computers and Electronics in Agriculture","DOI":"10.1016/j.compag.2020.105441","ISSN":"0168-1699","journalAbbreviation":"Computers and Electronics in Agriculture","page":"105441","source":"ScienceDirect","title":"A review on monitoring and advanced control strategies for precision irrigation","volume":"173","author":[{"family":"Abioye","given":"Emmanuel Abiodun"},{"family":"Abidin","given":"Mohammad Shukri Zainal"},{"family":"Mahmud","given":"Mohd Saiful Azimi"},{"family":"Buyamin","given":"Salinda"},{"family":"Ishak","given":"Mohamad Hafis Izran"},{"family":"Rahman","given":"Muhammad Khairie Idham Abd"},{"family":"Otuoze","given":"Abdulrahaman Okino"},{"family":"Onotu","given":"Patrick"},{"family":"Ramli","given":"Muhammad Shahrul Azwan"}],"issued":{"date-parts":[["2020",6,1]]}}}],"schema":"https://github.com/citation-style-language/schema/raw/master/csl-citation.json"} </w:instrText>
      </w:r>
      <w:r w:rsidR="004126BC" w:rsidRPr="00AF0477">
        <w:rPr>
          <w:rFonts w:eastAsia="MS Mincho"/>
          <w:color w:val="000000" w:themeColor="text1"/>
        </w:rPr>
        <w:fldChar w:fldCharType="separate"/>
      </w:r>
      <w:r w:rsidR="00AF0477" w:rsidRPr="00AF0477">
        <w:rPr>
          <w:rFonts w:eastAsia="MS Mincho"/>
          <w:noProof/>
          <w:color w:val="000000" w:themeColor="text1"/>
        </w:rPr>
        <w:t>[5]</w:t>
      </w:r>
      <w:r w:rsidR="004126BC" w:rsidRPr="00AF0477">
        <w:rPr>
          <w:rFonts w:eastAsia="MS Mincho"/>
          <w:color w:val="000000" w:themeColor="text1"/>
        </w:rPr>
        <w:fldChar w:fldCharType="end"/>
      </w:r>
      <w:r w:rsidR="00655E3D" w:rsidRPr="00AF0477">
        <w:rPr>
          <w:rFonts w:eastAsia="MS Mincho"/>
          <w:color w:val="000000" w:themeColor="text1"/>
        </w:rPr>
        <w:t xml:space="preserve">. The recently developed weed management technologies which include cover cropping, allelopathic weed management, genetically modified verities, remote sensing and UAVs have a major role in food production which helps in decreasing the inputs needed for the crop and reducing the environmental damage, which invariably brings us closer to more sustainable agriculture systems </w:t>
      </w:r>
      <w:r w:rsidR="004126BC"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{"citationID":"oDqToexj","properties":{"formattedCitation":"[6]","plainCitation":"[6]","noteIndex":0},"citationItems":[{"id":231,"uris":["http://zotero.org/users/14036693/items/2UIM8Y2S"],"itemData":{"id":231,"type":"article-journal","abstract":"In the last few decades, the increase in the world’s population has created a need to produce more food, generating, consequently, greater pressure on agricultural production. In addition, problems related to climate change, water scarcity or decreasing amounts of arable land have serious implications for farming sustainability. Weeds can affect food production in agricultural systems, decreasing the product quality and productivity due to the competition for natural resources. On the other hand, weeds can also be considered to be valuable indicators of biodiversity because of their role in providing ecosystem services. In this sense, there is a need to carry out an effective and sustainable weed management process, integrating the various control methods (i.e., cultural, mechanical and chemical) in a harmonious way, without harming the entire agrarian ecosystem. Thus, intensive mechanization and herbicide use should be avoided. Herbicide resistance in some weed biotypes is a major concern today and must be tackled. On the other hand, the recent development of weed control technologies can promote higher levels of food production, lower the amount of inputs needed and reduce environmental damage, invariably bringing us closer to more sustainable agricultural systems. In this paper, we review the most common conventional and non-conventional weed control strategies from a sustainability perspective, highlighting the application of the precision and automated weed control technologies associated with precision weed management (PWM).","container-title":"Agronomy","DOI":"10.3390/agronomy12010118","journalAbbreviation":"Agronomy","page":"118","source":"ResearchGate","title":"Sustainable Approach to Weed Management: The Role of Precision Weed Management","title-short":"Sustainable Approach to Weed Management","volume":"12","author":[{"family":"Monteiro","given":"Antonio"},{"family":"Santos","given":"Sérgio"}],"issued":{"date-parts":[["2022",1,4]]}}}],"schema":"https://github.com/citation-style-language/schema/raw/master/csl-citation.json"} </w:instrText>
      </w:r>
      <w:r w:rsidR="004126BC" w:rsidRPr="00AF0477">
        <w:rPr>
          <w:rFonts w:eastAsia="MS Mincho"/>
          <w:color w:val="000000" w:themeColor="text1"/>
        </w:rPr>
        <w:fldChar w:fldCharType="separate"/>
      </w:r>
      <w:r w:rsidR="00AF0477" w:rsidRPr="00AF0477">
        <w:rPr>
          <w:rFonts w:eastAsia="MS Mincho"/>
          <w:noProof/>
          <w:color w:val="000000" w:themeColor="text1"/>
        </w:rPr>
        <w:t>[6]</w:t>
      </w:r>
      <w:r w:rsidR="004126BC" w:rsidRPr="00AF0477">
        <w:rPr>
          <w:rFonts w:eastAsia="MS Mincho"/>
          <w:color w:val="000000" w:themeColor="text1"/>
        </w:rPr>
        <w:fldChar w:fldCharType="end"/>
      </w:r>
      <w:r w:rsidR="00655E3D" w:rsidRPr="00AF0477">
        <w:rPr>
          <w:rFonts w:eastAsia="MS Mincho"/>
          <w:color w:val="000000" w:themeColor="text1"/>
        </w:rPr>
        <w:t xml:space="preserve">. As the soil of arid zone is characterized by poor soil fertility the integrated approach of soil nutrient management with crop rotation, improving soil organic content by various methods and </w:t>
      </w:r>
      <w:r w:rsidR="00715361">
        <w:rPr>
          <w:rFonts w:eastAsia="MS Mincho"/>
          <w:color w:val="000000" w:themeColor="text1"/>
        </w:rPr>
        <w:t>s</w:t>
      </w:r>
      <w:r w:rsidR="00655E3D" w:rsidRPr="00AF0477">
        <w:rPr>
          <w:rFonts w:eastAsia="MS Mincho"/>
          <w:color w:val="000000" w:themeColor="text1"/>
        </w:rPr>
        <w:t xml:space="preserve">oil test-based fertility management have a major impact on plant growth, soil fertility and agricultural sustainability </w:t>
      </w:r>
      <w:r w:rsidR="004126BC"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{"citationID":"MbP0R8Gz","properties":{"formattedCitation":"[7]","plainCitation":"[7]","noteIndex":0},"citationItems":[{"id":191,"uris":["http://zotero.org/users/14036693/items/TLVE4EB9"],"itemData":{"id":191,"type":"article-journal","abstract":"Fertiliser use has radically changed the crop output since the green revolution era in India. The momentum, however, slowed in the past decade. Imbalanced fertiliser application in crops is identified as one of the major reasons for decreasing crop response to fertiliser application and the consequent lower crop production growth rate in the country. Despite the proven economic, social and environmental benefits of balanced fertilisation, its adoption at farm level is low. The lack of appropriate tools and implementation mechanisms has been a major hindrance that restricted widescale adoption of balanced fertilisation by farmers. Generally imbalanced fertiliser use by farmers has raised concerns about the environmental sustainability of such practice. Several new approaches to facilitate large-scale adoption of balanced fertilisation have been discussed that may help achieve the future food production targets, improve farmer profitability and reduce the environmental footprint of fertiliser application.","container-title":"Indian Journal of Fertilisers","journalAbbreviation":"Indian Journal of Fertilisers","page":"14-27","source":"ResearchGate","title":"Current Nutrient Management Approaches: Issues and Strategies","title-short":"Current Nutrient Management Approaches","volume":"10","author":[{"family":"Majumdar","given":"Kaushik"}],"issued":{"date-parts":[["2014",5,10]]}}}],"schema":"https://github.com/citation-style-language/schema/raw/master/csl-citation.json"} </w:instrText>
      </w:r>
      <w:r w:rsidR="004126BC" w:rsidRPr="00AF0477">
        <w:rPr>
          <w:rFonts w:eastAsia="MS Mincho"/>
          <w:color w:val="000000" w:themeColor="text1"/>
        </w:rPr>
        <w:fldChar w:fldCharType="separate"/>
      </w:r>
      <w:r w:rsidR="00AF0477" w:rsidRPr="00AF0477">
        <w:rPr>
          <w:rFonts w:eastAsia="MS Mincho"/>
          <w:noProof/>
          <w:color w:val="000000" w:themeColor="text1"/>
        </w:rPr>
        <w:t>[7]</w:t>
      </w:r>
      <w:r w:rsidR="004126BC" w:rsidRPr="00AF0477">
        <w:rPr>
          <w:rFonts w:eastAsia="MS Mincho"/>
          <w:color w:val="000000" w:themeColor="text1"/>
        </w:rPr>
        <w:fldChar w:fldCharType="end"/>
      </w:r>
      <w:r w:rsidR="00655E3D" w:rsidRPr="00AF0477">
        <w:rPr>
          <w:rFonts w:eastAsia="MS Mincho"/>
          <w:color w:val="000000" w:themeColor="text1"/>
        </w:rPr>
        <w:t>.</w:t>
      </w:r>
      <w:r w:rsidR="004126BC" w:rsidRPr="00AF0477">
        <w:rPr>
          <w:rFonts w:eastAsia="MS Mincho"/>
          <w:color w:val="000000" w:themeColor="text1"/>
        </w:rPr>
        <w:t xml:space="preserve"> </w:t>
      </w:r>
      <w:r w:rsidR="00655E3D" w:rsidRPr="00AF0477">
        <w:rPr>
          <w:rFonts w:eastAsia="MS Mincho"/>
          <w:color w:val="000000" w:themeColor="text1"/>
        </w:rPr>
        <w:t xml:space="preserve">Land degradation is one of the major problems in the arid zone due to climate change and human activities such as over-exploitation </w:t>
      </w:r>
      <w:r w:rsidR="00F37983">
        <w:rPr>
          <w:rFonts w:eastAsia="MS Mincho"/>
          <w:color w:val="000000" w:themeColor="text1"/>
        </w:rPr>
        <w:t>of soil resources</w:t>
      </w:r>
      <w:r w:rsidR="00655E3D" w:rsidRPr="00AF0477">
        <w:rPr>
          <w:rFonts w:eastAsia="MS Mincho"/>
          <w:color w:val="000000" w:themeColor="text1"/>
        </w:rPr>
        <w:t>. Hence various management practices such as growing shelter beds and windbreak trees, conservation agriculture practices and agroforestry measures help in combating soil degradation and enhance soil productivity</w:t>
      </w:r>
      <w:r w:rsidR="004126BC" w:rsidRPr="00AF0477">
        <w:rPr>
          <w:rFonts w:eastAsia="MS Mincho"/>
          <w:color w:val="000000" w:themeColor="text1"/>
        </w:rPr>
        <w:t xml:space="preserve"> </w:t>
      </w:r>
      <w:r w:rsidR="004126BC"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{"citationID":"BbNPViAo","properties":{"formattedCitation":"[8]","plainCitation":"[8]","noteIndex":0},"citationItems":[{"id":197,"uris":["http://zotero.org/users/14036693/items/KGR5YXZN"],"itemData":{"id":197,"type":"article-journal","abstract":"Land degradation is extensive, covering approximately 23% of the globe's terrestrial area, increasing at an annual rate of 5–10 million ha, and affecting about 1.5 billion people globally. Such detrimental processes call for urgent and comprehensive action to halt land degradation. In this paper, we assess the causes and extent of land degradation around the world, followed by an outline of the various challenges in implementing a global Zero Net Land Degradation (ZNLD) policy. The concept of ZNLD proposes a scheme under which the extent of global degraded lands will decrease or at least, remain stable. To enable this type of scenario, the rate of global land degradation should not exceed that of land restoration. Restoration efforts should include not only croplands, rangelands, and woodlands, but also natural and semi-natural lands that do not generate direct economic revenues. The United Nations Convention to Combat Desertification (UNCCD) envisages achieving this target by 2030. Despite being seemingly ambitious, the target of ZNLD could be achieved if degraded lands are restored to a considerable extent and, at the same time, land-degrading management practices are replaced with ones that conserve soils. To enable effective implementation of these steps, it is necessary to formulate a ZNLD Protocol aimed at managing assessment actions and maintaining of supportive policies and regulations. Restoration projects could be financed through payments for improving ecosystem services, as well as other economic mechanisms. Achieving the target of land degradation neutrality would decrease the environmental footprint of agriculture, while supporting food security and sustaining human wellbeing.","collection-title":"Special Issue on the Fourth Drylands Deserts and Desertification “DDD” Conference","container-title":"Journal of Arid Environments","DOI":"10.1016/j.jaridenv.2014.01.016","ISSN":"0140-1963","journalAbbreviation":"Journal of Arid Environments","page":"44-51","source":"ScienceDirect","title":"Achieving Zero Net Land Degradation: Challenges and opportunities","title-short":"Achieving Zero Net Land Degradation","volume":"112","author":[{"family":"Stavi","given":"Ilan"},{"family":"Lal","given":"Rattan"}],"issued":{"date-parts":[["2015",1,1]]}}}],"schema":"https://github.com/citation-style-language/schema/raw/master/csl-citation.json"} </w:instrText>
      </w:r>
      <w:r w:rsidR="004126BC" w:rsidRPr="00AF0477">
        <w:rPr>
          <w:rFonts w:eastAsia="MS Mincho"/>
          <w:color w:val="000000" w:themeColor="text1"/>
        </w:rPr>
        <w:fldChar w:fldCharType="separate"/>
      </w:r>
      <w:r w:rsidR="00AF0477" w:rsidRPr="00AF0477">
        <w:rPr>
          <w:rFonts w:eastAsia="MS Mincho"/>
          <w:noProof/>
          <w:color w:val="000000" w:themeColor="text1"/>
        </w:rPr>
        <w:t>[8]</w:t>
      </w:r>
      <w:r w:rsidR="004126BC" w:rsidRPr="00AF0477">
        <w:rPr>
          <w:rFonts w:eastAsia="MS Mincho"/>
          <w:color w:val="000000" w:themeColor="text1"/>
        </w:rPr>
        <w:fldChar w:fldCharType="end"/>
      </w:r>
      <w:r w:rsidR="00655E3D" w:rsidRPr="00AF0477">
        <w:rPr>
          <w:rFonts w:eastAsia="MS Mincho"/>
          <w:color w:val="000000" w:themeColor="text1"/>
        </w:rPr>
        <w:t>.</w:t>
      </w:r>
    </w:p>
    <w:p w:rsidR="004126BC" w:rsidRPr="00AF0477" w:rsidRDefault="004126BC" w:rsidP="004126BC">
      <w:pPr>
        <w:widowControl w:val="0"/>
        <w:autoSpaceDE w:val="0"/>
        <w:autoSpaceDN w:val="0"/>
        <w:adjustRightInd w:val="0"/>
        <w:ind w:firstLine="720"/>
        <w:jc w:val="both"/>
        <w:rPr>
          <w:rFonts w:eastAsia="MS Mincho"/>
          <w:color w:val="000000" w:themeColor="text1"/>
        </w:rPr>
      </w:pPr>
    </w:p>
    <w:p w:rsidR="00EC1202" w:rsidRDefault="0083004B" w:rsidP="0083004B">
      <w:pPr>
        <w:tabs>
          <w:tab w:val="left" w:pos="2235"/>
          <w:tab w:val="center" w:pos="4514"/>
        </w:tabs>
        <w:ind w:right="29" w:firstLine="720"/>
        <w:jc w:val="both"/>
        <w:rPr>
          <w:rFonts w:eastAsia="MS Mincho"/>
          <w:color w:val="000000" w:themeColor="text1"/>
        </w:rPr>
      </w:pPr>
      <w:r w:rsidRPr="00AF0477">
        <w:rPr>
          <w:rFonts w:eastAsia="MS Mincho"/>
          <w:color w:val="000000" w:themeColor="text1"/>
        </w:rPr>
        <w:t>Developing new plant varieties with improved genotypic potential is necessary to tackle the agricultural issues in arid regions, it can be achieved by the help of biotechnological approaches. Marker-assisted selection (MAS) helps to develop drought-tolerant, salinity</w:t>
      </w:r>
      <w:r>
        <w:rPr>
          <w:rFonts w:eastAsia="MS Mincho"/>
          <w:color w:val="000000" w:themeColor="text1"/>
        </w:rPr>
        <w:t>-</w:t>
      </w:r>
      <w:r w:rsidRPr="00AF0477">
        <w:rPr>
          <w:rFonts w:eastAsia="MS Mincho"/>
          <w:color w:val="000000" w:themeColor="text1"/>
        </w:rPr>
        <w:t xml:space="preserve">tolerant and heat stress-tolerant varieties. It makes the process more efficient by making selections at the genetic level. This is done by using marker analysis </w:t>
      </w:r>
      <w:r w:rsidRPr="00AF0477">
        <w:rPr>
          <w:rFonts w:eastAsia="MS Mincho"/>
          <w:color w:val="000000" w:themeColor="text1"/>
        </w:rPr>
        <w:fldChar w:fldCharType="begin"/>
      </w:r>
      <w:r w:rsidRPr="00AF0477">
        <w:rPr>
          <w:rFonts w:eastAsia="MS Mincho"/>
          <w:color w:val="000000" w:themeColor="text1"/>
        </w:rPr>
        <w:instrText xml:space="preserve"> ADDIN ZOTERO_ITEM CSL_CITATION {"citationID":"09Ddf42d","properties":{"formattedCitation":"[9]","plainCitation":"[9]","noteIndex":0},"citationItems":[{"id":234,"uris":["http://zotero.org/users/14036693/items/4K8UMG6M"],"itemData":{"id":234,"type":"article-journal","abstract":"DNA markers have enormous potential to improve the efficiency and precision of conventional plant breeding via marker-assisted selection (MAS). The large number of quantitative trait loci (QTLs) mapping studies for diverse crops species have provided an abundance of DNA marker–trait associations. In this review, we present an overview of the advantages of MAS and its most widely used applications in plant breeding, providing examples from cereal crops. We also consider reasons why MAS has had only a small impact on plant breeding so far and suggest ways in which the potential of MAS can be realized. Finally, we discuss reasons why the greater adoption of MAS in the future is inevitable, although the extent of its use will depend on available resources, especially for orphan crops, and may be delayed in less-developed countries. Achieving a substantial impact on crop improvement by MAS represents the great challenge for agricultural scientists in the next few decades.","container-title":"Philosophical Transactions of the Royal Society B: Biological Sciences","DOI":"10.1098/rstb.2007.2170","issue":"1491","note":"publisher: Royal Society","page":"557-572","source":"royalsocietypublishing.org (Atypon)","title":"Marker-assisted selection: an approach for precision plant breeding in the twenty-first century","title-short":"Marker-assisted selection","volume":"363","author":[{"family":"Collard","given":"Bertrand C.Y"},{"family":"Mackill","given":"David J"}],"issued":{"date-parts":[["2007",8,22]]}}}],"schema":"https://github.com/citation-style-language/schema/raw/master/csl-citation.json"} </w:instrText>
      </w:r>
      <w:r w:rsidRPr="00AF0477">
        <w:rPr>
          <w:rFonts w:eastAsia="MS Mincho"/>
          <w:color w:val="000000" w:themeColor="text1"/>
        </w:rPr>
        <w:fldChar w:fldCharType="separate"/>
      </w:r>
      <w:r w:rsidRPr="00AF0477">
        <w:rPr>
          <w:rFonts w:eastAsia="MS Mincho"/>
          <w:noProof/>
          <w:color w:val="000000" w:themeColor="text1"/>
        </w:rPr>
        <w:t>[9]</w:t>
      </w:r>
      <w:r w:rsidRPr="00AF0477">
        <w:rPr>
          <w:rFonts w:eastAsia="MS Mincho"/>
          <w:color w:val="000000" w:themeColor="text1"/>
        </w:rPr>
        <w:fldChar w:fldCharType="end"/>
      </w:r>
      <w:r w:rsidRPr="00AF0477">
        <w:rPr>
          <w:rFonts w:eastAsia="MS Mincho"/>
          <w:color w:val="000000" w:themeColor="text1"/>
        </w:rPr>
        <w:t xml:space="preserve">. Marker-assisted selection (MAS) in selection programs allows for accuracy in selecting DNA polymorphism of important traits. However, it cannot modify the DNA sequence for improvement </w:t>
      </w:r>
      <w:r w:rsidRPr="00AF0477">
        <w:rPr>
          <w:rFonts w:eastAsia="MS Mincho"/>
          <w:color w:val="000000" w:themeColor="text1"/>
        </w:rPr>
        <w:fldChar w:fldCharType="begin"/>
      </w:r>
      <w:r w:rsidRPr="00AF0477">
        <w:rPr>
          <w:rFonts w:eastAsia="MS Mincho"/>
          <w:color w:val="000000" w:themeColor="text1"/>
        </w:rPr>
        <w:instrText xml:space="preserve"> ADDIN ZOTERO_ITEM CSL_CITATION {"citationID":"uZ3x08BM","properties":{"formattedCitation":"[10]","plainCitation":"[10]","noteIndex":0},"citationItems":[{"id":238,"uris":["http://zotero.org/users/14036693/items/MTEGN267"],"itemData":{"id":238,"type":"chapter","abstract":"Marker-assisted selection (MAS) is a selection method for improving agriculturally essential traits in wheat. MAS allows efficient screening of difficult-to-phenotype traits, introgression of genomic complements from donor germplasm into elite breeding lines, and gene/trait pyramiding for quantitative traits. The discovery of a large number of QTL-specific molecular markers for qualitative and quantitative traits has accelerated MAS in recent years. Markers for loci related to disease resistance and agronomic and quality traits are available in wheat. The convenience of detecting and following the inheritance pattern of major genes/QTL at a low cost has improved genotyping and germplasm selection in the breeding programs. The development of high-throughput sequencing, genetic loci probing technologies, precision phenotyping systems, crop molecular physiology, and computational tools further extends the possible uses of MAS in wheat. The pan-genomic resources and the annotated genome sequence increase the effectiveness of MAS in hexaploid wheat by allowing for primer design, in silico validation of primers for specific binding, QTL walking, and genome-anchored fine mapping. This chapter sheds light on the use of MAS in shortening the breeding cycle, improving biotic and abiotic stress resistance, and sustaining the yield potential of wheat.","container-title":"Accelerated Breeding of Cereal Crops","event-place":"New York, NY","ISBN":"978-1-07-161526-3","language":"en","note":"DOI: 10.1007/978-1-0716-1526-3_3","page":"77-117","publisher":"Springer US","publisher-place":"New York, NY","source":"Springer Link","title":"Introduction to Marker-Assisted Selection in Wheat Breeding","URL":"https://doi.org/10.1007/978-1-0716-1526-3_3","author":[{"family":"Pandurangan","given":"Sudhakar"},{"family":"Workman","given":"Clare"},{"family":"Nilsen","given":"Kirby"},{"family":"Kumar","given":"Santosh"}],"editor":[{"family":"Bilichak","given":"Andriy"},{"family":"Laurie","given":"John D."}],"accessed":{"date-parts":[["2024",5,31]]},"issued":{"date-parts":[["2022"]]}}}],"schema":"https://github.com/citation-style-language/schema/raw/master/csl-citation.json"} </w:instrText>
      </w:r>
      <w:r w:rsidRPr="00AF0477">
        <w:rPr>
          <w:rFonts w:eastAsia="MS Mincho"/>
          <w:color w:val="000000" w:themeColor="text1"/>
        </w:rPr>
        <w:fldChar w:fldCharType="separate"/>
      </w:r>
      <w:r w:rsidRPr="00AF0477">
        <w:rPr>
          <w:rFonts w:eastAsia="MS Mincho"/>
          <w:noProof/>
          <w:color w:val="000000" w:themeColor="text1"/>
        </w:rPr>
        <w:t>[10]</w:t>
      </w:r>
      <w:r w:rsidRPr="00AF0477">
        <w:rPr>
          <w:rFonts w:eastAsia="MS Mincho"/>
          <w:color w:val="000000" w:themeColor="text1"/>
        </w:rPr>
        <w:fldChar w:fldCharType="end"/>
      </w:r>
      <w:r w:rsidRPr="00AF0477">
        <w:rPr>
          <w:rFonts w:eastAsia="MS Mincho"/>
          <w:color w:val="000000" w:themeColor="text1"/>
        </w:rPr>
        <w:t>. Genome editing is a cutting-edge technique for improving plant</w:t>
      </w:r>
      <w:r>
        <w:rPr>
          <w:rFonts w:eastAsia="MS Mincho"/>
          <w:color w:val="000000" w:themeColor="text1"/>
        </w:rPr>
        <w:t>s</w:t>
      </w:r>
      <w:r w:rsidRPr="00AF0477">
        <w:rPr>
          <w:rFonts w:eastAsia="MS Mincho"/>
          <w:color w:val="000000" w:themeColor="text1"/>
        </w:rPr>
        <w:t xml:space="preserve"> with modification at </w:t>
      </w:r>
      <w:r>
        <w:rPr>
          <w:rFonts w:eastAsia="MS Mincho"/>
          <w:color w:val="000000" w:themeColor="text1"/>
        </w:rPr>
        <w:t xml:space="preserve">the </w:t>
      </w:r>
      <w:r w:rsidRPr="00AF0477">
        <w:rPr>
          <w:rFonts w:eastAsia="MS Mincho"/>
          <w:color w:val="000000" w:themeColor="text1"/>
        </w:rPr>
        <w:t xml:space="preserve">DNA level </w:t>
      </w:r>
      <w:r w:rsidRPr="00AF0477">
        <w:rPr>
          <w:rFonts w:eastAsia="MS Mincho"/>
          <w:color w:val="000000" w:themeColor="text1"/>
        </w:rPr>
        <w:fldChar w:fldCharType="begin"/>
      </w:r>
      <w:r w:rsidRPr="00AF0477">
        <w:rPr>
          <w:rFonts w:eastAsia="MS Mincho"/>
          <w:color w:val="000000" w:themeColor="text1"/>
        </w:rPr>
        <w:instrText xml:space="preserve"> ADDIN ZOTERO_ITEM CSL_CITATION {"citationID":"biSgiw9m","properties":{"formattedCitation":"[11]","plainCitation":"[11]","noteIndex":0},"citationItems":[{"id":239,"uris":["http://zotero.org/users/14036693/items/TJXWWESP"],"itemData":{"id":239,"type":"article-journal","abstract":"Enhanced agricultural production through innovative breeding technology is urgently needed to increase access to nutritious foods worldwide. Recent advances in CRISPR/Cas genome editing enable efficient targeted modification in most crops, thus promising to accelerate crop improvement. Here, we review advances in CRISPR/Cas9 and its variants and examine their applications in plant genome editing and related manipulations. We highlight base-editing tools that enable targeted nucleotide substitutions and describe the various delivery systems, particularly DNA-free methods, that have linked genome editing with crop breeding. We summarize the applications of genome editing for trait improvement, development of techniques for fine-tuning gene regulation, strategies for breeding virus resistance, and the use of high-throughput mutant libraries. We outline future perspectives for genome editing in plant synthetic biology and domestication, advances in delivery systems, editing specificity, homology-directed repair, and gene drives. Finally, we discuss the challenges and opportunities for precision plant breeding and its bright future in agriculture.","container-title":"Annual Review of Plant Biology","DOI":"10.1146/annurev-arplant-050718-100049","ISSN":"1543-5008, 1545-2123","issue":"Volume 70, 2019","language":"en","note":"publisher: Annual Reviews","page":"667-697","source":"www.annualreviews.org","title":"CRISPR/Cas Genome Editing and Precision Plant Breeding in Agriculture","volume":"70","author":[{"family":"Chen","given":"Kunling"},{"family":"Wang","given":"Yanpeng"},{"family":"Zhang","given":"Rui"},{"family":"Zhang","given":"Huawei"},{"family":"Gao","given":"Caixia"}],"issued":{"date-parts":[["2019",4,29]]}}}],"schema":"https://github.com/citation-style-language/schema/raw/master/csl-citation.json"} </w:instrText>
      </w:r>
      <w:r w:rsidRPr="00AF0477">
        <w:rPr>
          <w:rFonts w:eastAsia="MS Mincho"/>
          <w:color w:val="000000" w:themeColor="text1"/>
        </w:rPr>
        <w:fldChar w:fldCharType="separate"/>
      </w:r>
      <w:r w:rsidRPr="00AF0477">
        <w:rPr>
          <w:rFonts w:eastAsia="MS Mincho"/>
          <w:noProof/>
          <w:color w:val="000000" w:themeColor="text1"/>
        </w:rPr>
        <w:t>[11]</w:t>
      </w:r>
      <w:r w:rsidRPr="00AF0477">
        <w:rPr>
          <w:rFonts w:eastAsia="MS Mincho"/>
          <w:color w:val="000000" w:themeColor="text1"/>
        </w:rPr>
        <w:fldChar w:fldCharType="end"/>
      </w:r>
      <w:r w:rsidRPr="00AF0477">
        <w:rPr>
          <w:rFonts w:eastAsia="MS Mincho"/>
          <w:color w:val="000000" w:themeColor="text1"/>
        </w:rPr>
        <w:t xml:space="preserve">. </w:t>
      </w:r>
      <w:r w:rsidRPr="008E5235">
        <w:rPr>
          <w:rFonts w:eastAsia="MS Mincho"/>
          <w:color w:val="000000" w:themeColor="text1"/>
          <w:lang w:val="en-IN"/>
        </w:rPr>
        <w:t>The site-directed nucleases (SDNs) that underpin the genome editing method include mega-nucleases, zinc-finger nucleases (ZFN), transcription activator-like effector nucleases (TALEN), and the clustered regularly interspaced short palindromic repeats (CRISPR)/CRISPR-associated (Cas) system</w:t>
      </w:r>
      <w:r>
        <w:rPr>
          <w:rFonts w:eastAsia="MS Mincho"/>
          <w:color w:val="000000" w:themeColor="text1"/>
          <w:lang w:val="en-IN"/>
        </w:rPr>
        <w:t xml:space="preserve"> </w:t>
      </w:r>
      <w:r w:rsidRPr="00AF0477">
        <w:rPr>
          <w:rFonts w:eastAsia="MS Mincho"/>
          <w:color w:val="000000" w:themeColor="text1"/>
        </w:rPr>
        <w:fldChar w:fldCharType="begin"/>
      </w:r>
      <w:r w:rsidRPr="00AF0477">
        <w:rPr>
          <w:rFonts w:eastAsia="MS Mincho"/>
          <w:color w:val="000000" w:themeColor="text1"/>
        </w:rPr>
        <w:instrText xml:space="preserve"> ADDIN ZOTERO_ITEM CSL_CITATION {"citationID":"58ynXWOW","properties":{"formattedCitation":"[12]","plainCitation":"[12]","noteIndex":0},"citationItems":[{"id":242,"uris":["http://zotero.org/users/14036693/items/GHQNWW2J"],"itemData":{"id":242,"type":"article-journal","abstract":"&lt;p&gt;Zinc-finger nucleases (ZFNs) and transcription activator-like effector nucleases (TALENs) comprise a powerful class of tools that are redefining the boundaries of biological research. These chimeric nucleases are composed of programmable, sequence-specific DNA-binding modules linked to a nonspecific DNA cleavage domain. ZFNs and TALENs enable a broad range of genetic modifications by inducing DNA double-strand breaks that stimulate error-prone nonhomologous end joining or homology-directed repair at specific genomic locations. Here, we review achievements made possible by site-specific nuclease technologies and discuss applications of these reagents for genetic analysis and manipulation. In addition, we highlight the therapeutic potential of ZFNs and TALENs and discuss future prospects for the field, including the emergence of clustered regulatory interspaced short palindromic repeat (CRISPR)/Cas-based RNA-guided DNA endonucleases.&lt;/p&gt;","container-title":"Trends in Biotechnology","DOI":"10.1016/j.tibtech.2013.04.004","ISSN":"0167-7799, 1879-3096","issue":"7","journalAbbreviation":"Trends in Biotechnology","language":"English","note":"publisher: Elsevier","page":"397-405","source":"www.cell.com","title":"ZFN, TALEN, and CRISPR/Cas-based methods for genome engineering","volume":"31","author":[{"family":"Gaj","given":"Thomas"},{"family":"Gersbach","given":"Charles A."},{"family":"Barbas","given":"Carlos F."}],"issued":{"date-parts":[["2013",7,1]]}}}],"schema":"https://github.com/citation-style-language/schema/raw/master/csl-citation.json"} </w:instrText>
      </w:r>
      <w:r w:rsidRPr="00AF0477">
        <w:rPr>
          <w:rFonts w:eastAsia="MS Mincho"/>
          <w:color w:val="000000" w:themeColor="text1"/>
        </w:rPr>
        <w:fldChar w:fldCharType="separate"/>
      </w:r>
      <w:r w:rsidRPr="00AF0477">
        <w:rPr>
          <w:rFonts w:eastAsia="MS Mincho"/>
          <w:noProof/>
          <w:color w:val="000000" w:themeColor="text1"/>
        </w:rPr>
        <w:t>[12]</w:t>
      </w:r>
      <w:r w:rsidRPr="00AF0477">
        <w:rPr>
          <w:rFonts w:eastAsia="MS Mincho"/>
          <w:color w:val="000000" w:themeColor="text1"/>
        </w:rPr>
        <w:fldChar w:fldCharType="end"/>
      </w:r>
      <w:r w:rsidRPr="00AF0477">
        <w:rPr>
          <w:rFonts w:eastAsia="MS Mincho"/>
          <w:color w:val="000000" w:themeColor="text1"/>
        </w:rPr>
        <w:t>. Genome editing technology can modify DNA with precision, enabling us to make plants more adaptable to the harsh conditions of arid agriculture. Sustainable resource management practices are vital for addressing the challenges faced in the arid zone. By implementing innovative technologies and adopting conservation measures, it is possible to mitigate the effects of desertification, protect valuable resources, and ensure the long-term sustainability of this unique ecosystem</w:t>
      </w:r>
      <w:r>
        <w:rPr>
          <w:rFonts w:eastAsia="MS Mincho"/>
          <w:color w:val="000000" w:themeColor="text1"/>
        </w:rPr>
        <w:t>.</w:t>
      </w:r>
    </w:p>
    <w:p w:rsidR="0083004B" w:rsidRPr="00AF0477" w:rsidRDefault="0083004B" w:rsidP="0083004B">
      <w:pPr>
        <w:tabs>
          <w:tab w:val="left" w:pos="2235"/>
          <w:tab w:val="center" w:pos="4514"/>
        </w:tabs>
        <w:ind w:right="29" w:firstLine="720"/>
        <w:jc w:val="both"/>
        <w:rPr>
          <w:rFonts w:eastAsia="MS Mincho"/>
          <w:color w:val="000000" w:themeColor="text1"/>
        </w:rPr>
      </w:pPr>
    </w:p>
    <w:p w:rsidR="004A6653" w:rsidRPr="00AF0477" w:rsidRDefault="004A6653" w:rsidP="004A6653">
      <w:pPr>
        <w:tabs>
          <w:tab w:val="left" w:pos="2235"/>
          <w:tab w:val="center" w:pos="4514"/>
        </w:tabs>
        <w:ind w:right="29"/>
        <w:jc w:val="both"/>
        <w:rPr>
          <w:rFonts w:eastAsia="MS Mincho"/>
          <w:color w:val="000000" w:themeColor="text1"/>
        </w:rPr>
      </w:pPr>
    </w:p>
    <w:p w:rsidR="007E09AE" w:rsidRPr="00AF0477" w:rsidRDefault="000D5CBE" w:rsidP="000D5CBE">
      <w:pPr>
        <w:pStyle w:val="ListParagraph"/>
        <w:numPr>
          <w:ilvl w:val="0"/>
          <w:numId w:val="18"/>
        </w:numPr>
        <w:tabs>
          <w:tab w:val="left" w:pos="2235"/>
          <w:tab w:val="center" w:pos="4514"/>
        </w:tabs>
        <w:ind w:left="180" w:right="29" w:hanging="180"/>
        <w:rPr>
          <w:rFonts w:eastAsia="MS Mincho"/>
          <w:b/>
          <w:bCs/>
          <w:color w:val="000000" w:themeColor="text1"/>
        </w:rPr>
      </w:pPr>
      <w:r w:rsidRPr="00AF0477">
        <w:rPr>
          <w:rFonts w:eastAsia="MS Mincho"/>
          <w:b/>
          <w:bCs/>
          <w:color w:val="000000" w:themeColor="text1"/>
        </w:rPr>
        <w:t>MODERN WEED MANAGEMENT APPROACH</w:t>
      </w:r>
    </w:p>
    <w:p w:rsidR="000D5CBE" w:rsidRPr="00AF0477" w:rsidRDefault="000D5CBE" w:rsidP="000D5CBE">
      <w:pPr>
        <w:pStyle w:val="ListParagraph"/>
        <w:tabs>
          <w:tab w:val="left" w:pos="2235"/>
          <w:tab w:val="center" w:pos="4514"/>
        </w:tabs>
        <w:ind w:left="180" w:right="29"/>
        <w:jc w:val="both"/>
        <w:rPr>
          <w:rFonts w:eastAsia="MS Mincho"/>
          <w:b/>
          <w:bCs/>
          <w:color w:val="000000" w:themeColor="text1"/>
        </w:rPr>
      </w:pPr>
    </w:p>
    <w:p w:rsidR="00B720FB" w:rsidRPr="00AF0477" w:rsidRDefault="006558B7" w:rsidP="006558B7">
      <w:pPr>
        <w:tabs>
          <w:tab w:val="left" w:pos="2235"/>
          <w:tab w:val="center" w:pos="4514"/>
        </w:tabs>
        <w:ind w:right="29" w:firstLine="720"/>
        <w:jc w:val="both"/>
        <w:rPr>
          <w:rFonts w:eastAsia="MS Mincho"/>
          <w:color w:val="000000" w:themeColor="text1"/>
        </w:rPr>
      </w:pPr>
      <w:r w:rsidRPr="00AF0477">
        <w:rPr>
          <w:rFonts w:eastAsia="MS Mincho"/>
          <w:color w:val="000000" w:themeColor="text1"/>
        </w:rPr>
        <w:t xml:space="preserve">The primary focus of extensive tillage </w:t>
      </w:r>
      <w:r w:rsidR="005A605F">
        <w:rPr>
          <w:rFonts w:eastAsia="MS Mincho"/>
          <w:color w:val="000000" w:themeColor="text1"/>
        </w:rPr>
        <w:t xml:space="preserve">practices </w:t>
      </w:r>
      <w:r w:rsidRPr="00AF0477">
        <w:rPr>
          <w:rFonts w:eastAsia="MS Mincho"/>
          <w:color w:val="000000" w:themeColor="text1"/>
        </w:rPr>
        <w:t>was primarily on weed management. However, nowadays, weed control relies more on herbicides. The frequent and repetitive use of herbicides for managing weeds during fallow periods, pre-seeding and after harvesting has led to the development of herbicide resistance in various weed species. Additionally, the anticipated effects of increased atmospheric CO</w:t>
      </w:r>
      <w:r w:rsidRPr="00AF0477">
        <w:rPr>
          <w:rFonts w:eastAsia="MS Mincho"/>
          <w:color w:val="000000" w:themeColor="text1"/>
          <w:vertAlign w:val="subscript"/>
        </w:rPr>
        <w:t>2</w:t>
      </w:r>
      <w:r w:rsidRPr="00AF0477">
        <w:rPr>
          <w:rFonts w:eastAsia="MS Mincho"/>
          <w:color w:val="000000" w:themeColor="text1"/>
        </w:rPr>
        <w:t xml:space="preserve"> levels </w:t>
      </w:r>
      <w:r w:rsidR="005A605F">
        <w:rPr>
          <w:rFonts w:eastAsia="MS Mincho"/>
          <w:color w:val="000000" w:themeColor="text1"/>
        </w:rPr>
        <w:t xml:space="preserve">and </w:t>
      </w:r>
      <w:r w:rsidR="005A605F" w:rsidRPr="00AF0477">
        <w:rPr>
          <w:rFonts w:eastAsia="MS Mincho"/>
          <w:color w:val="000000" w:themeColor="text1"/>
        </w:rPr>
        <w:t xml:space="preserve">climate change </w:t>
      </w:r>
      <w:r w:rsidRPr="00AF0477">
        <w:rPr>
          <w:rFonts w:eastAsia="MS Mincho"/>
          <w:color w:val="000000" w:themeColor="text1"/>
        </w:rPr>
        <w:t xml:space="preserve">are expected to enhance the photosynthesis and growth of multiple weed species, </w:t>
      </w:r>
      <w:r w:rsidR="00CA5DDF">
        <w:rPr>
          <w:rFonts w:eastAsia="MS Mincho"/>
          <w:color w:val="000000" w:themeColor="text1"/>
        </w:rPr>
        <w:t>which can enhance</w:t>
      </w:r>
      <w:r w:rsidRPr="00AF0477">
        <w:rPr>
          <w:rFonts w:eastAsia="MS Mincho"/>
          <w:color w:val="000000" w:themeColor="text1"/>
        </w:rPr>
        <w:t xml:space="preserve"> </w:t>
      </w:r>
      <w:r w:rsidR="00CA5DDF">
        <w:rPr>
          <w:rFonts w:eastAsia="MS Mincho"/>
          <w:color w:val="000000" w:themeColor="text1"/>
        </w:rPr>
        <w:t>weed’s dominance over</w:t>
      </w:r>
      <w:r w:rsidRPr="00AF0477">
        <w:rPr>
          <w:rFonts w:eastAsia="MS Mincho"/>
          <w:color w:val="000000" w:themeColor="text1"/>
        </w:rPr>
        <w:t xml:space="preserve"> crops</w:t>
      </w:r>
      <w:r w:rsidR="006247DA" w:rsidRPr="00AF0477">
        <w:rPr>
          <w:rFonts w:eastAsia="MS Mincho"/>
          <w:color w:val="000000" w:themeColor="text1"/>
        </w:rPr>
        <w:t xml:space="preserve"> </w:t>
      </w:r>
      <w:r w:rsidR="006247DA"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{"citationID":"ZwvglwGs","properties":{"formattedCitation":"[25]","plainCitation":"[25]","noteIndex":0},"citationItems":[{"id":117,"uris":["http://zotero.org/users/14036693/items/JX2I2MX5"],"itemData":{"id":117,"type":"article-journal","abstract":"Previous studies have reported that chemical weed control will be less effective for some weed species under future atmospheric CO2 concentrations. Such reductions in plant sensitivity to herbicides under elevated CO2 may be due to greater biomass accumulation and differences among growth types. However, these studies have been limited to few growth types (herbaceous and grass species) and to a single herbicide (glyphosate). This study tested a more extensive range of weed species (both in number and growth form) and herbicides to assess general patterns of plant response. We grew 14 environmental weed species representing four different growth forms (grasses, herbs, shrubs and vines), that are commonly found in south-eastern Australia, under ambient (380 ppm) and elevated (550 ppm) CO2 concentrations. We then applied the recommended and double-recommended concentrations of two herbicides: glyphosate and fluroxypyr-meptyl. We found that responses of the weed species to herbicide under elevated CO2 were species-specific. However, the C3 grasses tended to be the most sensitive to herbicide application followed by the herbs and C4 grasses while shrubs and vines demonstrated the highest resistance. Our results highlight the need for broader testing to determine the species most likely to exhibit increased tolerance to herbicide in the future in order to improve management options beforehand and thus offset a future liability.","container-title":"Journal of Environmental Management","DOI":"10.1016/j.jenvman.2018.08.050","ISSN":"0301-4797","journalAbbreviation":"Journal of Environmental Management","page":"400-407","source":"ScienceDirect","title":"Herbicide effectiveness in controlling invasive plants under elevated CO2: Sufficient evidence to rethink weeds management","title-short":"Herbicide effectiveness in controlling invasive plants under elevated CO2","volume":"226","author":[{"family":"Waryszak","given":"Paweł"},{"family":"Lenz","given":"Tanja I."},{"family":"Leishman","given":"Michelle R."},{"family":"Downey","given":"Paul O."}],"issued":{"date-parts":[["2018",11,15]]}}}],"schema":"https://github.com/citation-style-language/schema/raw/master/csl-citation.json"} </w:instrText>
      </w:r>
      <w:r w:rsidR="006247DA" w:rsidRPr="00AF0477">
        <w:rPr>
          <w:rFonts w:eastAsia="MS Mincho"/>
          <w:color w:val="000000" w:themeColor="text1"/>
        </w:rPr>
        <w:fldChar w:fldCharType="separate"/>
      </w:r>
      <w:r w:rsidR="00AF0477" w:rsidRPr="00AF0477">
        <w:rPr>
          <w:color w:val="000000" w:themeColor="text1"/>
          <w:szCs w:val="24"/>
          <w:lang w:val="en-GB"/>
        </w:rPr>
        <w:t>[25]</w:t>
      </w:r>
      <w:r w:rsidR="006247DA" w:rsidRPr="00AF0477">
        <w:rPr>
          <w:rFonts w:eastAsia="MS Mincho"/>
          <w:color w:val="000000" w:themeColor="text1"/>
        </w:rPr>
        <w:fldChar w:fldCharType="end"/>
      </w:r>
      <w:r w:rsidR="0055046B">
        <w:rPr>
          <w:rFonts w:eastAsia="MS Mincho"/>
          <w:color w:val="000000" w:themeColor="text1"/>
        </w:rPr>
        <w:t>,</w:t>
      </w:r>
      <w:r w:rsidR="006247DA" w:rsidRPr="00AF0477">
        <w:rPr>
          <w:rFonts w:eastAsia="MS Mincho"/>
          <w:color w:val="000000" w:themeColor="text1"/>
        </w:rPr>
        <w:t xml:space="preserve"> </w:t>
      </w:r>
      <w:r w:rsidR="006247DA"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{"citationID":"Gho2BEGC","properties":{"formattedCitation":"[26]","plainCitation":"[26]","noteIndex":0},"citationItems":[{"id":119,"uris":["http://zotero.org/users/14036693/items/PMV7MZDV"],"itemData":{"id":119,"type":"article-journal","container-title":"Trends in Ecology &amp; Evolution","DOI":"10.1016/j.tree.2009.12.003","ISSN":"0169-5347","issue":"5","journalAbbreviation":"Trends in Ecology &amp; Evolution","language":"English","note":"publisher: Elsevier\nPMID: 20097441","page":"310-318","source":"www.cell.com","title":"Predicting plant invasions in an era of global change","volume":"25","author":[{"family":"Bradley","given":"Bethany A."},{"family":"Blumenthal","given":"Dana M."},{"family":"Wilcove","given":"David S."},{"family":"Ziska","given":"Lewis H."}],"issued":{"date-parts":[["2010",5,1]]}}}],"schema":"https://github.com/citation-style-language/schema/raw/master/csl-citation.json"} </w:instrText>
      </w:r>
      <w:r w:rsidR="006247DA" w:rsidRPr="00AF0477">
        <w:rPr>
          <w:rFonts w:eastAsia="MS Mincho"/>
          <w:color w:val="000000" w:themeColor="text1"/>
        </w:rPr>
        <w:fldChar w:fldCharType="separate"/>
      </w:r>
      <w:r w:rsidR="00AF0477" w:rsidRPr="00AF0477">
        <w:rPr>
          <w:color w:val="000000" w:themeColor="text1"/>
          <w:szCs w:val="24"/>
          <w:lang w:val="en-GB"/>
        </w:rPr>
        <w:t>[26]</w:t>
      </w:r>
      <w:r w:rsidR="006247DA" w:rsidRPr="00AF0477">
        <w:rPr>
          <w:rFonts w:eastAsia="MS Mincho"/>
          <w:color w:val="000000" w:themeColor="text1"/>
        </w:rPr>
        <w:fldChar w:fldCharType="end"/>
      </w:r>
      <w:r w:rsidRPr="00AF0477">
        <w:rPr>
          <w:rFonts w:eastAsia="MS Mincho"/>
          <w:color w:val="000000" w:themeColor="text1"/>
        </w:rPr>
        <w:t>. Environmental factors such as light, temperature,</w:t>
      </w:r>
      <w:r w:rsidR="00CA5DDF" w:rsidRPr="00CA5DDF">
        <w:rPr>
          <w:rFonts w:eastAsia="MS Mincho"/>
          <w:color w:val="000000" w:themeColor="text1"/>
        </w:rPr>
        <w:t xml:space="preserve"> </w:t>
      </w:r>
      <w:r w:rsidR="00CA5DDF" w:rsidRPr="00AF0477">
        <w:rPr>
          <w:rFonts w:eastAsia="MS Mincho"/>
          <w:color w:val="000000" w:themeColor="text1"/>
        </w:rPr>
        <w:t>CO</w:t>
      </w:r>
      <w:r w:rsidR="00CA5DDF" w:rsidRPr="00AF0477">
        <w:rPr>
          <w:rFonts w:eastAsia="MS Mincho"/>
          <w:color w:val="000000" w:themeColor="text1"/>
          <w:vertAlign w:val="subscript"/>
        </w:rPr>
        <w:t>2</w:t>
      </w:r>
      <w:r w:rsidRPr="00AF0477">
        <w:rPr>
          <w:rFonts w:eastAsia="MS Mincho"/>
          <w:color w:val="000000" w:themeColor="text1"/>
        </w:rPr>
        <w:t xml:space="preserve"> and relative humidity can influence the </w:t>
      </w:r>
      <w:r w:rsidR="00CA5DDF">
        <w:rPr>
          <w:rFonts w:eastAsia="MS Mincho"/>
          <w:color w:val="000000" w:themeColor="text1"/>
        </w:rPr>
        <w:t>effectiveness</w:t>
      </w:r>
      <w:r w:rsidRPr="00AF0477">
        <w:rPr>
          <w:rFonts w:eastAsia="MS Mincho"/>
          <w:color w:val="000000" w:themeColor="text1"/>
        </w:rPr>
        <w:t xml:space="preserve"> of different herbicide</w:t>
      </w:r>
      <w:r w:rsidR="00CA5DDF">
        <w:rPr>
          <w:rFonts w:eastAsia="MS Mincho"/>
          <w:color w:val="000000" w:themeColor="text1"/>
        </w:rPr>
        <w:t xml:space="preserve">’s </w:t>
      </w:r>
      <w:r w:rsidRPr="00AF0477">
        <w:rPr>
          <w:rFonts w:eastAsia="MS Mincho"/>
          <w:color w:val="000000" w:themeColor="text1"/>
        </w:rPr>
        <w:t>action</w:t>
      </w:r>
      <w:r w:rsidR="00F12286">
        <w:rPr>
          <w:rFonts w:eastAsia="MS Mincho"/>
          <w:color w:val="000000" w:themeColor="text1"/>
        </w:rPr>
        <w:t xml:space="preserve"> </w:t>
      </w:r>
      <w:r w:rsidR="006247DA"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{"citationID":"Wd5saWAa","properties":{"formattedCitation":"[27]","plainCitation":"[27]","noteIndex":0},"citationItems":[{"id":121,"uris":["http://zotero.org/users/14036693/items/58DBII7J"],"itemData":{"id":121,"type":"webpage","title":"Indicators of climate change in agricultural systems | Climatic Change","URL":"https://link.springer.com/article/10.1007/s10584-018-2222-2","accessed":{"date-parts":[["2024",5,28]]}}}],"schema":"https://github.com/citation-style-language/schema/raw/master/csl-citation.json"} </w:instrText>
      </w:r>
      <w:r w:rsidR="006247DA" w:rsidRPr="00AF0477">
        <w:rPr>
          <w:rFonts w:eastAsia="MS Mincho"/>
          <w:color w:val="000000" w:themeColor="text1"/>
        </w:rPr>
        <w:fldChar w:fldCharType="separate"/>
      </w:r>
      <w:r w:rsidR="00AF0477" w:rsidRPr="00AF0477">
        <w:rPr>
          <w:color w:val="000000" w:themeColor="text1"/>
          <w:szCs w:val="24"/>
          <w:lang w:val="en-GB"/>
        </w:rPr>
        <w:t>[27]</w:t>
      </w:r>
      <w:r w:rsidR="006247DA" w:rsidRPr="00AF0477">
        <w:rPr>
          <w:rFonts w:eastAsia="MS Mincho"/>
          <w:color w:val="000000" w:themeColor="text1"/>
        </w:rPr>
        <w:fldChar w:fldCharType="end"/>
      </w:r>
      <w:r w:rsidR="0055046B">
        <w:rPr>
          <w:rFonts w:eastAsia="MS Mincho"/>
          <w:color w:val="000000" w:themeColor="text1"/>
        </w:rPr>
        <w:t>,</w:t>
      </w:r>
      <w:r w:rsidR="00041E9B" w:rsidRPr="00AF0477">
        <w:rPr>
          <w:rFonts w:eastAsia="MS Mincho"/>
          <w:color w:val="000000" w:themeColor="text1"/>
        </w:rPr>
        <w:t xml:space="preserve"> </w:t>
      </w:r>
      <w:r w:rsidR="00041E9B"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{"citationID":"kLu6Vpij","properties":{"formattedCitation":"[28]","plainCitation":"[28]","noteIndex":0},"citationItems":[{"id":109,"uris":["http://zotero.org/users/14036693/items/JZQ2GMTK"],"itemData":{"id":109,"type":"chapter","abstract":"Rising carbon dioxide (CO2) concentrations and associated changes in global temperature and precipitation are major concerns for future weed management and crop production. This review focuses on the impacts of climate change factors on the growth of weeds and the potential variations in the efficacy of herbicides under changing climate conditions. Weeds are likely to show greater resilience and better adaptation to changes in CO2 concentrations and rising temperature in competition with crops due to their diverse gene pool and greater physiological plasticity. Weeds with C3 and C4 photosynthetic pathways may exhibit differential responses to higher CO2 levels and temperatures, which can affect the dynamics of crop–weed competition. In addition to its positive impact on weed growth, climate change factors could influence the efficacy of many herbicides, making weed management a major challenge for sustainable crop production. To enhance our understanding of the impact of climate change factors on herbicide efficacy, it is important to evaluate the effects of environmental conditions on various herbicide modes of action. Environmental factors such as CO2, light, temperature, relative humidity, and soil moisture differentially affect the uptake, translocation, and activity of different herbicide chemistries. Furthermore, interactions among these environmental factors may have unpredictable effects on herbicide activity. Existing literature suggests that climate change factors impacts vary not only within herbicide modes of action but also among herbicides belonging to same mode of action, so making generalized assumptions for each mode of action is difficult. Extensive research on the impact of climate change factors and their interactions on all commonly used herbicides is necessary to understand the implications for weed management in future climate scenarios.","collection-title":"Advances in Agronomy","container-title":"Advances in Agronomy","note":"DOI: 10.1016/bs.agron.2015.09.002","page":"107-146","publisher":"Academic Press","source":"ScienceDirect","title":"Chapter Three - Impact of Climate Change Factors on Weeds and Herbicide Efficacy","URL":"https://www.sciencedirect.com/science/article/pii/S0065211315001297","volume":"135","author":[{"family":"Varanasi","given":"Aruna"},{"family":"Prasad","given":"P. V. Vara"},{"family":"Jugulam","given":"Mithila"}],"editor":[{"family":"Sparks","given":"Donald L."}],"accessed":{"date-parts":[["2024",5,28]]},"issued":{"date-parts":[["2016",1,1]]}}}],"schema":"https://github.com/citation-style-language/schema/raw/master/csl-citation.json"} </w:instrText>
      </w:r>
      <w:r w:rsidR="00041E9B" w:rsidRPr="00AF0477">
        <w:rPr>
          <w:rFonts w:eastAsia="MS Mincho"/>
          <w:color w:val="000000" w:themeColor="text1"/>
        </w:rPr>
        <w:fldChar w:fldCharType="separate"/>
      </w:r>
      <w:r w:rsidR="00AF0477" w:rsidRPr="00AF0477">
        <w:rPr>
          <w:color w:val="000000" w:themeColor="text1"/>
          <w:szCs w:val="24"/>
          <w:lang w:val="en-GB"/>
        </w:rPr>
        <w:t>[28]</w:t>
      </w:r>
      <w:r w:rsidR="00041E9B" w:rsidRPr="00AF0477">
        <w:rPr>
          <w:rFonts w:eastAsia="MS Mincho"/>
          <w:color w:val="000000" w:themeColor="text1"/>
        </w:rPr>
        <w:fldChar w:fldCharType="end"/>
      </w:r>
      <w:r w:rsidRPr="00AF0477">
        <w:rPr>
          <w:rFonts w:eastAsia="MS Mincho"/>
          <w:color w:val="000000" w:themeColor="text1"/>
        </w:rPr>
        <w:t xml:space="preserve">. </w:t>
      </w:r>
      <w:r w:rsidR="00CA5DDF">
        <w:rPr>
          <w:rFonts w:eastAsia="MS Mincho"/>
          <w:color w:val="000000" w:themeColor="text1"/>
        </w:rPr>
        <w:t>G</w:t>
      </w:r>
      <w:r w:rsidRPr="00AF0477">
        <w:rPr>
          <w:rFonts w:eastAsia="MS Mincho"/>
          <w:color w:val="000000" w:themeColor="text1"/>
        </w:rPr>
        <w:t xml:space="preserve">lobal warming may result in phenotypic </w:t>
      </w:r>
      <w:r w:rsidR="00CA5DDF">
        <w:rPr>
          <w:rFonts w:eastAsia="MS Mincho"/>
          <w:color w:val="000000" w:themeColor="text1"/>
        </w:rPr>
        <w:t xml:space="preserve">and </w:t>
      </w:r>
      <w:r w:rsidR="00CA5DDF" w:rsidRPr="00AF0477">
        <w:rPr>
          <w:rFonts w:eastAsia="MS Mincho"/>
          <w:color w:val="000000" w:themeColor="text1"/>
        </w:rPr>
        <w:t>genetic</w:t>
      </w:r>
      <w:r w:rsidR="00CA5DDF">
        <w:rPr>
          <w:rFonts w:eastAsia="MS Mincho"/>
          <w:color w:val="000000" w:themeColor="text1"/>
        </w:rPr>
        <w:t xml:space="preserve"> </w:t>
      </w:r>
      <w:r w:rsidRPr="00AF0477">
        <w:rPr>
          <w:rFonts w:eastAsia="MS Mincho"/>
          <w:color w:val="000000" w:themeColor="text1"/>
        </w:rPr>
        <w:t xml:space="preserve">changes within weed populations, leading to a higher risk of non-target-site herbicide </w:t>
      </w:r>
      <w:r w:rsidRPr="00AF0477">
        <w:rPr>
          <w:rFonts w:eastAsia="MS Mincho"/>
          <w:color w:val="000000" w:themeColor="text1"/>
        </w:rPr>
        <w:lastRenderedPageBreak/>
        <w:t xml:space="preserve">resistance based on weed species' metabolism. For instance, the effectiveness of glyphosate was found to be </w:t>
      </w:r>
      <w:r w:rsidR="00CA5DDF">
        <w:rPr>
          <w:rFonts w:eastAsia="MS Mincho"/>
          <w:color w:val="000000" w:themeColor="text1"/>
        </w:rPr>
        <w:t>low</w:t>
      </w:r>
      <w:r w:rsidRPr="00AF0477">
        <w:rPr>
          <w:rFonts w:eastAsia="MS Mincho"/>
          <w:color w:val="000000" w:themeColor="text1"/>
        </w:rPr>
        <w:t xml:space="preserve"> in weeds grown under high CO</w:t>
      </w:r>
      <w:r w:rsidRPr="00AF0477">
        <w:rPr>
          <w:rFonts w:eastAsia="MS Mincho"/>
          <w:color w:val="000000" w:themeColor="text1"/>
          <w:vertAlign w:val="subscript"/>
        </w:rPr>
        <w:t>2</w:t>
      </w:r>
      <w:r w:rsidRPr="00AF0477">
        <w:rPr>
          <w:rFonts w:eastAsia="MS Mincho"/>
          <w:color w:val="000000" w:themeColor="text1"/>
        </w:rPr>
        <w:t xml:space="preserve"> </w:t>
      </w:r>
      <w:r w:rsidR="00CA5DDF">
        <w:rPr>
          <w:rFonts w:eastAsia="MS Mincho"/>
          <w:color w:val="000000" w:themeColor="text1"/>
        </w:rPr>
        <w:t>concentrations</w:t>
      </w:r>
      <w:r w:rsidR="00041E9B" w:rsidRPr="00AF0477">
        <w:rPr>
          <w:rFonts w:eastAsia="MS Mincho"/>
          <w:color w:val="000000" w:themeColor="text1"/>
        </w:rPr>
        <w:t xml:space="preserve"> </w:t>
      </w:r>
      <w:r w:rsidR="00041E9B"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{"citationID":"zJcLgR82","properties":{"formattedCitation":"[29]","plainCitation":"[29]","noteIndex":0},"citationItems":[{"id":111,"uris":["http://zotero.org/users/14036693/items/4IL28LKB"],"itemData":{"id":111,"type":"article-journal","abstract":"Agricultural pesticides have adverse impacts on the environment and human health. These impacts are sensitive to climate change because pest pressure and optimal pesticide application rates vary with weather and climate conditions. This study uses the Pesticide Environmental Accounting (PEA) tool and statistically estimated relationships between pesticide applications, weather and climate to compute the impacts of climate change on the external cost of pesticide applications. Using data from 32 US states, 56 crops and 325 pesticides, the current average external cost of pesticide use in US agriculture is calculated at US\\42 per hectare. Under projected climate change this value increases up to \\72 per hectare by 2100.","container-title":"International Journal of Agricultural Sustainability","DOI":"10.3763/ijas.2009.0459","ISSN":"1473-5903","issue":"3","note":"publisher: Taylor &amp; Francis\n_eprint: https://doi.org/10.3763/ijas.2009.0459","page":"203–216","source":"Taylor and Francis+NEJM","title":"The impact of climate change on the external cost of pesticide applications in US agriculture","volume":"7","author":[{"family":"Koleva","given":"Nikolinka G."},{"family":"Schneider","given":"Uwe A."}],"issued":{"date-parts":[["2009",8,1]]}}}],"schema":"https://github.com/citation-style-language/schema/raw/master/csl-citation.json"} </w:instrText>
      </w:r>
      <w:r w:rsidR="00041E9B" w:rsidRPr="00AF0477">
        <w:rPr>
          <w:rFonts w:eastAsia="MS Mincho"/>
          <w:color w:val="000000" w:themeColor="text1"/>
        </w:rPr>
        <w:fldChar w:fldCharType="separate"/>
      </w:r>
      <w:r w:rsidR="00AF0477" w:rsidRPr="00AF0477">
        <w:rPr>
          <w:color w:val="000000" w:themeColor="text1"/>
          <w:szCs w:val="24"/>
          <w:lang w:val="en-GB"/>
        </w:rPr>
        <w:t>[29]</w:t>
      </w:r>
      <w:r w:rsidR="00041E9B" w:rsidRPr="00AF0477">
        <w:rPr>
          <w:rFonts w:eastAsia="MS Mincho"/>
          <w:color w:val="000000" w:themeColor="text1"/>
        </w:rPr>
        <w:fldChar w:fldCharType="end"/>
      </w:r>
      <w:r w:rsidRPr="00AF0477">
        <w:rPr>
          <w:rFonts w:eastAsia="MS Mincho"/>
          <w:color w:val="000000" w:themeColor="text1"/>
        </w:rPr>
        <w:t xml:space="preserve">. Similarly, decreased efficacy of </w:t>
      </w:r>
      <w:r w:rsidR="00CA5DDF" w:rsidRPr="00AF0477">
        <w:rPr>
          <w:rFonts w:eastAsia="MS Mincho"/>
          <w:color w:val="000000" w:themeColor="text1"/>
        </w:rPr>
        <w:t xml:space="preserve">dicamba on </w:t>
      </w:r>
      <w:r w:rsidR="00CA5DDF" w:rsidRPr="00AF0477">
        <w:rPr>
          <w:rFonts w:eastAsia="MS Mincho"/>
          <w:i/>
          <w:iCs/>
          <w:color w:val="000000" w:themeColor="text1"/>
        </w:rPr>
        <w:t>B. scoparia</w:t>
      </w:r>
      <w:r w:rsidR="00CA5DDF">
        <w:rPr>
          <w:rFonts w:eastAsia="MS Mincho"/>
          <w:color w:val="000000" w:themeColor="text1"/>
        </w:rPr>
        <w:t xml:space="preserve">, </w:t>
      </w:r>
      <w:r w:rsidRPr="00AF0477">
        <w:rPr>
          <w:rFonts w:eastAsia="MS Mincho"/>
          <w:color w:val="000000" w:themeColor="text1"/>
        </w:rPr>
        <w:t>glyphosate on</w:t>
      </w:r>
      <w:r w:rsidRPr="00AF0477">
        <w:rPr>
          <w:rFonts w:eastAsia="MS Mincho"/>
          <w:i/>
          <w:iCs/>
          <w:color w:val="000000" w:themeColor="text1"/>
        </w:rPr>
        <w:t xml:space="preserve"> B. scoparia</w:t>
      </w:r>
      <w:r w:rsidRPr="00AF0477">
        <w:rPr>
          <w:rFonts w:eastAsia="MS Mincho"/>
          <w:color w:val="000000" w:themeColor="text1"/>
        </w:rPr>
        <w:t xml:space="preserve"> and </w:t>
      </w:r>
      <w:r w:rsidRPr="00AF0477">
        <w:rPr>
          <w:rFonts w:eastAsia="MS Mincho"/>
          <w:i/>
          <w:iCs/>
          <w:color w:val="000000" w:themeColor="text1"/>
        </w:rPr>
        <w:t>C. album</w:t>
      </w:r>
      <w:r w:rsidRPr="00AF0477">
        <w:rPr>
          <w:rFonts w:eastAsia="MS Mincho"/>
          <w:color w:val="000000" w:themeColor="text1"/>
        </w:rPr>
        <w:t xml:space="preserve"> </w:t>
      </w:r>
      <w:r w:rsidR="00CA5DDF">
        <w:rPr>
          <w:rFonts w:eastAsia="MS Mincho"/>
          <w:color w:val="000000" w:themeColor="text1"/>
        </w:rPr>
        <w:t xml:space="preserve">and </w:t>
      </w:r>
      <w:proofErr w:type="spellStart"/>
      <w:r w:rsidR="00CA5DDF" w:rsidRPr="00AF0477">
        <w:rPr>
          <w:rFonts w:eastAsia="MS Mincho"/>
          <w:color w:val="000000" w:themeColor="text1"/>
        </w:rPr>
        <w:t>mesotrione</w:t>
      </w:r>
      <w:proofErr w:type="spellEnd"/>
      <w:r w:rsidR="00CA5DDF" w:rsidRPr="00AF0477">
        <w:rPr>
          <w:rFonts w:eastAsia="MS Mincho"/>
          <w:color w:val="000000" w:themeColor="text1"/>
        </w:rPr>
        <w:t xml:space="preserve"> on </w:t>
      </w:r>
      <w:r w:rsidR="00CA5DDF" w:rsidRPr="00AF0477">
        <w:rPr>
          <w:rFonts w:eastAsia="MS Mincho"/>
          <w:i/>
          <w:iCs/>
          <w:color w:val="000000" w:themeColor="text1"/>
        </w:rPr>
        <w:t xml:space="preserve">A. </w:t>
      </w:r>
      <w:proofErr w:type="spellStart"/>
      <w:r w:rsidR="00CA5DDF" w:rsidRPr="00AF0477">
        <w:rPr>
          <w:rFonts w:eastAsia="MS Mincho"/>
          <w:i/>
          <w:iCs/>
          <w:color w:val="000000" w:themeColor="text1"/>
        </w:rPr>
        <w:t>palmeri</w:t>
      </w:r>
      <w:proofErr w:type="spellEnd"/>
      <w:r w:rsidR="00CA5DDF">
        <w:rPr>
          <w:rFonts w:eastAsia="MS Mincho"/>
          <w:color w:val="000000" w:themeColor="text1"/>
        </w:rPr>
        <w:t xml:space="preserve"> </w:t>
      </w:r>
      <w:r w:rsidRPr="00AF0477">
        <w:rPr>
          <w:rFonts w:eastAsia="MS Mincho"/>
          <w:color w:val="000000" w:themeColor="text1"/>
        </w:rPr>
        <w:t>has been observed at elevated temperatures (30-40°C)</w:t>
      </w:r>
      <w:r w:rsidR="00041E9B" w:rsidRPr="00AF0477">
        <w:rPr>
          <w:rFonts w:eastAsia="MS Mincho"/>
          <w:color w:val="000000" w:themeColor="text1"/>
        </w:rPr>
        <w:t xml:space="preserve"> </w:t>
      </w:r>
      <w:r w:rsidR="00041E9B"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{"citationID":"0yc6cZD0","properties":{"formattedCitation":"[30]","plainCitation":"[30]","noteIndex":0},"citationItems":[{"id":112,"uris":["http://zotero.org/users/14036693/items/ZPNC2CC3"],"itemData":{"id":112,"type":"article-journal","abstract":"Plant growth stage and temperature influence the activity of glyphosate on common lambsquarters. A biotype of common lambsquarters in Dickinson County, KS (DK) was not controlled upon treatment with glyphosate in the field. In a greenhouse dose–response study, the DK biotype expressed 1.5-fold less sensitivity to glyphosate compared to a known susceptible biotype from Riley County, KS (RL). Common lambsquarters plants were treated at different growth stages (5 to 7, 10 to 12, 15 to 17, or 19 to 21 cm tall) with glyphosate at a field rate (840 g ae ha–1), and, regardless of the biotype, plants were more susceptible to glyphosate when they were 5 to 7 cm tall. Common lambsquarters plants were treated with glyphosate (840 g ae ha–1) after growing at different temperatures (25/15, 32.5/22.5, or 40/30 C day/night), and regardless of the biotype, plants were more susceptible to glyphosate when grown at 25/15 C. The results suggest that the DK biotype exhibits reduced sensitivity to glyphosate compared to the RL biotype, and glyphosate applied at field rate would be more effective on smaller common lambsquarters plants and at cooler temperatures. Common lambsquarters seedlings tend to emerge when temperatures are cooler, early in the spring relative to other summer annual weeds. Therefore, plants should be identified and treated earlier in the growing season for best efficacy with glyphosate.","container-title":"Weed Technology","DOI":"10.1017/wet.2018.38","ISSN":"0890-037X, 1550-2740","issue":"4","language":"en","page":"448-453","source":"Cambridge University Press","title":"Influence of Plant Growth Stage and Temperature on Glyphosate Efficacy in Common Lambsquarters (Chenopodium album)","volume":"32","author":[{"family":"DeGreeff","given":"Randy D."},{"family":"Varanasi","given":"Aruna V."},{"family":"Dille","given":"J. Anita"},{"family":"Peterson","given":"Dallas E."},{"family":"Jugulam","given":"Mithila"}],"issued":{"date-parts":[["2018",8]]}}}],"schema":"https://github.com/citation-style-language/schema/raw/master/csl-citation.json"} </w:instrText>
      </w:r>
      <w:r w:rsidR="00041E9B" w:rsidRPr="00AF0477">
        <w:rPr>
          <w:rFonts w:eastAsia="MS Mincho"/>
          <w:color w:val="000000" w:themeColor="text1"/>
        </w:rPr>
        <w:fldChar w:fldCharType="separate"/>
      </w:r>
      <w:r w:rsidR="00AF0477" w:rsidRPr="00AF0477">
        <w:rPr>
          <w:color w:val="000000" w:themeColor="text1"/>
          <w:szCs w:val="24"/>
          <w:lang w:val="en-GB"/>
        </w:rPr>
        <w:t>[30]</w:t>
      </w:r>
      <w:r w:rsidR="00041E9B" w:rsidRPr="00AF0477">
        <w:rPr>
          <w:rFonts w:eastAsia="MS Mincho"/>
          <w:color w:val="000000" w:themeColor="text1"/>
        </w:rPr>
        <w:fldChar w:fldCharType="end"/>
      </w:r>
      <w:r w:rsidR="0055046B">
        <w:rPr>
          <w:rFonts w:eastAsia="MS Mincho"/>
          <w:color w:val="000000" w:themeColor="text1"/>
        </w:rPr>
        <w:t>,</w:t>
      </w:r>
      <w:r w:rsidR="00041E9B" w:rsidRPr="00AF0477">
        <w:rPr>
          <w:rFonts w:eastAsia="MS Mincho"/>
          <w:color w:val="000000" w:themeColor="text1"/>
        </w:rPr>
        <w:t xml:space="preserve"> </w:t>
      </w:r>
      <w:r w:rsidR="00041E9B"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{"citationID":"F6hqSa1K","properties":{"formattedCitation":"[31]","plainCitation":"[31]","noteIndex":0},"citationItems":[{"id":113,"uris":["http://zotero.org/users/14036693/items/C6BURR4F"],"itemData":{"id":113,"type":"article-journal","abstract":"Herbicide efficacy is known to be influenced by temperature, however, underlying mechanism(s) are poorly understood. A marked alteration in mesotrione [a 4-hydroxyphenylpyruvate dioxygenase (HPPD) inhibitor] efficacy on Palmer amaranth (Amaranthus palmeri S. Watson) was observed when grown under low- (LT, 25/15°C, day/night temperatures) and high (HT, 40/30°C) temperature compared to optimum (OT, 32.5/22.5°C) temperature. Based on plant height, injury, and mortality, Palmer amaranth was more sensitive to mesotrione at LT and less sensitive at HT compared to OT (ED50 for mortality; 18.5, 52.3, and 63.7 g ai ha-1, respectively). Similar responses were observed for leaf chlorophyll index and photochemical efficiency of PSII (Fv/Fm). Furthermore, mesotrione translocation and metabolism, and HPPD expression data strongly supported such variation. Relatively more mesotrione was translocated to meristematic regions at LT or OT than at HT. Based on T50 values (time required to metabolize 50% of the 14C mesotrione), plants at HT metabolized mesotrione faster than those at LT or OT (T50; 13, 21, and 16.5 h, respectively). The relative HPPD:CPS (carbamoyl phosphate synthetase) or HPPD:β-tubulin expression in mesotrione-treated plants increased over time in all temperature regimes; however, at 48 HAT, the HPPD:β-tubulin expression was exceedingly higher at HT compared to LT or OT (18.4-, 3.1-, and 3.5-fold relative to untreated plants, respectively). These findings together with an integrated understanding of other interacting key environmental factors will have important implications for a predictable approach for effective weed management.","container-title":"PLOS ONE","DOI":"10.1371/journal.pone.0126731","ISSN":"1932-6203","issue":"5","journalAbbreviation":"PLOS ONE","language":"en","note":"publisher: Public Library of Science","page":"e0126731","source":"PLoS Journals","title":"Physiological and Molecular Mechanisms of Differential Sensitivity of Palmer Amaranth (Amaranthus palmeri) to Mesotrione at Varying Growth Temperatures","volume":"10","author":[{"family":"Godar","given":"Amar S."},{"family":"Varanasi","given":"Vijaya K."},{"family":"Nakka","given":"Sridevi"},{"family":"Prasad","given":"P. V. Vara"},{"family":"Thompson","given":"Curtis R."},{"family":"Mithila","given":"J."}],"issued":{"date-parts":[["2015",5,19]]}}}],"schema":"https://github.com/citation-style-language/schema/raw/master/csl-citation.json"} </w:instrText>
      </w:r>
      <w:r w:rsidR="00041E9B" w:rsidRPr="00AF0477">
        <w:rPr>
          <w:rFonts w:eastAsia="MS Mincho"/>
          <w:color w:val="000000" w:themeColor="text1"/>
        </w:rPr>
        <w:fldChar w:fldCharType="separate"/>
      </w:r>
      <w:r w:rsidR="00AF0477" w:rsidRPr="00AF0477">
        <w:rPr>
          <w:color w:val="000000" w:themeColor="text1"/>
          <w:szCs w:val="24"/>
          <w:lang w:val="en-GB"/>
        </w:rPr>
        <w:t>[31]</w:t>
      </w:r>
      <w:r w:rsidR="00041E9B" w:rsidRPr="00AF0477">
        <w:rPr>
          <w:rFonts w:eastAsia="MS Mincho"/>
          <w:color w:val="000000" w:themeColor="text1"/>
        </w:rPr>
        <w:fldChar w:fldCharType="end"/>
      </w:r>
      <w:r w:rsidR="0055046B">
        <w:rPr>
          <w:rFonts w:eastAsia="MS Mincho"/>
          <w:color w:val="000000" w:themeColor="text1"/>
        </w:rPr>
        <w:t>,</w:t>
      </w:r>
      <w:r w:rsidR="00F12286">
        <w:rPr>
          <w:rFonts w:eastAsia="MS Mincho"/>
          <w:color w:val="000000" w:themeColor="text1"/>
        </w:rPr>
        <w:t xml:space="preserve"> </w:t>
      </w:r>
      <w:r w:rsidR="00041E9B"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{"citationID":"RXFCyDTP","properties":{"formattedCitation":"[32]","plainCitation":"[32]","noteIndex":0},"citationItems":[{"id":115,"uris":["http://zotero.org/users/14036693/items/AAM6HK46"],"itemData":{"id":115,"type":"article-journal","abstract":"Kochia scoparia is a troublesome weed across the Great Plains of North America. Glyphosate and dicamba have been used for decades to control K. scoparia. Due to extensive selection, glyphosate- and dicamba-resistant (GDR) K. scoparia have evolved in the USA. Herbicide mixtures are routinely used to improve weed control. Herbicide interactions if result in an antagonistic effect can significantly affect the management of weeds, such as K. scoparia. To uncover the interaction of glyphosate and dicamba when applied in combination in K. scoparia management the efficacies of different doses of glyphosate plus dicamba were evaluated under greenhouse and field conditions using GDR and a known glyphosate- and dicamba-susceptible (GDS) K. scoparia. The results of greenhouse and field studies suggest that the combination of glyphosate and dicamba application controlled GDS, but glyphosate alone provided a better control of GDR K. scoparia compared to glyphosate plus dicamba combinations. Furthermore, investigation of the basis of this response suggested glyphosate and dicamba interact antagonistically and consequently, the translocation of both herbicides was significantly reduced resulting in poor control of K. scoparia. Therefore, a combination of glyphosate plus dicamba may not be a viable option to control GDR K. scoparia.","container-title":"Scientific Reports","DOI":"10.1038/s41598-018-23742-3","ISSN":"2045-2322","issue":"1","journalAbbreviation":"Sci Rep","language":"en","license":"2018 The Author(s)","note":"publisher: Nature Publishing Group","page":"5330","source":"www.nature.com","title":"Reduced Translocation of Glyphosate and Dicamba in Combination Contributes to Poor Control of Kochia scoparia: Evidence of Herbicide Antagonism","title-short":"Reduced Translocation of Glyphosate and Dicamba in Combination Contributes to Poor Control of Kochia scoparia","volume":"8","author":[{"family":"Ou","given":"Junjun"},{"family":"Thompson","given":"Curtis R."},{"family":"Stahlman","given":"Phillip W."},{"family":"Bloedow","given":"Nicholas"},{"family":"Jugulam","given":"Mithila"}],"issued":{"date-parts":[["2018",3,28]]}}}],"schema":"https://github.com/citation-style-language/schema/raw/master/csl-citation.json"} </w:instrText>
      </w:r>
      <w:r w:rsidR="00041E9B" w:rsidRPr="00AF0477">
        <w:rPr>
          <w:rFonts w:eastAsia="MS Mincho"/>
          <w:color w:val="000000" w:themeColor="text1"/>
        </w:rPr>
        <w:fldChar w:fldCharType="separate"/>
      </w:r>
      <w:r w:rsidR="00AF0477" w:rsidRPr="00AF0477">
        <w:rPr>
          <w:color w:val="000000" w:themeColor="text1"/>
          <w:szCs w:val="24"/>
          <w:lang w:val="en-GB"/>
        </w:rPr>
        <w:t>[32]</w:t>
      </w:r>
      <w:r w:rsidR="00041E9B" w:rsidRPr="00AF0477">
        <w:rPr>
          <w:rFonts w:eastAsia="MS Mincho"/>
          <w:color w:val="000000" w:themeColor="text1"/>
        </w:rPr>
        <w:fldChar w:fldCharType="end"/>
      </w:r>
      <w:r w:rsidRPr="00AF0477">
        <w:rPr>
          <w:rFonts w:eastAsia="MS Mincho"/>
          <w:color w:val="000000" w:themeColor="text1"/>
        </w:rPr>
        <w:t>.</w:t>
      </w:r>
      <w:r w:rsidR="00D237BB" w:rsidRPr="00AF0477">
        <w:rPr>
          <w:rFonts w:eastAsia="MS Mincho"/>
          <w:color w:val="000000" w:themeColor="text1"/>
        </w:rPr>
        <w:t xml:space="preserve"> </w:t>
      </w:r>
      <w:r w:rsidR="00F26C37" w:rsidRPr="00AF0477">
        <w:rPr>
          <w:rFonts w:eastAsia="MS Mincho"/>
          <w:color w:val="000000" w:themeColor="text1"/>
        </w:rPr>
        <w:t xml:space="preserve">The modern approach to control weed invasion </w:t>
      </w:r>
      <w:r w:rsidR="00CA5DDF">
        <w:rPr>
          <w:rFonts w:eastAsia="MS Mincho"/>
          <w:color w:val="000000" w:themeColor="text1"/>
        </w:rPr>
        <w:t>involves</w:t>
      </w:r>
      <w:r w:rsidR="00F26C37" w:rsidRPr="00AF0477">
        <w:rPr>
          <w:rFonts w:eastAsia="MS Mincho"/>
          <w:color w:val="000000" w:themeColor="text1"/>
        </w:rPr>
        <w:t xml:space="preserve"> various methods, including cover cropping, crop rotation, mulching, mechanical weeding, biological herbicides, genetic engineering, remote sensing and the use of Unmanned Aerial Vehicles (UAVs) etc.</w:t>
      </w:r>
    </w:p>
    <w:p w:rsidR="00F179C2" w:rsidRPr="00AF0477" w:rsidRDefault="00F179C2" w:rsidP="006558B7">
      <w:pPr>
        <w:tabs>
          <w:tab w:val="left" w:pos="2235"/>
          <w:tab w:val="center" w:pos="4514"/>
        </w:tabs>
        <w:ind w:right="29" w:firstLine="720"/>
        <w:jc w:val="both"/>
        <w:rPr>
          <w:rFonts w:eastAsia="MS Mincho"/>
          <w:color w:val="000000" w:themeColor="text1"/>
        </w:rPr>
      </w:pPr>
    </w:p>
    <w:p w:rsidR="005619CD" w:rsidRPr="00AF0477" w:rsidRDefault="00C4777D" w:rsidP="005619CD">
      <w:pPr>
        <w:pStyle w:val="ListParagraph"/>
        <w:numPr>
          <w:ilvl w:val="0"/>
          <w:numId w:val="23"/>
        </w:numPr>
        <w:tabs>
          <w:tab w:val="left" w:pos="2235"/>
          <w:tab w:val="center" w:pos="4514"/>
        </w:tabs>
        <w:ind w:left="270" w:right="29" w:hanging="270"/>
        <w:jc w:val="both"/>
        <w:rPr>
          <w:rFonts w:eastAsia="MS Mincho"/>
          <w:b/>
          <w:bCs/>
          <w:color w:val="000000" w:themeColor="text1"/>
        </w:rPr>
      </w:pPr>
      <w:r w:rsidRPr="00AF0477">
        <w:rPr>
          <w:rFonts w:eastAsia="MS Mincho"/>
          <w:b/>
          <w:bCs/>
          <w:color w:val="000000" w:themeColor="text1"/>
        </w:rPr>
        <w:t>Cover cropping</w:t>
      </w:r>
    </w:p>
    <w:p w:rsidR="00EE1D80" w:rsidRPr="00A72FD4" w:rsidRDefault="00EE1D80" w:rsidP="00A72FD4">
      <w:pPr>
        <w:pStyle w:val="ListParagraph"/>
        <w:tabs>
          <w:tab w:val="left" w:pos="2235"/>
          <w:tab w:val="center" w:pos="4514"/>
        </w:tabs>
        <w:ind w:left="0" w:right="29" w:firstLine="720"/>
        <w:jc w:val="both"/>
        <w:rPr>
          <w:rFonts w:eastAsia="MS Mincho"/>
          <w:color w:val="000000" w:themeColor="text1"/>
        </w:rPr>
      </w:pPr>
      <w:r>
        <w:rPr>
          <w:rFonts w:eastAsia="MS Mincho"/>
          <w:color w:val="000000" w:themeColor="text1"/>
        </w:rPr>
        <w:t xml:space="preserve">Weed management using cover crops is </w:t>
      </w:r>
      <w:r w:rsidR="005A605F">
        <w:rPr>
          <w:rFonts w:eastAsia="MS Mincho"/>
          <w:color w:val="000000" w:themeColor="text1"/>
        </w:rPr>
        <w:t xml:space="preserve">a traditional </w:t>
      </w:r>
      <w:r>
        <w:rPr>
          <w:rFonts w:eastAsia="MS Mincho"/>
          <w:color w:val="000000" w:themeColor="text1"/>
        </w:rPr>
        <w:t xml:space="preserve">practice. </w:t>
      </w:r>
      <w:r w:rsidR="009717AA">
        <w:rPr>
          <w:rFonts w:eastAsia="MS Mincho"/>
          <w:color w:val="000000" w:themeColor="text1"/>
        </w:rPr>
        <w:t>Cover cropping uses</w:t>
      </w:r>
      <w:r>
        <w:rPr>
          <w:rFonts w:eastAsia="MS Mincho"/>
          <w:color w:val="000000" w:themeColor="text1"/>
        </w:rPr>
        <w:t xml:space="preserve"> plant debris to alter the soil microclimate, conserve soil moisture and decrease the persistence of weed seeds </w:t>
      </w:r>
      <w:r w:rsidRPr="00AF0477">
        <w:rPr>
          <w:rFonts w:eastAsia="MS Mincho"/>
          <w:color w:val="000000" w:themeColor="text1"/>
        </w:rPr>
        <w:fldChar w:fldCharType="begin"/>
      </w:r>
      <w:r w:rsidRPr="00AF0477">
        <w:rPr>
          <w:rFonts w:eastAsia="MS Mincho"/>
          <w:color w:val="000000" w:themeColor="text1"/>
        </w:rPr>
        <w:instrText xml:space="preserve"> ADDIN ZOTERO_ITEM CSL_CITATION {"citationID":"l5I1bAMP","properties":{"formattedCitation":"[33]","plainCitation":"[33]","noteIndex":0},"citationItems":[{"id":85,"uris":["http://zotero.org/users/14036693/items/U74T34PA"],"itemData":{"id":85,"type":"article-journal","abstract":"Interest in planting mixtures of cover crop species has grown in recent years as farmers seek to increase the breadth of ecosystem services cover crops provide. As part of a multidisciplinary project, we quantified the degree to which monocultures and mixtures of cover crops suppress weeds during the fall-to-spring cover crop growing period. Weed-suppressive cover crop stands can limit weed seed rain from summer- and winter-annual species, reducing weed population growth and ultimately weed pressure in future cash crop stands. We established monocultures and mixtures of two legumes (medium red clover and Austrian winter pea), two grasses (cereal rye and oats), and two brassicas (forage radish and canola) in a long fall growing window following winter wheat harvest and in a shorter window following silage corn harvest. In fall of the long window, grass cover crops and mixtures were the most weed suppressive, whereas legume cover crops were the least weed suppressive. All mixtures also effectively suppressed weeds. This was likely primarily due to the presence of fast-growing grass species, which were effective even when they were seeded at only 20% of their monoculture rate. In spring, weed biomass was low in all treatments due to winter kill of summer-annual weeds and low germination of winter annuals. In the short window following silage corn, biomass accumulation by cover crops and weeds in the fall was more than an order of magnitude lower than in the longer window. However, there was substantial weed seed production in the spring in all treatments not containing cereal rye (monoculture or mixture). Our results suggest that cover crop mixtures require only low seeding rates of aggressive grass species to provide weed suppression. This creates an opportunity for other species to deliver additional ecosystem services, though careful species selection may be required to maintain mixture diversity and avoid dominance of winter-hardy cover crop grasses in the spring.","container-title":"Weed Science","DOI":"10.1017/wsc.2017.59","ISSN":"1550-2759","issue":"1","language":"en","page":"121-133","source":"Cambridge University Press","title":"Weed Suppression in Cover Crop Monocultures and Mixtures","volume":"66","author":[{"family":"Baraibar","given":"Barbara"},{"family":"Hunter","given":"Mitchell C."},{"family":"Schipanski","given":"Meagan E."},{"family":"Hamilton","given":"Abbe"},{"family":"Mortensen","given":"David A."}],"issued":{"date-parts":[["2018",1]]}}}],"schema":"https://github.com/citation-style-language/schema/raw/master/csl-citation.json"} </w:instrText>
      </w:r>
      <w:r w:rsidRPr="00AF0477">
        <w:rPr>
          <w:rFonts w:eastAsia="MS Mincho"/>
          <w:color w:val="000000" w:themeColor="text1"/>
        </w:rPr>
        <w:fldChar w:fldCharType="separate"/>
      </w:r>
      <w:r w:rsidRPr="00AF0477">
        <w:rPr>
          <w:color w:val="000000" w:themeColor="text1"/>
          <w:szCs w:val="24"/>
          <w:lang w:val="en-GB"/>
        </w:rPr>
        <w:t>[33]</w:t>
      </w:r>
      <w:r w:rsidRPr="00AF0477">
        <w:rPr>
          <w:rFonts w:eastAsia="MS Mincho"/>
          <w:color w:val="000000" w:themeColor="text1"/>
        </w:rPr>
        <w:fldChar w:fldCharType="end"/>
      </w:r>
      <w:r>
        <w:rPr>
          <w:rFonts w:eastAsia="MS Mincho"/>
          <w:color w:val="000000" w:themeColor="text1"/>
        </w:rPr>
        <w:t>,</w:t>
      </w:r>
      <w:r w:rsidRPr="00AF0477">
        <w:rPr>
          <w:rFonts w:eastAsia="MS Mincho"/>
          <w:color w:val="000000" w:themeColor="text1"/>
        </w:rPr>
        <w:t xml:space="preserve"> </w:t>
      </w:r>
      <w:r w:rsidRPr="00AF0477">
        <w:rPr>
          <w:rFonts w:eastAsia="MS Mincho"/>
          <w:color w:val="000000" w:themeColor="text1"/>
        </w:rPr>
        <w:fldChar w:fldCharType="begin"/>
      </w:r>
      <w:r w:rsidRPr="00AF0477">
        <w:rPr>
          <w:rFonts w:eastAsia="MS Mincho"/>
          <w:color w:val="000000" w:themeColor="text1"/>
        </w:rPr>
        <w:instrText xml:space="preserve"> ADDIN ZOTERO_ITEM CSL_CITATION {"citationID":"NRCkvTXy","properties":{"formattedCitation":"[34]","plainCitation":"[34]","noteIndex":0},"citationItems":[{"id":90,"uris":["http://zotero.org/users/14036693/items/4WBXXXK7"],"itemData":{"id":90,"type":"article-journal","abstract":"Cover crop benefits include nitrogen accumulation and retention, weed suppression, organic matter maintenance, and reduced erosion. Organic farmers need region-specific information on winter cover crop performance to effectively integrate cover crops into their crop rotations. Our research objective was to compare cover crop seeding mixtures, planting dates, and termination dates on performance of rye (Secale cereale L.) and hairy vetch (Vicia villosa Roth) monocultures and mixtures in the maritime Pacific Northwest USA. The study included four seed mixtures (100% hairy vetch, 25% rye-75% hairy vetch, 50% rye-50% hairy vetch, and 100% rye by seed weight), two planting dates, and two termination dates, using a split-split plot design with four replications over six years. Measurements included winter ground cover; stand composition; cover crop biomass, N concentration, and N uptake; and June soil NO3--N. Rye planted in mid-September and terminated in late April averaged 5.1 Mg ha-1 biomass, whereas mixtures averaged 4.1 Mg ha-1 and hairy vetch 2.3 Mg ha-1. Delaying planting by 2.5 weeks reduced average winter ground cover by 65%, biomass by 50%, and cover crop N accumulation by 40%. Similar reductions in biomass and N accumulation occurred for late March termination, compared with late April termination. Mixtures had less annual biomass variability than rye. Mixtures accumulated 103 kg ha-1 N and had mean C:N ratio &lt;17:1 when planted in mid-September and terminated in late April. June soil NO3--N (0 to 30 cm depth) averaged 62 kg ha-1 for rye, 97 kg ha-1 for the mixtures, and 119 kg ha-1 for hairy vetch. Weeds comprised less of the mixtures biomass (20% weeds by weight at termination) compared with the monocultures (29%). Cover crop mixtures provided a balance between biomass accumulation and N concentration, more consistent biomass over the six-year study, and were more effective at reducing winter weeds compared with monocultures.","container-title":"PLOS ONE","DOI":"10.1371/journal.pone.0129597","ISSN":"1932-6203","issue":"6","journalAbbreviation":"PLOS ONE","language":"en","note":"publisher: Public Library of Science","page":"e0129597","source":"PLoS Journals","title":"Influence of Seeding Ratio, Planting Date, and Termination Date on Rye-Hairy Vetch Cover Crop Mixture Performance under Organic Management","volume":"10","author":[{"family":"Lawson","given":"Andrew"},{"family":"Cogger","given":"Craig"},{"family":"Bary","given":"Andy"},{"family":"Fortuna","given":"Ann-Marie"}],"issued":{"date-parts":[["2015",6,16]]}}}],"schema":"https://github.com/citation-style-language/schema/raw/master/csl-citation.json"} </w:instrText>
      </w:r>
      <w:r w:rsidRPr="00AF0477">
        <w:rPr>
          <w:rFonts w:eastAsia="MS Mincho"/>
          <w:color w:val="000000" w:themeColor="text1"/>
        </w:rPr>
        <w:fldChar w:fldCharType="separate"/>
      </w:r>
      <w:r w:rsidRPr="00AF0477">
        <w:rPr>
          <w:color w:val="000000" w:themeColor="text1"/>
          <w:szCs w:val="24"/>
          <w:lang w:val="en-GB"/>
        </w:rPr>
        <w:t>[34]</w:t>
      </w:r>
      <w:r w:rsidRPr="00AF0477">
        <w:rPr>
          <w:rFonts w:eastAsia="MS Mincho"/>
          <w:color w:val="000000" w:themeColor="text1"/>
        </w:rPr>
        <w:fldChar w:fldCharType="end"/>
      </w:r>
      <w:r w:rsidRPr="00AF0477">
        <w:rPr>
          <w:rFonts w:eastAsia="MS Mincho"/>
          <w:color w:val="000000" w:themeColor="text1"/>
        </w:rPr>
        <w:t xml:space="preserve">. </w:t>
      </w:r>
      <w:r>
        <w:rPr>
          <w:rFonts w:eastAsia="MS Mincho"/>
          <w:color w:val="000000" w:themeColor="text1"/>
        </w:rPr>
        <w:t xml:space="preserve">Cover crops can </w:t>
      </w:r>
      <w:r w:rsidR="00A72FD4">
        <w:rPr>
          <w:rFonts w:eastAsia="MS Mincho"/>
          <w:color w:val="000000" w:themeColor="text1"/>
        </w:rPr>
        <w:t>hinder</w:t>
      </w:r>
      <w:r>
        <w:rPr>
          <w:rFonts w:eastAsia="MS Mincho"/>
          <w:color w:val="000000" w:themeColor="text1"/>
        </w:rPr>
        <w:t xml:space="preserve"> weed growth </w:t>
      </w:r>
      <w:r w:rsidR="005A605F">
        <w:rPr>
          <w:rFonts w:eastAsia="MS Mincho"/>
          <w:color w:val="000000" w:themeColor="text1"/>
        </w:rPr>
        <w:t>through the secretion of allelochemicals</w:t>
      </w:r>
      <w:r>
        <w:rPr>
          <w:rFonts w:eastAsia="MS Mincho"/>
          <w:color w:val="000000" w:themeColor="text1"/>
        </w:rPr>
        <w:t xml:space="preserve"> </w:t>
      </w:r>
      <w:r w:rsidRPr="00AF0477">
        <w:rPr>
          <w:rFonts w:eastAsia="MS Mincho"/>
          <w:color w:val="000000" w:themeColor="text1"/>
        </w:rPr>
        <w:fldChar w:fldCharType="begin"/>
      </w:r>
      <w:r w:rsidRPr="00AF0477">
        <w:rPr>
          <w:rFonts w:eastAsia="MS Mincho"/>
          <w:color w:val="000000" w:themeColor="text1"/>
        </w:rPr>
        <w:instrText xml:space="preserve"> ADDIN ZOTERO_ITEM CSL_CITATION {"citationID":"mftQJRs8","properties":{"formattedCitation":"[35]","plainCitation":"[35]","noteIndex":0},"citationItems":[{"id":99,"uris":["http://zotero.org/users/14036693/items/VUP2PNYJ"],"itemData":{"id":99,"type":"article-journal","abstract":"Allelopathic Interactions and Allelochemicals: New Possibilities for Sustainable Weed Management","container-title":"Critical Reviews in Plant Sciences","ISSN":"0735-2689","issue":"3-4","language":"en","page":"239","source":"www.academia.edu","title":"Allelopathic Interactions and Allelochemicals: New Possibilities for Sustainable Weed Management","title-short":"Allelopathic Interactions and Allelochemicals","volume":"22","author":[{"family":"Singh","given":"H. P."},{"family":"Batish","given":"Daizy R."},{"family":"Kohli","given":"R. K."}],"issued":{"date-parts":[["2003"]]}}}],"schema":"https://github.com/citation-style-language/schema/raw/master/csl-citation.json"} </w:instrText>
      </w:r>
      <w:r w:rsidRPr="00AF0477">
        <w:rPr>
          <w:rFonts w:eastAsia="MS Mincho"/>
          <w:color w:val="000000" w:themeColor="text1"/>
        </w:rPr>
        <w:fldChar w:fldCharType="separate"/>
      </w:r>
      <w:r w:rsidRPr="00AF0477">
        <w:rPr>
          <w:color w:val="000000" w:themeColor="text1"/>
          <w:szCs w:val="24"/>
          <w:lang w:val="en-GB"/>
        </w:rPr>
        <w:t>[35]</w:t>
      </w:r>
      <w:r w:rsidRPr="00AF0477">
        <w:rPr>
          <w:rFonts w:eastAsia="MS Mincho"/>
          <w:color w:val="000000" w:themeColor="text1"/>
        </w:rPr>
        <w:fldChar w:fldCharType="end"/>
      </w:r>
      <w:r w:rsidRPr="00AF0477">
        <w:rPr>
          <w:rFonts w:eastAsia="MS Mincho"/>
          <w:color w:val="000000" w:themeColor="text1"/>
        </w:rPr>
        <w:t>.</w:t>
      </w:r>
      <w:r>
        <w:rPr>
          <w:rFonts w:eastAsia="MS Mincho"/>
          <w:color w:val="000000" w:themeColor="text1"/>
        </w:rPr>
        <w:t xml:space="preserve"> </w:t>
      </w:r>
      <w:r w:rsidR="005A605F">
        <w:rPr>
          <w:rFonts w:eastAsia="MS Mincho"/>
          <w:color w:val="000000" w:themeColor="text1"/>
        </w:rPr>
        <w:t>However, t</w:t>
      </w:r>
      <w:r>
        <w:rPr>
          <w:rFonts w:eastAsia="MS Mincho"/>
          <w:color w:val="000000" w:themeColor="text1"/>
        </w:rPr>
        <w:t xml:space="preserve">here is a need for investigation to understand the allelochemical properties, their release timing and their impact on soil microbes, weed seed germination and seed longevity. </w:t>
      </w:r>
      <w:r w:rsidRPr="00AF0477">
        <w:rPr>
          <w:rFonts w:eastAsia="MS Mincho"/>
          <w:color w:val="000000" w:themeColor="text1"/>
        </w:rPr>
        <w:t xml:space="preserve">Using cover crops to suppress weeds can reduce the need for herbicides and the risk of weed resistance </w:t>
      </w:r>
      <w:r w:rsidRPr="00EE1D80">
        <w:rPr>
          <w:rFonts w:eastAsia="MS Mincho"/>
          <w:color w:val="000000" w:themeColor="text1"/>
        </w:rPr>
        <w:fldChar w:fldCharType="begin"/>
      </w:r>
      <w:r w:rsidRPr="00EE1D80">
        <w:rPr>
          <w:rFonts w:eastAsia="MS Mincho"/>
          <w:color w:val="000000" w:themeColor="text1"/>
        </w:rPr>
        <w:instrText xml:space="preserve"> ADDIN ZOTERO_ITEM CSL_CITATION {"citationID":"88x1WKCU","properties":{"formattedCitation":"[36]","plainCitation":"[36]","noteIndex":0},"citationItems":[{"id":102,"uris":["http://zotero.org/users/14036693/items/I57FPERG"],"itemData":{"id":102,"type":"webp</w:instrText>
      </w:r>
      <w:r w:rsidRPr="00EE1D80">
        <w:rPr>
          <w:rFonts w:eastAsia="MS Mincho" w:hint="eastAsia"/>
          <w:color w:val="000000" w:themeColor="text1"/>
        </w:rPr>
        <w:instrText>age","title":"Cover crops and weed suppression in the U.S. Midwest: A meta</w:instrText>
      </w:r>
      <w:r w:rsidRPr="00EE1D80">
        <w:rPr>
          <w:rFonts w:eastAsia="MS Mincho" w:hint="eastAsia"/>
          <w:color w:val="000000" w:themeColor="text1"/>
        </w:rPr>
        <w:instrText>‐</w:instrText>
      </w:r>
      <w:r w:rsidRPr="00EE1D80">
        <w:rPr>
          <w:rFonts w:eastAsia="MS Mincho" w:hint="eastAsia"/>
          <w:color w:val="000000" w:themeColor="text1"/>
        </w:rPr>
        <w:instrText>analysis and modeling study - Nichols - 2020 - Agricultural &amp; Environmental Letters - Wiley Online Library","URL":"https://acsess.onlinelibrary.wiley.com/doi/full/10.1002/ael2.2002</w:instrText>
      </w:r>
      <w:r w:rsidRPr="00EE1D80">
        <w:rPr>
          <w:rFonts w:eastAsia="MS Mincho"/>
          <w:color w:val="000000" w:themeColor="text1"/>
        </w:rPr>
        <w:instrText xml:space="preserve">2","accessed":{"date-parts":[["2024",5,28]]}}}],"schema":"https://github.com/citation-style-language/schema/raw/master/csl-citation.json"} </w:instrText>
      </w:r>
      <w:r w:rsidRPr="00EE1D80">
        <w:rPr>
          <w:rFonts w:eastAsia="MS Mincho"/>
          <w:color w:val="000000" w:themeColor="text1"/>
        </w:rPr>
        <w:fldChar w:fldCharType="separate"/>
      </w:r>
      <w:r w:rsidRPr="00EE1D80">
        <w:rPr>
          <w:color w:val="000000" w:themeColor="text1"/>
          <w:szCs w:val="24"/>
          <w:lang w:val="en-GB"/>
        </w:rPr>
        <w:t>[36]</w:t>
      </w:r>
      <w:r w:rsidRPr="00EE1D80">
        <w:rPr>
          <w:rFonts w:eastAsia="MS Mincho"/>
          <w:color w:val="000000" w:themeColor="text1"/>
        </w:rPr>
        <w:fldChar w:fldCharType="end"/>
      </w:r>
      <w:r w:rsidRPr="00EE1D80">
        <w:rPr>
          <w:rFonts w:eastAsia="MS Mincho"/>
          <w:color w:val="000000" w:themeColor="text1"/>
        </w:rPr>
        <w:t xml:space="preserve">. This can improve the effectiveness of chemical control and increase revenue for growers by producing high-quality forage </w:t>
      </w:r>
      <w:r w:rsidRPr="00EE1D80">
        <w:rPr>
          <w:rFonts w:eastAsia="MS Mincho"/>
          <w:color w:val="000000" w:themeColor="text1"/>
        </w:rPr>
        <w:fldChar w:fldCharType="begin"/>
      </w:r>
      <w:r w:rsidRPr="00EE1D80">
        <w:rPr>
          <w:rFonts w:eastAsia="MS Mincho"/>
          <w:color w:val="000000" w:themeColor="text1"/>
        </w:rPr>
        <w:instrText xml:space="preserve"> ADDIN ZOTERO_ITEM CSL_CITATION {"citationID":"d4I9cpIu","properties":{"formattedCitation":"[37]","plainCitation":"[37]","noteIndex":0},"citationItems":[{"id":92,"uris":["http://zotero.org/users/14036693/items/SSW6UHF4"],"itemData":{"id":92,"type":"article-journal","abstract":"Integration of crops and livestock has the potential to provide a multitude of benefits to soil and water conservation and nutrient cycling efficiency, while reducing economic risk and increasing profitability. We conducted a field study from May 2002 to October 2005 to determine crop and cattle responses to three management factors on a Typic Kanhapludult in Georgia, USA. Summer grain/winter cover [sorghum (Sorghum bicolor L. Moench) or corn (Zea mays L.)/rye (Secale cereale L.)] and winter grain/summer cover [wheat (Triticum aestivum L.)/pearl millet (Pennisetum glaucum L. R. Br.)] were managed with either conventional tillage (CT) or no tillage (NT) and with or without cattle grazing of cover crops. All crops were successfully established, irrespective of tillage and cover crop management. Although pearl millet was often lower in the plant stand with NT than with CT, plants compensated with greater biomass on an area basis. Across years, grain yield of sorghum (1.9 Mg ha-1 during three seasons) and corn (7.3 Mg ha-1 in one season) was 25% greater under NT than under CT when the cover crop was not grazed. Wheat grain yield (2.7 Mg ha-1 during three seasons) was unaffected by tillage and cover crop management. Unharvested stover production of summer grain crops was greater with NT than with CT (6.5 versus 4.1 Mg ha-1; P&lt;0.001). Grazing rye rather than allowing it to accumulate as surface residue reduced summer grain yield 23% and reduced standing grain-crop dry matter 26% under NT, but had no effect under CT. In contrast, grazing pearl millet rather than allowing it to accumulate as surface residue increased wheat standing dry matter yield by 25±14% (mean±standard deviation among 3 years and two tillage systems). Ungrazed cover crop production was greater under NT than under CT for rye (7.0 versus 6.0 Mg ha-1; P=0.03) and pearl millet (10.2 versus 7.6 Mg ha-1; P=0.01). Calf daily gain was either greater or tended to be greater under NT than under CT on rye (2.27 versus 2.09 kg head-1 d-1; P=0.15) and pearl millet (2.05 versus 1.81 kg head-1 d-1; P=0.05). Total cattle gain per grazing season was either greater or tended to be greater with NT than with CT on rye (350 versus 204 kg ha-1; P=0.01) and pearl millet (324 versus 277 kg ha-1; P=0.15). Net return over variable costs was greater with grazing than without grazing of cover crops (US$302 versus -US$63 ha-1; P&lt;0.001). Livestock grazing of cover crops had variable effects on subsequent crop production, but increased economic return and diversity overall. Therefore, an integrated crop-livestock production system with conservation tillage is recommended as a viable option for producers to diversify farming operations to avoid risk, improve ecological production of crops, and potentially avoid environmental damage from soil erosion and nutrient loss.","container-title":"Renewable Agriculture and Food Systems","DOI":"10.1017/S1742170507001706","journalAbbreviation":"Renewable Agriculture and Food Systems","source":"ResearchGate","title":"Crop and cattle responses to tillage systems for integrated crop-livestock production in the Southern Piedmont, USA","volume":"22","author":[{"family":"Franzluebbers","given":"Alan"},{"family":"Stuedemann","given":"J"}],"issued":{"date-parts":[["2007",9,1]]}}}],"schema":"https://github.com/citation-style-language/schema/raw/master/csl-citation.json"} </w:instrText>
      </w:r>
      <w:r w:rsidRPr="00EE1D80">
        <w:rPr>
          <w:rFonts w:eastAsia="MS Mincho"/>
          <w:color w:val="000000" w:themeColor="text1"/>
        </w:rPr>
        <w:fldChar w:fldCharType="separate"/>
      </w:r>
      <w:r w:rsidRPr="00EE1D80">
        <w:rPr>
          <w:color w:val="000000" w:themeColor="text1"/>
          <w:szCs w:val="24"/>
          <w:lang w:val="en-GB"/>
        </w:rPr>
        <w:t>[37]</w:t>
      </w:r>
      <w:r w:rsidRPr="00EE1D80">
        <w:rPr>
          <w:rFonts w:eastAsia="MS Mincho"/>
          <w:color w:val="000000" w:themeColor="text1"/>
        </w:rPr>
        <w:fldChar w:fldCharType="end"/>
      </w:r>
      <w:r w:rsidRPr="00EE1D80">
        <w:rPr>
          <w:rFonts w:eastAsia="MS Mincho"/>
          <w:color w:val="000000" w:themeColor="text1"/>
        </w:rPr>
        <w:t xml:space="preserve">, </w:t>
      </w:r>
      <w:r w:rsidRPr="00EE1D80">
        <w:rPr>
          <w:rFonts w:eastAsia="MS Mincho"/>
          <w:color w:val="000000" w:themeColor="text1"/>
        </w:rPr>
        <w:fldChar w:fldCharType="begin"/>
      </w:r>
      <w:r w:rsidRPr="00EE1D80">
        <w:rPr>
          <w:rFonts w:eastAsia="MS Mincho"/>
          <w:color w:val="000000" w:themeColor="text1"/>
        </w:rPr>
        <w:instrText xml:space="preserve"> ADDIN ZOTERO_ITEM CSL_CITATION {"citationID":"FAZXEniy","properties":{"formattedCitation":"[38]","plainCitation":"[38]","noteIndex":0},"citationItems":[{"id":"tkNNqo55/jshmQcWU","uris":["http://zotero.org/users/14036693/items/FJPJ2I4E"],"itemData":{"id":81,"type":"article-journal","abstract":"Cover crops (CCs) can provide multiple soil, agricultural production, and environmental benefits. However, a better understanding of such potential ecosystem services is needed. We summarized the current state of knowledge of CC effects on soil C stocks, soil erosion, physical properties, soil water, nutrients, microbial properties, weed control, crop yields, expanded uses, and economics and highlighted research needs. Our review indicates that CCs are multifunctional. Cover crops increase soil organic C stocks (0.1–1 Mg ha\n              −1\n              yr\n              −1\n              ) with the magnitude depending on biomass amount, years in CCs, and initial soil C level. Runoff loss can decrease by up to 80% and sediment loss from 40 to 96% with CCs. Wind erosion potential also decreases with CCs, but studies are few. Cover crops alleviate soil compaction, improve soil structural and hydraulic properties, moderate soil temperature, improve microbial propert</w:instrText>
      </w:r>
      <w:r w:rsidRPr="00EE1D80">
        <w:rPr>
          <w:rFonts w:eastAsia="MS Mincho" w:hint="eastAsia"/>
          <w:color w:val="000000" w:themeColor="text1"/>
        </w:rPr>
        <w:instrText>ies, recycle nutrients, and suppress weeds. Cover crops increase or have no effect on crop yields but reduce yields in water</w:instrText>
      </w:r>
      <w:r w:rsidRPr="00EE1D80">
        <w:rPr>
          <w:rFonts w:eastAsia="MS Mincho" w:hint="eastAsia"/>
          <w:color w:val="000000" w:themeColor="text1"/>
        </w:rPr>
        <w:instrText>‐</w:instrText>
      </w:r>
      <w:r w:rsidRPr="00EE1D80">
        <w:rPr>
          <w:rFonts w:eastAsia="MS Mincho" w:hint="eastAsia"/>
          <w:color w:val="000000" w:themeColor="text1"/>
        </w:rPr>
        <w:instrText>limited regions by reducing available water for the subsequent crops. The few available studies indicate that grazing and haying o</w:instrText>
      </w:r>
      <w:r w:rsidRPr="00EE1D80">
        <w:rPr>
          <w:rFonts w:eastAsia="MS Mincho"/>
          <w:color w:val="000000" w:themeColor="text1"/>
        </w:rPr>
        <w:instrText>f CCs do not adversely affect soil and crop production, which suggests that CC biomass removal for livestock or biofuel production can be another benefit from CCs. Overall, CCs provide numerous ecosystem services (i.e., soil, crop–livestock systems, and e</w:instrText>
      </w:r>
      <w:r w:rsidRPr="00EE1D80">
        <w:rPr>
          <w:rFonts w:eastAsia="MS Mincho" w:hint="eastAsia"/>
          <w:color w:val="000000" w:themeColor="text1"/>
        </w:rPr>
        <w:instrText>nvironment), although the magnitude of benefits is highly site specific. More research data are needed on the (i) multi</w:instrText>
      </w:r>
      <w:r w:rsidRPr="00EE1D80">
        <w:rPr>
          <w:rFonts w:eastAsia="MS Mincho" w:hint="eastAsia"/>
          <w:color w:val="000000" w:themeColor="text1"/>
        </w:rPr>
        <w:instrText>‐</w:instrText>
      </w:r>
      <w:r w:rsidRPr="00EE1D80">
        <w:rPr>
          <w:rFonts w:eastAsia="MS Mincho" w:hint="eastAsia"/>
          <w:color w:val="000000" w:themeColor="text1"/>
        </w:rPr>
        <w:instrText>functionality of CCs for different climates and management scenarios and (ii) short</w:instrText>
      </w:r>
      <w:r w:rsidRPr="00EE1D80">
        <w:rPr>
          <w:rFonts w:eastAsia="MS Mincho" w:hint="eastAsia"/>
          <w:color w:val="000000" w:themeColor="text1"/>
        </w:rPr>
        <w:instrText>‐</w:instrText>
      </w:r>
      <w:r w:rsidRPr="00EE1D80">
        <w:rPr>
          <w:rFonts w:eastAsia="MS Mincho" w:hint="eastAsia"/>
          <w:color w:val="000000" w:themeColor="text1"/>
        </w:rPr>
        <w:instrText xml:space="preserve"> and long</w:instrText>
      </w:r>
      <w:r w:rsidRPr="00EE1D80">
        <w:rPr>
          <w:rFonts w:eastAsia="MS Mincho" w:hint="eastAsia"/>
          <w:color w:val="000000" w:themeColor="text1"/>
        </w:rPr>
        <w:instrText>‐</w:instrText>
      </w:r>
      <w:r w:rsidRPr="00EE1D80">
        <w:rPr>
          <w:rFonts w:eastAsia="MS Mincho" w:hint="eastAsia"/>
          <w:color w:val="000000" w:themeColor="text1"/>
        </w:rPr>
        <w:instrText>term economic return from CCs.","containe</w:instrText>
      </w:r>
      <w:r w:rsidRPr="00EE1D80">
        <w:rPr>
          <w:rFonts w:eastAsia="MS Mincho"/>
          <w:color w:val="000000" w:themeColor="text1"/>
        </w:rPr>
        <w:instrText>r-title":"Agronomy Journal","DOI":"10.2134/agronj15.0086","ISSN":"0002-1962, 1435-0645","issue":"6","journalAbbreviation":"Agronomy Journal","language":"en","page":"2449-2474","source":"DOI.org (Crossref)","title":"Cover Crops and Ecosystem Services: Insi</w:instrText>
      </w:r>
      <w:r w:rsidRPr="00EE1D80">
        <w:rPr>
          <w:rFonts w:eastAsia="MS Mincho" w:hint="eastAsia"/>
          <w:color w:val="000000" w:themeColor="text1"/>
        </w:rPr>
        <w:instrText>ghts from Studies in Temperate Soils","title-short":"Cover Crops and Ecosystem Services","volume":"107","author":[{"family":"Blanco</w:instrText>
      </w:r>
      <w:r w:rsidRPr="00EE1D80">
        <w:rPr>
          <w:rFonts w:eastAsia="MS Mincho" w:hint="eastAsia"/>
          <w:color w:val="000000" w:themeColor="text1"/>
        </w:rPr>
        <w:instrText>‐</w:instrText>
      </w:r>
      <w:r w:rsidRPr="00EE1D80">
        <w:rPr>
          <w:rFonts w:eastAsia="MS Mincho" w:hint="eastAsia"/>
          <w:color w:val="000000" w:themeColor="text1"/>
        </w:rPr>
        <w:instrText>Canqui","given":"Humberto"},{"family":"Shaver","given":"Tim M."},{"family":"Lindquist","given":"John L."},{"family":"Shapir</w:instrText>
      </w:r>
      <w:r w:rsidRPr="00EE1D80">
        <w:rPr>
          <w:rFonts w:eastAsia="MS Mincho"/>
          <w:color w:val="000000" w:themeColor="text1"/>
        </w:rPr>
        <w:instrText xml:space="preserve">o","given":"Charles A."},{"family":"Elmore","given":"Roger W."},{"family":"Francis","given":"Charles A."},{"family":"Hergert","given":"Gary W."}],"issued":{"date-parts":[["2015",11]]}}}],"schema":"https://github.com/citation-style-language/schema/raw/master/csl-citation.json"} </w:instrText>
      </w:r>
      <w:r w:rsidRPr="00EE1D80">
        <w:rPr>
          <w:rFonts w:eastAsia="MS Mincho"/>
          <w:color w:val="000000" w:themeColor="text1"/>
        </w:rPr>
        <w:fldChar w:fldCharType="separate"/>
      </w:r>
      <w:r w:rsidRPr="00EE1D80">
        <w:rPr>
          <w:color w:val="000000" w:themeColor="text1"/>
          <w:szCs w:val="24"/>
          <w:lang w:val="en-GB"/>
        </w:rPr>
        <w:t>[38]</w:t>
      </w:r>
      <w:r w:rsidRPr="00EE1D80">
        <w:rPr>
          <w:rFonts w:eastAsia="MS Mincho"/>
          <w:color w:val="000000" w:themeColor="text1"/>
        </w:rPr>
        <w:fldChar w:fldCharType="end"/>
      </w:r>
      <w:r w:rsidRPr="00EE1D80">
        <w:rPr>
          <w:rFonts w:eastAsia="MS Mincho"/>
          <w:color w:val="000000" w:themeColor="text1"/>
        </w:rPr>
        <w:t xml:space="preserve">, </w:t>
      </w:r>
      <w:r w:rsidRPr="00EE1D80">
        <w:rPr>
          <w:rFonts w:eastAsia="MS Mincho"/>
          <w:color w:val="000000" w:themeColor="text1"/>
        </w:rPr>
        <w:fldChar w:fldCharType="begin"/>
      </w:r>
      <w:r w:rsidRPr="00EE1D80">
        <w:rPr>
          <w:rFonts w:eastAsia="MS Mincho"/>
          <w:color w:val="000000" w:themeColor="text1"/>
        </w:rPr>
        <w:instrText xml:space="preserve"> ADDIN ZOTERO_ITEM CSL_CITATION {"citationID":"AinuEmxH","properties":{"formattedCitation":"[39]","plainCitation":"[39]","noteIndex":0},"citationItems":[{"id":104,"uris":["http://zotero.org/users/14036693/items/4XI36DWQ"],"itemData":{"id":104,"type":"webpage","abstract":"When cover crops are grazed, one needs to choose species that will not only benefit soil health but will also be palatable and safe as forage for livestock.","container-title":"Extension","language":"en-US","title":"Managing Spring Planted Cover Crops for Livestock Grazing under Dryland Conditions in the High Plains Region - 0.309","URL":"https://extension.colostate.edu/topic-areas/agriculture/managing-spring-planted-cover-crops-for-livestock-grazing-under-dryland-conditions-in-the-high-plains-region-0-309/","accessed":{"date-parts":[["2024",5,28]]}}}],"schema":"https://github.com/citation-style-language/schema/raw/master/csl-citation.json"} </w:instrText>
      </w:r>
      <w:r w:rsidRPr="00EE1D80">
        <w:rPr>
          <w:rFonts w:eastAsia="MS Mincho"/>
          <w:color w:val="000000" w:themeColor="text1"/>
        </w:rPr>
        <w:fldChar w:fldCharType="separate"/>
      </w:r>
      <w:r w:rsidRPr="00EE1D80">
        <w:rPr>
          <w:color w:val="000000" w:themeColor="text1"/>
          <w:szCs w:val="24"/>
          <w:lang w:val="en-GB"/>
        </w:rPr>
        <w:t>[39]</w:t>
      </w:r>
      <w:r w:rsidRPr="00EE1D80">
        <w:rPr>
          <w:rFonts w:eastAsia="MS Mincho"/>
          <w:color w:val="000000" w:themeColor="text1"/>
        </w:rPr>
        <w:fldChar w:fldCharType="end"/>
      </w:r>
      <w:r w:rsidRPr="00EE1D80">
        <w:rPr>
          <w:rFonts w:eastAsia="MS Mincho"/>
          <w:color w:val="000000" w:themeColor="text1"/>
        </w:rPr>
        <w:t>.</w:t>
      </w:r>
      <w:r w:rsidR="00A72FD4" w:rsidRPr="00A72FD4">
        <w:rPr>
          <w:rFonts w:eastAsia="MS Mincho"/>
          <w:color w:val="000000" w:themeColor="text1"/>
        </w:rPr>
        <w:t xml:space="preserve"> </w:t>
      </w:r>
      <w:r w:rsidR="00A72FD4">
        <w:rPr>
          <w:rFonts w:eastAsia="MS Mincho"/>
          <w:color w:val="000000" w:themeColor="text1"/>
        </w:rPr>
        <w:t>Cover crops have the potential to build soil structure</w:t>
      </w:r>
      <w:r w:rsidR="005A605F">
        <w:rPr>
          <w:rFonts w:eastAsia="MS Mincho"/>
          <w:color w:val="000000" w:themeColor="text1"/>
        </w:rPr>
        <w:t xml:space="preserve"> </w:t>
      </w:r>
      <w:r w:rsidR="005A605F" w:rsidRPr="00AF0477">
        <w:rPr>
          <w:rFonts w:eastAsia="MS Mincho"/>
          <w:color w:val="000000" w:themeColor="text1"/>
        </w:rPr>
        <w:fldChar w:fldCharType="begin"/>
      </w:r>
      <w:r w:rsidR="005A605F" w:rsidRPr="00AF0477">
        <w:rPr>
          <w:rFonts w:eastAsia="MS Mincho"/>
          <w:color w:val="000000" w:themeColor="text1"/>
        </w:rPr>
        <w:instrText xml:space="preserve"> ADDIN ZOTERO_ITEM CSL_CITATION {"citationID":"MsN2c3J1","properties":{"formattedCitation":"[40]","plainCitation":"[40]","noteIndex":0},"citationItems":[{"id":95,"uris":["http://zotero.org/users/14036693/items/IQZR6PYC"],"itemData":{"id":95,"type":"article-journal","abstract":"Tap-rooted species may penetrate compacted soils better than fibrous-rooted species and therefore be better adapted for use\nin “biological tillage”. We evaluated penetration of compacted soils by roots of three cover crops: FR (forage radish: Raphanus sativus var. longipinnatus, cv. ‘Daikon’), rapeseed (Brassica napus, cv. ‘Essex’), two tap-rooted species in the Brassica family, and rye (cereal rye: Secale cereale L., cv. ‘Wheeler’), a fibrous-rooted species. Three compaction levels (high, medium and no compaction) were created by wheel\ntrafficking. Cover crop roots were counted by the core-break method. At 15–50cm depth under high compaction, FR had more\nthan twice and rapeseed had about twice as many roots as rye in experiment 1; FR had 1.5 times as many roots as rye in experiment\n2. Under no compaction, little difference in root vertical penetration among three cover crops existed. Rapeseed and rye root\ncounts were negatively related to soil strength by linear and power functions respectively, while FR roots showed either no\n(Exp.1) or positive (Exp. 2) relationship with soil strength. We conclude that soil penetration capabilities of three cover\ncrops were in the order of FR &gt; rapeseed &gt; rye.\n\nKeywordsBrassica cover crop-Root penetration-Biological drilling-Soil compaction","container-title":"Plant and Soil","DOI":"10.1007/s11104-009-0223-7","journalAbbreviation":"Plant and Soil","page":"31-43","source":"ResearchGate","title":"Penetration of cover crop roots through compacted soil","volume":"331","author":[{"family":"Chen","given":"Guihua"},{"family":"Weil","given":"Raymond"}],"issued":{"date-parts":[["2010",6,1]]}}}],"schema":"https://github.com/citation-style-language/schema/raw/master/csl-citation.json"} </w:instrText>
      </w:r>
      <w:r w:rsidR="005A605F" w:rsidRPr="00AF0477">
        <w:rPr>
          <w:rFonts w:eastAsia="MS Mincho"/>
          <w:color w:val="000000" w:themeColor="text1"/>
        </w:rPr>
        <w:fldChar w:fldCharType="separate"/>
      </w:r>
      <w:r w:rsidR="005A605F" w:rsidRPr="00AF0477">
        <w:rPr>
          <w:color w:val="000000" w:themeColor="text1"/>
          <w:szCs w:val="24"/>
          <w:lang w:val="en-GB"/>
        </w:rPr>
        <w:t>[40]</w:t>
      </w:r>
      <w:r w:rsidR="005A605F" w:rsidRPr="00AF0477">
        <w:rPr>
          <w:rFonts w:eastAsia="MS Mincho"/>
          <w:color w:val="000000" w:themeColor="text1"/>
        </w:rPr>
        <w:fldChar w:fldCharType="end"/>
      </w:r>
      <w:r w:rsidR="005A605F" w:rsidRPr="00AF0477">
        <w:rPr>
          <w:rFonts w:eastAsia="MS Mincho"/>
          <w:color w:val="000000" w:themeColor="text1"/>
        </w:rPr>
        <w:t xml:space="preserve">, </w:t>
      </w:r>
      <w:r w:rsidR="00A72FD4">
        <w:rPr>
          <w:rFonts w:eastAsia="MS Mincho"/>
          <w:color w:val="000000" w:themeColor="text1"/>
        </w:rPr>
        <w:t xml:space="preserve">minimize soil erosion, </w:t>
      </w:r>
      <w:r w:rsidR="005A605F">
        <w:rPr>
          <w:rFonts w:eastAsia="MS Mincho"/>
          <w:color w:val="000000" w:themeColor="text1"/>
        </w:rPr>
        <w:t xml:space="preserve">alleviate </w:t>
      </w:r>
      <w:r w:rsidR="00A72FD4">
        <w:rPr>
          <w:rFonts w:eastAsia="MS Mincho"/>
          <w:color w:val="000000" w:themeColor="text1"/>
        </w:rPr>
        <w:t xml:space="preserve">compaction and </w:t>
      </w:r>
      <w:r w:rsidR="005A605F">
        <w:rPr>
          <w:rFonts w:eastAsia="MS Mincho"/>
          <w:color w:val="000000" w:themeColor="text1"/>
        </w:rPr>
        <w:t xml:space="preserve">reduce </w:t>
      </w:r>
      <w:r w:rsidR="00A72FD4">
        <w:rPr>
          <w:rFonts w:eastAsia="MS Mincho"/>
          <w:color w:val="000000" w:themeColor="text1"/>
        </w:rPr>
        <w:t xml:space="preserve">nutrient leaching. </w:t>
      </w:r>
      <w:r w:rsidR="005A605F">
        <w:rPr>
          <w:rFonts w:eastAsia="MS Mincho"/>
          <w:color w:val="000000" w:themeColor="text1"/>
        </w:rPr>
        <w:t xml:space="preserve">Most </w:t>
      </w:r>
      <w:r w:rsidR="00A72FD4">
        <w:rPr>
          <w:rFonts w:eastAsia="MS Mincho"/>
          <w:color w:val="000000" w:themeColor="text1"/>
        </w:rPr>
        <w:t xml:space="preserve">cover crops </w:t>
      </w:r>
      <w:r w:rsidR="005A605F">
        <w:rPr>
          <w:rFonts w:eastAsia="MS Mincho"/>
          <w:color w:val="000000" w:themeColor="text1"/>
        </w:rPr>
        <w:t>belong to</w:t>
      </w:r>
      <w:r w:rsidR="00A72FD4">
        <w:rPr>
          <w:rFonts w:eastAsia="MS Mincho"/>
          <w:color w:val="000000" w:themeColor="text1"/>
        </w:rPr>
        <w:t xml:space="preserve"> the </w:t>
      </w:r>
      <w:proofErr w:type="spellStart"/>
      <w:r w:rsidR="00A72FD4">
        <w:rPr>
          <w:rFonts w:eastAsia="MS Mincho"/>
          <w:color w:val="000000" w:themeColor="text1"/>
        </w:rPr>
        <w:t>Leguminaceae</w:t>
      </w:r>
      <w:proofErr w:type="spellEnd"/>
      <w:r w:rsidR="00A72FD4">
        <w:rPr>
          <w:rFonts w:eastAsia="MS Mincho"/>
          <w:color w:val="000000" w:themeColor="text1"/>
        </w:rPr>
        <w:t xml:space="preserve"> family, </w:t>
      </w:r>
      <w:r w:rsidR="005A605F">
        <w:rPr>
          <w:rFonts w:eastAsia="MS Mincho"/>
          <w:color w:val="000000" w:themeColor="text1"/>
        </w:rPr>
        <w:t>enabling</w:t>
      </w:r>
      <w:r w:rsidR="00A72FD4">
        <w:rPr>
          <w:rFonts w:eastAsia="MS Mincho"/>
          <w:color w:val="000000" w:themeColor="text1"/>
        </w:rPr>
        <w:t xml:space="preserve"> them to capture atmospheric nitrogen</w:t>
      </w:r>
      <w:r w:rsidR="005A605F">
        <w:rPr>
          <w:rFonts w:eastAsia="MS Mincho"/>
          <w:color w:val="000000" w:themeColor="text1"/>
        </w:rPr>
        <w:t xml:space="preserve"> </w:t>
      </w:r>
      <w:r w:rsidR="005A605F" w:rsidRPr="00AF0477">
        <w:rPr>
          <w:rFonts w:eastAsia="MS Mincho"/>
          <w:color w:val="000000" w:themeColor="text1"/>
        </w:rPr>
        <w:fldChar w:fldCharType="begin"/>
      </w:r>
      <w:r w:rsidR="005A605F" w:rsidRPr="00AF0477">
        <w:rPr>
          <w:rFonts w:eastAsia="MS Mincho"/>
          <w:color w:val="000000" w:themeColor="text1"/>
        </w:rPr>
        <w:instrText xml:space="preserve"> ADDIN ZOTERO_ITEM CSL_CITATION {"citationID":"1EdOFr6l","properties":{"formattedCitation":"[41]","plainCitation":"[41]","noteIndex":0},"citationItems":[{"id":87,"uris":["http://zotero.org/users/14036693/items/WAHNTNWN"],"itemData":{"id":87,"type":"article-journal","abstract":"The ability of cover crop mixtures to provide both nitrogen (N) retention and N supply services has been extensively studied in research station experiments, especially with grass-legume bicultures. Mixtures are often as effective as grass monocultures at N retention, but the N supply service can be compromised when non-legumes dilute the presence of legumes in a cover crop stand. To study the tradeoffs between N retention and supply when using cover crop mixtures, we measured N retention and supply in distributed on-farm experiments, developed multiple linear regression models to predict N retention and supply based on cover crop functional characteristics and environmental variables, and synthesized the regression models into a graphical analysis tool. The experiments took place on three organic farms and a research station in Pennsylvania, USA and tested 3-species and 4-species cover crop mixtures in comparison to commonly used grass and legume monocultures. Cover crop treatments were planted between a small grain crop harvested in mid-summer and a maize (Zea mays L.) crop planted the following spring. Potential nitrate (NO3−) leaching below 30 cm, an indicator of the N retention service, declined as the presence of non-legume species in a cover crop increased (r2 = 0.72). Potential NO3− leaching increased as the August soil NO3−-N concentration increased and as the fall biomass N content of winter-killed species or canola (Brassica napus L. ‘Wichita’) increased. Relative maize yield, an indicator of the N supply service, decreased as fall and spring cover crop biomass carbon-to-nitrogen (C:N) ratios increased and increased as total spring biomass N content and soil carbon (C) concentration increased (r2 = 0.56). Synthesizing the regression models in a graphical analysis tool revealed a tradeoff between N supply and retention services for cover crop mixtures, where increasing the fractional non-legume seeding rate to reduce potential NO3− leaching also reduced relative maize yield. The tradeoff could be minimized by managing environmental conditions and cover crop composition so that potential NO3− leaching remains low even when the fractional non-legume seeding rate is low. The regression models suggest this could be achieved by maintaining low soil NO3−-N concentrations prior to cover crop planting in August, not including winter-killed legumes in the mixture, and using non-legume species that are the most efficient at N retention. Thus, with thoughtful management of cover crops and soils, farmers may be able to realize the potential of cover crop mixtures to provide high levels of both N retention and supply services.","container-title":"Agriculture, Ecosystems and Environment","DOI":"10.1016/j.agee.2016.12.016","ISSN":"0167-8809","page":"121-133","source":"Penn State","title":"Managing the trade off between nitrogen supply and retention with cover crop mixtures","volume":"237","author":[{"family":"White","given":"Charles M."},{"family":"DuPont","given":"S. Tianna"},{"family":"Hautau","given":"Mena"},{"family":"Hartman","given":"Dave"},{"family":"Finney","given":"Denise M."},{"family":"Bradley","given":"Brosi"},{"family":"LaChance","given":"James C."},{"family":"Kaye","given":"Jason P."}],"issued":{"date-parts":[["2017",1,16]]}}}],"schema":"https://github.com/citation-style-language/schema/raw/master/csl-citation.json"} </w:instrText>
      </w:r>
      <w:r w:rsidR="005A605F" w:rsidRPr="00AF0477">
        <w:rPr>
          <w:rFonts w:eastAsia="MS Mincho"/>
          <w:color w:val="000000" w:themeColor="text1"/>
        </w:rPr>
        <w:fldChar w:fldCharType="separate"/>
      </w:r>
      <w:r w:rsidR="005A605F" w:rsidRPr="00AF0477">
        <w:rPr>
          <w:color w:val="000000" w:themeColor="text1"/>
          <w:szCs w:val="24"/>
          <w:lang w:val="en-GB"/>
        </w:rPr>
        <w:t>[41]</w:t>
      </w:r>
      <w:r w:rsidR="005A605F" w:rsidRPr="00AF0477">
        <w:rPr>
          <w:rFonts w:eastAsia="MS Mincho"/>
          <w:color w:val="000000" w:themeColor="text1"/>
        </w:rPr>
        <w:fldChar w:fldCharType="end"/>
      </w:r>
      <w:r w:rsidR="005A605F" w:rsidRPr="00AF0477">
        <w:rPr>
          <w:rFonts w:eastAsia="MS Mincho"/>
          <w:color w:val="000000" w:themeColor="text1"/>
        </w:rPr>
        <w:t xml:space="preserve">, </w:t>
      </w:r>
      <w:r w:rsidR="00A72FD4">
        <w:rPr>
          <w:rFonts w:eastAsia="MS Mincho"/>
          <w:color w:val="000000" w:themeColor="text1"/>
        </w:rPr>
        <w:t xml:space="preserve">retain soil moisture by reducing evaporation </w:t>
      </w:r>
      <w:r w:rsidR="005A605F">
        <w:rPr>
          <w:rFonts w:eastAsia="MS Mincho"/>
          <w:color w:val="000000" w:themeColor="text1"/>
        </w:rPr>
        <w:t xml:space="preserve">and </w:t>
      </w:r>
      <w:r w:rsidR="00A72FD4">
        <w:rPr>
          <w:rFonts w:eastAsia="MS Mincho"/>
          <w:color w:val="000000" w:themeColor="text1"/>
        </w:rPr>
        <w:t>s</w:t>
      </w:r>
      <w:r w:rsidR="005A605F">
        <w:rPr>
          <w:rFonts w:eastAsia="MS Mincho"/>
          <w:color w:val="000000" w:themeColor="text1"/>
        </w:rPr>
        <w:t>upport</w:t>
      </w:r>
      <w:r w:rsidR="00A72FD4">
        <w:rPr>
          <w:rFonts w:eastAsia="MS Mincho"/>
          <w:color w:val="000000" w:themeColor="text1"/>
        </w:rPr>
        <w:t xml:space="preserve"> crop seedlings</w:t>
      </w:r>
      <w:r w:rsidR="005A605F">
        <w:rPr>
          <w:rFonts w:eastAsia="MS Mincho"/>
          <w:color w:val="000000" w:themeColor="text1"/>
        </w:rPr>
        <w:t xml:space="preserve"> </w:t>
      </w:r>
      <w:r w:rsidR="005A605F" w:rsidRPr="00AF0477">
        <w:rPr>
          <w:rFonts w:eastAsia="MS Mincho"/>
          <w:color w:val="000000" w:themeColor="text1"/>
        </w:rPr>
        <w:fldChar w:fldCharType="begin"/>
      </w:r>
      <w:r w:rsidR="005A605F" w:rsidRPr="00AF0477">
        <w:rPr>
          <w:rFonts w:eastAsia="MS Mincho"/>
          <w:color w:val="000000" w:themeColor="text1"/>
        </w:rPr>
        <w:instrText xml:space="preserve"> ADDIN ZOTERO_ITEM CSL_CITATION {"citationID":"fU1ccdoN","properties":{"formattedCitation":"[38]","plainCitation":"[38]","noteIndex":0},"citationItems":[{"id":"tkNNqo55/jshmQcWU","uris":["http://zotero.org/users/14036693/items/FJPJ2I4E"],"itemData":{"id":81,"type":"article-journal","abstract":"Cover crops (CCs) can provide multiple soil, agricultural production, and environmental benefits. However, a better understanding of such potential ecosystem services is needed. We summarized the current state of knowledge of CC effects on soil C stocks, soil erosion, physical properties, soil water, nutrients, microbial properties, weed control, crop yields, expanded uses, and economics and highlighted research needs. Our review indicates that CCs are multifunctional. Cover crops increase soil organic C stocks (0.1–1 Mg ha\n              −1\n              yr\n              −1\n              ) with the magnitude depending on biomass amount, years in CCs, and initial soil C level. Runoff loss can decrease by up to 80% and sediment loss from 40 to 96% with CCs. Wind erosion potential also decreases with CCs, but studies are few. Cover crops alleviate soil compaction, improve soil structural and hydraulic properties, moderate soil temperature, improve microbial propert</w:instrText>
      </w:r>
      <w:r w:rsidR="005A605F" w:rsidRPr="00AF0477">
        <w:rPr>
          <w:rFonts w:eastAsia="MS Mincho" w:hint="eastAsia"/>
          <w:color w:val="000000" w:themeColor="text1"/>
        </w:rPr>
        <w:instrText>ies, recycle nutrients, and suppress weeds. Cover crops increase or have no effect on crop yields but reduce yields in water</w:instrText>
      </w:r>
      <w:r w:rsidR="005A605F" w:rsidRPr="00AF0477">
        <w:rPr>
          <w:rFonts w:eastAsia="MS Mincho" w:hint="eastAsia"/>
          <w:color w:val="000000" w:themeColor="text1"/>
        </w:rPr>
        <w:instrText>‐</w:instrText>
      </w:r>
      <w:r w:rsidR="005A605F" w:rsidRPr="00AF0477">
        <w:rPr>
          <w:rFonts w:eastAsia="MS Mincho" w:hint="eastAsia"/>
          <w:color w:val="000000" w:themeColor="text1"/>
        </w:rPr>
        <w:instrText>limited regions by reducing available water for the subsequent crops. The few available studies indicate that grazing and haying o</w:instrText>
      </w:r>
      <w:r w:rsidR="005A605F" w:rsidRPr="00AF0477">
        <w:rPr>
          <w:rFonts w:eastAsia="MS Mincho"/>
          <w:color w:val="000000" w:themeColor="text1"/>
        </w:rPr>
        <w:instrText>f CCs do not adversely affect soil and crop production, which suggests that CC biomass removal for livestock or biofuel production can be another benefit from CCs. Overall, CCs provide numerous ecosystem services (i.e., soil, crop–livestock systems, and e</w:instrText>
      </w:r>
      <w:r w:rsidR="005A605F" w:rsidRPr="00AF0477">
        <w:rPr>
          <w:rFonts w:eastAsia="MS Mincho" w:hint="eastAsia"/>
          <w:color w:val="000000" w:themeColor="text1"/>
        </w:rPr>
        <w:instrText>nvironment), although the magnitude of benefits is highly site specific. More research data are needed on the (i) multi</w:instrText>
      </w:r>
      <w:r w:rsidR="005A605F" w:rsidRPr="00AF0477">
        <w:rPr>
          <w:rFonts w:eastAsia="MS Mincho" w:hint="eastAsia"/>
          <w:color w:val="000000" w:themeColor="text1"/>
        </w:rPr>
        <w:instrText>‐</w:instrText>
      </w:r>
      <w:r w:rsidR="005A605F" w:rsidRPr="00AF0477">
        <w:rPr>
          <w:rFonts w:eastAsia="MS Mincho" w:hint="eastAsia"/>
          <w:color w:val="000000" w:themeColor="text1"/>
        </w:rPr>
        <w:instrText>functionality of CCs for different climates and management scenarios and (ii) short</w:instrText>
      </w:r>
      <w:r w:rsidR="005A605F" w:rsidRPr="00AF0477">
        <w:rPr>
          <w:rFonts w:eastAsia="MS Mincho" w:hint="eastAsia"/>
          <w:color w:val="000000" w:themeColor="text1"/>
        </w:rPr>
        <w:instrText>‐</w:instrText>
      </w:r>
      <w:r w:rsidR="005A605F" w:rsidRPr="00AF0477">
        <w:rPr>
          <w:rFonts w:eastAsia="MS Mincho" w:hint="eastAsia"/>
          <w:color w:val="000000" w:themeColor="text1"/>
        </w:rPr>
        <w:instrText xml:space="preserve"> and long</w:instrText>
      </w:r>
      <w:r w:rsidR="005A605F" w:rsidRPr="00AF0477">
        <w:rPr>
          <w:rFonts w:eastAsia="MS Mincho" w:hint="eastAsia"/>
          <w:color w:val="000000" w:themeColor="text1"/>
        </w:rPr>
        <w:instrText>‐</w:instrText>
      </w:r>
      <w:r w:rsidR="005A605F" w:rsidRPr="00AF0477">
        <w:rPr>
          <w:rFonts w:eastAsia="MS Mincho" w:hint="eastAsia"/>
          <w:color w:val="000000" w:themeColor="text1"/>
        </w:rPr>
        <w:instrText>term economic return from CCs.","containe</w:instrText>
      </w:r>
      <w:r w:rsidR="005A605F" w:rsidRPr="00AF0477">
        <w:rPr>
          <w:rFonts w:eastAsia="MS Mincho"/>
          <w:color w:val="000000" w:themeColor="text1"/>
        </w:rPr>
        <w:instrText>r-title":"Agronomy Journal","DOI":"10.2134/agronj15.0086","ISSN":"0002-1962, 1435-0645","issue":"6","journalAbbreviation":"Agronomy Journal","language":"en","page":"2449-2474","source":"DOI.org (Crossref)","title":"Cover Crops and Ecosystem Services: Insi</w:instrText>
      </w:r>
      <w:r w:rsidR="005A605F" w:rsidRPr="00AF0477">
        <w:rPr>
          <w:rFonts w:eastAsia="MS Mincho" w:hint="eastAsia"/>
          <w:color w:val="000000" w:themeColor="text1"/>
        </w:rPr>
        <w:instrText>ghts from Studies in Temperate Soils","title-short":"Cover Crops and Ecosystem Services","volume":"107","author":[{"family":"Blanco</w:instrText>
      </w:r>
      <w:r w:rsidR="005A605F" w:rsidRPr="00AF0477">
        <w:rPr>
          <w:rFonts w:eastAsia="MS Mincho" w:hint="eastAsia"/>
          <w:color w:val="000000" w:themeColor="text1"/>
        </w:rPr>
        <w:instrText>‐</w:instrText>
      </w:r>
      <w:r w:rsidR="005A605F" w:rsidRPr="00AF0477">
        <w:rPr>
          <w:rFonts w:eastAsia="MS Mincho" w:hint="eastAsia"/>
          <w:color w:val="000000" w:themeColor="text1"/>
        </w:rPr>
        <w:instrText>Canqui","given":"Humberto"},{"family":"Shaver","given":"Tim M."},{"family":"Lindquist","given":"John L."},{"family":"Shapir</w:instrText>
      </w:r>
      <w:r w:rsidR="005A605F" w:rsidRPr="00AF0477">
        <w:rPr>
          <w:rFonts w:eastAsia="MS Mincho"/>
          <w:color w:val="000000" w:themeColor="text1"/>
        </w:rPr>
        <w:instrText xml:space="preserve">o","given":"Charles A."},{"family":"Elmore","given":"Roger W."},{"family":"Francis","given":"Charles A."},{"family":"Hergert","given":"Gary W."}],"issued":{"date-parts":[["2015",11]]}}}],"schema":"https://github.com/citation-style-language/schema/raw/master/csl-citation.json"} </w:instrText>
      </w:r>
      <w:r w:rsidR="005A605F" w:rsidRPr="00AF0477">
        <w:rPr>
          <w:rFonts w:eastAsia="MS Mincho"/>
          <w:color w:val="000000" w:themeColor="text1"/>
        </w:rPr>
        <w:fldChar w:fldCharType="separate"/>
      </w:r>
      <w:r w:rsidR="005A605F" w:rsidRPr="00AF0477">
        <w:rPr>
          <w:color w:val="000000" w:themeColor="text1"/>
          <w:szCs w:val="24"/>
          <w:lang w:val="en-GB"/>
        </w:rPr>
        <w:t>[38]</w:t>
      </w:r>
      <w:r w:rsidR="005A605F" w:rsidRPr="00AF0477">
        <w:rPr>
          <w:rFonts w:eastAsia="MS Mincho"/>
          <w:color w:val="000000" w:themeColor="text1"/>
        </w:rPr>
        <w:fldChar w:fldCharType="end"/>
      </w:r>
      <w:r w:rsidR="005A605F">
        <w:rPr>
          <w:rFonts w:eastAsia="MS Mincho"/>
          <w:color w:val="000000" w:themeColor="text1"/>
        </w:rPr>
        <w:t>,</w:t>
      </w:r>
      <w:r w:rsidR="005A605F" w:rsidRPr="00AF0477">
        <w:rPr>
          <w:rFonts w:eastAsia="MS Mincho"/>
          <w:color w:val="000000" w:themeColor="text1"/>
        </w:rPr>
        <w:t xml:space="preserve"> </w:t>
      </w:r>
      <w:r w:rsidR="005A605F" w:rsidRPr="00AF0477">
        <w:rPr>
          <w:rFonts w:eastAsia="MS Mincho"/>
          <w:color w:val="000000" w:themeColor="text1"/>
        </w:rPr>
        <w:fldChar w:fldCharType="begin"/>
      </w:r>
      <w:r w:rsidR="005A605F" w:rsidRPr="00AF0477">
        <w:rPr>
          <w:rFonts w:eastAsia="MS Mincho"/>
          <w:color w:val="000000" w:themeColor="text1"/>
        </w:rPr>
        <w:instrText xml:space="preserve"> ADDIN ZOTERO_ITEM CSL_CITATION {"citationID":"v9ph64yk","properties":{"formattedCitation":"[33]","plainCitation":"[33]","noteIndex":0},"citationItems":[{"id":85,"uris":["http://zotero.org/users/14036693/items/U74T34PA"],"itemData":{"id":85,"type":"article-journal","abstract":"Interest in planting mixtures of cover crop species has grown in recent years as farmers seek to increase the breadth of ecosystem services cover crops provide. As part of a multidisciplinary project, we quantified the degree to which monocultures and mixtures of cover crops suppress weeds during the fall-to-spring cover crop growing period. Weed-suppressive cover crop stands can limit weed seed rain from summer- and winter-annual species, reducing weed population growth and ultimately weed pressure in future cash crop stands. We established monocultures and mixtures of two legumes (medium red clover and Austrian winter pea), two grasses (cereal rye and oats), and two brassicas (forage radish and canola) in a long fall growing window following winter wheat harvest and in a shorter window following silage corn harvest. In fall of the long window, grass cover crops and mixtures were the most weed suppressive, whereas legume cover crops were the least weed suppressive. All mixtures also effectively suppressed weeds. This was likely primarily due to the presence of fast-growing grass species, which were effective even when they were seeded at only 20% of their monoculture rate. In spring, weed biomass was low in all treatments due to winter kill of summer-annual weeds and low germination of winter annuals. In the short window following silage corn, biomass accumulation by cover crops and weeds in the fall was more than an order of magnitude lower than in the longer window. However, there was substantial weed seed production in the spring in all treatments not containing cereal rye (monoculture or mixture). Our results suggest that cover crop mixtures require only low seeding rates of aggressive grass species to provide weed suppression. This creates an opportunity for other species to deliver additional ecosystem services, though careful species selection may be required to maintain mixture diversity and avoid dominance of winter-hardy cover crop grasses in the spring.","container-title":"Weed Science","DOI":"10.1017/wsc.2017.59","ISSN":"1550-2759","issue":"1","language":"en","page":"121-133","source":"Cambridge University Press","title":"Weed Suppression in Cover Crop Monocultures and Mixtures","volume":"66","author":[{"family":"Baraibar","given":"Barbara"},{"family":"Hunter","given":"Mitchell C."},{"family":"Schipanski","given":"Meagan E."},{"family":"Hamilton","given":"Abbe"},{"family":"Mortensen","given":"David A."}],"issued":{"date-parts":[["2018",1]]}}}],"schema":"https://github.com/citation-style-language/schema/raw/master/csl-citation.json"} </w:instrText>
      </w:r>
      <w:r w:rsidR="005A605F" w:rsidRPr="00AF0477">
        <w:rPr>
          <w:rFonts w:eastAsia="MS Mincho"/>
          <w:color w:val="000000" w:themeColor="text1"/>
        </w:rPr>
        <w:fldChar w:fldCharType="separate"/>
      </w:r>
      <w:r w:rsidR="005A605F" w:rsidRPr="00AF0477">
        <w:rPr>
          <w:color w:val="000000" w:themeColor="text1"/>
          <w:szCs w:val="24"/>
          <w:lang w:val="en-GB"/>
        </w:rPr>
        <w:t>[33]</w:t>
      </w:r>
      <w:r w:rsidR="005A605F" w:rsidRPr="00AF0477">
        <w:rPr>
          <w:rFonts w:eastAsia="MS Mincho"/>
          <w:color w:val="000000" w:themeColor="text1"/>
        </w:rPr>
        <w:fldChar w:fldCharType="end"/>
      </w:r>
      <w:r w:rsidR="005A605F">
        <w:rPr>
          <w:rFonts w:eastAsia="MS Mincho"/>
          <w:color w:val="000000" w:themeColor="text1"/>
        </w:rPr>
        <w:t>,</w:t>
      </w:r>
      <w:r w:rsidR="005A605F" w:rsidRPr="00AF0477">
        <w:rPr>
          <w:rFonts w:eastAsia="MS Mincho"/>
          <w:color w:val="000000" w:themeColor="text1"/>
        </w:rPr>
        <w:t xml:space="preserve"> </w:t>
      </w:r>
      <w:r w:rsidR="005A605F" w:rsidRPr="00AF0477">
        <w:rPr>
          <w:rFonts w:eastAsia="MS Mincho"/>
          <w:color w:val="000000" w:themeColor="text1"/>
        </w:rPr>
        <w:fldChar w:fldCharType="begin"/>
      </w:r>
      <w:r w:rsidR="005A605F" w:rsidRPr="00AF0477">
        <w:rPr>
          <w:rFonts w:eastAsia="MS Mincho"/>
          <w:color w:val="000000" w:themeColor="text1"/>
        </w:rPr>
        <w:instrText xml:space="preserve"> ADDIN ZOTERO_ITEM CSL_CITATION {"citationID":"uqdCrWLy","properties":{"formattedCitation":"[42]","plainCitation":"[42]","noteIndex":0},"citationItems":[{"id":89,"uris":["http://zotero.org/users/14036693/items/7LIW4P4I"],"itemData":{"id":89,"type":"article-journal","abstract":"Insufficient weed control is a major constraint to adoption of reduced-tillage practices for organic grain production. Tillage, cover crop management, and crop planting date are factors that influence emergence periodicity and growth potential of important weed species in these systems. We assessed two hairy vetch cover crop management practices, disk-kill and roll-kill, across a range of corn planting dates from early May to late June in three experiments in Beltsville, MD. Patterns of seed dormancy, emergence, and early weed growth were determined for overseeded populations of common ragweed, giant foxtail, and smooth pigweed, three important species in the Mid-Atlantic states that represent early to late emergence. Common ragweed emergence was lowest and dormancy was highest of the three species across all planting dates. Giant foxtail emergence was higher than the other species in roll-killed hairy vetch and included a significant number of seeds that germinated before rolling operations in late June. Smooth pigweed had the highest emergence and lowest dormancy in disk-killed hairy vetch in June. Individual giant foxtail plant weight was higher in roll-killed than disk-killed hairy vetch in 2 of 3 yr, whereas that of smooth pigweed plants was higher in disk-killed than roll-killed vetch in 2 of 3 yr. Giant foxtail was the dominant species in roll-killed hairy vetch (averaged 79% of total weed biomass at corn silking), probably because of early germination and establishment before rolling operations. Smooth pigweed was the dominant species in disk-killed hairy vetch at June planting dates (averaged 77% of total weed biomass), probably because of high growth rates under warm conditions in tilled soil. This research demonstrated that cover crop management practices and the timing of planting operations can shift the dominant species of weed communities in organic farming systems and must be considered in long-term weed management planning.","container-title":"Weed Science","DOI":"10.1614/WS-D-14-00112.1","ISSN":"0043-1745, 1550-2759","issue":"2","language":"en","page":"477-490","source":"Cambridge University Press","title":"Tillage and Planting Date Effects on Weed Dormancy, Emergence, and Early Growth in Organic Corn","volume":"63","author":[{"family":"Teasdale","given":"John R."},{"family":"Mirsky","given":"Steven B."}],"issued":{"date-parts":[["2015",6]]}}}],"schema":"https://github.com/citation-style-language/schema/raw/master/csl-citation.json"} </w:instrText>
      </w:r>
      <w:r w:rsidR="005A605F" w:rsidRPr="00AF0477">
        <w:rPr>
          <w:rFonts w:eastAsia="MS Mincho"/>
          <w:color w:val="000000" w:themeColor="text1"/>
        </w:rPr>
        <w:fldChar w:fldCharType="separate"/>
      </w:r>
      <w:r w:rsidR="005A605F" w:rsidRPr="00AF0477">
        <w:rPr>
          <w:color w:val="000000" w:themeColor="text1"/>
          <w:szCs w:val="24"/>
          <w:lang w:val="en-GB"/>
        </w:rPr>
        <w:t>[42]</w:t>
      </w:r>
      <w:r w:rsidR="005A605F" w:rsidRPr="00AF0477">
        <w:rPr>
          <w:rFonts w:eastAsia="MS Mincho"/>
          <w:color w:val="000000" w:themeColor="text1"/>
        </w:rPr>
        <w:fldChar w:fldCharType="end"/>
      </w:r>
      <w:r w:rsidR="005A605F">
        <w:rPr>
          <w:rFonts w:eastAsia="MS Mincho"/>
          <w:color w:val="000000" w:themeColor="text1"/>
        </w:rPr>
        <w:t>, which</w:t>
      </w:r>
      <w:r w:rsidR="00A72FD4">
        <w:rPr>
          <w:rFonts w:eastAsia="MS Mincho"/>
          <w:color w:val="000000" w:themeColor="text1"/>
        </w:rPr>
        <w:t xml:space="preserve"> contribute to the sustainability and economic viability of semiarid agricultural systems.</w:t>
      </w:r>
    </w:p>
    <w:p w:rsidR="00EE1D80" w:rsidRDefault="00EE1D80" w:rsidP="00EE1D80">
      <w:pPr>
        <w:pStyle w:val="ListParagraph"/>
        <w:tabs>
          <w:tab w:val="left" w:pos="2235"/>
          <w:tab w:val="center" w:pos="4514"/>
        </w:tabs>
        <w:ind w:left="0" w:right="29" w:firstLine="720"/>
        <w:jc w:val="both"/>
        <w:rPr>
          <w:rFonts w:eastAsia="MS Mincho"/>
          <w:color w:val="000000" w:themeColor="text1"/>
        </w:rPr>
      </w:pPr>
    </w:p>
    <w:p w:rsidR="00C4777D" w:rsidRDefault="0098794E" w:rsidP="00F179C2">
      <w:pPr>
        <w:tabs>
          <w:tab w:val="left" w:pos="2235"/>
          <w:tab w:val="center" w:pos="4514"/>
        </w:tabs>
        <w:ind w:right="29" w:firstLine="720"/>
        <w:jc w:val="both"/>
        <w:rPr>
          <w:rFonts w:eastAsia="MS Mincho"/>
          <w:color w:val="000000" w:themeColor="text1"/>
        </w:rPr>
      </w:pPr>
      <w:r>
        <w:rPr>
          <w:rFonts w:eastAsia="MS Mincho"/>
          <w:color w:val="000000" w:themeColor="text1"/>
        </w:rPr>
        <w:t xml:space="preserve">It is essential to investigate the impacts of various cover crop management practices, including the selection of suitable species, seed rates, population, timing of sowing, termination timing and methods. Researchers should explore the additional benefits of cover crops, as attracting pollinators and providing habitats for weed seed predators. Long-term field studies are </w:t>
      </w:r>
      <w:r w:rsidR="002B3562">
        <w:rPr>
          <w:rFonts w:eastAsia="MS Mincho"/>
          <w:color w:val="000000" w:themeColor="text1"/>
        </w:rPr>
        <w:t>required</w:t>
      </w:r>
      <w:r>
        <w:rPr>
          <w:rFonts w:eastAsia="MS Mincho"/>
          <w:color w:val="000000" w:themeColor="text1"/>
        </w:rPr>
        <w:t xml:space="preserve"> to validate the environmental sustainability and economic viability </w:t>
      </w:r>
      <w:r w:rsidR="002B3562">
        <w:rPr>
          <w:rFonts w:eastAsia="MS Mincho"/>
          <w:color w:val="000000" w:themeColor="text1"/>
        </w:rPr>
        <w:t>of</w:t>
      </w:r>
      <w:r>
        <w:rPr>
          <w:rFonts w:eastAsia="MS Mincho"/>
          <w:color w:val="000000" w:themeColor="text1"/>
        </w:rPr>
        <w:t xml:space="preserve"> integrating cover crops for weed management in the </w:t>
      </w:r>
      <w:r w:rsidR="002B3562">
        <w:rPr>
          <w:rFonts w:eastAsia="MS Mincho"/>
          <w:color w:val="000000" w:themeColor="text1"/>
        </w:rPr>
        <w:t>region</w:t>
      </w:r>
      <w:r>
        <w:rPr>
          <w:rFonts w:eastAsia="MS Mincho"/>
          <w:color w:val="000000" w:themeColor="text1"/>
        </w:rPr>
        <w:t>.</w:t>
      </w:r>
    </w:p>
    <w:p w:rsidR="005619CD" w:rsidRPr="00AF0477" w:rsidRDefault="005619CD" w:rsidP="0083004B">
      <w:pPr>
        <w:tabs>
          <w:tab w:val="left" w:pos="2235"/>
          <w:tab w:val="center" w:pos="4514"/>
        </w:tabs>
        <w:ind w:right="29"/>
        <w:jc w:val="both"/>
        <w:rPr>
          <w:rFonts w:eastAsia="MS Mincho"/>
          <w:color w:val="000000" w:themeColor="text1"/>
        </w:rPr>
      </w:pPr>
    </w:p>
    <w:p w:rsidR="00F179C2" w:rsidRPr="00AF0477" w:rsidRDefault="005619CD" w:rsidP="005619CD">
      <w:pPr>
        <w:pStyle w:val="ListParagraph"/>
        <w:numPr>
          <w:ilvl w:val="0"/>
          <w:numId w:val="23"/>
        </w:numPr>
        <w:tabs>
          <w:tab w:val="left" w:pos="2235"/>
          <w:tab w:val="center" w:pos="4514"/>
        </w:tabs>
        <w:ind w:left="270" w:right="29" w:hanging="270"/>
        <w:jc w:val="both"/>
        <w:rPr>
          <w:rFonts w:eastAsia="MS Mincho"/>
          <w:b/>
          <w:bCs/>
          <w:color w:val="000000" w:themeColor="text1"/>
        </w:rPr>
      </w:pPr>
      <w:r w:rsidRPr="00AF0477">
        <w:rPr>
          <w:rFonts w:eastAsia="MS Mincho"/>
          <w:b/>
          <w:bCs/>
          <w:color w:val="000000" w:themeColor="text1"/>
        </w:rPr>
        <w:t>Allelopathic weed management</w:t>
      </w:r>
    </w:p>
    <w:p w:rsidR="00550B48" w:rsidRDefault="00D237BB" w:rsidP="005619CD">
      <w:pPr>
        <w:tabs>
          <w:tab w:val="left" w:pos="2235"/>
          <w:tab w:val="center" w:pos="4514"/>
        </w:tabs>
        <w:ind w:right="29" w:firstLine="720"/>
        <w:jc w:val="both"/>
        <w:rPr>
          <w:rFonts w:eastAsia="MS Mincho"/>
          <w:color w:val="000000" w:themeColor="text1"/>
        </w:rPr>
      </w:pPr>
      <w:r w:rsidRPr="00AF0477">
        <w:rPr>
          <w:rFonts w:eastAsia="MS Mincho"/>
          <w:color w:val="000000" w:themeColor="text1"/>
        </w:rPr>
        <w:t>The a</w:t>
      </w:r>
      <w:r w:rsidR="00F179C2" w:rsidRPr="00AF0477">
        <w:rPr>
          <w:rFonts w:eastAsia="MS Mincho"/>
          <w:color w:val="000000" w:themeColor="text1"/>
        </w:rPr>
        <w:t xml:space="preserve">llelopathic potential of crops </w:t>
      </w:r>
      <w:r w:rsidR="00EE6A07" w:rsidRPr="00AF0477">
        <w:rPr>
          <w:rFonts w:eastAsia="MS Mincho"/>
          <w:color w:val="000000" w:themeColor="text1"/>
        </w:rPr>
        <w:t>can be used to</w:t>
      </w:r>
      <w:r w:rsidR="00F179C2" w:rsidRPr="00AF0477">
        <w:rPr>
          <w:rFonts w:eastAsia="MS Mincho"/>
          <w:color w:val="000000" w:themeColor="text1"/>
        </w:rPr>
        <w:t xml:space="preserve"> reduc</w:t>
      </w:r>
      <w:r w:rsidR="00EE6A07" w:rsidRPr="00AF0477">
        <w:rPr>
          <w:rFonts w:eastAsia="MS Mincho"/>
          <w:color w:val="000000" w:themeColor="text1"/>
        </w:rPr>
        <w:t>e</w:t>
      </w:r>
      <w:r w:rsidR="00F179C2" w:rsidRPr="00AF0477">
        <w:rPr>
          <w:rFonts w:eastAsia="MS Mincho"/>
          <w:color w:val="000000" w:themeColor="text1"/>
        </w:rPr>
        <w:t xml:space="preserve"> the competitiveness of resistant weeds. Selective breeding has been used to improve the allelopathic capabilities of crops, taking into account the genetic diversity found in cereals</w:t>
      </w:r>
      <w:r w:rsidR="00E924ED" w:rsidRPr="00AF0477">
        <w:rPr>
          <w:rFonts w:eastAsia="MS Mincho"/>
          <w:color w:val="000000" w:themeColor="text1"/>
        </w:rPr>
        <w:t xml:space="preserve"> </w:t>
      </w:r>
      <w:r w:rsidR="00E924ED"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{"citationID":"3LjoJgvh","properties":{"formattedCitation":"[35]","plainCitation":"[35]","noteIndex":0},"citationItems":[{"id":99,"uris":["http://zotero.org/users/14036693/items/VUP2PNYJ"],"itemData":{"id":99,"type":"article-journal","abstract":"Allelopathic Interactions and Allelochemicals: New Possibilities for Sustainable Weed Management","container-title":"Critical Reviews in Plant Sciences","ISSN":"0735-2689","issue":"3-4","language":"en","page":"239","source":"www.academia.edu","title":"Allelopathic Interactions and Allelochemicals: New Possibilities for Sustainable Weed Management","title-short":"Allelopathic Interactions and Allelochemicals","volume":"22","author":[{"family":"Singh","given":"H. P."},{"family":"Batish","given":"Daizy R."},{"family":"Kohli","given":"R. K."}],"issued":{"date-parts":[["2003"]]}}}],"schema":"https://github.com/citation-style-language/schema/raw/master/csl-citation.json"} </w:instrText>
      </w:r>
      <w:r w:rsidR="00E924ED" w:rsidRPr="00AF0477">
        <w:rPr>
          <w:rFonts w:eastAsia="MS Mincho"/>
          <w:color w:val="000000" w:themeColor="text1"/>
        </w:rPr>
        <w:fldChar w:fldCharType="separate"/>
      </w:r>
      <w:r w:rsidR="00AF0477" w:rsidRPr="00AF0477">
        <w:rPr>
          <w:color w:val="000000" w:themeColor="text1"/>
          <w:szCs w:val="24"/>
          <w:lang w:val="en-GB"/>
        </w:rPr>
        <w:t>[35]</w:t>
      </w:r>
      <w:r w:rsidR="00E924ED" w:rsidRPr="00AF0477">
        <w:rPr>
          <w:rFonts w:eastAsia="MS Mincho"/>
          <w:color w:val="000000" w:themeColor="text1"/>
        </w:rPr>
        <w:fldChar w:fldCharType="end"/>
      </w:r>
      <w:r w:rsidR="0055046B">
        <w:rPr>
          <w:rFonts w:eastAsia="MS Mincho"/>
          <w:color w:val="000000" w:themeColor="text1"/>
        </w:rPr>
        <w:t>,</w:t>
      </w:r>
      <w:r w:rsidR="00E924ED" w:rsidRPr="00AF0477">
        <w:rPr>
          <w:rFonts w:eastAsia="MS Mincho"/>
          <w:color w:val="000000" w:themeColor="text1"/>
        </w:rPr>
        <w:t xml:space="preserve"> </w:t>
      </w:r>
      <w:r w:rsidR="00E924ED"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{"citationID":"UVJIm3JJ","properties":{"formattedCitation":"[43]","plainCitation":"[43]","noteIndex":0},"citationItems":[{"id":100,"uris":["http://zotero.org/users/14036693/items/4GXVQG5F"],"itemData":{"id":100,"type":"webpage","title":"Manipulation of Allelopathic Crops for Weed Control | SpringerLink","URL":"https://link.springer.com/book/10.1007/978-3-319-53186-1","accessed":{"date-parts":[["2024",5,28]]}}}],"schema":"https://github.com/citation-style-language/schema/raw/master/csl-citation.json"} </w:instrText>
      </w:r>
      <w:r w:rsidR="00E924ED" w:rsidRPr="00AF0477">
        <w:rPr>
          <w:rFonts w:eastAsia="MS Mincho"/>
          <w:color w:val="000000" w:themeColor="text1"/>
        </w:rPr>
        <w:fldChar w:fldCharType="separate"/>
      </w:r>
      <w:r w:rsidR="00AF0477" w:rsidRPr="00AF0477">
        <w:rPr>
          <w:color w:val="000000" w:themeColor="text1"/>
          <w:szCs w:val="24"/>
          <w:lang w:val="en-GB"/>
        </w:rPr>
        <w:t>[43]</w:t>
      </w:r>
      <w:r w:rsidR="00E924ED" w:rsidRPr="00AF0477">
        <w:rPr>
          <w:rFonts w:eastAsia="MS Mincho"/>
          <w:color w:val="000000" w:themeColor="text1"/>
        </w:rPr>
        <w:fldChar w:fldCharType="end"/>
      </w:r>
      <w:r w:rsidR="00F179C2" w:rsidRPr="00AF0477">
        <w:rPr>
          <w:rFonts w:eastAsia="MS Mincho"/>
          <w:color w:val="000000" w:themeColor="text1"/>
        </w:rPr>
        <w:t xml:space="preserve">. Using traditional breeding methods, highly effective weed-suppressive rice varieties have been developed, such as the hybrid of </w:t>
      </w:r>
      <w:proofErr w:type="spellStart"/>
      <w:r w:rsidR="00F179C2" w:rsidRPr="00AF0477">
        <w:rPr>
          <w:rFonts w:eastAsia="MS Mincho"/>
          <w:color w:val="000000" w:themeColor="text1"/>
        </w:rPr>
        <w:t>Kouket-sumochi</w:t>
      </w:r>
      <w:proofErr w:type="spellEnd"/>
      <w:r w:rsidR="00F179C2" w:rsidRPr="00AF0477">
        <w:rPr>
          <w:rFonts w:eastAsia="MS Mincho"/>
          <w:color w:val="000000" w:themeColor="text1"/>
        </w:rPr>
        <w:t xml:space="preserve"> and IR24, which effectively </w:t>
      </w:r>
      <w:r w:rsidR="00EE6A07" w:rsidRPr="00AF0477">
        <w:rPr>
          <w:rFonts w:eastAsia="MS Mincho"/>
          <w:color w:val="000000" w:themeColor="text1"/>
        </w:rPr>
        <w:t>suppress</w:t>
      </w:r>
      <w:r w:rsidR="00F179C2" w:rsidRPr="00AF0477">
        <w:rPr>
          <w:rFonts w:eastAsia="MS Mincho"/>
          <w:color w:val="000000" w:themeColor="text1"/>
        </w:rPr>
        <w:t xml:space="preserve"> weeds like jungle</w:t>
      </w:r>
      <w:r w:rsidR="00EE6A07" w:rsidRPr="00AF0477">
        <w:rPr>
          <w:rFonts w:eastAsia="MS Mincho"/>
          <w:color w:val="000000" w:themeColor="text1"/>
        </w:rPr>
        <w:t xml:space="preserve"> </w:t>
      </w:r>
      <w:r w:rsidR="00F179C2" w:rsidRPr="00AF0477">
        <w:rPr>
          <w:rFonts w:eastAsia="MS Mincho"/>
          <w:color w:val="000000" w:themeColor="text1"/>
        </w:rPr>
        <w:t>rice and red rice (</w:t>
      </w:r>
      <w:r w:rsidR="00F179C2" w:rsidRPr="00AF0477">
        <w:rPr>
          <w:rFonts w:eastAsia="MS Mincho"/>
          <w:i/>
          <w:iCs/>
          <w:color w:val="000000" w:themeColor="text1"/>
        </w:rPr>
        <w:t>Oryza sativa</w:t>
      </w:r>
      <w:r w:rsidR="00F179C2" w:rsidRPr="00AF0477">
        <w:rPr>
          <w:rFonts w:eastAsia="MS Mincho"/>
          <w:color w:val="000000" w:themeColor="text1"/>
        </w:rPr>
        <w:t xml:space="preserve"> L.). Additionally, the recent enhancement of crops' allelopathic potential through genetic modification represents a significant advancement in </w:t>
      </w:r>
      <w:r w:rsidR="00550B48" w:rsidRPr="00AF0477">
        <w:rPr>
          <w:rFonts w:eastAsia="MS Mincho"/>
          <w:color w:val="000000" w:themeColor="text1"/>
        </w:rPr>
        <w:t>agrobiotechnolo</w:t>
      </w:r>
      <w:r w:rsidR="00063BF3" w:rsidRPr="00AF0477">
        <w:rPr>
          <w:rFonts w:eastAsia="MS Mincho"/>
          <w:color w:val="000000" w:themeColor="text1"/>
        </w:rPr>
        <w:t xml:space="preserve">gy. </w:t>
      </w:r>
    </w:p>
    <w:p w:rsidR="00F179C2" w:rsidRPr="00AF0477" w:rsidRDefault="00F179C2" w:rsidP="004A6653">
      <w:pPr>
        <w:tabs>
          <w:tab w:val="left" w:pos="2235"/>
          <w:tab w:val="center" w:pos="4514"/>
        </w:tabs>
        <w:ind w:right="29"/>
        <w:jc w:val="both"/>
        <w:rPr>
          <w:rFonts w:eastAsia="MS Mincho"/>
          <w:color w:val="000000" w:themeColor="text1"/>
        </w:rPr>
      </w:pPr>
    </w:p>
    <w:p w:rsidR="003B3F65" w:rsidRPr="00AF0477" w:rsidRDefault="005619CD" w:rsidP="005619CD">
      <w:pPr>
        <w:pStyle w:val="ListParagraph"/>
        <w:numPr>
          <w:ilvl w:val="0"/>
          <w:numId w:val="23"/>
        </w:numPr>
        <w:tabs>
          <w:tab w:val="left" w:pos="2235"/>
          <w:tab w:val="center" w:pos="4514"/>
        </w:tabs>
        <w:ind w:left="270" w:right="29" w:hanging="270"/>
        <w:jc w:val="both"/>
        <w:rPr>
          <w:rFonts w:eastAsia="MS Mincho"/>
          <w:b/>
          <w:bCs/>
          <w:color w:val="000000" w:themeColor="text1"/>
        </w:rPr>
      </w:pPr>
      <w:r w:rsidRPr="00AF0477">
        <w:rPr>
          <w:rFonts w:eastAsia="MS Mincho"/>
          <w:b/>
          <w:bCs/>
          <w:color w:val="000000" w:themeColor="text1"/>
        </w:rPr>
        <w:t>Genetic modification</w:t>
      </w:r>
    </w:p>
    <w:p w:rsidR="003B3F65" w:rsidRPr="00AF0477" w:rsidRDefault="003B3F65" w:rsidP="005619CD">
      <w:pPr>
        <w:tabs>
          <w:tab w:val="left" w:pos="2235"/>
          <w:tab w:val="center" w:pos="4514"/>
        </w:tabs>
        <w:ind w:right="29" w:firstLine="720"/>
        <w:jc w:val="both"/>
        <w:rPr>
          <w:rFonts w:eastAsia="MS Mincho"/>
          <w:color w:val="000000" w:themeColor="text1"/>
        </w:rPr>
      </w:pPr>
      <w:r w:rsidRPr="00AF0477">
        <w:rPr>
          <w:rFonts w:eastAsia="MS Mincho"/>
          <w:color w:val="000000" w:themeColor="text1"/>
        </w:rPr>
        <w:t>Herbicide-tolerant crops, which make up 83% of genetically modified (GM) crops</w:t>
      </w:r>
      <w:r w:rsidR="00870FDD" w:rsidRPr="00AF0477">
        <w:rPr>
          <w:rFonts w:eastAsia="MS Mincho"/>
          <w:color w:val="000000" w:themeColor="text1"/>
        </w:rPr>
        <w:t xml:space="preserve"> </w:t>
      </w:r>
      <w:r w:rsidR="00870FDD"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{"citationID":"RG4eTDBT","properties":{"formattedCitation":"[44]","plainCitation":"[44]","noteIndex":0},"citationItems":[{"id":49,"uris":["http://zotero.org/users/14036693/items/BT8GYIP7"],"itemData":{"id":49,"type":"article-journal","abstract":"Weeds are a significant problem in crop production and their management in modern agriculture is crucial to avoid yield losses and ensure food security. Intensive agricultural practices, changing climate, and natural disasters affect weed dynamics and that requires a change in weed management protocols. The existing manual control options are no longer viable because of labor shortages; chemical control options are limited by ecodegradation, health hazards, and development of herbicide resistance in weeds. We are therefore reviewing some potential nonconventional weed management strategies for modern agriculture that are viable, feasible, and efficient. Improvement in tillage regimes has long been identified as an impressive weed-control measure. Harvest weed seed control and seed predation have been shown as potential tools for reducing weed emergence and seed bank reserves. Development in the field of allelopathy for weed management has led to new techniques for weed control. The remarkable role of biotechnological advancements in developing herbicide-resistant crops, bioherbicides, and harnessing the allelopathic potential of crops is also worth mentioning in a modern weed management program. Thermal weed management has also been observed as a useful technique, especially under conservation agriculture systems. Last, precision weed management has been elaborated with sufficient details. The role of remote sensing, modeling, and robotics as an integral part of precision weed management has been highlighted in a realistic manner. All these strategies are viable for today’s agriculture; however, site-specific selection and the use of right combinations will be the key to success. No single strategy is perfect, and therefore an integrated approach may provide better results. Future research is needed to explore the potential of these strategies and to optimize them on technological and cultural bases. The adoption of such methods may improve the efficiency of cropping systems under sustainable and conservation practices.","container-title":"Weed Science","DOI":"10.1614/WS-D-15-00064.1","ISSN":"0043-1745, 1550-2759","issue":"4","journalAbbreviation":"Weed sci.","language":"en","license":"https://www.cambridge.org/core/terms","page":"723-747","source":"DOI.org (Crossref)","title":"Nonconventional Weed Management Strategies for Modern Agriculture","volume":"63","author":[{"family":"Bajwa","given":"Ali A."},{"family":"Mahajan","given":"Gulshan"},{"family":"Chauhan","given":"Bhagirath S."}],"issued":{"date-parts":[["2015",12]]}}}],"schema":"https://github.com/citation-style-language/schema/raw/master/csl-citation.json"} </w:instrText>
      </w:r>
      <w:r w:rsidR="00870FDD" w:rsidRPr="00AF0477">
        <w:rPr>
          <w:rFonts w:eastAsia="MS Mincho"/>
          <w:color w:val="000000" w:themeColor="text1"/>
        </w:rPr>
        <w:fldChar w:fldCharType="separate"/>
      </w:r>
      <w:r w:rsidR="00AF0477" w:rsidRPr="00AF0477">
        <w:rPr>
          <w:color w:val="000000" w:themeColor="text1"/>
          <w:szCs w:val="24"/>
          <w:lang w:val="en-GB"/>
        </w:rPr>
        <w:t>[44]</w:t>
      </w:r>
      <w:r w:rsidR="00870FDD" w:rsidRPr="00AF0477">
        <w:rPr>
          <w:rFonts w:eastAsia="MS Mincho"/>
          <w:color w:val="000000" w:themeColor="text1"/>
        </w:rPr>
        <w:fldChar w:fldCharType="end"/>
      </w:r>
      <w:r w:rsidRPr="00AF0477">
        <w:rPr>
          <w:rFonts w:eastAsia="MS Mincho"/>
          <w:color w:val="000000" w:themeColor="text1"/>
        </w:rPr>
        <w:t xml:space="preserve">, are designed to withstand herbicides such as glyphosate, </w:t>
      </w:r>
      <w:proofErr w:type="spellStart"/>
      <w:r w:rsidRPr="00AF0477">
        <w:rPr>
          <w:rFonts w:eastAsia="MS Mincho"/>
          <w:color w:val="000000" w:themeColor="text1"/>
        </w:rPr>
        <w:t>glufosinate</w:t>
      </w:r>
      <w:proofErr w:type="spellEnd"/>
      <w:r w:rsidRPr="00AF0477">
        <w:rPr>
          <w:rFonts w:eastAsia="MS Mincho"/>
          <w:color w:val="000000" w:themeColor="text1"/>
        </w:rPr>
        <w:t xml:space="preserve">, bromoxynil, </w:t>
      </w:r>
      <w:proofErr w:type="spellStart"/>
      <w:r w:rsidRPr="00AF0477">
        <w:rPr>
          <w:rFonts w:eastAsia="MS Mincho"/>
          <w:color w:val="000000" w:themeColor="text1"/>
        </w:rPr>
        <w:t>imidazolinone</w:t>
      </w:r>
      <w:proofErr w:type="spellEnd"/>
      <w:r w:rsidRPr="00AF0477">
        <w:rPr>
          <w:rFonts w:eastAsia="MS Mincho"/>
          <w:color w:val="000000" w:themeColor="text1"/>
        </w:rPr>
        <w:t xml:space="preserve"> and dicamba</w:t>
      </w:r>
      <w:r w:rsidR="00870FDD" w:rsidRPr="00AF0477">
        <w:rPr>
          <w:rFonts w:eastAsia="MS Mincho"/>
          <w:color w:val="000000" w:themeColor="text1"/>
        </w:rPr>
        <w:t xml:space="preserve"> </w:t>
      </w:r>
      <w:r w:rsidR="00870FDD"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{"citationID":"XXmqEPel","properties":{"formattedCitation":"[44]","plainCitation":"[44]","noteIndex":0},"citationItems":[{"id":49,"uris":["http://zotero.org/users/14036693/items/BT8GYIP7"],"itemData":{"id":49,"type":"article-journal","abstract":"Weeds are a significant problem in crop production and their management in modern agriculture is crucial to avoid yield losses and ensure food security. Intensive agricultural practices, changing climate, and natural disasters affect weed dynamics and that requires a change in weed management protocols. The existing manual control options are no longer viable because of labor shortages; chemical control options are limited by ecodegradation, health hazards, and development of herbicide resistance in weeds. We are therefore reviewing some potential nonconventional weed management strategies for modern agriculture that are viable, feasible, and efficient. Improvement in tillage regimes has long been identified as an impressive weed-control measure. Harvest weed seed control and seed predation have been shown as potential tools for reducing weed emergence and seed bank reserves. Development in the field of allelopathy for weed management has led to new techniques for weed control. The remarkable role of biotechnological advancements in developing herbicide-resistant crops, bioherbicides, and harnessing the allelopathic potential of crops is also worth mentioning in a modern weed management program. Thermal weed management has also been observed as a useful technique, especially under conservation agriculture systems. Last, precision weed management has been elaborated with sufficient details. The role of remote sensing, modeling, and robotics as an integral part of precision weed management has been highlighted in a realistic manner. All these strategies are viable for today’s agriculture; however, site-specific selection and the use of right combinations will be the key to success. No single strategy is perfect, and therefore an integrated approach may provide better results. Future research is needed to explore the potential of these strategies and to optimize them on technological and cultural bases. The adoption of such methods may improve the efficiency of cropping systems under sustainable and conservation practices.","container-title":"Weed Science","DOI":"10.1614/WS-D-15-00064.1","ISSN":"0043-1745, 1550-2759","issue":"4","journalAbbreviation":"Weed sci.","language":"en","license":"https://www.cambridge.org/core/terms","page":"723-747","source":"DOI.org (Crossref)","title":"Nonconventional Weed Management Strategies for Modern Agriculture","volume":"63","author":[{"family":"Bajwa","given":"Ali A."},{"family":"Mahajan","given":"Gulshan"},{"family":"Chauhan","given":"Bhagirath S."}],"issued":{"date-parts":[["2015",12]]}}}],"schema":"https://github.com/citation-style-language/schema/raw/master/csl-citation.json"} </w:instrText>
      </w:r>
      <w:r w:rsidR="00870FDD" w:rsidRPr="00AF0477">
        <w:rPr>
          <w:rFonts w:eastAsia="MS Mincho"/>
          <w:color w:val="000000" w:themeColor="text1"/>
        </w:rPr>
        <w:fldChar w:fldCharType="separate"/>
      </w:r>
      <w:r w:rsidR="00AF0477" w:rsidRPr="00AF0477">
        <w:rPr>
          <w:color w:val="000000" w:themeColor="text1"/>
          <w:szCs w:val="24"/>
          <w:lang w:val="en-GB"/>
        </w:rPr>
        <w:t>[44]</w:t>
      </w:r>
      <w:r w:rsidR="00870FDD" w:rsidRPr="00AF0477">
        <w:rPr>
          <w:rFonts w:eastAsia="MS Mincho"/>
          <w:color w:val="000000" w:themeColor="text1"/>
        </w:rPr>
        <w:fldChar w:fldCharType="end"/>
      </w:r>
      <w:r w:rsidR="0055046B">
        <w:rPr>
          <w:rFonts w:eastAsia="MS Mincho"/>
          <w:color w:val="000000" w:themeColor="text1"/>
        </w:rPr>
        <w:t>,</w:t>
      </w:r>
      <w:r w:rsidR="00870FDD" w:rsidRPr="00AF0477">
        <w:rPr>
          <w:rFonts w:eastAsia="MS Mincho"/>
          <w:color w:val="000000" w:themeColor="text1"/>
        </w:rPr>
        <w:t xml:space="preserve"> </w:t>
      </w:r>
      <w:r w:rsidR="00870FDD"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{"citationID":"J0qaT8Ph","properties":{"formattedCitation":"[45]","plainCitation":"[45]","noteIndex":0},"citationItems":[{"id":139,"uris":["http://zotero.org/users/14036693/items/XPPK6ZQS"],"itemData":{"id":139,"type":"article-journal","abstract":"This review examines some agronomic, economic, and environmental impacts of herbicide-resistant (HR) canola, soybean, corn, and wheat in Canada after 10 yr of growing HR cultivars. The rapid adoption of HR canola and soybean suggests a net economic benefit to farmers. HR crops often have improved weed management, greater yields or economic returns, and similar or reduced environmental impact compared with their non-HR crop counterparts. There are no marked changes in volunteer weed problems associated with these crops, except in zero-tillage systems when glyphosate is used alone to control canola volunteers. Although gene flow from glyphosate-HR canola to wild populations of bird’s rape (Brassica rapa L.) in eastern Canada has been measured, enrichment of hybrid plants in such populations should only occur when and where herbicide selection pressure is applied. Weed shifts as a consequence of HR canola have been documented, but a reduction in weed species diversity has not been demonstrated. However, reliance on HR crops in rotations using the same mode-of-action herbicide and/or multiple in-crop herbicide applications over time can result in intense selection pressure for weed resistance and consequently, greater herbicide use in the future to control HR weed biotypes. History has repeatedly shown that cropping system diversity is the pillar of sustainable agriculture; stewardship of HR crops must adhere to this fundamental principle. Key words: Canola, Brassica napus, corn, Zea mays, soybean, Glycine max, wheat, Triticum aestivum, gene flow, herbicide resistance, transgenic crop, volunteer crop","container-title":"Canadian Journal of Plant Science","DOI":"10.4141/P05-193","ISSN":"0008-4220","issue":"4","journalAbbreviation":"Can. J. Plant Sci.","note":"publisher: NRC Research Press","page":"1243-1264","source":"cdnsciencepub.com (Atypon)","title":"A decade of herbicide-resistant crops in Canada","volume":"86","author":[{"family":"Beckie","given":"H. J."},{"family":"Harker","given":"K. N."},{"family":"Hall","given":"L. M."},{"family":"Warwick","given":"S. I."},{"family":"Légère","given":"A."},{"family":"Sikkema","given":"P. H."},{"family":"Clayton","given":"G. W."},{"family":"Thomas","given":"A. G."},{"family":"Leeson","given":"J. Y."},{"family":"Séguin-Swartz","given":"G."},{"family":"Simard","given":"M. -J."}],"issued":{"date-parts":[["2006",10,10]]}}}],"schema":"https://github.com/citation-style-language/schema/raw/master/csl-citation.json"} </w:instrText>
      </w:r>
      <w:r w:rsidR="00870FDD" w:rsidRPr="00AF0477">
        <w:rPr>
          <w:rFonts w:eastAsia="MS Mincho"/>
          <w:color w:val="000000" w:themeColor="text1"/>
        </w:rPr>
        <w:fldChar w:fldCharType="separate"/>
      </w:r>
      <w:r w:rsidR="00AF0477" w:rsidRPr="00AF0477">
        <w:rPr>
          <w:color w:val="000000" w:themeColor="text1"/>
          <w:szCs w:val="24"/>
          <w:lang w:val="en-GB"/>
        </w:rPr>
        <w:t>[45]</w:t>
      </w:r>
      <w:r w:rsidR="00870FDD" w:rsidRPr="00AF0477">
        <w:rPr>
          <w:rFonts w:eastAsia="MS Mincho"/>
          <w:color w:val="000000" w:themeColor="text1"/>
        </w:rPr>
        <w:fldChar w:fldCharType="end"/>
      </w:r>
      <w:r w:rsidRPr="00AF0477">
        <w:rPr>
          <w:rFonts w:eastAsia="MS Mincho"/>
          <w:color w:val="000000" w:themeColor="text1"/>
        </w:rPr>
        <w:t>. The introduction of herbicide-tolerant varieties of cotton, corn, canola, rice, sugar beet (Beta vulgaris L.), alfalfa (Medicago sativa L.), brassica and soybean has revolutionized weed management in the United States, Canada and several other nations</w:t>
      </w:r>
      <w:r w:rsidR="00F403A9" w:rsidRPr="00AF0477">
        <w:rPr>
          <w:rFonts w:eastAsia="MS Mincho"/>
          <w:color w:val="000000" w:themeColor="text1"/>
        </w:rPr>
        <w:t xml:space="preserve"> </w:t>
      </w:r>
      <w:r w:rsidR="00F403A9"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{"citationID":"9G82dWdI","properties":{"formattedCitation":"[45]","plainCitation":"[45]","noteIndex":0},"citationItems":[{"id":139,"uris":["http://zotero.org/users/14036693/items/XPPK6ZQS"],"itemData":{"id":139,"type":"article-journal","abstract":"This review examines some agronomic, economic, and environmental impacts of herbicide-resistant (HR) canola, soybean, corn, and wheat in Canada after 10 yr of growing HR cultivars. The rapid adoption of HR canola and soybean suggests a net economic benefit to farmers. HR crops often have improved weed management, greater yields or economic returns, and similar or reduced environmental impact compared with their non-HR crop counterparts. There are no marked changes in volunteer weed problems associated with these crops, except in zero-tillage systems when glyphosate is used alone to control canola volunteers. Although gene flow from glyphosate-HR canola to wild populations of bird’s rape (Brassica rapa L.) in eastern Canada has been measured, enrichment of hybrid plants in such populations should only occur when and where herbicide selection pressure is applied. Weed shifts as a consequence of HR canola have been documented, but a reduction in weed species diversity has not been demonstrated. However, reliance on HR crops in rotations using the same mode-of-action herbicide and/or multiple in-crop herbicide applications over time can result in intense selection pressure for weed resistance and consequently, greater herbicide use in the future to control HR weed biotypes. History has repeatedly shown that cropping system diversity is the pillar of sustainable agriculture; stewardship of HR crops must adhere to this fundamental principle. Key words: Canola, Brassica napus, corn, Zea mays, soybean, Glycine max, wheat, Triticum aestivum, gene flow, herbicide resistance, transgenic crop, volunteer crop","container-title":"Canadian Journal of Plant Science","DOI":"10.4141/P05-193","ISSN":"0008-4220","issue":"4","journalAbbreviation":"Can. J. Plant Sci.","note":"publisher: NRC Research Press","page":"1243-1264","source":"cdnsciencepub.com (Atypon)","title":"A decade of herbicide-resistant crops in Canada","volume":"86","author":[{"family":"Beckie","given":"H. J."},{"family":"Harker","given":"K. N."},{"family":"Hall","given":"L. M."},{"family":"Warwick","given":"S. I."},{"family":"Légère","given":"A."},{"family":"Sikkema","given":"P. H."},{"family":"Clayton","given":"G. W."},{"family":"Thomas","given":"A. G."},{"family":"Leeson","given":"J. Y."},{"family":"Séguin-Swartz","given":"G."},{"family":"Simard","given":"M. -J."}],"issued":{"date-parts":[["2006",10,10]]}}}],"schema":"https://github.com/citation-style-language/schema/raw/master/csl-citation.json"} </w:instrText>
      </w:r>
      <w:r w:rsidR="00F403A9" w:rsidRPr="00AF0477">
        <w:rPr>
          <w:rFonts w:eastAsia="MS Mincho"/>
          <w:color w:val="000000" w:themeColor="text1"/>
        </w:rPr>
        <w:fldChar w:fldCharType="separate"/>
      </w:r>
      <w:r w:rsidR="00AF0477" w:rsidRPr="00AF0477">
        <w:rPr>
          <w:color w:val="000000" w:themeColor="text1"/>
          <w:szCs w:val="24"/>
          <w:lang w:val="en-GB"/>
        </w:rPr>
        <w:t>[45]</w:t>
      </w:r>
      <w:r w:rsidR="00F403A9" w:rsidRPr="00AF0477">
        <w:rPr>
          <w:rFonts w:eastAsia="MS Mincho"/>
          <w:color w:val="000000" w:themeColor="text1"/>
        </w:rPr>
        <w:fldChar w:fldCharType="end"/>
      </w:r>
      <w:r w:rsidR="0055046B">
        <w:rPr>
          <w:rFonts w:eastAsia="MS Mincho"/>
          <w:color w:val="000000" w:themeColor="text1"/>
        </w:rPr>
        <w:t>,</w:t>
      </w:r>
      <w:r w:rsidR="00F403A9" w:rsidRPr="00AF0477">
        <w:rPr>
          <w:rFonts w:eastAsia="MS Mincho"/>
          <w:color w:val="000000" w:themeColor="text1"/>
        </w:rPr>
        <w:t xml:space="preserve"> </w:t>
      </w:r>
      <w:r w:rsidR="00F403A9"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{"citationID":"viChmEgw","properties":{"formattedCitation":"[46]","plainCitation":"[46]","noteIndex":0},"citationItems":[{"id":141,"uris":["http://zotero.org/users/14036693/items/2X9NWF4W"],"itemData":{"id":141,"type":"article-journal","abstract":"Glyphosate-resistant (GR) crops represent more than 80% of the 120 million ha of transgenic crops grown annually worldwide. GR crops have been rapidly adopted in soybean, maize, cotton, canola, and sugarbeet in large part because of the economic advantage of the technology, as well as the simple and superior weed control that glyphosate delivers. Furthermore, the GR crop/glyphosate technology is generally more environmentally benign than the weed management technologies that it replaced. In the Americas, except for Canada, adoption has meant continuous and intense selection pressure with glyphosate, resulting in evolution of GR weeds and shifts to weed species that are only partially controlled by glyphosate. This development is jeopardizing the benefits of this valuable technology. New transgenic crops with resistance to other herbicide classes -- in some cases coupled with glyphosate resistance -- will be introduced soon. If used wisely, these tools can be integrated into resistance management and prevention strategies. Greater diversity in weed management technologies is badly needed to preserve the utility of the GR crop/ glyphosate technology.","container-title":"http://www.agbioforum.missouri.edu/v12n34/v12n34a10-duke.htm","ISSN":"1522-936X","language":"eng","license":"OpenAccess.","note":"Accepted: 2010-04-21T15:41:38Z\npublisher: AgBioForum","source":"mospace.umsystem.edu","title":"Glyphosate-Resistant Crops and Weeds : Now and in the Future","title-short":"Glyphosate-Resistant Crops and Weeds","URL":"https://mospace.umsystem.edu/xmlui/handle/10355/6923","author":[{"family":"Duke","given":"Stephen O."},{"family":"Powles","given":"Stephen B."}],"accessed":{"date-parts":[["2024",5,29]]},"issued":{"date-parts":[["2009"]]}}}],"schema":"https://github.com/citation-style-language/schema/raw/master/csl-citation.json"} </w:instrText>
      </w:r>
      <w:r w:rsidR="00F403A9" w:rsidRPr="00AF0477">
        <w:rPr>
          <w:rFonts w:eastAsia="MS Mincho"/>
          <w:color w:val="000000" w:themeColor="text1"/>
        </w:rPr>
        <w:fldChar w:fldCharType="separate"/>
      </w:r>
      <w:r w:rsidR="00AF0477" w:rsidRPr="00AF0477">
        <w:rPr>
          <w:color w:val="000000" w:themeColor="text1"/>
          <w:szCs w:val="24"/>
          <w:lang w:val="en-GB"/>
        </w:rPr>
        <w:t>[46]</w:t>
      </w:r>
      <w:r w:rsidR="00F403A9" w:rsidRPr="00AF0477">
        <w:rPr>
          <w:rFonts w:eastAsia="MS Mincho"/>
          <w:color w:val="000000" w:themeColor="text1"/>
        </w:rPr>
        <w:fldChar w:fldCharType="end"/>
      </w:r>
      <w:r w:rsidR="0055046B">
        <w:rPr>
          <w:rFonts w:eastAsia="MS Mincho"/>
          <w:color w:val="000000" w:themeColor="text1"/>
        </w:rPr>
        <w:t>,</w:t>
      </w:r>
      <w:r w:rsidR="00870FDD" w:rsidRPr="00AF0477">
        <w:rPr>
          <w:rFonts w:eastAsia="MS Mincho"/>
          <w:color w:val="000000" w:themeColor="text1"/>
        </w:rPr>
        <w:t xml:space="preserve"> </w:t>
      </w:r>
      <w:r w:rsidR="00870FDD"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{"citationID":"elSjO7Ta","properties":{"formattedCitation":"[47]","plainCitation":"[47]","noteIndex":0},"citationItems":[{"id":144,"uris":["http://zotero.org/users/14036693/items/SE2II9QH"],"itemData":{"id":144,"type":"article-journal","abstract":"A phone survey was administered to 1,195 growers in six states (Illinois, Indiana, Iowa, Mississippi, Nebraska, and North Carolina). The survey measured producers' crop history, perception of glyphosate-resistant (GR) weeds, past and present weed pressure, tillage practices, and herbicide use as affected by the adoption of GR crops. This article describes the changes in tillage practice reported in the survey. The adoption of a GR cropping system resulted in a large increase in the percentage of growers using no-till and reduced-till systems. Tillage intensity declined more in continuous GR cotton and GR soybean (45 and 23%, respectively) than in rotations that included GR corn or non-GR crops. Tillage intensity declined more in the states of Mississippi and North Carolina than in the other states, with 33% of the growers in these states shifting to more conservative tillage practices after the adoption of a GR crop. This was primarily due to the lower amount of conservation tillage adoption in these states before GR crop availability. Adoption rates of no-till and reduced-till systems increased as farm size decreased. Overall, producers in a crop rotation that included a GR crop shifted from a relatively more tillage-intense system to reduced-till or no-till systems after implementing a GR crop into their production system.","container-title":"Weed Technology","DOI":"10.1614/WT-08-038.1","ISSN":"0890-037X, 1550-2740","issue":"1","language":"en","page":"150-155","source":"Cambridge University Press","title":"Survey of Tillage Trends Following the Adoption of Glyphosate-Resistant Crops","volume":"23","author":[{"family":"Givens","given":"Wade A."},{"family":"Shaw","given":"David R."},{"family":"Kruger","given":"Greg R."},{"family":"Johnson","given":"William G."},{"family":"Weller","given":"Stephen C."},{"family":"Young","given":"Bryan G."},{"family":"Wilson","given":"Robert G."},{"family":"Owen","given":"Micheal D. K."},{"family":"Jordan","given":"David"}],"issued":{"date-parts":[["2009",3]]}}}],"schema":"https://github.com/citation-style-language/schema/raw/master/csl-citation.json"} </w:instrText>
      </w:r>
      <w:r w:rsidR="00870FDD" w:rsidRPr="00AF0477">
        <w:rPr>
          <w:rFonts w:eastAsia="MS Mincho"/>
          <w:color w:val="000000" w:themeColor="text1"/>
        </w:rPr>
        <w:fldChar w:fldCharType="separate"/>
      </w:r>
      <w:r w:rsidR="00AF0477" w:rsidRPr="00AF0477">
        <w:rPr>
          <w:color w:val="000000" w:themeColor="text1"/>
          <w:szCs w:val="24"/>
          <w:lang w:val="en-GB"/>
        </w:rPr>
        <w:t>[47]</w:t>
      </w:r>
      <w:r w:rsidR="00870FDD" w:rsidRPr="00AF0477">
        <w:rPr>
          <w:rFonts w:eastAsia="MS Mincho"/>
          <w:color w:val="000000" w:themeColor="text1"/>
        </w:rPr>
        <w:fldChar w:fldCharType="end"/>
      </w:r>
      <w:r w:rsidRPr="00AF0477">
        <w:rPr>
          <w:rFonts w:eastAsia="MS Mincho"/>
          <w:color w:val="000000" w:themeColor="text1"/>
        </w:rPr>
        <w:t>. While these crops have significantly improved weed management, there is a concern about the potential transfer of resistant genetic traits from these crops to associated weeds.</w:t>
      </w:r>
    </w:p>
    <w:p w:rsidR="003B3F65" w:rsidRPr="00AF0477" w:rsidRDefault="003B3F65" w:rsidP="003B3F65">
      <w:pPr>
        <w:tabs>
          <w:tab w:val="left" w:pos="2235"/>
          <w:tab w:val="center" w:pos="4514"/>
        </w:tabs>
        <w:ind w:right="29"/>
        <w:jc w:val="both"/>
        <w:rPr>
          <w:rFonts w:eastAsia="MS Mincho"/>
          <w:color w:val="000000" w:themeColor="text1"/>
        </w:rPr>
      </w:pPr>
    </w:p>
    <w:p w:rsidR="005619CD" w:rsidRPr="00AF0477" w:rsidRDefault="005619CD" w:rsidP="005619CD">
      <w:pPr>
        <w:pStyle w:val="ListParagraph"/>
        <w:numPr>
          <w:ilvl w:val="0"/>
          <w:numId w:val="23"/>
        </w:numPr>
        <w:tabs>
          <w:tab w:val="left" w:pos="2235"/>
          <w:tab w:val="center" w:pos="4514"/>
        </w:tabs>
        <w:ind w:left="270" w:right="29" w:hanging="270"/>
        <w:jc w:val="both"/>
        <w:rPr>
          <w:rFonts w:eastAsia="MS Mincho"/>
          <w:b/>
          <w:bCs/>
          <w:color w:val="000000" w:themeColor="text1"/>
        </w:rPr>
      </w:pPr>
      <w:r w:rsidRPr="00AF0477">
        <w:rPr>
          <w:rFonts w:eastAsia="MS Mincho"/>
          <w:b/>
          <w:bCs/>
          <w:color w:val="000000" w:themeColor="text1"/>
        </w:rPr>
        <w:t>Remote sensing and UAVs</w:t>
      </w:r>
    </w:p>
    <w:p w:rsidR="00040B37" w:rsidRPr="00AF0477" w:rsidRDefault="00A4481E" w:rsidP="005619CD">
      <w:pPr>
        <w:tabs>
          <w:tab w:val="left" w:pos="2235"/>
          <w:tab w:val="center" w:pos="4514"/>
        </w:tabs>
        <w:ind w:right="29" w:firstLine="720"/>
        <w:jc w:val="both"/>
        <w:rPr>
          <w:rFonts w:eastAsia="MS Mincho"/>
          <w:color w:val="000000" w:themeColor="text1"/>
        </w:rPr>
      </w:pPr>
      <w:r w:rsidRPr="00AF0477">
        <w:rPr>
          <w:rFonts w:eastAsia="MS Mincho"/>
          <w:color w:val="000000" w:themeColor="text1"/>
        </w:rPr>
        <w:t>Site-specific weed management</w:t>
      </w:r>
      <w:r w:rsidRPr="00AF0477">
        <w:rPr>
          <w:rFonts w:eastAsia="MS Mincho"/>
          <w:b/>
          <w:bCs/>
          <w:color w:val="000000" w:themeColor="text1"/>
        </w:rPr>
        <w:t xml:space="preserve"> </w:t>
      </w:r>
      <w:r w:rsidRPr="00AF0477">
        <w:rPr>
          <w:rFonts w:eastAsia="MS Mincho"/>
          <w:color w:val="000000" w:themeColor="text1"/>
        </w:rPr>
        <w:t>is a progressive approach to achieving proficient, cost-effective and environmentally sustainable weed control.</w:t>
      </w:r>
      <w:r w:rsidR="00216385" w:rsidRPr="00AF0477">
        <w:rPr>
          <w:rFonts w:eastAsia="MS Mincho"/>
          <w:b/>
          <w:bCs/>
          <w:color w:val="000000" w:themeColor="text1"/>
        </w:rPr>
        <w:t xml:space="preserve"> </w:t>
      </w:r>
      <w:r w:rsidR="00216385" w:rsidRPr="00AF0477">
        <w:rPr>
          <w:rFonts w:eastAsia="MS Mincho"/>
          <w:color w:val="000000" w:themeColor="text1"/>
        </w:rPr>
        <w:t xml:space="preserve">Automated drones equipped with stationary high-resolution cameras </w:t>
      </w:r>
      <w:r w:rsidRPr="00AF0477">
        <w:rPr>
          <w:rFonts w:eastAsia="MS Mincho"/>
          <w:color w:val="000000" w:themeColor="text1"/>
        </w:rPr>
        <w:t>are</w:t>
      </w:r>
      <w:r w:rsidR="00216385" w:rsidRPr="00AF0477">
        <w:rPr>
          <w:rFonts w:eastAsia="MS Mincho"/>
          <w:color w:val="000000" w:themeColor="text1"/>
        </w:rPr>
        <w:t xml:space="preserve"> an effective modern approach for collecting data and controlling weeds </w:t>
      </w:r>
      <w:r w:rsidR="00216385"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{"citationID":"FhUTXwFJ","properties":{"formattedCitation":"[48]","plainCitation":"[48]","noteIndex":0},"citationItems":[{"id":135,"uris":["http://zotero.org/users/14036693/items/YFQH765Z"],"itemData":{"id":135,"type":"article-journal","container-title":"PLoS ONE","DOI":"10.1371/journal.pone.0077151","note":"ADS Bibcode: 2013PLoSO...877151P","page":"e77151","source":"NASA ADS","title":"Weed Mapping in Early-Season Maize Fields Using Object-Based Analysis of Unmanned Aerial Vehicle (UAV) Images","volume":"8","author":[{"family":"Peña","given":"José Manuel"},{"family":"Torres-Sánchez","given":"Jorge"},{"family":"Castro","given":"Ana Isabel","non-dropping-particle":"de"},{"family":"Kelly","given":"Maggi"},{"family":"López-Granados","given":"Francisca"}],"issued":{"date-parts":[["2013",10,1]]}}}],"schema":"https://github.com/citation-style-language/schema/raw/master/csl-citation.json"} </w:instrText>
      </w:r>
      <w:r w:rsidR="00216385" w:rsidRPr="00AF0477">
        <w:rPr>
          <w:rFonts w:eastAsia="MS Mincho"/>
          <w:color w:val="000000" w:themeColor="text1"/>
        </w:rPr>
        <w:fldChar w:fldCharType="separate"/>
      </w:r>
      <w:r w:rsidR="00AF0477" w:rsidRPr="00AF0477">
        <w:rPr>
          <w:color w:val="000000" w:themeColor="text1"/>
          <w:szCs w:val="24"/>
          <w:lang w:val="en-GB"/>
        </w:rPr>
        <w:t>[48]</w:t>
      </w:r>
      <w:r w:rsidR="00216385" w:rsidRPr="00AF0477">
        <w:rPr>
          <w:rFonts w:eastAsia="MS Mincho"/>
          <w:color w:val="000000" w:themeColor="text1"/>
        </w:rPr>
        <w:fldChar w:fldCharType="end"/>
      </w:r>
      <w:r w:rsidR="00216385" w:rsidRPr="00AF0477">
        <w:rPr>
          <w:rFonts w:eastAsia="MS Mincho"/>
          <w:color w:val="000000" w:themeColor="text1"/>
        </w:rPr>
        <w:t xml:space="preserve">. The inherent advantages of these UAVs include their ability to maneuver at low altitudes, quick deployment, frequent high-resolution imaging capabilities, effectiveness in operating despite cloud cover, adaptable positioning options and economic viability </w:t>
      </w:r>
      <w:r w:rsidR="00216385"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SzONHSDe","properties":{"formattedCitation":"[49]","plainCitation":"[49]","noteIndex":0},"citationItems":[{"id":128,"uris":["http://zotero.org/users/14036693/items/MVFLTUST"],"itemData":{"id":128,"type":"article-journal","language":"en","source":"Zotero","title":"138 Lightweight unmanned aerial vehicles will","author":[{"family":"Anderson","given":"Karen"},{"family":"Gaston","given":"Kevin J"}]}}],"schema":"https://github.com/citation-style-language/schema/raw/master/csl-citation.json"} </w:instrText>
      </w:r>
      <w:r w:rsidR="00216385" w:rsidRPr="00AF0477">
        <w:rPr>
          <w:rFonts w:eastAsia="MS Mincho"/>
          <w:color w:val="000000" w:themeColor="text1"/>
        </w:rPr>
        <w:fldChar w:fldCharType="separate"/>
      </w:r>
      <w:r w:rsidR="00AF0477" w:rsidRPr="00AF0477">
        <w:rPr>
          <w:color w:val="000000" w:themeColor="text1"/>
          <w:szCs w:val="24"/>
          <w:lang w:val="en-GB"/>
        </w:rPr>
        <w:t>[49]</w:t>
      </w:r>
      <w:r w:rsidR="00216385" w:rsidRPr="00AF0477">
        <w:rPr>
          <w:rFonts w:eastAsia="MS Mincho"/>
          <w:color w:val="000000" w:themeColor="text1"/>
        </w:rPr>
        <w:fldChar w:fldCharType="end"/>
      </w:r>
      <w:r w:rsidR="00216385" w:rsidRPr="00AF0477">
        <w:rPr>
          <w:rFonts w:eastAsia="MS Mincho"/>
          <w:color w:val="000000" w:themeColor="text1"/>
        </w:rPr>
        <w:t xml:space="preserve">. Collectively, these characteristics make UAVs practical tools for future automated weed management efforts </w:t>
      </w:r>
      <w:r w:rsidR="00216385"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{"citationID":"vpNgZgyY","properties":{"formattedCitation":"[50]","plainCitation":"[50]","noteIndex":0},"citationItems":[{"id":133,"uris":["http://zotero.org/users/14036693/items/CBGVUBQQ"],"itemData":{"id":133,"type":"article-journal","container-title":"Precision Agriculture","DOI":"10.1007/s11119-012-9274-5","issue":"6","note":"publisher: Springer Science and Business Media LLC","page":"693-712","source":"cir.nii.ac.jp","title":"The application of small unmanned aerial systems for precision agriculture: a review","title-short":"The application of small unmanned aerial systems for precision agriculture","volume":"13","author":[{"family":"Zhang","given":"Chunhua"},{"family":"Kovacs","given":"John M."}],"issued":{"date-parts":[["2012",7,31]]}}}],"schema":"https://github.com/citation-style-language/schema/raw/master/csl-citation.json"} </w:instrText>
      </w:r>
      <w:r w:rsidR="00216385" w:rsidRPr="00AF0477">
        <w:rPr>
          <w:rFonts w:eastAsia="MS Mincho"/>
          <w:color w:val="000000" w:themeColor="text1"/>
        </w:rPr>
        <w:fldChar w:fldCharType="separate"/>
      </w:r>
      <w:r w:rsidR="00AF0477" w:rsidRPr="00AF0477">
        <w:rPr>
          <w:color w:val="000000" w:themeColor="text1"/>
          <w:szCs w:val="24"/>
          <w:lang w:val="en-GB"/>
        </w:rPr>
        <w:t>[50]</w:t>
      </w:r>
      <w:r w:rsidR="00216385" w:rsidRPr="00AF0477">
        <w:rPr>
          <w:rFonts w:eastAsia="MS Mincho"/>
          <w:color w:val="000000" w:themeColor="text1"/>
        </w:rPr>
        <w:fldChar w:fldCharType="end"/>
      </w:r>
      <w:r w:rsidR="0055046B">
        <w:rPr>
          <w:rFonts w:eastAsia="MS Mincho"/>
          <w:color w:val="000000" w:themeColor="text1"/>
        </w:rPr>
        <w:t>,</w:t>
      </w:r>
      <w:r w:rsidR="00216385" w:rsidRPr="00AF0477">
        <w:rPr>
          <w:rFonts w:eastAsia="MS Mincho"/>
          <w:color w:val="000000" w:themeColor="text1"/>
        </w:rPr>
        <w:t xml:space="preserve"> </w:t>
      </w:r>
      <w:r w:rsidR="00216385"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{"citationID":"1FSUygIE","properties":{"formattedCitation":"[51]","plainCitation":"[51]","noteIndex":0},"citationItems":[{"id":137,"uris":["http://zotero.org/users/14036693/items/L5BHV39V"],"itemData":{"id":137,"type":"article-journal","abstract":"A new aerial platform has risen recently for image acquisition, the Unmanned Aerial Vehicle (UAV). This article describes the technical specifications and configuration of a UAV used to capture remote images for early season site- specific weed management (ESSWM). Image spatial and spectral properties required for weed seedling discrimination were also evaluated. Two different sensors, a still visible camera and a six-band multispectral camera, and three flight altitudes (30, 60 and 100 m) were tested over a naturally infested sunflower field. The main phases of the UAV workflow were the following: 1) mission planning, 2) UAV flight and image acquisition, and 3) image pre-processing. Three different aspects were needed to plan the route: flight area, camera specifications and UAV tasks. The pre-processing phase included the correct alignment of the six bands of the multispectral imagery and the orthorectification and mosaicking of the individual images captured in each flight. The image pixel size, area covered by each image and flight timing were very sensitive to flight altitude. At a lower altitude, the UAV captured images of finer spatial resolution, although the number of images needed to cover the whole field may be a limiting factor due to the energy required for a greater flight length and computational requirements for the further mosaicking process. Spectral differences between weeds, crop and bare soil were significant in the vegetation indices studied (Excess Green Index, Normalised Green-Red Difference Index and Normalised Difference Vegetation Index), mainly at a 30 m altitude. However, greater spectral separability was obtained between vegetation and bare soil with the index NDVI. These results suggest that an agreement among spectral and spatial resolutions is needed to optimise the flight mission according to every agronomical objective as affected by the size of the smaller object to be discriminated (weed plants or weed patches).","container-title":"PLOS ONE","DOI":"10.1371/journal.pone.0058210","ISSN":"1932-6203","issue":"3","journalAbbreviation":"PLOS ONE","language":"en","note":"publisher: Public Library of Science","page":"e58210","source":"PLoS Journals","title":"Configuration and Specifications of an Unmanned Aerial Vehicle (UAV) for Early Site Specific Weed Management","volume":"8","author":[{"family":"Torres-Sánchez","given":"Jorge"},{"family":"López-Granados","given":"Francisca"},{"family":"Castro","given":"Ana Isabel De"},{"family":"Peña-Barragán","given":"José Manuel"}],"issued":{"date-parts":[["2013",3,6]]}}}],"schema":"https://github.com/citation-style-language/schema/raw/master/csl-citation.json"} </w:instrText>
      </w:r>
      <w:r w:rsidR="00216385" w:rsidRPr="00AF0477">
        <w:rPr>
          <w:rFonts w:eastAsia="MS Mincho"/>
          <w:color w:val="000000" w:themeColor="text1"/>
        </w:rPr>
        <w:fldChar w:fldCharType="separate"/>
      </w:r>
      <w:r w:rsidR="00AF0477" w:rsidRPr="00AF0477">
        <w:rPr>
          <w:color w:val="000000" w:themeColor="text1"/>
          <w:szCs w:val="24"/>
          <w:lang w:val="en-GB"/>
        </w:rPr>
        <w:t>[51]</w:t>
      </w:r>
      <w:r w:rsidR="00216385" w:rsidRPr="00AF0477">
        <w:rPr>
          <w:rFonts w:eastAsia="MS Mincho"/>
          <w:color w:val="000000" w:themeColor="text1"/>
        </w:rPr>
        <w:fldChar w:fldCharType="end"/>
      </w:r>
      <w:r w:rsidR="00216385" w:rsidRPr="00AF0477">
        <w:rPr>
          <w:rFonts w:eastAsia="MS Mincho"/>
          <w:color w:val="000000" w:themeColor="text1"/>
        </w:rPr>
        <w:t xml:space="preserve">. But, the effectiveness and </w:t>
      </w:r>
      <w:r w:rsidR="0055046B">
        <w:rPr>
          <w:rFonts w:eastAsia="MS Mincho"/>
          <w:color w:val="000000" w:themeColor="text1"/>
        </w:rPr>
        <w:t>financial</w:t>
      </w:r>
      <w:r w:rsidR="00216385" w:rsidRPr="00AF0477">
        <w:rPr>
          <w:rFonts w:eastAsia="MS Mincho"/>
          <w:color w:val="000000" w:themeColor="text1"/>
        </w:rPr>
        <w:t xml:space="preserve"> viability of these systems in real-world conditions need to be studied through scientific research.</w:t>
      </w:r>
      <w:r w:rsidRPr="00AF0477">
        <w:rPr>
          <w:rFonts w:eastAsia="MS Mincho"/>
          <w:color w:val="000000" w:themeColor="text1"/>
        </w:rPr>
        <w:t xml:space="preserve"> </w:t>
      </w:r>
      <w:r w:rsidR="00D571BF" w:rsidRPr="00AF0477">
        <w:rPr>
          <w:rFonts w:eastAsia="MS Mincho"/>
          <w:color w:val="000000" w:themeColor="text1"/>
        </w:rPr>
        <w:t xml:space="preserve">Remote sensing is </w:t>
      </w:r>
      <w:r w:rsidRPr="00AF0477">
        <w:rPr>
          <w:rFonts w:eastAsia="MS Mincho"/>
          <w:color w:val="000000" w:themeColor="text1"/>
        </w:rPr>
        <w:t xml:space="preserve">another </w:t>
      </w:r>
      <w:r w:rsidR="00D571BF" w:rsidRPr="00AF0477">
        <w:rPr>
          <w:rFonts w:eastAsia="MS Mincho"/>
          <w:color w:val="000000" w:themeColor="text1"/>
        </w:rPr>
        <w:t xml:space="preserve">modern technology </w:t>
      </w:r>
      <w:r w:rsidR="00D143F7" w:rsidRPr="00AF0477">
        <w:rPr>
          <w:rFonts w:eastAsia="MS Mincho"/>
          <w:color w:val="000000" w:themeColor="text1"/>
        </w:rPr>
        <w:t xml:space="preserve">that helps in decision-making and is </w:t>
      </w:r>
      <w:r w:rsidR="00D571BF" w:rsidRPr="00AF0477">
        <w:rPr>
          <w:rFonts w:eastAsia="MS Mincho"/>
          <w:color w:val="000000" w:themeColor="text1"/>
        </w:rPr>
        <w:t>used in agriculture to ensure precise management of inputs and to identify the presence of weeds</w:t>
      </w:r>
      <w:r w:rsidR="00D55BB7" w:rsidRPr="00AF0477">
        <w:rPr>
          <w:rFonts w:eastAsia="MS Mincho"/>
          <w:color w:val="000000" w:themeColor="text1"/>
        </w:rPr>
        <w:t xml:space="preserve"> </w:t>
      </w:r>
      <w:r w:rsidR="00D55BB7"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{"citationID":"UhqEQg7E","properties":{"formattedCitation":"[52]","plainCitation":"[52]","noteIndex":0},"citationItems":[{"id":179,"uris":["http://zotero.org/users/14036693/items/DG4VYNSI"],"itemData":{"id":179,"type":"article-journal","abstract":"The accurate detection and treatment of weeds in agricultural fields is a necessary procedure for managing crop yield and avoiding herbicide pollution. With the emergence of unmanned aerial vehicles (UAV), the ability to acquire spatial data at the desired spatial and temporal resolution became available, and the resulting input data met high standards for weed management. In this paper, we tested four independent classification algorithms for the creation of weed maps, combining automatic and manual methods, as well as object-based and pixel-based classification approaches, which were used separately on two subsets. Input UAV data were collected using a low-cost RGB camera due to its affordability compared to multispectral cameras. Classification algorithms were based on the random forest machine learning algorithm for weed and bare soil extraction, following an unsupervised classification with the K-means algorithm for further estimation of weeds and bare soil presence in non-weed and non-soil areas. Of the four classification algorithms tested, the automatic object-based classification method achieved the highest classification accuracy, resulting in an overall accuracy of 89.0% for subset A and 87.1% for subset B. Automatic classification methods were robustly developed, using at least 0.25% of the scene size as the training data set in all circumstances anticipated for the random forest classification algorithm to operate. The use of the algorithm resulted in weed maps consisting of zoned classes and covering areas with similar biological properties, making them ready for use as inputs in weed treatments that use agricultural machinery.","container-title":"Computers and Electronics in Agriculture","DOI":"10.1016/j.compag.2020.105385","ISSN":"0168-1699","journalAbbreviation":"Computers and Electronics in Agriculture","page":"105385","source":"ScienceDirect","title":"An automatic method for weed mapping in oat fields based on UAV imagery","volume":"173","author":[{"family":"Gašparović","given":"Mateo"},{"family":"Zrinjski","given":"Mladen"},{"family":"Barković","given":"Đuro"},{"family":"Radočaj","given":"Dorijan"}],"issued":{"date-parts":[["2020",6,1]]}}}],"schema":"https://github.com/citation-style-language/schema/raw/master/csl-citation.json"} </w:instrText>
      </w:r>
      <w:r w:rsidR="00D55BB7" w:rsidRPr="00AF0477">
        <w:rPr>
          <w:rFonts w:eastAsia="MS Mincho"/>
          <w:color w:val="000000" w:themeColor="text1"/>
        </w:rPr>
        <w:fldChar w:fldCharType="separate"/>
      </w:r>
      <w:r w:rsidR="00AF0477" w:rsidRPr="00AF0477">
        <w:rPr>
          <w:color w:val="000000" w:themeColor="text1"/>
          <w:szCs w:val="24"/>
          <w:lang w:val="en-GB"/>
        </w:rPr>
        <w:t>[52]</w:t>
      </w:r>
      <w:r w:rsidR="00D55BB7" w:rsidRPr="00AF0477">
        <w:rPr>
          <w:rFonts w:eastAsia="MS Mincho"/>
          <w:color w:val="000000" w:themeColor="text1"/>
        </w:rPr>
        <w:fldChar w:fldCharType="end"/>
      </w:r>
      <w:r w:rsidR="00D571BF" w:rsidRPr="00AF0477">
        <w:rPr>
          <w:rFonts w:eastAsia="MS Mincho"/>
          <w:color w:val="000000" w:themeColor="text1"/>
        </w:rPr>
        <w:t xml:space="preserve">. </w:t>
      </w:r>
      <w:r w:rsidR="00D143F7" w:rsidRPr="00AF0477">
        <w:rPr>
          <w:rFonts w:eastAsia="MS Mincho"/>
          <w:color w:val="000000" w:themeColor="text1"/>
        </w:rPr>
        <w:t>It involves identifying weed patches, creating maps and promptly controlling them using machine vision while considering the economic feasibility</w:t>
      </w:r>
      <w:r w:rsidR="00216385" w:rsidRPr="00AF0477">
        <w:rPr>
          <w:rFonts w:eastAsia="MS Mincho"/>
          <w:color w:val="000000" w:themeColor="text1"/>
        </w:rPr>
        <w:t xml:space="preserve"> (Figure 2)</w:t>
      </w:r>
      <w:r w:rsidR="00656CA9" w:rsidRPr="00AF0477">
        <w:rPr>
          <w:rFonts w:eastAsia="MS Mincho"/>
          <w:color w:val="000000" w:themeColor="text1"/>
        </w:rPr>
        <w:t xml:space="preserve"> </w:t>
      </w:r>
      <w:r w:rsidR="00656CA9"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{"citationID":"GhKIXRie","properties":{"formattedCitation":"[53]","plainCitation":"[53]","noteIndex":0},"citationItems":[{"id":174,"uris":["http://zotero.org/users/14036693/items/NDIDTBV6"],"itemData":{"id":174,"type":"article-journal","abstract":"Mapping weed infestations in an annual crop has implications not only for site-specific herbicide applications but also for planning future management strategies and understanding weed ecology. A controlled laboratory experiment, involving detached leaves, was conducted to investigate the potential to discriminate two crop and five weed species using hyperspectral and multispectral remote sensing. Stepwise discriminant function analyses showed that reflectance in the visible and “red-edge” regions of the spectrum were consistently required for species discrimination. The seven species were correctly identified 90 and 89% of the time using the hyperspectral and multispectral data, respectively, and the classification rules derived from discriminant function analyses. Errant species prediction with the hyperspectral data resulted in a grass being predicted as a grass and a broadleaf as a broadleaf. However, for multispectral data, incorrect classifications were more serious because errant predictions sometimes resulted in a grass being classified as a broadleaf and vice-versa. Further studies using plants at a variety of growth stages, from a variety of environments, and at the canopy level are warranted.Additional index words: Hyperspectral, leaf reflectance, multispectral, Amaranthus retroflexus, Avena fatua, Brassica kaber, Chenopodium album, Setaria viridis, Brassica napus, Triticum aestivum, AMARE, AVEFA, CHEAL, SETVI, SINAR.Abbreviations: SMA, spectral mixture analysis.","container-title":"Weed Technology","DOI":"10.1614/WT02-179","ISSN":"0890-037X, 1550-2740","issue":"4","journalAbbreviation":"wete","note":"publisher: Weed Science Society of America","page":"811-820","source":"bioone.org","title":"Weed–Crop Discrimination Using Remote Sensing: A Detached Leaf Experiment1","title-short":"Weed–Crop Discrimination Using Remote Sensing","volume":"17","author":[{"family":"Smith","given":"Anne M."},{"family":"Blackshaw","given":"Robert E."}],"issued":{"date-parts":[["2003",10]]}}}],"schema":"https://github.com/citation-style-language/schema/raw/master/csl-citation.json"} </w:instrText>
      </w:r>
      <w:r w:rsidR="00656CA9" w:rsidRPr="00AF0477">
        <w:rPr>
          <w:rFonts w:eastAsia="MS Mincho"/>
          <w:color w:val="000000" w:themeColor="text1"/>
        </w:rPr>
        <w:fldChar w:fldCharType="separate"/>
      </w:r>
      <w:r w:rsidR="00AF0477" w:rsidRPr="00AF0477">
        <w:rPr>
          <w:color w:val="000000" w:themeColor="text1"/>
          <w:szCs w:val="24"/>
          <w:lang w:val="en-GB"/>
        </w:rPr>
        <w:t>[53]</w:t>
      </w:r>
      <w:r w:rsidR="00656CA9" w:rsidRPr="00AF0477">
        <w:rPr>
          <w:rFonts w:eastAsia="MS Mincho"/>
          <w:color w:val="000000" w:themeColor="text1"/>
        </w:rPr>
        <w:fldChar w:fldCharType="end"/>
      </w:r>
      <w:r w:rsidR="00D143F7" w:rsidRPr="00AF0477">
        <w:rPr>
          <w:rFonts w:eastAsia="MS Mincho"/>
          <w:color w:val="000000" w:themeColor="text1"/>
        </w:rPr>
        <w:t>. The variability in weed infestation across a space is the basis for implementing these systems.</w:t>
      </w:r>
      <w:r w:rsidR="00040B37" w:rsidRPr="00AF0477">
        <w:rPr>
          <w:rFonts w:eastAsia="MS Mincho"/>
          <w:color w:val="000000" w:themeColor="text1"/>
        </w:rPr>
        <w:t xml:space="preserve"> </w:t>
      </w:r>
      <w:r w:rsidR="00D571BF" w:rsidRPr="00AF0477">
        <w:rPr>
          <w:rFonts w:eastAsia="MS Mincho"/>
          <w:color w:val="000000" w:themeColor="text1"/>
        </w:rPr>
        <w:t>Weeds are typically concentrated in patches on agricultural lands and remote sensing is a valuable option to reduce herbicide usage and production costs by improving herbicide application efficiency</w:t>
      </w:r>
      <w:r w:rsidR="00F12286">
        <w:rPr>
          <w:rFonts w:eastAsia="MS Mincho"/>
          <w:color w:val="000000" w:themeColor="text1"/>
        </w:rPr>
        <w:t xml:space="preserve"> </w:t>
      </w:r>
      <w:r w:rsidR="00D55BB7"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{"citationID":"M05nOC54","properties":{"formattedCitation":"[54]","plainCitation":"[54]","noteIndex":0},"citationItems":[{"id":177,"uris":["http://zotero.org/users/14036693/items/J4B7WL9S"],"itemData":{"id":177,"type":"article-journal","abstract":"Weeds are unwanted plants that can reduce crop yields by competing for water, nutrients, light, space, and carbon dioxide, which need to be controlled to meet future food production requirements. The integration of drones, artificial intelligence, and various sensors, which include hyperspectral, multi-spectral, and RGB (red-green-blue), ensure the possibility of a better outcome in managing weed problems. Most of the major or minor challenges caused by weed infestation can be faced by implementing remote sensing systems in various agricultural tasks. It is a multi-disciplinary science that includes spectroscopy, optics, computer, photography, satellite launching, electronics, communication, and several other fields. Future challenges, including food security, sustainability, supply and demand, climate change, and herbicide resistance, can also be overcome by those technologies based on machine learning approaches. This review provides an overview of the potential and practical use of unmanned aerial vehicle and remote sensing techniques in weed management practices and discusses how they overcome future challenges.","container-title":"Agronomy","DOI":"10.3390/agronomy11091809","ISSN":"2073-4395","issue":"9","language":"en","license":"http://creativecommons.org/licenses/by/3.0/","note":"number: 9\npublisher: Multidisciplinary Digital Publishing Institute","page":"1809","source":"www.mdpi.com","title":"Using Remote Sensing and an Unmanned Aerial System for Weed Management in Agricultural Crops: A Review","title-short":"Using Remote Sensing and an Unmanned Aerial System for Weed Management in Agricultural Crops","volume":"11","author":[{"family":"Roslim","given":"Muhammad Huzaifah Mohd"},{"family":"Juraimi","given":"Abdul Shukor"},{"family":"Che’Ya","given":"Nik Norasma"},{"family":"Sulaiman","given":"Nursyazyla"},{"family":"Manaf","given":"Muhammad Noor Hazwan Abd"},{"family":"Ramli","given":"Zaid"},{"family":"Motmainna","given":"Mst"}],"issued":{"date-parts":[["2021",9]]}}}],"schema":"https://github.com/citation-style-language/schema/raw/master/csl-citation.json"} </w:instrText>
      </w:r>
      <w:r w:rsidR="00D55BB7" w:rsidRPr="00AF0477">
        <w:rPr>
          <w:rFonts w:eastAsia="MS Mincho"/>
          <w:color w:val="000000" w:themeColor="text1"/>
        </w:rPr>
        <w:fldChar w:fldCharType="separate"/>
      </w:r>
      <w:r w:rsidR="00AF0477" w:rsidRPr="00AF0477">
        <w:rPr>
          <w:color w:val="000000" w:themeColor="text1"/>
          <w:szCs w:val="24"/>
          <w:lang w:val="en-GB"/>
        </w:rPr>
        <w:t>[54]</w:t>
      </w:r>
      <w:r w:rsidR="00D55BB7" w:rsidRPr="00AF0477">
        <w:rPr>
          <w:rFonts w:eastAsia="MS Mincho"/>
          <w:color w:val="000000" w:themeColor="text1"/>
        </w:rPr>
        <w:fldChar w:fldCharType="end"/>
      </w:r>
      <w:r w:rsidR="00D571BF" w:rsidRPr="00AF0477">
        <w:rPr>
          <w:rFonts w:eastAsia="MS Mincho"/>
          <w:color w:val="000000" w:themeColor="text1"/>
        </w:rPr>
        <w:t>. Remote sensing relies on the differential spectral reflectance of weeds and other vegetation, such as crops, as well as the spectral resolution of the instrument being used</w:t>
      </w:r>
      <w:r w:rsidR="00656CA9" w:rsidRPr="00AF0477">
        <w:rPr>
          <w:rFonts w:eastAsia="MS Mincho"/>
          <w:color w:val="000000" w:themeColor="text1"/>
        </w:rPr>
        <w:t xml:space="preserve"> </w:t>
      </w:r>
      <w:r w:rsidR="00656CA9"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{"citationID":"GMkd0gDz","properties":{"formattedCitation":"[55]","plainCitation":"[55]","noteIndex":0},"citationItems":[{"id":175,"uris":["http://zotero.org/users/14036693/items/EWTGK5AW"],"itemData":{"id":175,"type":"article-journal","abstract":"The Lower Rio Grande Valley (LRGV) of south Texas is an agriculturally rich area supporting intensive production of vegetables, fruits, grain sorghum, and cotton. Modern agricultural practices involve the combined use of irrigation with the application of large amounts of agrochemicals to maximize crop yields. Intensive agricultural activities in past decades might have caused potential contamination of soil, surface water, and groundwater due to leaching of pesticides in the vadose zone. In an effort to promote precision farming in citrus production, this paper aims at developing an airborne multispectral technique for identifying tree health problems in a citrus grove that can be combined with variable rate technology (VRT) for required pesticide application and environmental modeling for assessment of pollution prevention. An unsupervised linear unmixing method was applied to classify the image for the grove and quantify the symptom severity for appropriate infection control. The PRZM-3 model was used to estimate environmental impacts that contribute to nonpoint source pollution with and without the use of multispectral remote sensing and VRT. Research findings using site-specific environmental assessment clearly indicate that combination of remote sensing and VRT may result in benefit to the environment by reducing the nonpoint source pollution by 92.15%. Overall, this study demonstrates the potential of precision farming for citrus production in the nexus of industrial ecology and agricultural sustainability.","container-title":"Journal of Environmental Management","DOI":"10.1016/j.jenvman.2006.11.019","ISSN":"0301-4797","issue":"1","journalAbbreviation":"Journal of Environmental Management","page":"14-26","source":"ScienceDirect","title":"Combination of multispectral remote sensing, variable rate technology and environmental modeling for citrus pest management","volume":"86","author":[{"family":"Du","given":"Qian"},{"family":"Chang","given":"Ni-Bin"},{"family":"Yang","given":"Chenghai"},{"family":"Srilakshmi","given":"Kanth R."}],"issued":{"date-parts":[["2008",1,1]]}}}],"schema":"https://github.com/citation-style-language/schema/raw/master/csl-citation.json"} </w:instrText>
      </w:r>
      <w:r w:rsidR="00656CA9" w:rsidRPr="00AF0477">
        <w:rPr>
          <w:rFonts w:eastAsia="MS Mincho"/>
          <w:color w:val="000000" w:themeColor="text1"/>
        </w:rPr>
        <w:fldChar w:fldCharType="separate"/>
      </w:r>
      <w:r w:rsidR="00AF0477" w:rsidRPr="00AF0477">
        <w:rPr>
          <w:color w:val="000000" w:themeColor="text1"/>
          <w:szCs w:val="24"/>
          <w:lang w:val="en-GB"/>
        </w:rPr>
        <w:t>[55]</w:t>
      </w:r>
      <w:r w:rsidR="00656CA9" w:rsidRPr="00AF0477">
        <w:rPr>
          <w:rFonts w:eastAsia="MS Mincho"/>
          <w:color w:val="000000" w:themeColor="text1"/>
        </w:rPr>
        <w:fldChar w:fldCharType="end"/>
      </w:r>
      <w:r w:rsidR="00D571BF" w:rsidRPr="00AF0477">
        <w:rPr>
          <w:rFonts w:eastAsia="MS Mincho"/>
          <w:color w:val="000000" w:themeColor="text1"/>
        </w:rPr>
        <w:t xml:space="preserve">. These two factors determine the effectiveness of remote sensing in mapping weeds. </w:t>
      </w:r>
    </w:p>
    <w:p w:rsidR="003B3F65" w:rsidRPr="00AF0477" w:rsidRDefault="003B3F65" w:rsidP="004A6653">
      <w:pPr>
        <w:tabs>
          <w:tab w:val="left" w:pos="2235"/>
          <w:tab w:val="center" w:pos="4514"/>
        </w:tabs>
        <w:ind w:right="29"/>
        <w:jc w:val="both"/>
        <w:rPr>
          <w:rFonts w:eastAsia="MS Mincho"/>
          <w:color w:val="000000" w:themeColor="text1"/>
        </w:rPr>
      </w:pPr>
    </w:p>
    <w:p w:rsidR="003B3F65" w:rsidRPr="00AF0477" w:rsidRDefault="00040B37" w:rsidP="00040B37">
      <w:pPr>
        <w:tabs>
          <w:tab w:val="left" w:pos="2235"/>
          <w:tab w:val="center" w:pos="4514"/>
        </w:tabs>
        <w:ind w:right="29" w:firstLine="720"/>
        <w:jc w:val="both"/>
        <w:rPr>
          <w:rFonts w:eastAsia="MS Mincho"/>
          <w:color w:val="000000" w:themeColor="text1"/>
        </w:rPr>
      </w:pPr>
      <w:r w:rsidRPr="00AF0477">
        <w:rPr>
          <w:rFonts w:eastAsia="MS Mincho"/>
          <w:color w:val="000000" w:themeColor="text1"/>
        </w:rPr>
        <w:lastRenderedPageBreak/>
        <w:t>In the modern agricultural era, achieving sustainable weed management requires the use of integrated strategies. These strategies may involve utilizing stacked gene crops in addition to a rotational application of herbicides to ensure effective weed control in various cropping systems.</w:t>
      </w:r>
    </w:p>
    <w:p w:rsidR="000D5CBE" w:rsidRDefault="000D5CBE" w:rsidP="00040B37">
      <w:pPr>
        <w:tabs>
          <w:tab w:val="left" w:pos="2235"/>
          <w:tab w:val="center" w:pos="4514"/>
        </w:tabs>
        <w:ind w:right="29" w:firstLine="720"/>
        <w:jc w:val="both"/>
        <w:rPr>
          <w:rFonts w:eastAsia="MS Mincho"/>
          <w:color w:val="000000" w:themeColor="text1"/>
        </w:rPr>
      </w:pPr>
    </w:p>
    <w:p w:rsidR="0083004B" w:rsidRPr="005F5BCA" w:rsidRDefault="0083004B" w:rsidP="0083004B">
      <w:pPr>
        <w:pStyle w:val="ListParagraph"/>
        <w:numPr>
          <w:ilvl w:val="0"/>
          <w:numId w:val="18"/>
        </w:numPr>
        <w:tabs>
          <w:tab w:val="left" w:pos="2235"/>
          <w:tab w:val="center" w:pos="4514"/>
        </w:tabs>
        <w:ind w:left="180" w:right="29" w:hanging="180"/>
        <w:rPr>
          <w:rFonts w:eastAsia="MS Mincho"/>
          <w:b/>
          <w:bCs/>
          <w:color w:val="000000" w:themeColor="text1"/>
        </w:rPr>
      </w:pPr>
      <w:r w:rsidRPr="00AF0477">
        <w:rPr>
          <w:rFonts w:eastAsia="MS Mincho"/>
          <w:b/>
          <w:bCs/>
          <w:color w:val="000000" w:themeColor="text1"/>
        </w:rPr>
        <w:t>SMART IRRIGATION</w:t>
      </w:r>
    </w:p>
    <w:p w:rsidR="0083004B" w:rsidRPr="00196441" w:rsidRDefault="0083004B" w:rsidP="0083004B">
      <w:pPr>
        <w:tabs>
          <w:tab w:val="left" w:pos="2235"/>
          <w:tab w:val="center" w:pos="4514"/>
        </w:tabs>
        <w:ind w:right="29"/>
        <w:jc w:val="both"/>
        <w:rPr>
          <w:rFonts w:eastAsia="MS Mincho"/>
          <w:color w:val="000000" w:themeColor="text1"/>
        </w:rPr>
      </w:pPr>
    </w:p>
    <w:p w:rsidR="0083004B" w:rsidRDefault="0083004B" w:rsidP="0083004B">
      <w:pPr>
        <w:tabs>
          <w:tab w:val="left" w:pos="2235"/>
          <w:tab w:val="center" w:pos="4514"/>
        </w:tabs>
        <w:ind w:right="29" w:firstLine="720"/>
        <w:jc w:val="both"/>
        <w:rPr>
          <w:rFonts w:eastAsia="MS Mincho"/>
          <w:color w:val="000000" w:themeColor="text1"/>
        </w:rPr>
      </w:pPr>
      <w:r w:rsidRPr="00196441">
        <w:rPr>
          <w:rFonts w:eastAsia="MS Mincho"/>
          <w:color w:val="000000" w:themeColor="text1"/>
        </w:rPr>
        <w:t>Water scarcity is a major issue in arid agriculture due to climate fluctuations, sporadic rainfall and high temperatures. Smart irrigation technologies can improve water use efficiency and productivity in arid regions, delivering water precisely when and where needed</w:t>
      </w:r>
      <w:r>
        <w:rPr>
          <w:rFonts w:eastAsia="MS Mincho"/>
          <w:color w:val="000000" w:themeColor="text1"/>
        </w:rPr>
        <w:t xml:space="preserve"> </w:t>
      </w:r>
      <w:r w:rsidRPr="00AF0477">
        <w:rPr>
          <w:rFonts w:eastAsia="MS Mincho"/>
          <w:color w:val="000000" w:themeColor="text1"/>
        </w:rPr>
        <w:fldChar w:fldCharType="begin"/>
      </w:r>
      <w:r w:rsidRPr="00AF0477">
        <w:rPr>
          <w:rFonts w:eastAsia="MS Mincho"/>
          <w:color w:val="000000" w:themeColor="text1"/>
        </w:rPr>
        <w:instrText xml:space="preserve"> ADDIN ZOTERO_ITEM CSL_CITATION {"citationID":"IcffxeGT","properties":{"formattedCitation":"[13]","plainCitation":"[13]","noteIndex":0},"citationItems":[{"id":15,"uris":["http://zotero.org/users/14036693/items/X29JNTTS"],"itemData":{"id":15,"type":"chapter","abstract":"Most of the impacts of climate change on agriculture are expected to result from changes in the water cycle. Because of this, the design of climate-smart agriculture (CSA) strategies will need to be viewed through a ‘water lens’. Climate change will affect both rainfed and irrigated agriculture through increased crop evapotranspiration, changes in the amount of rainfall, and variations in river runoff and groundwater recharge. The impact of climate change on water use in agriculture must be considered within a wider context in which a number of issues are taken into account including: increased water demand from all sectors; the degradation of water quality and heightened competition for water at various levels (community, river basin and aquifer). Climate change adaptation in the water sector includes a range of response options related to policies, investments, water management, institutional and technical factors. These options will need to be applied at different scales: on fields and farms; in irrigation schemes in watersheds or aquifers in river basins and at the national level. Therefore, it can be concluded that addressing the problem of water scarcity in across the globe would require the adjustment of irrigation practices. The aim of this scientific paper is to shed light on the new irrigation systems, how they can be applied, and what their benefits are.","container-title":"Water, Flood Management and Water Security Under a Changing Climate: Proceedings from the 7th International Conference on Water and Flood Management","event-place":"Cham","ISBN":"978-3-030-47786-8","language":"en","note":"DOI: 10.1007/978-3-030-47786-8_25","page":"361-370","publisher":"Springer International Publishing","publisher-place":"Cham","source":"Springer Link","title":"Climate Smart Agriculture and Intelligent Irrigation System for Management of Water Resources in Arid and Semi-Arid Regions – A Review","URL":"https://doi.org/10.1007/978-3-030-47786-8_25","author":[{"family":"Fawzy","given":"Zakaria Fouad"},{"family":"Shedeed","given":"Shaymaa I."}],"editor":[{"family":"Haque","given":"Anisul"},{"family":"Chowdhury","given":"Ahmed Ishtiaque Amin"}],"accessed":{"date-parts":[["2024",5,17]]},"issued":{"date-parts":[["2020"]]}}}],"schema":"https://github.com/citation-style-language/schema/raw/master/csl-citation.json"} </w:instrText>
      </w:r>
      <w:r w:rsidRPr="00AF0477">
        <w:rPr>
          <w:rFonts w:eastAsia="MS Mincho"/>
          <w:color w:val="000000" w:themeColor="text1"/>
        </w:rPr>
        <w:fldChar w:fldCharType="separate"/>
      </w:r>
      <w:r w:rsidRPr="00AF0477">
        <w:rPr>
          <w:color w:val="000000" w:themeColor="text1"/>
          <w:szCs w:val="24"/>
          <w:lang w:val="en-GB"/>
        </w:rPr>
        <w:t>[13]</w:t>
      </w:r>
      <w:r w:rsidRPr="00AF0477">
        <w:rPr>
          <w:rFonts w:eastAsia="MS Mincho"/>
          <w:color w:val="000000" w:themeColor="text1"/>
        </w:rPr>
        <w:fldChar w:fldCharType="end"/>
      </w:r>
      <w:r>
        <w:rPr>
          <w:rFonts w:eastAsia="MS Mincho"/>
          <w:color w:val="000000" w:themeColor="text1"/>
        </w:rPr>
        <w:t>,</w:t>
      </w:r>
      <w:r w:rsidRPr="00196441">
        <w:rPr>
          <w:rFonts w:eastAsia="MS Mincho"/>
          <w:color w:val="000000" w:themeColor="text1"/>
        </w:rPr>
        <w:t xml:space="preserve"> </w:t>
      </w:r>
      <w:r w:rsidRPr="00AF0477">
        <w:rPr>
          <w:rFonts w:eastAsia="MS Mincho"/>
          <w:color w:val="000000" w:themeColor="text1"/>
        </w:rPr>
        <w:fldChar w:fldCharType="begin"/>
      </w:r>
      <w:r w:rsidRPr="00AF0477">
        <w:rPr>
          <w:rFonts w:eastAsia="MS Mincho"/>
          <w:color w:val="000000" w:themeColor="text1"/>
        </w:rPr>
        <w:instrText xml:space="preserve"> ADDIN ZOTERO_ITEM CSL_CITATION {"citationID":"Gb1zndKu","properties":{"formattedCitation":"[14]","plainCitation":"[14]","noteIndex":0},"citationItems":[{"id":68,"uris":["http://zotero.org/users/14036693/items/JP5JDZRZ"],"itemData":{"id":68,"type":"chapter","page":"286","source":"ResearchGate","title":"Precision irrigation management: concepts and applications for higher use efficiency in field crops","title-short":"Precision irrigation management","author":[{"family":"Gurjar","given":"Dhara"}],"issued":{"date-parts":[["2019",2,1]]}}}],"schema":"https://github.com/citation-style-language/schema/raw/master/csl-citation.json"} </w:instrText>
      </w:r>
      <w:r w:rsidRPr="00AF0477">
        <w:rPr>
          <w:rFonts w:eastAsia="MS Mincho"/>
          <w:color w:val="000000" w:themeColor="text1"/>
        </w:rPr>
        <w:fldChar w:fldCharType="separate"/>
      </w:r>
      <w:r w:rsidRPr="00AF0477">
        <w:rPr>
          <w:color w:val="000000" w:themeColor="text1"/>
          <w:szCs w:val="24"/>
          <w:lang w:val="en-GB"/>
        </w:rPr>
        <w:t>[14]</w:t>
      </w:r>
      <w:r w:rsidRPr="00AF0477">
        <w:rPr>
          <w:rFonts w:eastAsia="MS Mincho"/>
          <w:color w:val="000000" w:themeColor="text1"/>
        </w:rPr>
        <w:fldChar w:fldCharType="end"/>
      </w:r>
      <w:r w:rsidRPr="00AF0477">
        <w:rPr>
          <w:rFonts w:eastAsia="MS Mincho"/>
          <w:color w:val="000000" w:themeColor="text1"/>
        </w:rPr>
        <w:t>.</w:t>
      </w:r>
      <w:r w:rsidRPr="00196441">
        <w:rPr>
          <w:rFonts w:eastAsia="MS Mincho"/>
          <w:color w:val="000000" w:themeColor="text1"/>
        </w:rPr>
        <w:t xml:space="preserve"> These technologies integrate firmware, software</w:t>
      </w:r>
      <w:r>
        <w:rPr>
          <w:rFonts w:eastAsia="MS Mincho"/>
          <w:color w:val="000000" w:themeColor="text1"/>
        </w:rPr>
        <w:t xml:space="preserve"> </w:t>
      </w:r>
      <w:r w:rsidRPr="00196441">
        <w:rPr>
          <w:rFonts w:eastAsia="MS Mincho"/>
          <w:color w:val="000000" w:themeColor="text1"/>
        </w:rPr>
        <w:t>and hardware</w:t>
      </w:r>
      <w:r>
        <w:rPr>
          <w:rFonts w:eastAsia="MS Mincho"/>
          <w:color w:val="000000" w:themeColor="text1"/>
        </w:rPr>
        <w:t xml:space="preserve"> </w:t>
      </w:r>
      <w:r w:rsidRPr="00AF0477">
        <w:rPr>
          <w:rFonts w:eastAsia="MS Mincho"/>
          <w:color w:val="000000" w:themeColor="text1"/>
        </w:rPr>
        <w:fldChar w:fldCharType="begin"/>
      </w:r>
      <w:r w:rsidRPr="00AF0477">
        <w:rPr>
          <w:rFonts w:eastAsia="MS Mincho"/>
          <w:color w:val="000000" w:themeColor="text1"/>
        </w:rPr>
        <w:instrText xml:space="preserve"> ADDIN ZOTERO_ITEM CSL_CITATION {"citationID":"bEFiwv3g","properties":{"formattedCitation":"[15]","plainCitation":"[15]","noteIndex":0},"citationItems":[{"id":6,"uris":["http://zotero.org/users/14036693/items/HXALC8CK"],"itemData":{"id":6,"type":"article-journal","abstract":"Agriculture faces the challenge of feeding a growing population with limited or depleting fresh water resources. Advances in irrigation systems and technologies allow site-specific application of irrigation water within the field to improve water use efficiency or reduce water usage for sustainable crop production, especially in arid and semi-arid regions. This paper discusses recent development of variable-rate irrigation (VRI) technologies, data and information for VRI application, and impacts of VRI, including profitability using this technology, with a focus on agronomic factors in precision water management. The development in sprinkler systems enabled irrigation application with greater precision at the scale of individual nozzle control. Further research is required to evaluate VRI prescription maps integrating different soil and crop characteristics in different environments. On-farm trials and whole-field studies are needed to provide support information for practical VRI applications. Future research also needs to address the adjustment of the spatial distribution of prescription zones in response to temporal variability in soil water status and crop growing conditions, which can be evaluated by incorporating remote and proximal sensing data. Comprehensive decision support tools are required to help the user decide where to apply how much irrigation water at different crop growth stages to optimize water use and crop production based on the regional climate conditions and cropping systems.","container-title":"Agronomy","DOI":"10.3390/agronomy9020087","ISSN":"2073-4395","issue":"2","language":"en","license":"http://creativecommons.org/licenses/by/3.0/","note":"number: 2\npublisher: Multidisciplinary Digital Publishing Institute","page":"87","source":"www.mdpi.com","title":"Agronomic Basis and Strategies for Precision Water Management: A Review","title-short":"Agronomic Basis and Strategies for Precision Water Management","volume":"9","author":[{"family":"Neupane","given":"Jasmine"},{"family":"Guo","given":"Wenxuan"}],"issued":{"date-parts":[["2019",2]]}}}],"schema":"https://github.com/citation-style-language/schema/raw/master/csl-citation.json"} </w:instrText>
      </w:r>
      <w:r w:rsidRPr="00AF0477">
        <w:rPr>
          <w:rFonts w:eastAsia="MS Mincho"/>
          <w:color w:val="000000" w:themeColor="text1"/>
        </w:rPr>
        <w:fldChar w:fldCharType="separate"/>
      </w:r>
      <w:r w:rsidRPr="00AF0477">
        <w:rPr>
          <w:color w:val="000000" w:themeColor="text1"/>
          <w:szCs w:val="24"/>
          <w:lang w:val="en-GB"/>
        </w:rPr>
        <w:t>[15]</w:t>
      </w:r>
      <w:r w:rsidRPr="00AF0477">
        <w:rPr>
          <w:rFonts w:eastAsia="MS Mincho"/>
          <w:color w:val="000000" w:themeColor="text1"/>
        </w:rPr>
        <w:fldChar w:fldCharType="end"/>
      </w:r>
      <w:r>
        <w:rPr>
          <w:rFonts w:eastAsia="MS Mincho"/>
          <w:color w:val="000000" w:themeColor="text1"/>
        </w:rPr>
        <w:t>,</w:t>
      </w:r>
      <w:r w:rsidRPr="00196441">
        <w:rPr>
          <w:rFonts w:eastAsia="MS Mincho"/>
          <w:color w:val="000000" w:themeColor="text1"/>
        </w:rPr>
        <w:t xml:space="preserve"> including artificial intelligence (AI) and deep learning (DL) </w:t>
      </w:r>
      <w:r w:rsidRPr="00AF0477">
        <w:rPr>
          <w:rFonts w:eastAsia="MS Mincho"/>
          <w:color w:val="000000" w:themeColor="text1"/>
        </w:rPr>
        <w:fldChar w:fldCharType="begin"/>
      </w:r>
      <w:r w:rsidRPr="00AF0477">
        <w:rPr>
          <w:rFonts w:eastAsia="MS Mincho"/>
          <w:color w:val="000000" w:themeColor="text1"/>
        </w:rPr>
        <w:instrText xml:space="preserve"> ADDIN ZOTERO_ITEM CSL_CITATION {"citationID":"jj8lyjKx","properties":{"formattedCitation":"[16]","plainCitation":"[16]","noteIndex":0},"citationItems":[{"id":18,"uris":["http://zotero.org/users/14036693/items/7NH45TLA"],"itemData":{"id":18,"type":"article-journal","abstract":"Many regions of the world have unpredictable rainfall, making agriculture impossible to sustain without diverse irrigation technologies. Irrigation has a huge impact on crop productivity, but traditional irrigation systems can be replaced with Advanced and Smart irrigation techniques, which can enhance production yield even more. In arid regions where water is scarce, drip irrigation is a good option because water is supplied at a low rate and it also saves a lot of water, whereas, in horticulture, sprinkler systems are widely used because they do not require large pipelines all over large lands and instead spray water droplets all over the area like rain. The purpose of this article is to analyze the various types of smart drip and sprinkler irrigation systems with the help of IoT and also find solution for the various challenges found in the various methods. Various irrigation technologies which include IoT are reviewed, with a focus on smart drip and sprinkler systems. Various comparisons have been conducted between various methods to find the most efficient one in both irrigation techniques. A table summarizing the similarities between the various methods is also presented. Finally, all of this leads to saving water and making farmers' work easier.","container-title":"Smart Agricultural Technology","DOI":"10.1016/j.atech.2023.100303","ISSN":"2772-3755","journalAbbreviation":"Smart Agricultural Technology","page":"100303","source":"ScienceDirect","title":"A comprehensive and systematic study in smart drip and sprinkler irrigation systems","volume":"5","author":[{"family":"Bhavsar","given":"Drashti"},{"family":"Limbasia","given":"Bhargav"},{"family":"Mori","given":"Yash"},{"family":"Imtiyazali Aglodiya","given":"Mohmmadali"},{"family":"Shah","given":"Manan"}],"issued":{"date-parts":[["2023",10,1]]}}}],"schema":"https://github.com/citation-style-language/schema/raw/master/csl-citation.json"} </w:instrText>
      </w:r>
      <w:r w:rsidRPr="00AF0477">
        <w:rPr>
          <w:rFonts w:eastAsia="MS Mincho"/>
          <w:color w:val="000000" w:themeColor="text1"/>
        </w:rPr>
        <w:fldChar w:fldCharType="separate"/>
      </w:r>
      <w:r w:rsidRPr="00AF0477">
        <w:rPr>
          <w:color w:val="000000" w:themeColor="text1"/>
          <w:szCs w:val="24"/>
          <w:lang w:val="en-GB"/>
        </w:rPr>
        <w:t>[16]</w:t>
      </w:r>
      <w:r w:rsidRPr="00AF0477">
        <w:rPr>
          <w:rFonts w:eastAsia="MS Mincho"/>
          <w:color w:val="000000" w:themeColor="text1"/>
        </w:rPr>
        <w:fldChar w:fldCharType="end"/>
      </w:r>
      <w:r w:rsidRPr="00AF0477">
        <w:rPr>
          <w:rFonts w:eastAsia="MS Mincho"/>
          <w:color w:val="000000" w:themeColor="text1"/>
        </w:rPr>
        <w:t>.</w:t>
      </w:r>
      <w:r w:rsidRPr="00196441">
        <w:rPr>
          <w:rFonts w:eastAsia="MS Mincho"/>
          <w:color w:val="000000" w:themeColor="text1"/>
        </w:rPr>
        <w:t xml:space="preserve"> Smart irrigation systems utilize field-based measurements, remote sensing and multiple sensory systems to monitor and control valves </w:t>
      </w:r>
      <w:r w:rsidRPr="00AF0477">
        <w:rPr>
          <w:rFonts w:eastAsia="MS Mincho"/>
          <w:color w:val="000000" w:themeColor="text1"/>
        </w:rPr>
        <w:t>(Figure 1)</w:t>
      </w:r>
      <w:r>
        <w:rPr>
          <w:rFonts w:eastAsia="MS Mincho"/>
          <w:color w:val="000000" w:themeColor="text1"/>
        </w:rPr>
        <w:t xml:space="preserve"> </w:t>
      </w:r>
      <w:r w:rsidRPr="00196441">
        <w:rPr>
          <w:rFonts w:eastAsia="MS Mincho"/>
          <w:color w:val="000000" w:themeColor="text1"/>
        </w:rPr>
        <w:t>and regulate pumps within an irrigation control framework, often involving Android mobile applications</w:t>
      </w:r>
      <w:r w:rsidRPr="00AF0477">
        <w:rPr>
          <w:rFonts w:eastAsia="MS Mincho"/>
          <w:color w:val="000000" w:themeColor="text1"/>
        </w:rPr>
        <w:fldChar w:fldCharType="begin"/>
      </w:r>
      <w:r w:rsidRPr="00AF0477">
        <w:rPr>
          <w:rFonts w:eastAsia="MS Mincho"/>
          <w:color w:val="000000" w:themeColor="text1"/>
        </w:rPr>
        <w:instrText xml:space="preserve"> ADDIN ZOTERO_ITEM CSL_CITATION {"citationID":"B4yAz8mN","properties":{"formattedCitation":"[17]","plainCitation":"[17]","noteIndex":0},"citationItems":[{"id":"tkNNqo55/dZTvkPq2","uris":["http://zotero.org/users/14036693/items/RLLWRL6I"],"itemData":{"id":63,"type":"document","title":"Zhu et al. - 2018 - Review of intelligent sprinkler irrigation technol.pdf","URL":"https://pdfs.semanticscholar.org/020f/2b794db55686ce896c74fbb321a054be567c.pdf","accessed":{"date-parts":[["2024",5,28]]}}}],"schema":"https://github.com/citation-style-language/schema/raw/master/csl-citation.json"} </w:instrText>
      </w:r>
      <w:r w:rsidRPr="00AF0477">
        <w:rPr>
          <w:rFonts w:eastAsia="MS Mincho"/>
          <w:color w:val="000000" w:themeColor="text1"/>
        </w:rPr>
        <w:fldChar w:fldCharType="separate"/>
      </w:r>
      <w:r w:rsidRPr="00AF0477">
        <w:rPr>
          <w:color w:val="000000" w:themeColor="text1"/>
          <w:szCs w:val="24"/>
          <w:lang w:val="en-GB"/>
        </w:rPr>
        <w:t>[17]</w:t>
      </w:r>
      <w:r w:rsidRPr="00AF0477">
        <w:rPr>
          <w:rFonts w:eastAsia="MS Mincho"/>
          <w:color w:val="000000" w:themeColor="text1"/>
        </w:rPr>
        <w:fldChar w:fldCharType="end"/>
      </w:r>
      <w:r w:rsidRPr="00AF0477">
        <w:rPr>
          <w:rFonts w:eastAsia="MS Mincho"/>
          <w:color w:val="000000" w:themeColor="text1"/>
        </w:rPr>
        <w:t>.</w:t>
      </w:r>
      <w:r w:rsidRPr="00196441">
        <w:rPr>
          <w:rFonts w:eastAsia="MS Mincho"/>
          <w:color w:val="000000" w:themeColor="text1"/>
        </w:rPr>
        <w:t xml:space="preserve"> These technologies aim to minimize water wastage, improve irrigation efficiency and optimize water usage in farming. By monitoring soil moisture levels and temperature, smart irrigation systems deliver precise amounts of water to plants, preventing water overflow and leaching</w:t>
      </w:r>
      <w:r>
        <w:rPr>
          <w:rFonts w:eastAsia="MS Mincho"/>
          <w:color w:val="000000" w:themeColor="text1"/>
        </w:rPr>
        <w:t xml:space="preserve"> </w:t>
      </w:r>
      <w:r w:rsidRPr="00AF0477">
        <w:rPr>
          <w:rFonts w:eastAsia="MS Mincho"/>
          <w:color w:val="000000" w:themeColor="text1"/>
        </w:rPr>
        <w:fldChar w:fldCharType="begin"/>
      </w:r>
      <w:r w:rsidRPr="00AF0477">
        <w:rPr>
          <w:rFonts w:eastAsia="MS Mincho"/>
          <w:color w:val="000000" w:themeColor="text1"/>
        </w:rPr>
        <w:instrText xml:space="preserve"> ADDIN ZOTERO_ITEM CSL_CITATION {"citationID":"RnlA5ShM","properties":{"formattedCitation":"[20]","plainCitation":"[20]","noteIndex":0},"citationItems":[{"id":4,"uris":["http://zotero.org/users/14036693/items/IQXDLD4T"],"itemData":{"id":4,"type":"article-journal","abstract":"Monitoring soil water content at high spatio-temporal resolution and coupled to other sensor data is crucial for applications oriented towards water sustainability in agriculture, such as precision irrigation or phenotyping root traits for drought tolerance. The cost of instrumentation, however, limits measurement frequency and number of sensors. The objective of this work was to design a low cost “open hardware” platform for multi-sensor measurements including water content at different depths, air and soil temperatures. The system is based on an open-source ARDUINO microcontroller-board, programmed in a simple integrated development environment (IDE). Low cost high-frequency dielectric probes were used in the platform and lab tested on three non-saline soils  (ECe1: 2.5 &lt; 0.1 mS/cm). Empirical calibration curves were subjected to cross-validation (leave-one-out method), and normalized root mean square error (NRMSE) were respectively 0.09 for the overall model, 0.09 for the sandy soil, 0.07 for the clay loam and 0.08 for the sandy loam. The overall model (pooled soil data) fitted the data very well (R2 = 0.89) showing a high stability, being able to generate very similar RMSEs during training and validation (RMSEtraining = 2.63; RMSEvalidation = 2.61). Data recorded on the card were automatically sent to a remote server allowing repeated field-data quality checks. This work provides a framework for the replication and upgrading of a customized low cost platform, consistent with the open source approach whereby sharing information on equipment design and software facilitates the adoption and continuous improvement of existing technologies.","container-title":"Sensors","DOI":"10.3390/s141019639","ISSN":"1424-8220","issue":"10","language":"en","license":"http://creativecommons.org/licenses/by/3.0/","note":"number: 10\npublisher: Multidisciplinary Digital Publishing Institute","page":"19639-19659","source":"www.mdpi.com","title":"A Novel Low-Cost Open-Hardware Platform for Monitoring Soil Water Content and Multiple Soil-Air-Vegetation Parameters","volume":"14","author":[{"family":"Bitella","given":"Giovanni"},{"family":"Rossi","given":"Roberta"},{"family":"Bochicchio","given":"Rocco"},{"family":"Perniola","given":"Michele"},{"family":"Amato","given":"Mariana"}],"issued":{"date-parts":[["2014",10]]}}}],"schema":"https://github.com/citation-style-language/schema/raw/master/csl-citation.json"} </w:instrText>
      </w:r>
      <w:r w:rsidRPr="00AF0477">
        <w:rPr>
          <w:rFonts w:eastAsia="MS Mincho"/>
          <w:color w:val="000000" w:themeColor="text1"/>
        </w:rPr>
        <w:fldChar w:fldCharType="separate"/>
      </w:r>
      <w:r w:rsidRPr="00AF0477">
        <w:rPr>
          <w:color w:val="000000" w:themeColor="text1"/>
          <w:szCs w:val="24"/>
          <w:lang w:val="en-GB"/>
        </w:rPr>
        <w:t>[20]</w:t>
      </w:r>
      <w:r w:rsidRPr="00AF0477">
        <w:rPr>
          <w:rFonts w:eastAsia="MS Mincho"/>
          <w:color w:val="000000" w:themeColor="text1"/>
        </w:rPr>
        <w:fldChar w:fldCharType="end"/>
      </w:r>
      <w:r w:rsidRPr="00AF0477">
        <w:rPr>
          <w:rFonts w:eastAsia="MS Mincho"/>
          <w:color w:val="000000" w:themeColor="text1"/>
        </w:rPr>
        <w:t>.</w:t>
      </w:r>
      <w:r>
        <w:rPr>
          <w:rFonts w:eastAsia="MS Mincho"/>
          <w:color w:val="000000" w:themeColor="text1"/>
        </w:rPr>
        <w:t xml:space="preserve"> </w:t>
      </w:r>
      <w:r w:rsidRPr="00196441">
        <w:rPr>
          <w:rFonts w:eastAsia="MS Mincho"/>
          <w:color w:val="000000" w:themeColor="text1"/>
        </w:rPr>
        <w:t>They also enable predictive irrigation systems using machine learning methods and wireless communication systems to adjust water flow based on plant identification and real-time data analysis. This approach enhances water use efficiency, increases yields, reduces fertilizer use, lowers labor expenses and conserves energy</w:t>
      </w:r>
      <w:r>
        <w:rPr>
          <w:rFonts w:eastAsia="MS Mincho"/>
          <w:color w:val="000000" w:themeColor="text1"/>
        </w:rPr>
        <w:t xml:space="preserve"> </w:t>
      </w:r>
      <w:r w:rsidRPr="00AF0477">
        <w:rPr>
          <w:rFonts w:eastAsia="MS Mincho"/>
          <w:color w:val="000000" w:themeColor="text1"/>
        </w:rPr>
        <w:fldChar w:fldCharType="begin"/>
      </w:r>
      <w:r w:rsidRPr="00AF0477">
        <w:rPr>
          <w:rFonts w:eastAsia="MS Mincho"/>
          <w:color w:val="000000" w:themeColor="text1"/>
        </w:rPr>
        <w:instrText xml:space="preserve"> ADDIN ZOTERO_ITEM CSL_CITATION {"citationID":"uAIKt7ir","properties":{"formattedCitation":"[18]","plainCitation":"[18]","noteIndex":0},"citationItems":[{"id":66,"uris":["http://zotero.org/users/14036693/items/UN47YH86"],"itemData":{"id":66,"type":"paper-conference","abstract":"The number of devices connected to the Internet is experiencing an explosive growth. The interconnection of smart objects embedded with sensors enables them to interact with the environment and among themselves, forming a Wireless Sensor Network (WSN). These network nodes perform acquisition, collection and analysis of data, such as temperature and soil moisture. Such data can be employed to automate the irrigation process in agriculture while decreasing water consumption, resulting in monetary and environmental benefits. The high storage and processing capabilities, the rapid elasticity and payper-use characteristics makes Cloud Computing an attractive solution to the large amount of data generated by the WSN. This paper proposes and evaluates on a real deployment a cloud-based Wireless Sensor and Actuator Network (WSAN) communication system. This solution monitors and controls a set of sensors and actuators, respectively, to assess plants water needs.","container-title":"2015 IEEE 2nd World Forum on Internet of Things (WF-IoT)","DOI":"10.1109/WF-IoT.2015.7389138","event-title":"2015 IEEE 2nd World Forum on Internet of Things (WF-IoT)","page":"693-698","source":"IEEE Xplore","title":"Wireless sensor and actuator system for smart irrigation on the cloud","URL":"https://ieeexplore.ieee.org/abstract/document/7389138","author":[{"family":"Sales","given":"Nelson"},{"family":"Remédios","given":"Orlando"},{"family":"Arsenio","given":"Artur"}],"accessed":{"date-parts":[["2024",5,28]]},"issued":{"date-parts":[["2015",12]]}}}],"schema":"https://github.com/citation-style-language/schema/raw/master/csl-citation.json"} </w:instrText>
      </w:r>
      <w:r w:rsidRPr="00AF0477">
        <w:rPr>
          <w:rFonts w:eastAsia="MS Mincho"/>
          <w:color w:val="000000" w:themeColor="text1"/>
        </w:rPr>
        <w:fldChar w:fldCharType="separate"/>
      </w:r>
      <w:r w:rsidRPr="00AF0477">
        <w:rPr>
          <w:color w:val="000000" w:themeColor="text1"/>
          <w:szCs w:val="24"/>
          <w:lang w:val="en-GB"/>
        </w:rPr>
        <w:t>[18]</w:t>
      </w:r>
      <w:r w:rsidRPr="00AF0477">
        <w:rPr>
          <w:rFonts w:eastAsia="MS Mincho"/>
          <w:color w:val="000000" w:themeColor="text1"/>
        </w:rPr>
        <w:fldChar w:fldCharType="end"/>
      </w:r>
      <w:r>
        <w:rPr>
          <w:rFonts w:eastAsia="MS Mincho"/>
          <w:color w:val="000000" w:themeColor="text1"/>
        </w:rPr>
        <w:t>,</w:t>
      </w:r>
      <w:r w:rsidRPr="00AF0477">
        <w:rPr>
          <w:rFonts w:eastAsia="MS Mincho"/>
          <w:color w:val="000000" w:themeColor="text1"/>
        </w:rPr>
        <w:t xml:space="preserve"> </w:t>
      </w:r>
      <w:r w:rsidRPr="00AF0477">
        <w:rPr>
          <w:rFonts w:eastAsia="MS Mincho"/>
          <w:color w:val="000000" w:themeColor="text1"/>
        </w:rPr>
        <w:fldChar w:fldCharType="begin"/>
      </w:r>
      <w:r w:rsidRPr="00AF0477">
        <w:rPr>
          <w:rFonts w:eastAsia="MS Mincho"/>
          <w:color w:val="000000" w:themeColor="text1"/>
        </w:rPr>
        <w:instrText xml:space="preserve"> ADDIN ZOTERO_ITEM CSL_CITATION {"citationID":"YQW5cPsw","properties":{"formattedCitation":"[19]","plainCitation":"[19]","noteIndex":0},"citationItems":[{"id":12,"uris":["http://zotero.org/users/14036693/items/P3UVRZ43"],"itemData":{"id":12,"type":"article-journal","abstract":"Here, two types of smart irrigation controllers intended to reduce irrigation water are investigated under Saudi Arabia’s present water crisis scenario. These controllers are specially made for scheduling irrigation and management of landscaping. Consequently, the aim of this study is to adapt the efficient automated controllers to tomato crops, and for extension to other similar agricultural crops. The controllers are based on evapotranspiration and have been shown to be promising tools for scheduling irrigation and quantifying the water required by plants to achieve water savings. In particular, the study aims to evaluate the effectiveness of these technologies (SmartLine SL 1600and Hunter Pro-C) in terms of the amount of irrigation applied and compare them with conventional irrigation scheduling methods. The smart irrigation systems were implemented and tested under drip irrigation and subsurface irrigation for tomato (cv. Nema) in an arid region. The results revealed significant differences between the three irrigation-scheduling methods in both the amount of applied water and yield. For example, each 1 mm water depth applied to the tomato crop via subsurface (or drip) irrigation by SmartLine, Hunter Pro-C, and the control system yielded 129.70 kg (70.33 kg), 161.50 kg (93.47 kg), and 109.78 kg (108.32 kg), respectively. Generally, the data analysis indicates that the Hunter Pro-C system saves water and produces a higher yield with the greatest irrigation water-use efficiency (IWUE) of the irrigation scheduling methods considered. Moreover, the results indicate that the subsurface irrigation system produced a higher yield and IWUE than the drip system.","container-title":"Crop and Pasture Science","DOI":"10.1071/CP15065","ISSN":"1836-5795","issue":"10","journalAbbreviation":"Crop Pasture Sci.","language":"en","note":"publisher: CSIRO PUBLISHING","page":"1086-1095","source":"www.publish.csiro.au","title":"Assessment of smart irrigation controllers under subsurface and drip-irrigation systems for tomato yield in arid regions","volume":"66","author":[{"family":"Al-Ghobari","given":"H. M."},{"family":"Mohammad","given":"F. S."},{"family":"Marazky","given":"M. S. A. El"}],"issued":{"date-parts":[["2015",9,22]]}}}],"schema":"https://github.com/citation-style-language/schema/raw/master/csl-citation.json"} </w:instrText>
      </w:r>
      <w:r w:rsidRPr="00AF0477">
        <w:rPr>
          <w:rFonts w:eastAsia="MS Mincho"/>
          <w:color w:val="000000" w:themeColor="text1"/>
        </w:rPr>
        <w:fldChar w:fldCharType="separate"/>
      </w:r>
      <w:r w:rsidRPr="00AF0477">
        <w:rPr>
          <w:color w:val="000000" w:themeColor="text1"/>
          <w:szCs w:val="24"/>
          <w:lang w:val="en-GB"/>
        </w:rPr>
        <w:t>[19]</w:t>
      </w:r>
      <w:r w:rsidRPr="00AF0477">
        <w:rPr>
          <w:rFonts w:eastAsia="MS Mincho"/>
          <w:color w:val="000000" w:themeColor="text1"/>
        </w:rPr>
        <w:fldChar w:fldCharType="end"/>
      </w:r>
      <w:r w:rsidRPr="00AF0477">
        <w:rPr>
          <w:rFonts w:eastAsia="MS Mincho"/>
          <w:color w:val="000000" w:themeColor="text1"/>
        </w:rPr>
        <w:t>.</w:t>
      </w:r>
      <w:r>
        <w:rPr>
          <w:rFonts w:eastAsia="MS Mincho"/>
          <w:color w:val="000000" w:themeColor="text1"/>
        </w:rPr>
        <w:t xml:space="preserve"> </w:t>
      </w:r>
      <w:r w:rsidRPr="00196441">
        <w:rPr>
          <w:rFonts w:eastAsia="MS Mincho"/>
          <w:color w:val="000000" w:themeColor="text1"/>
        </w:rPr>
        <w:t xml:space="preserve">Smart irrigation systems utilize various </w:t>
      </w:r>
      <w:r>
        <w:rPr>
          <w:rFonts w:eastAsia="MS Mincho"/>
          <w:color w:val="000000" w:themeColor="text1"/>
        </w:rPr>
        <w:t xml:space="preserve">sensor based </w:t>
      </w:r>
      <w:r w:rsidRPr="00196441">
        <w:rPr>
          <w:rFonts w:eastAsia="MS Mincho"/>
          <w:color w:val="000000" w:themeColor="text1"/>
        </w:rPr>
        <w:t xml:space="preserve">monitoring systems </w:t>
      </w:r>
      <w:r>
        <w:rPr>
          <w:rFonts w:eastAsia="MS Mincho"/>
          <w:color w:val="000000" w:themeColor="text1"/>
        </w:rPr>
        <w:t>for</w:t>
      </w:r>
      <w:r w:rsidRPr="00196441">
        <w:rPr>
          <w:rFonts w:eastAsia="MS Mincho"/>
          <w:color w:val="000000" w:themeColor="text1"/>
        </w:rPr>
        <w:t xml:space="preserve"> resource allocation</w:t>
      </w:r>
      <w:r>
        <w:rPr>
          <w:rFonts w:eastAsia="MS Mincho"/>
          <w:color w:val="000000" w:themeColor="text1"/>
        </w:rPr>
        <w:t xml:space="preserve"> </w:t>
      </w:r>
      <w:r w:rsidRPr="00AF0477">
        <w:rPr>
          <w:rFonts w:eastAsia="MS Mincho"/>
          <w:color w:val="000000" w:themeColor="text1"/>
        </w:rPr>
        <w:fldChar w:fldCharType="begin"/>
      </w:r>
      <w:r w:rsidRPr="00AF0477">
        <w:rPr>
          <w:rFonts w:eastAsia="MS Mincho"/>
          <w:color w:val="000000" w:themeColor="text1"/>
        </w:rPr>
        <w:instrText xml:space="preserve"> ADDIN ZOTERO_ITEM CSL_CITATION {"citationID":"3iwbuTBK","properties":{"formattedCitation":"[21]","plainCitation":"[21]","noteIndex":0},"citationItems":[{"id":20,"uris":["http://zotero.org/users/14036693/items/IZYEVYGS"],"itemData":{"id":20,"type":"article-journal","abstract":"Water management is paramount in countries with water scarcity. This also affects agriculture, as a large amount of water is dedicated to that use. The possible consequences of global warming lead to the consideration of creating water adaptation measures to ensure the availability of water for food production and consumption. Thus, studies aimed at saving water usage in the irrigation process have increased over the years. Typical commercial sensors for agriculture irrigation systems are very expensive, making it impossible for smaller farmers to implement this type of system. However, manufacturers are currently offering low-cost sensors that can be connected to nodes to implement affordable systems for irrigation management and agriculture monitoring. Due to the recent advances in IoT and WSN technologies that can be applied in the development of these systems, we present a survey aimed at summarizing the current state of the art regarding smart irrigation systems. We determine the parameters that are monitored in irrigation systems regarding water quantity and quality, soil characteristics and weather conditions. We provide an overview of the most utilized nodes and wireless technologies. Lastly, we will discuss the challenges and the best practices for the implementation of sensor-based irrigation systems.","container-title":"Sensors","DOI":"10.3390/s20041042","ISSN":"1424-8220","issue":"4","language":"en","license":"http://creativecommons.org/licenses/by/3.0/","note":"number: 4\npublisher: Multidisciplinary Digital Publishing Institute","page":"1042","source":"www.mdpi.com","title":"IoT-Based Smart Irrigation Systems: An Overview on the Recent Trends on Sensors and IoT Systems for Irrigation in Precision Agriculture","title-short":"IoT-Based Smart Irrigation Systems","volume":"20","author":[{"family":"García","given":"Laura"},{"family":"Parra","given":"Lorena"},{"family":"Jimenez","given":"Jose M."},{"family":"Lloret","given":"Jaime"},{"family":"Lorenz","given":"Pascal"}],"issued":{"date-parts":[["2020",1]]}}}],"schema":"https://github.com/citation-style-language/schema/raw/master/csl-citation.json"} </w:instrText>
      </w:r>
      <w:r w:rsidRPr="00AF0477">
        <w:rPr>
          <w:rFonts w:eastAsia="MS Mincho"/>
          <w:color w:val="000000" w:themeColor="text1"/>
        </w:rPr>
        <w:fldChar w:fldCharType="separate"/>
      </w:r>
      <w:r w:rsidRPr="00AF0477">
        <w:rPr>
          <w:color w:val="000000" w:themeColor="text1"/>
          <w:szCs w:val="24"/>
          <w:lang w:val="en-GB"/>
        </w:rPr>
        <w:t>[21]</w:t>
      </w:r>
      <w:r w:rsidRPr="00AF0477">
        <w:rPr>
          <w:rFonts w:eastAsia="MS Mincho"/>
          <w:color w:val="000000" w:themeColor="text1"/>
        </w:rPr>
        <w:fldChar w:fldCharType="end"/>
      </w:r>
      <w:r>
        <w:rPr>
          <w:rFonts w:eastAsia="MS Mincho"/>
          <w:color w:val="000000" w:themeColor="text1"/>
        </w:rPr>
        <w:t>,</w:t>
      </w:r>
      <w:r w:rsidRPr="00AF0477">
        <w:rPr>
          <w:rFonts w:eastAsia="MS Mincho"/>
          <w:color w:val="000000" w:themeColor="text1"/>
        </w:rPr>
        <w:t xml:space="preserve"> </w:t>
      </w:r>
      <w:r w:rsidRPr="00AF0477">
        <w:rPr>
          <w:rFonts w:eastAsia="MS Mincho"/>
          <w:color w:val="000000" w:themeColor="text1"/>
        </w:rPr>
        <w:fldChar w:fldCharType="begin"/>
      </w:r>
      <w:r w:rsidRPr="00AF0477">
        <w:rPr>
          <w:rFonts w:eastAsia="MS Mincho"/>
          <w:color w:val="000000" w:themeColor="text1"/>
        </w:rPr>
        <w:instrText xml:space="preserve"> ADDIN ZOTERO_ITEM CSL_CITATION {"citationID":"Pz62n2GE","properties":{"formattedCitation":"[5]","plainCitation":"[5]","noteIndex":0},"citationItems":[{"id":10,"uris":["http://zotero.org/users/14036693/items/SDWARJY2"],"itemData":{"id":10,"type":"article-journal","abstract":"The demand for freshwater is on the increase due to the rapid growth in the world’s population while the effect of global warming and climate change cause severe threat to water use and food security. Consequently, irrigation systems are tremendously utilized by many farmers all over the world with its associated high amount of water consumption from various sources posing a major concern. This necessitates the increased focus on improving the efficiency of water usage in irrigation agriculture. The advent and rapid successes of the Internet of Things (IoT) and advanced control strategies are being leveraged to achieve improved monitoring and control of irrigation farming. In this review, a thorough search for literature on irrigation monitoring and advanced control systems highlighting the research works within the past ten years are presented. Attention is paid on recent research works related to the monitoring and advance control concepts for precision irrigation. It is expected that this review paper will serve as a useful reference to enhance reader’s knowledge on monitoring and advanced control opportunities related to irrigation agriculture as well as assist researchers in identifying directions and gaps to future research works in this field.","container-title":"Computers and Electronics in Agriculture","DOI":"10.1016/j.compag.2020.105441","ISSN":"0168-1699","journalAbbreviation":"Computers and Electronics in Agriculture","page":"105441","source":"ScienceDirect","title":"A review on monitoring and advanced control strategies for precision irrigation","volume":"173","author":[{"family":"Abioye","given":"Emmanuel Abiodun"},{"family":"Abidin","given":"Mohammad Shukri Zainal"},{"family":"Mahmud","given":"Mohd Saiful Azimi"},{"family":"Buyamin","given":"Salinda"},{"family":"Ishak","given":"Mohamad Hafis Izran"},{"family":"Rahman","given":"Muhammad Khairie Idham Abd"},{"family":"Otuoze","given":"Abdulrahaman Okino"},{"family":"Onotu","given":"Patrick"},{"family":"Ramli","given":"Muhammad Shahrul Azwan"}],"issued":{"date-parts":[["2020",6,1]]}}}],"schema":"https://github.com/citation-style-language/schema/raw/master/csl-citation.json"} </w:instrText>
      </w:r>
      <w:r w:rsidRPr="00AF0477">
        <w:rPr>
          <w:rFonts w:eastAsia="MS Mincho"/>
          <w:color w:val="000000" w:themeColor="text1"/>
        </w:rPr>
        <w:fldChar w:fldCharType="separate"/>
      </w:r>
      <w:r w:rsidRPr="00AF0477">
        <w:rPr>
          <w:color w:val="000000" w:themeColor="text1"/>
          <w:szCs w:val="24"/>
          <w:lang w:val="en-GB"/>
        </w:rPr>
        <w:t>[5]</w:t>
      </w:r>
      <w:r w:rsidRPr="00AF0477">
        <w:rPr>
          <w:rFonts w:eastAsia="MS Mincho"/>
          <w:color w:val="000000" w:themeColor="text1"/>
        </w:rPr>
        <w:fldChar w:fldCharType="end"/>
      </w:r>
      <w:r>
        <w:rPr>
          <w:rFonts w:eastAsia="MS Mincho"/>
          <w:color w:val="000000" w:themeColor="text1"/>
        </w:rPr>
        <w:t>.</w:t>
      </w:r>
      <w:r w:rsidRPr="00196441">
        <w:rPr>
          <w:rFonts w:eastAsia="MS Mincho"/>
          <w:color w:val="000000" w:themeColor="text1"/>
        </w:rPr>
        <w:t xml:space="preserve"> These systems also enable better decision-making by considering factors like soil and climate variation, plant responses to water deficits and changes in weather conditions</w:t>
      </w:r>
      <w:r>
        <w:rPr>
          <w:rFonts w:eastAsia="MS Mincho"/>
          <w:color w:val="000000" w:themeColor="text1"/>
        </w:rPr>
        <w:t xml:space="preserve"> </w:t>
      </w:r>
      <w:r w:rsidRPr="00AF0477">
        <w:rPr>
          <w:rFonts w:eastAsia="MS Mincho"/>
          <w:color w:val="000000" w:themeColor="text1"/>
        </w:rPr>
        <w:fldChar w:fldCharType="begin"/>
      </w:r>
      <w:r w:rsidRPr="00AF0477">
        <w:rPr>
          <w:rFonts w:eastAsia="MS Mincho"/>
          <w:color w:val="000000" w:themeColor="text1"/>
        </w:rPr>
        <w:instrText xml:space="preserve"> ADDIN ZOTERO_ITEM CSL_CITATION {"citationID":"xNrS2DqD","properties":{"formattedCitation":"[22]","plainCitation":"[22]","noteIndex":0},"citationItems":[{"id":79,"uris":["http://zotero.org/users/14036693/items/ZI2I6I4T"],"itemData":{"id":79,"type":"articl</w:instrText>
      </w:r>
      <w:r w:rsidRPr="00AF0477">
        <w:rPr>
          <w:rFonts w:eastAsia="MS Mincho" w:hint="eastAsia"/>
          <w:color w:val="000000" w:themeColor="text1"/>
        </w:rPr>
        <w:instrText>e-journal","abstract":"Variable rate irrigation (VRI) can increase water use efficiency and productivity by applying water based on site</w:instrText>
      </w:r>
      <w:r w:rsidRPr="00AF0477">
        <w:rPr>
          <w:rFonts w:eastAsia="MS Mincho" w:hint="eastAsia"/>
          <w:color w:val="000000" w:themeColor="text1"/>
        </w:rPr>
        <w:instrText>‐</w:instrText>
      </w:r>
      <w:r w:rsidRPr="00AF0477">
        <w:rPr>
          <w:rFonts w:eastAsia="MS Mincho" w:hint="eastAsia"/>
          <w:color w:val="000000" w:themeColor="text1"/>
        </w:rPr>
        <w:instrText>specific needs. In this study, the performance of a five</w:instrText>
      </w:r>
      <w:r w:rsidRPr="00AF0477">
        <w:rPr>
          <w:rFonts w:eastAsia="MS Mincho" w:hint="eastAsia"/>
          <w:color w:val="000000" w:themeColor="text1"/>
        </w:rPr>
        <w:instrText>‐</w:instrText>
      </w:r>
      <w:r w:rsidRPr="00AF0477">
        <w:rPr>
          <w:rFonts w:eastAsia="MS Mincho" w:hint="eastAsia"/>
          <w:color w:val="000000" w:themeColor="text1"/>
        </w:rPr>
        <w:instrText>span centre</w:instrText>
      </w:r>
      <w:r w:rsidRPr="00AF0477">
        <w:rPr>
          <w:rFonts w:eastAsia="MS Mincho" w:hint="eastAsia"/>
          <w:color w:val="000000" w:themeColor="text1"/>
        </w:rPr>
        <w:instrText>‐</w:instrText>
      </w:r>
      <w:r w:rsidRPr="00AF0477">
        <w:rPr>
          <w:rFonts w:eastAsia="MS Mincho" w:hint="eastAsia"/>
          <w:color w:val="000000" w:themeColor="text1"/>
        </w:rPr>
        <w:instrText>pivot irrigation system (CPIS) retrofitted with a commercial variable</w:instrText>
      </w:r>
      <w:r w:rsidRPr="00AF0477">
        <w:rPr>
          <w:rFonts w:eastAsia="MS Mincho" w:hint="eastAsia"/>
          <w:color w:val="000000" w:themeColor="text1"/>
        </w:rPr>
        <w:instrText>‐</w:instrText>
      </w:r>
      <w:r w:rsidRPr="00AF0477">
        <w:rPr>
          <w:rFonts w:eastAsia="MS Mincho" w:hint="eastAsia"/>
          <w:color w:val="000000" w:themeColor="text1"/>
        </w:rPr>
        <w:instrText>rate irrigation package was evaluated at constant and variable application depths at the Alberta Irrigation Technology Centre (AITC) in southern Alberta, Canada. Two sets of experiments were designed to investigate the uniformity of application of the system during the 2013 and 2014 growing seasons. The first set of catch</w:instrText>
      </w:r>
      <w:r w:rsidRPr="00AF0477">
        <w:rPr>
          <w:rFonts w:eastAsia="MS Mincho" w:hint="eastAsia"/>
          <w:color w:val="000000" w:themeColor="text1"/>
        </w:rPr>
        <w:instrText>‐</w:instrText>
      </w:r>
      <w:r w:rsidRPr="00AF0477">
        <w:rPr>
          <w:rFonts w:eastAsia="MS Mincho" w:hint="eastAsia"/>
          <w:color w:val="000000" w:themeColor="text1"/>
        </w:rPr>
        <w:instrText>can trials were carried out with three irrigation rates in the direction of pivot travel. Three different wind regimes were observed during the catch</w:instrText>
      </w:r>
      <w:r w:rsidRPr="00AF0477">
        <w:rPr>
          <w:rFonts w:eastAsia="MS Mincho" w:hint="eastAsia"/>
          <w:color w:val="000000" w:themeColor="text1"/>
        </w:rPr>
        <w:instrText>‐</w:instrText>
      </w:r>
      <w:r w:rsidRPr="00AF0477">
        <w:rPr>
          <w:rFonts w:eastAsia="MS Mincho" w:hint="eastAsia"/>
          <w:color w:val="000000" w:themeColor="text1"/>
        </w:rPr>
        <w:instrText>can trials. Catch</w:instrText>
      </w:r>
      <w:r w:rsidRPr="00AF0477">
        <w:rPr>
          <w:rFonts w:eastAsia="MS Mincho" w:hint="eastAsia"/>
          <w:color w:val="000000" w:themeColor="text1"/>
        </w:rPr>
        <w:instrText>‐</w:instrText>
      </w:r>
      <w:r w:rsidRPr="00AF0477">
        <w:rPr>
          <w:rFonts w:eastAsia="MS Mincho" w:hint="eastAsia"/>
          <w:color w:val="000000" w:themeColor="text1"/>
        </w:rPr>
        <w:instrText xml:space="preserve">cans were arranged in grid configurations within the experimental plots located under one irrigation zone in span 4. The Christiansen coefficient of uniformity (CU) ranged from 90.4 to 94.4%. Wind speeds of 3.3 and 6.5 m s </w:instrText>
      </w:r>
      <w:r w:rsidRPr="00AF0477">
        <w:rPr>
          <w:rFonts w:eastAsia="MS Mincho" w:hint="eastAsia"/>
          <w:color w:val="000000" w:themeColor="text1"/>
        </w:rPr>
        <w:instrText>‐</w:instrText>
      </w:r>
      <w:r w:rsidRPr="00AF0477">
        <w:rPr>
          <w:rFonts w:eastAsia="MS Mincho" w:hint="eastAsia"/>
          <w:color w:val="000000" w:themeColor="text1"/>
        </w:rPr>
        <w:instrText>1 negatively and significantly impacted the CU values. The second set of catch</w:instrText>
      </w:r>
      <w:r w:rsidRPr="00AF0477">
        <w:rPr>
          <w:rFonts w:eastAsia="MS Mincho" w:hint="eastAsia"/>
          <w:color w:val="000000" w:themeColor="text1"/>
        </w:rPr>
        <w:instrText>‐</w:instrText>
      </w:r>
      <w:r w:rsidRPr="00AF0477">
        <w:rPr>
          <w:rFonts w:eastAsia="MS Mincho" w:hint="eastAsia"/>
          <w:color w:val="000000" w:themeColor="text1"/>
        </w:rPr>
        <w:instrText>can trials were performed with used and new sprinklers in a transect along the pivot lateral during the 2014 growing season. The Heermann and Hein coefficient of uniformity (CU HH ) ranged from 89.0 to 93</w:instrText>
      </w:r>
      <w:r w:rsidRPr="00AF0477">
        <w:rPr>
          <w:rFonts w:eastAsia="MS Mincho"/>
          <w:color w:val="000000" w:themeColor="text1"/>
        </w:rPr>
        <w:instrText xml:space="preserve">.5% and from 81.7 to 94.4% with constant and variable application depths, respectively. The greatest (94.4%) and least (81.7%) CU HH values were observed where water applications were 100 and 40% of the set point, respectively. Overall, the uniformity of application of CPIS retrofitted with the commercial VRI package both along the system's lateral and in the travel direction were above 90% for the majority of the trials under the different wind speeds and water application depths. Copyright © 2017 John Wiley &amp; Sons, Ltd.","container-title":"Irrigation and Drainage","DOI":"10.1002/ird.2131","journalAbbreviation":"Irrigation and Drainage","source":"ResearchGate","title":"Performance Evaluation of Constant Versus Variable Rate Irrigation: Variable Rate Irrigation","title-short":"Performance Evaluation of Constant Versus Variable Rate Irrigation","volume":"66","author":[{"family":"Yari","given":"Aghil"},{"family":"Madramootoo","given":"Chandra"},{"family":"Woods","given":"Shelley"},{"family":"Adamchuk","given":"Viacheslav"}],"issued":{"date-parts":[["2017",3,1]]}}}],"schema":"https://github.com/citation-style-language/schema/raw/master/csl-citation.json"} </w:instrText>
      </w:r>
      <w:r w:rsidRPr="00AF0477">
        <w:rPr>
          <w:rFonts w:eastAsia="MS Mincho"/>
          <w:color w:val="000000" w:themeColor="text1"/>
        </w:rPr>
        <w:fldChar w:fldCharType="separate"/>
      </w:r>
      <w:r w:rsidRPr="00AF0477">
        <w:rPr>
          <w:color w:val="000000" w:themeColor="text1"/>
          <w:szCs w:val="24"/>
          <w:lang w:val="en-GB"/>
        </w:rPr>
        <w:t>[22]</w:t>
      </w:r>
      <w:r w:rsidRPr="00AF0477">
        <w:rPr>
          <w:rFonts w:eastAsia="MS Mincho"/>
          <w:color w:val="000000" w:themeColor="text1"/>
        </w:rPr>
        <w:fldChar w:fldCharType="end"/>
      </w:r>
      <w:r>
        <w:rPr>
          <w:rFonts w:eastAsia="MS Mincho"/>
          <w:color w:val="000000" w:themeColor="text1"/>
        </w:rPr>
        <w:t xml:space="preserve">, </w:t>
      </w:r>
      <w:r w:rsidRPr="00AF0477">
        <w:rPr>
          <w:rFonts w:eastAsia="MS Mincho"/>
          <w:color w:val="000000" w:themeColor="text1"/>
        </w:rPr>
        <w:fldChar w:fldCharType="begin"/>
      </w:r>
      <w:r w:rsidRPr="00AF0477">
        <w:rPr>
          <w:rFonts w:eastAsia="MS Mincho"/>
          <w:color w:val="000000" w:themeColor="text1"/>
        </w:rPr>
        <w:instrText xml:space="preserve"> ADDIN ZOTERO_ITEM CSL_CITATION {"citationID":"P0yUSQ6X","properties":{"formattedCitation":"[23]","plainCitation":"[23]","noteIndex":0},"citationItems":[{"id":73,"uris":["http://zotero.org/users/14036693/items/MIEPPEUG"],"itemData":{"id":73,"type":"webpage","title":"Sensors | Free Full-Text | Smart System for Bicarbonate Control in Irrigation for Hydroponic Precision Farming","URL":"https://www.mdpi.com/1424-8220/18/5/1333","accessed":{"date-parts":[["2024",5,28]]}}}],"schema":"https://github.com/citation-style-language/schema/raw/master/csl-citation.json"} </w:instrText>
      </w:r>
      <w:r w:rsidRPr="00AF0477">
        <w:rPr>
          <w:rFonts w:eastAsia="MS Mincho"/>
          <w:color w:val="000000" w:themeColor="text1"/>
        </w:rPr>
        <w:fldChar w:fldCharType="separate"/>
      </w:r>
      <w:r w:rsidRPr="00AF0477">
        <w:rPr>
          <w:color w:val="000000" w:themeColor="text1"/>
          <w:szCs w:val="24"/>
          <w:lang w:val="en-GB"/>
        </w:rPr>
        <w:t>[23]</w:t>
      </w:r>
      <w:r w:rsidRPr="00AF0477">
        <w:rPr>
          <w:rFonts w:eastAsia="MS Mincho"/>
          <w:color w:val="000000" w:themeColor="text1"/>
        </w:rPr>
        <w:fldChar w:fldCharType="end"/>
      </w:r>
      <w:r>
        <w:rPr>
          <w:rFonts w:eastAsia="MS Mincho"/>
          <w:color w:val="000000" w:themeColor="text1"/>
        </w:rPr>
        <w:t xml:space="preserve">. </w:t>
      </w:r>
      <w:r w:rsidRPr="00196441">
        <w:rPr>
          <w:rFonts w:eastAsia="MS Mincho"/>
          <w:color w:val="000000" w:themeColor="text1"/>
        </w:rPr>
        <w:t>Smart irrigation has been proposed as a method for managing soil variability and meeting the specific irrigation needs of individual crops</w:t>
      </w:r>
      <w:r>
        <w:rPr>
          <w:rFonts w:eastAsia="MS Mincho"/>
          <w:color w:val="000000" w:themeColor="text1"/>
        </w:rPr>
        <w:t xml:space="preserve"> </w:t>
      </w:r>
      <w:r w:rsidRPr="00AF0477">
        <w:rPr>
          <w:rFonts w:eastAsia="MS Mincho"/>
          <w:color w:val="000000" w:themeColor="text1"/>
        </w:rPr>
        <w:fldChar w:fldCharType="begin"/>
      </w:r>
      <w:r w:rsidRPr="00AF0477">
        <w:rPr>
          <w:rFonts w:eastAsia="MS Mincho"/>
          <w:color w:val="000000" w:themeColor="text1"/>
        </w:rPr>
        <w:instrText xml:space="preserve"> ADDIN ZOTERO_ITEM CSL_CITATION {"citationID":"iG7TspVM","properties":{"formattedCitation":"[24]","plainCitation":"[24]","noteIndex":0},"citationItems":[{"id":14,"uris":["http://zotero.org/users/14036693/items/6T2LKGVU"],"itemData":{"id":14,"type":"article-journal","abstract":"This is document No. CH194 and Circular 1413, one of a series of the Agricultural and Biological Engineering Department, Florida Cooperative Extension Service, Institute of Food and Agricultural Sciences, University of Florida. Publication date: July 2002. \nhttps://edis.ifas.ufl.edu/ch194","container-title":"EDIS","DOI":"10.32473/edis-ch194-2002","ISSN":"2576-0009","issue":"1","journalAbbreviation":"EDIS","language":"en","license":"http://edis.ifas.ufl.edu/copyright.html","source":"DOI.org (Crossref)","title":"Control and Automation in Citrus Microirrigation Systems","URL":"https://journals.flvc.org/edis/article/view/108097","volume":"2002","author":[{"family":"Boman","given":"Brian"},{"family":"Smith","given":"Steve"},{"family":"Tullos","given":"Bill"}],"accessed":{"date-parts":[["2024",5,17]]},"issued":{"date-parts":[["1969",12,31]]}}}],"schema":"https://github.com/citation-style-language/schema/raw/master/csl-citation.json"} </w:instrText>
      </w:r>
      <w:r w:rsidRPr="00AF0477">
        <w:rPr>
          <w:rFonts w:eastAsia="MS Mincho"/>
          <w:color w:val="000000" w:themeColor="text1"/>
        </w:rPr>
        <w:fldChar w:fldCharType="separate"/>
      </w:r>
      <w:r w:rsidRPr="00AF0477">
        <w:rPr>
          <w:color w:val="000000" w:themeColor="text1"/>
          <w:szCs w:val="24"/>
          <w:lang w:val="en-GB"/>
        </w:rPr>
        <w:t>[24]</w:t>
      </w:r>
      <w:r w:rsidRPr="00AF0477">
        <w:rPr>
          <w:rFonts w:eastAsia="MS Mincho"/>
          <w:color w:val="000000" w:themeColor="text1"/>
        </w:rPr>
        <w:fldChar w:fldCharType="end"/>
      </w:r>
      <w:r w:rsidRPr="00AF0477">
        <w:rPr>
          <w:rFonts w:eastAsia="MS Mincho"/>
          <w:color w:val="000000" w:themeColor="text1"/>
        </w:rPr>
        <w:t>.</w:t>
      </w:r>
    </w:p>
    <w:p w:rsidR="0083004B" w:rsidRDefault="0083004B" w:rsidP="0083004B">
      <w:pPr>
        <w:tabs>
          <w:tab w:val="left" w:pos="2235"/>
          <w:tab w:val="center" w:pos="4514"/>
        </w:tabs>
        <w:ind w:left="360" w:right="29"/>
        <w:jc w:val="both"/>
        <w:rPr>
          <w:rFonts w:eastAsia="MS Mincho"/>
          <w:color w:val="000000" w:themeColor="text1"/>
        </w:rPr>
      </w:pPr>
    </w:p>
    <w:p w:rsidR="0083004B" w:rsidRPr="000F0818" w:rsidRDefault="0083004B" w:rsidP="0083004B">
      <w:pPr>
        <w:tabs>
          <w:tab w:val="left" w:pos="2235"/>
          <w:tab w:val="center" w:pos="4514"/>
        </w:tabs>
        <w:ind w:right="29" w:firstLine="720"/>
        <w:jc w:val="both"/>
        <w:rPr>
          <w:rFonts w:eastAsia="MS Mincho"/>
          <w:color w:val="000000" w:themeColor="text1"/>
        </w:rPr>
      </w:pPr>
      <w:r>
        <w:rPr>
          <w:rFonts w:eastAsia="MS Mincho"/>
          <w:color w:val="000000" w:themeColor="text1"/>
        </w:rPr>
        <w:t xml:space="preserve"> The high cost of advanced smart irrigation technologies presents a challenge for farmers. Furthermore, customized commercial smart irrigation systems may be complex to operate and implement. Therefore, affordable and user-friendly equipment should be developed on a large scale and the government should offer subsidies and training to farmers to promote the widespread adoption of such technologies. Many farmers in arid regions lack formal education and would benefit from practical training in smart irrigation systems provided by knowledgeable extension workers. Advances in smart irrigation technology are essential for sustainable agriculture as they support water conservation and enhance crop yields.</w:t>
      </w:r>
    </w:p>
    <w:p w:rsidR="0083004B" w:rsidRPr="00AF0477" w:rsidRDefault="0083004B" w:rsidP="00040B37">
      <w:pPr>
        <w:tabs>
          <w:tab w:val="left" w:pos="2235"/>
          <w:tab w:val="center" w:pos="4514"/>
        </w:tabs>
        <w:ind w:right="29" w:firstLine="720"/>
        <w:jc w:val="both"/>
        <w:rPr>
          <w:rFonts w:eastAsia="MS Mincho"/>
          <w:color w:val="000000" w:themeColor="text1"/>
        </w:rPr>
      </w:pPr>
    </w:p>
    <w:p w:rsidR="000D5CBE" w:rsidRPr="00AF0477" w:rsidRDefault="000D5CBE" w:rsidP="000D5CBE">
      <w:pPr>
        <w:pStyle w:val="ListParagraph"/>
        <w:numPr>
          <w:ilvl w:val="0"/>
          <w:numId w:val="18"/>
        </w:numPr>
        <w:tabs>
          <w:tab w:val="left" w:pos="2235"/>
          <w:tab w:val="center" w:pos="4514"/>
        </w:tabs>
        <w:ind w:left="180" w:right="29" w:hanging="180"/>
        <w:rPr>
          <w:rFonts w:eastAsia="MS Mincho"/>
          <w:b/>
          <w:bCs/>
          <w:color w:val="000000" w:themeColor="text1"/>
        </w:rPr>
      </w:pPr>
      <w:r w:rsidRPr="00AF0477">
        <w:rPr>
          <w:rFonts w:eastAsia="MS Mincho"/>
          <w:b/>
          <w:bCs/>
          <w:color w:val="000000" w:themeColor="text1"/>
        </w:rPr>
        <w:t>INTEGRATED NUTRIENT MANAGEMENT</w:t>
      </w:r>
    </w:p>
    <w:p w:rsidR="000D5CBE" w:rsidRPr="002E7BE8" w:rsidRDefault="000D5CBE" w:rsidP="000D5CBE">
      <w:pPr>
        <w:tabs>
          <w:tab w:val="left" w:pos="2235"/>
          <w:tab w:val="center" w:pos="4514"/>
        </w:tabs>
        <w:ind w:right="29"/>
        <w:jc w:val="both"/>
        <w:rPr>
          <w:rFonts w:eastAsia="MS Mincho"/>
          <w:b/>
          <w:bCs/>
          <w:color w:val="000000" w:themeColor="text1"/>
        </w:rPr>
      </w:pPr>
    </w:p>
    <w:p w:rsidR="00D23848" w:rsidRDefault="000D5CBE" w:rsidP="00D23848">
      <w:pPr>
        <w:tabs>
          <w:tab w:val="left" w:pos="2235"/>
          <w:tab w:val="center" w:pos="4514"/>
        </w:tabs>
        <w:ind w:right="29" w:firstLine="720"/>
        <w:jc w:val="both"/>
        <w:rPr>
          <w:rFonts w:eastAsia="MS Mincho"/>
          <w:color w:val="000000" w:themeColor="text1"/>
        </w:rPr>
      </w:pPr>
      <w:r w:rsidRPr="002E7BE8">
        <w:rPr>
          <w:rFonts w:eastAsia="MS Mincho"/>
          <w:color w:val="000000" w:themeColor="text1"/>
        </w:rPr>
        <w:t>The soils of arid zones are characteristically low in organic matter</w:t>
      </w:r>
      <w:r w:rsidR="00D7550C" w:rsidRPr="002E7BE8">
        <w:rPr>
          <w:rFonts w:eastAsia="MS Mincho"/>
          <w:color w:val="000000" w:themeColor="text1"/>
        </w:rPr>
        <w:t xml:space="preserve"> due to low vegetation over the soil</w:t>
      </w:r>
      <w:r w:rsidRPr="002E7BE8">
        <w:rPr>
          <w:rFonts w:eastAsia="MS Mincho"/>
          <w:color w:val="000000" w:themeColor="text1"/>
        </w:rPr>
        <w:t xml:space="preserve"> and nutrient reserve is found in un</w:t>
      </w:r>
      <w:r w:rsidR="00D7550C" w:rsidRPr="002E7BE8">
        <w:rPr>
          <w:rFonts w:eastAsia="MS Mincho"/>
          <w:color w:val="000000" w:themeColor="text1"/>
        </w:rPr>
        <w:t>-</w:t>
      </w:r>
      <w:r w:rsidRPr="002E7BE8">
        <w:rPr>
          <w:rFonts w:eastAsia="MS Mincho"/>
          <w:color w:val="000000" w:themeColor="text1"/>
        </w:rPr>
        <w:t>weathered mineral forms.</w:t>
      </w:r>
      <w:r w:rsidR="00D7550C" w:rsidRPr="002E7BE8">
        <w:rPr>
          <w:rFonts w:eastAsia="MS Mincho"/>
          <w:color w:val="000000" w:themeColor="text1"/>
        </w:rPr>
        <w:t xml:space="preserve"> Nutrient adsorption and retention of these soils are very low due to the lower content of clay and humus. These soils are alkaline with high </w:t>
      </w:r>
      <w:r w:rsidR="000B2E7C" w:rsidRPr="002E7BE8">
        <w:rPr>
          <w:rFonts w:eastAsia="MS Mincho"/>
          <w:color w:val="000000" w:themeColor="text1"/>
        </w:rPr>
        <w:t>p</w:t>
      </w:r>
      <w:r w:rsidR="00D7550C" w:rsidRPr="002E7BE8">
        <w:rPr>
          <w:rFonts w:eastAsia="MS Mincho"/>
          <w:color w:val="000000" w:themeColor="text1"/>
        </w:rPr>
        <w:t xml:space="preserve">H values which contain higher amounts of soluble salts and calcium content </w:t>
      </w:r>
      <w:r w:rsidR="00D7550C" w:rsidRPr="002E7BE8">
        <w:rPr>
          <w:rFonts w:eastAsia="MS Mincho"/>
          <w:color w:val="000000" w:themeColor="text1"/>
        </w:rPr>
        <w:fldChar w:fldCharType="begin"/>
      </w:r>
      <w:r w:rsidR="00D7550C" w:rsidRPr="002E7BE8">
        <w:rPr>
          <w:rFonts w:eastAsia="MS Mincho"/>
          <w:color w:val="000000" w:themeColor="text1"/>
        </w:rPr>
        <w:instrText xml:space="preserve"> ADDIN ZOTERO_ITEM CSL_CITATION {"citationID":"xvijmHfV","properties":{"formattedCitation":"[56]","plainCitation":"[56]","noteIndex":0},"citationItems":[{"id":188,"uris":["http://zotero.org/users/14036693/items/DQVMMDQH"],"itemData":{"id":188,"type":"chapter","page":"78-112","source":"ResearchGate","title":"Variability in arid soil characteristics","author":[{"family":"Kumar","given":"Praveen"},{"family":"Tarafdar","given":"J."},{"family":"Painuli","given":"D"},{"family":"Raina","given":"P"},{"family":"Singh","given":"M"},{"family":"Beniwal","given":"R"},{"family":"Soni","given":"M."},{"family":"Kumar","given":"Mahesh"},{"family":"Santra","given":"Priyabrata"},{"family":"Mangalassery","given":"Shamsudheen"}],"issued":{"date-parts":[["2009",1,1]]}}}],"schema":"https://github.com/citation-style-language/schema/raw/master/csl-citation.json"} </w:instrText>
      </w:r>
      <w:r w:rsidR="00D7550C" w:rsidRPr="002E7BE8">
        <w:rPr>
          <w:rFonts w:eastAsia="MS Mincho"/>
          <w:color w:val="000000" w:themeColor="text1"/>
        </w:rPr>
        <w:fldChar w:fldCharType="separate"/>
      </w:r>
      <w:r w:rsidR="00D7550C" w:rsidRPr="002E7BE8">
        <w:rPr>
          <w:rFonts w:eastAsia="MS Mincho"/>
          <w:noProof/>
          <w:color w:val="000000" w:themeColor="text1"/>
        </w:rPr>
        <w:t>[56]</w:t>
      </w:r>
      <w:r w:rsidR="00D7550C" w:rsidRPr="002E7BE8">
        <w:rPr>
          <w:rFonts w:eastAsia="MS Mincho"/>
          <w:color w:val="000000" w:themeColor="text1"/>
        </w:rPr>
        <w:fldChar w:fldCharType="end"/>
      </w:r>
      <w:r w:rsidR="00D7550C" w:rsidRPr="002E7BE8">
        <w:rPr>
          <w:rFonts w:eastAsia="MS Mincho"/>
          <w:color w:val="000000" w:themeColor="text1"/>
        </w:rPr>
        <w:t xml:space="preserve">. </w:t>
      </w:r>
      <w:r w:rsidR="000B2E7C" w:rsidRPr="002E7BE8">
        <w:rPr>
          <w:rFonts w:eastAsia="MS Mincho"/>
          <w:color w:val="000000" w:themeColor="text1"/>
        </w:rPr>
        <w:t xml:space="preserve">Integrated </w:t>
      </w:r>
      <w:r w:rsidR="00121CDD">
        <w:rPr>
          <w:rFonts w:eastAsia="MS Mincho"/>
          <w:color w:val="000000" w:themeColor="text1"/>
        </w:rPr>
        <w:t>n</w:t>
      </w:r>
      <w:r w:rsidR="000B2E7C" w:rsidRPr="002E7BE8">
        <w:rPr>
          <w:rFonts w:eastAsia="MS Mincho"/>
          <w:color w:val="000000" w:themeColor="text1"/>
        </w:rPr>
        <w:t xml:space="preserve">utrient </w:t>
      </w:r>
      <w:r w:rsidR="00121CDD">
        <w:rPr>
          <w:rFonts w:eastAsia="MS Mincho"/>
          <w:color w:val="000000" w:themeColor="text1"/>
        </w:rPr>
        <w:t>m</w:t>
      </w:r>
      <w:r w:rsidR="000B2E7C" w:rsidRPr="002E7BE8">
        <w:rPr>
          <w:rFonts w:eastAsia="MS Mincho"/>
          <w:color w:val="000000" w:themeColor="text1"/>
        </w:rPr>
        <w:t>anagement practices effectively enhance soil fertility, improve crop yields, and promote sustainable agricultural practices</w:t>
      </w:r>
      <w:r w:rsidR="002E7BE8" w:rsidRPr="002E7BE8">
        <w:rPr>
          <w:rFonts w:eastAsia="MS Mincho"/>
          <w:color w:val="000000" w:themeColor="text1"/>
        </w:rPr>
        <w:t>. Integration of</w:t>
      </w:r>
      <w:r w:rsidR="000B2E7C" w:rsidRPr="002E7BE8">
        <w:rPr>
          <w:rFonts w:eastAsia="MS Mincho"/>
          <w:color w:val="000000" w:themeColor="text1"/>
        </w:rPr>
        <w:t xml:space="preserve"> organic</w:t>
      </w:r>
      <w:r w:rsidR="002E7BE8">
        <w:rPr>
          <w:rFonts w:eastAsia="MS Mincho"/>
          <w:color w:val="000000" w:themeColor="text1"/>
        </w:rPr>
        <w:t xml:space="preserve"> manures</w:t>
      </w:r>
      <w:r w:rsidR="002E7BE8" w:rsidRPr="002E7BE8">
        <w:rPr>
          <w:rFonts w:eastAsia="MS Mincho"/>
          <w:color w:val="000000" w:themeColor="text1"/>
        </w:rPr>
        <w:t xml:space="preserve"> (farmyard manure, crop residue </w:t>
      </w:r>
      <w:r w:rsidR="002E7BE8">
        <w:rPr>
          <w:rFonts w:eastAsia="MS Mincho"/>
          <w:color w:val="000000" w:themeColor="text1"/>
        </w:rPr>
        <w:t xml:space="preserve">and </w:t>
      </w:r>
      <w:r w:rsidR="002E7BE8" w:rsidRPr="002E7BE8">
        <w:rPr>
          <w:rFonts w:eastAsia="MS Mincho"/>
          <w:color w:val="000000" w:themeColor="text1"/>
        </w:rPr>
        <w:t>compost)</w:t>
      </w:r>
      <w:r w:rsidR="000B2E7C" w:rsidRPr="002E7BE8">
        <w:rPr>
          <w:rFonts w:eastAsia="MS Mincho"/>
          <w:color w:val="000000" w:themeColor="text1"/>
        </w:rPr>
        <w:t>, inorganic</w:t>
      </w:r>
      <w:r w:rsidR="002E7BE8">
        <w:rPr>
          <w:rFonts w:eastAsia="MS Mincho"/>
          <w:color w:val="000000" w:themeColor="text1"/>
        </w:rPr>
        <w:t xml:space="preserve"> fertilizers</w:t>
      </w:r>
      <w:r w:rsidR="000B2E7C" w:rsidRPr="002E7BE8">
        <w:rPr>
          <w:rFonts w:eastAsia="MS Mincho"/>
          <w:color w:val="000000" w:themeColor="text1"/>
        </w:rPr>
        <w:t xml:space="preserve"> and biological </w:t>
      </w:r>
      <w:r w:rsidR="002E7BE8">
        <w:rPr>
          <w:rFonts w:eastAsia="MS Mincho"/>
          <w:color w:val="000000" w:themeColor="text1"/>
        </w:rPr>
        <w:t xml:space="preserve">inputs </w:t>
      </w:r>
      <w:r w:rsidR="002E7BE8" w:rsidRPr="002E7BE8">
        <w:rPr>
          <w:rFonts w:eastAsia="MS Mincho"/>
          <w:color w:val="000000" w:themeColor="text1"/>
        </w:rPr>
        <w:t xml:space="preserve">(green manure and biofertilizers) </w:t>
      </w:r>
      <w:r w:rsidR="000B2E7C" w:rsidRPr="002E7BE8">
        <w:rPr>
          <w:rFonts w:eastAsia="MS Mincho"/>
          <w:color w:val="000000" w:themeColor="text1"/>
        </w:rPr>
        <w:t xml:space="preserve">not only </w:t>
      </w:r>
      <w:r w:rsidR="002E7BE8" w:rsidRPr="002E7BE8">
        <w:rPr>
          <w:rFonts w:eastAsia="MS Mincho"/>
          <w:color w:val="000000" w:themeColor="text1"/>
        </w:rPr>
        <w:t>improve soil organic matter content, nutrient status, microbial activity and soil water holding capacity</w:t>
      </w:r>
      <w:r w:rsidR="000B2E7C" w:rsidRPr="002E7BE8">
        <w:rPr>
          <w:rFonts w:eastAsia="MS Mincho"/>
          <w:color w:val="000000" w:themeColor="text1"/>
        </w:rPr>
        <w:t xml:space="preserve"> but also offer</w:t>
      </w:r>
      <w:r w:rsidR="002E7BE8" w:rsidRPr="002E7BE8">
        <w:rPr>
          <w:rFonts w:eastAsia="MS Mincho"/>
          <w:color w:val="000000" w:themeColor="text1"/>
        </w:rPr>
        <w:t>s</w:t>
      </w:r>
      <w:r w:rsidR="000B2E7C" w:rsidRPr="002E7BE8">
        <w:rPr>
          <w:rFonts w:eastAsia="MS Mincho"/>
          <w:color w:val="000000" w:themeColor="text1"/>
        </w:rPr>
        <w:t xml:space="preserve"> economic benefits to farmers</w:t>
      </w:r>
      <w:r w:rsidR="00121CDD">
        <w:rPr>
          <w:rFonts w:eastAsia="MS Mincho"/>
          <w:color w:val="000000" w:themeColor="text1"/>
        </w:rPr>
        <w:t xml:space="preserve">. </w:t>
      </w:r>
      <w:r w:rsidRPr="00121CDD">
        <w:rPr>
          <w:rFonts w:eastAsia="MS Mincho"/>
          <w:color w:val="000000" w:themeColor="text1"/>
        </w:rPr>
        <w:t xml:space="preserve">Biofertilizers are preparations containing microbes that are applied in supplement of chemical fertilizers mainly to maintain soil fertility by enhancing nutrients, antibiotics, hormones like auxins, </w:t>
      </w:r>
      <w:r w:rsidR="00121CDD" w:rsidRPr="00121CDD">
        <w:rPr>
          <w:rFonts w:eastAsia="MS Mincho"/>
          <w:color w:val="000000" w:themeColor="text1"/>
        </w:rPr>
        <w:t>cytokinin</w:t>
      </w:r>
      <w:r w:rsidRPr="00121CDD">
        <w:rPr>
          <w:rFonts w:eastAsia="MS Mincho"/>
          <w:color w:val="000000" w:themeColor="text1"/>
        </w:rPr>
        <w:t xml:space="preserve"> </w:t>
      </w:r>
      <w:r w:rsidR="00121CDD">
        <w:rPr>
          <w:rFonts w:eastAsia="MS Mincho"/>
          <w:color w:val="000000" w:themeColor="text1"/>
        </w:rPr>
        <w:t xml:space="preserve">and </w:t>
      </w:r>
      <w:r w:rsidRPr="00121CDD">
        <w:rPr>
          <w:rFonts w:eastAsia="MS Mincho"/>
          <w:color w:val="000000" w:themeColor="text1"/>
        </w:rPr>
        <w:t xml:space="preserve">vitamins which enrich root rhizosphere </w:t>
      </w:r>
      <w:r w:rsidR="00A51439" w:rsidRPr="00121CDD">
        <w:rPr>
          <w:rFonts w:eastAsia="MS Mincho"/>
          <w:color w:val="000000" w:themeColor="text1"/>
        </w:rPr>
        <w:fldChar w:fldCharType="begin"/>
      </w:r>
      <w:r w:rsidR="004126BC" w:rsidRPr="00121CDD">
        <w:rPr>
          <w:rFonts w:eastAsia="MS Mincho"/>
          <w:color w:val="000000" w:themeColor="text1"/>
        </w:rPr>
        <w:instrText xml:space="preserve"> ADDIN ZOTERO_ITEM CSL_CITATION {"citationID":"dVpLL8Ok","properties":{"formattedCitation":"[57]","plainCitation":"[57]","noteIndex":0},"citationItems":[{"id":194,"uris":["http://zotero.org/users/14036693/items/4N6QJNLL"],"itemData":{"id":194,"type":"article-journal","source":"ResearchGate","title":"Biofertilizers, Impact on Soil Fertility and Crop Productivity under Sustainable Agriculture","author":[{"family":"Yadav","given":"Kamlesh"},{"family":"Sarkar","given":"Smritikana"}],"issued":{"date-parts":[["2018",11,28]]}}}],"schema":"https://github.com/citation-style-language/schema/raw/master/csl-citation.json"} </w:instrText>
      </w:r>
      <w:r w:rsidR="00A51439" w:rsidRPr="00121CDD">
        <w:rPr>
          <w:rFonts w:eastAsia="MS Mincho"/>
          <w:color w:val="000000" w:themeColor="text1"/>
        </w:rPr>
        <w:fldChar w:fldCharType="separate"/>
      </w:r>
      <w:r w:rsidR="00AF0477" w:rsidRPr="00121CDD">
        <w:rPr>
          <w:rFonts w:eastAsia="MS Mincho"/>
          <w:noProof/>
          <w:color w:val="000000" w:themeColor="text1"/>
        </w:rPr>
        <w:t>[57]</w:t>
      </w:r>
      <w:r w:rsidR="00A51439" w:rsidRPr="00121CDD">
        <w:rPr>
          <w:rFonts w:eastAsia="MS Mincho"/>
          <w:color w:val="000000" w:themeColor="text1"/>
        </w:rPr>
        <w:fldChar w:fldCharType="end"/>
      </w:r>
      <w:r w:rsidRPr="00121CDD">
        <w:rPr>
          <w:rFonts w:eastAsia="MS Mincho"/>
          <w:color w:val="000000" w:themeColor="text1"/>
        </w:rPr>
        <w:t>.</w:t>
      </w:r>
      <w:r w:rsidR="00121CDD">
        <w:rPr>
          <w:rFonts w:eastAsia="MS Mincho"/>
          <w:color w:val="000000" w:themeColor="text1"/>
        </w:rPr>
        <w:t xml:space="preserve"> </w:t>
      </w:r>
    </w:p>
    <w:p w:rsidR="00D23848" w:rsidRDefault="00D23848" w:rsidP="00D23848">
      <w:pPr>
        <w:tabs>
          <w:tab w:val="left" w:pos="2235"/>
          <w:tab w:val="center" w:pos="4514"/>
        </w:tabs>
        <w:ind w:right="29" w:firstLine="720"/>
        <w:jc w:val="both"/>
        <w:rPr>
          <w:rFonts w:eastAsia="MS Mincho"/>
          <w:color w:val="000000" w:themeColor="text1"/>
        </w:rPr>
      </w:pPr>
    </w:p>
    <w:p w:rsidR="007507E8" w:rsidRPr="00D23848" w:rsidRDefault="000D5CBE" w:rsidP="007507E8">
      <w:pPr>
        <w:tabs>
          <w:tab w:val="left" w:pos="2235"/>
          <w:tab w:val="center" w:pos="4514"/>
        </w:tabs>
        <w:ind w:right="29" w:firstLine="720"/>
        <w:jc w:val="both"/>
        <w:rPr>
          <w:rFonts w:eastAsia="MS Mincho"/>
          <w:color w:val="000000" w:themeColor="text1"/>
        </w:rPr>
      </w:pPr>
      <w:r w:rsidRPr="00121CDD">
        <w:rPr>
          <w:rFonts w:eastAsia="MS Mincho"/>
          <w:color w:val="000000" w:themeColor="text1"/>
        </w:rPr>
        <w:t xml:space="preserve">Soil test-based fertility management is </w:t>
      </w:r>
      <w:r w:rsidR="00121CDD" w:rsidRPr="00121CDD">
        <w:rPr>
          <w:rFonts w:eastAsia="MS Mincho"/>
          <w:color w:val="000000" w:themeColor="text1"/>
        </w:rPr>
        <w:t>another</w:t>
      </w:r>
      <w:r w:rsidRPr="00121CDD">
        <w:rPr>
          <w:rFonts w:eastAsia="MS Mincho"/>
          <w:color w:val="000000" w:themeColor="text1"/>
        </w:rPr>
        <w:t xml:space="preserve"> efficient method for enhancing the productivity of agricultural soils with significant geographical variability brought about by the interaction of physical, chemical and biological processes </w:t>
      </w:r>
      <w:r w:rsidR="00A51439" w:rsidRPr="00121CDD">
        <w:rPr>
          <w:rFonts w:eastAsia="MS Mincho"/>
          <w:color w:val="000000" w:themeColor="text1"/>
        </w:rPr>
        <w:fldChar w:fldCharType="begin"/>
      </w:r>
      <w:r w:rsidR="004126BC" w:rsidRPr="00121CDD">
        <w:rPr>
          <w:rFonts w:eastAsia="MS Mincho"/>
          <w:color w:val="000000" w:themeColor="text1"/>
        </w:rPr>
        <w:instrText xml:space="preserve"> ADDIN ZOTERO_ITEM CSL_CITATION {"citationID":"BNrTS2sF","properties":{"formattedCitation":"[7]","plainCitation":"[7]","noteIndex":0},"citationItems":[{"id":191,"uris":["http://zotero.org/users/14036693/items/TLVE4EB9"],"itemData":{"id":191,"type":"article-journal","abstract":"Fertiliser use has radically changed the crop output since the green revolution era in India. The momentum, however, slowed in the past decade. Imbalanced fertiliser application in crops is identified as one of the major reasons for decreasing crop response to fertiliser application and the consequent lower crop production growth rate in the country. Despite the proven economic, social and environmental benefits of balanced fertilisation, its adoption at farm level is low. The lack of appropriate tools and implementation mechanisms has been a major hindrance that restricted widescale adoption of balanced fertilisation by farmers. Generally imbalanced fertiliser use by farmers has raised concerns about the environmental sustainability of such practice. Several new approaches to facilitate large-scale adoption of balanced fertilisation have been discussed that may help achieve the future food production targets, improve farmer profitability and reduce the environmental footprint of fertiliser application.","container-title":"Indian Journal of Fertilisers","journalAbbreviation":"Indian Journal of Fertilisers","page":"14-27","source":"ResearchGate","title":"Current Nutrient Management Approaches: Issues and Strategies","title-short":"Current Nutrient Management Approaches","volume":"10","author":[{"family":"Majumdar","given":"Kaushik"}],"issued":{"date-parts":[["2014",5,10]]}}}],"schema":"https://github.com/citation-style-language/schema/raw/master/csl-citation.json"} </w:instrText>
      </w:r>
      <w:r w:rsidR="00A51439" w:rsidRPr="00121CDD">
        <w:rPr>
          <w:rFonts w:eastAsia="MS Mincho"/>
          <w:color w:val="000000" w:themeColor="text1"/>
        </w:rPr>
        <w:fldChar w:fldCharType="separate"/>
      </w:r>
      <w:r w:rsidR="00AF0477" w:rsidRPr="00121CDD">
        <w:rPr>
          <w:rFonts w:eastAsia="MS Mincho"/>
          <w:noProof/>
          <w:color w:val="000000" w:themeColor="text1"/>
        </w:rPr>
        <w:t>[7]</w:t>
      </w:r>
      <w:r w:rsidR="00A51439" w:rsidRPr="00121CDD">
        <w:rPr>
          <w:rFonts w:eastAsia="MS Mincho"/>
          <w:color w:val="000000" w:themeColor="text1"/>
        </w:rPr>
        <w:fldChar w:fldCharType="end"/>
      </w:r>
      <w:r w:rsidRPr="00121CDD">
        <w:rPr>
          <w:rFonts w:eastAsia="MS Mincho"/>
          <w:color w:val="000000" w:themeColor="text1"/>
        </w:rPr>
        <w:t>.</w:t>
      </w:r>
      <w:r w:rsidR="007507E8" w:rsidRPr="007507E8">
        <w:rPr>
          <w:rFonts w:eastAsia="MS Mincho"/>
          <w:color w:val="000000" w:themeColor="text1"/>
        </w:rPr>
        <w:t xml:space="preserve"> This helps avoid using too much fertilizer, which can cause nutrient runoff and harm the environment, as well as using too little, which can lead to poor crop yields. </w:t>
      </w:r>
      <w:r w:rsidR="007507E8">
        <w:rPr>
          <w:rFonts w:eastAsia="MS Mincho"/>
          <w:color w:val="000000" w:themeColor="text1"/>
        </w:rPr>
        <w:t>It</w:t>
      </w:r>
      <w:r w:rsidR="007507E8" w:rsidRPr="00D23848">
        <w:rPr>
          <w:rFonts w:eastAsia="MS Mincho"/>
          <w:color w:val="000000" w:themeColor="text1"/>
        </w:rPr>
        <w:t xml:space="preserve"> involves detailed soil analysis</w:t>
      </w:r>
      <w:r w:rsidR="007507E8" w:rsidRPr="007507E8">
        <w:rPr>
          <w:rFonts w:eastAsia="MS Mincho"/>
          <w:color w:val="000000" w:themeColor="text1"/>
        </w:rPr>
        <w:t xml:space="preserve"> </w:t>
      </w:r>
      <w:r w:rsidR="000177FB">
        <w:rPr>
          <w:rFonts w:eastAsia="MS Mincho"/>
          <w:color w:val="000000" w:themeColor="text1"/>
        </w:rPr>
        <w:t>that provides</w:t>
      </w:r>
      <w:r w:rsidR="007507E8" w:rsidRPr="007507E8">
        <w:rPr>
          <w:rFonts w:eastAsia="MS Mincho"/>
          <w:color w:val="000000" w:themeColor="text1"/>
        </w:rPr>
        <w:t xml:space="preserve"> valuable information about the current </w:t>
      </w:r>
      <w:r w:rsidR="007507E8">
        <w:rPr>
          <w:rFonts w:eastAsia="MS Mincho"/>
          <w:color w:val="000000" w:themeColor="text1"/>
        </w:rPr>
        <w:t xml:space="preserve">soil </w:t>
      </w:r>
      <w:r w:rsidR="007507E8" w:rsidRPr="007507E8">
        <w:rPr>
          <w:rFonts w:eastAsia="MS Mincho"/>
          <w:color w:val="000000" w:themeColor="text1"/>
        </w:rPr>
        <w:t>nutrient status and its ability to supply these nutrients to crops. Using these insights, we can create precise fertilization plans to ensure that nutrients are provided in the right amounts and proportions</w:t>
      </w:r>
      <w:r w:rsidR="007507E8">
        <w:rPr>
          <w:rFonts w:eastAsia="MS Mincho"/>
          <w:color w:val="000000" w:themeColor="text1"/>
        </w:rPr>
        <w:t xml:space="preserve"> to the crop. </w:t>
      </w:r>
      <w:r w:rsidR="007507E8" w:rsidRPr="00D23848">
        <w:rPr>
          <w:rFonts w:eastAsia="MS Mincho"/>
          <w:color w:val="000000" w:themeColor="text1"/>
        </w:rPr>
        <w:t xml:space="preserve">Real-time nutrient management tools enhance this process by providing immediate and accurate data on plant health and soil nutrient status. Among these tools, the Leaf Color Chart (LCC) and Soil Plant Analysis Development (SPAD) meters are widely used to estimate chlorophyll content in leaves, which correlates with nitrogen status in the plant. Optical sensors and crop canopy spectrum analysis are employed to assess the overall health and </w:t>
      </w:r>
      <w:proofErr w:type="spellStart"/>
      <w:r w:rsidR="007507E8" w:rsidRPr="00D23848">
        <w:rPr>
          <w:rFonts w:eastAsia="MS Mincho"/>
          <w:color w:val="000000" w:themeColor="text1"/>
        </w:rPr>
        <w:t>vigo</w:t>
      </w:r>
      <w:r w:rsidR="000177FB">
        <w:rPr>
          <w:rFonts w:eastAsia="MS Mincho"/>
          <w:color w:val="000000" w:themeColor="text1"/>
        </w:rPr>
        <w:t>u</w:t>
      </w:r>
      <w:r w:rsidR="007507E8" w:rsidRPr="00D23848">
        <w:rPr>
          <w:rFonts w:eastAsia="MS Mincho"/>
          <w:color w:val="000000" w:themeColor="text1"/>
        </w:rPr>
        <w:t>r</w:t>
      </w:r>
      <w:proofErr w:type="spellEnd"/>
      <w:r w:rsidR="007507E8" w:rsidRPr="00D23848">
        <w:rPr>
          <w:rFonts w:eastAsia="MS Mincho"/>
          <w:color w:val="000000" w:themeColor="text1"/>
        </w:rPr>
        <w:t xml:space="preserve"> of crops by measuring light reflectance from the canopy. Reflectance measurements help in detecting stress due to nutrient deficiencies or other factors, allowing for timely interventions.</w:t>
      </w:r>
    </w:p>
    <w:p w:rsidR="00D23848" w:rsidRPr="00D23848" w:rsidRDefault="00D23848" w:rsidP="00D23848">
      <w:pPr>
        <w:tabs>
          <w:tab w:val="left" w:pos="2235"/>
          <w:tab w:val="center" w:pos="4514"/>
        </w:tabs>
        <w:ind w:right="29" w:firstLine="720"/>
        <w:jc w:val="both"/>
        <w:rPr>
          <w:rFonts w:eastAsia="MS Mincho"/>
          <w:color w:val="000000" w:themeColor="text1"/>
        </w:rPr>
      </w:pPr>
    </w:p>
    <w:p w:rsidR="00D23848" w:rsidRPr="00121CDD" w:rsidRDefault="00D23848" w:rsidP="000177FB">
      <w:pPr>
        <w:tabs>
          <w:tab w:val="left" w:pos="2235"/>
          <w:tab w:val="center" w:pos="4514"/>
        </w:tabs>
        <w:ind w:right="29" w:firstLine="720"/>
        <w:jc w:val="both"/>
        <w:rPr>
          <w:rFonts w:eastAsia="MS Mincho"/>
          <w:color w:val="000000" w:themeColor="text1"/>
        </w:rPr>
      </w:pPr>
      <w:r w:rsidRPr="00D23848">
        <w:rPr>
          <w:rFonts w:eastAsia="MS Mincho"/>
          <w:color w:val="000000" w:themeColor="text1"/>
        </w:rPr>
        <w:t xml:space="preserve">Geographic Information Systems (GIS) play a </w:t>
      </w:r>
      <w:r w:rsidR="000177FB">
        <w:rPr>
          <w:rFonts w:eastAsia="MS Mincho"/>
          <w:color w:val="000000" w:themeColor="text1"/>
        </w:rPr>
        <w:t>vital</w:t>
      </w:r>
      <w:r w:rsidRPr="00D23848">
        <w:rPr>
          <w:rFonts w:eastAsia="MS Mincho"/>
          <w:color w:val="000000" w:themeColor="text1"/>
        </w:rPr>
        <w:t xml:space="preserve"> role in integrating soil test data with spatial information, enabling site-specific management practices. GIS technology allows farmers to create detailed soil </w:t>
      </w:r>
      <w:r w:rsidRPr="00D23848">
        <w:rPr>
          <w:rFonts w:eastAsia="MS Mincho"/>
          <w:color w:val="000000" w:themeColor="text1"/>
        </w:rPr>
        <w:lastRenderedPageBreak/>
        <w:t xml:space="preserve">nutrient maps, which highlight variations within a field. By combining these maps with real-time data from other tools, farmers can apply variable rate technology (VRT) to distribute fertilizers precisely where they are needed most. </w:t>
      </w:r>
      <w:r w:rsidR="007507E8">
        <w:rPr>
          <w:rFonts w:eastAsia="MS Mincho"/>
          <w:color w:val="000000" w:themeColor="text1"/>
        </w:rPr>
        <w:t xml:space="preserve">These </w:t>
      </w:r>
      <w:r w:rsidRPr="00D23848">
        <w:rPr>
          <w:rFonts w:eastAsia="MS Mincho"/>
          <w:color w:val="000000" w:themeColor="text1"/>
        </w:rPr>
        <w:t>advanced technologies</w:t>
      </w:r>
      <w:r w:rsidR="007507E8">
        <w:rPr>
          <w:rFonts w:eastAsia="MS Mincho"/>
          <w:color w:val="000000" w:themeColor="text1"/>
        </w:rPr>
        <w:t xml:space="preserve"> help in </w:t>
      </w:r>
      <w:r w:rsidRPr="00D23848">
        <w:rPr>
          <w:rFonts w:eastAsia="MS Mincho"/>
          <w:color w:val="000000" w:themeColor="text1"/>
        </w:rPr>
        <w:t>mak</w:t>
      </w:r>
      <w:r w:rsidR="007507E8">
        <w:rPr>
          <w:rFonts w:eastAsia="MS Mincho"/>
          <w:color w:val="000000" w:themeColor="text1"/>
        </w:rPr>
        <w:t>ing</w:t>
      </w:r>
      <w:r w:rsidRPr="00D23848">
        <w:rPr>
          <w:rFonts w:eastAsia="MS Mincho"/>
          <w:color w:val="000000" w:themeColor="text1"/>
        </w:rPr>
        <w:t xml:space="preserve"> informed decisions that </w:t>
      </w:r>
      <w:r w:rsidR="007507E8">
        <w:rPr>
          <w:rFonts w:eastAsia="MS Mincho"/>
          <w:color w:val="000000" w:themeColor="text1"/>
        </w:rPr>
        <w:t>b</w:t>
      </w:r>
      <w:r w:rsidR="007507E8" w:rsidRPr="00D23848">
        <w:rPr>
          <w:rFonts w:eastAsia="MS Mincho"/>
          <w:color w:val="000000" w:themeColor="text1"/>
        </w:rPr>
        <w:t>alanc</w:t>
      </w:r>
      <w:r w:rsidR="000177FB">
        <w:rPr>
          <w:rFonts w:eastAsia="MS Mincho"/>
          <w:color w:val="000000" w:themeColor="text1"/>
        </w:rPr>
        <w:t>e</w:t>
      </w:r>
      <w:r w:rsidR="007507E8" w:rsidRPr="00D23848">
        <w:rPr>
          <w:rFonts w:eastAsia="MS Mincho"/>
          <w:color w:val="000000" w:themeColor="text1"/>
        </w:rPr>
        <w:t xml:space="preserve"> nutrient inputs and outputs precisely in the root zone</w:t>
      </w:r>
      <w:r w:rsidR="000177FB">
        <w:rPr>
          <w:rFonts w:eastAsia="MS Mincho"/>
          <w:color w:val="000000" w:themeColor="text1"/>
        </w:rPr>
        <w:t>, which enhances</w:t>
      </w:r>
      <w:r w:rsidRPr="00D23848">
        <w:rPr>
          <w:rFonts w:eastAsia="MS Mincho"/>
          <w:color w:val="000000" w:themeColor="text1"/>
        </w:rPr>
        <w:t xml:space="preserve"> crop yields </w:t>
      </w:r>
      <w:r w:rsidR="000177FB">
        <w:rPr>
          <w:rFonts w:eastAsia="MS Mincho"/>
          <w:color w:val="000000" w:themeColor="text1"/>
        </w:rPr>
        <w:t xml:space="preserve">and </w:t>
      </w:r>
      <w:r w:rsidR="000177FB" w:rsidRPr="00D23848">
        <w:rPr>
          <w:rFonts w:eastAsia="MS Mincho"/>
          <w:color w:val="000000" w:themeColor="text1"/>
        </w:rPr>
        <w:t>productivity, cost-efficiency and environmental sustainability.</w:t>
      </w:r>
      <w:r w:rsidR="000177FB">
        <w:rPr>
          <w:rFonts w:eastAsia="MS Mincho"/>
          <w:color w:val="000000" w:themeColor="text1"/>
        </w:rPr>
        <w:t xml:space="preserve"> </w:t>
      </w:r>
      <w:r w:rsidR="007507E8">
        <w:rPr>
          <w:rFonts w:eastAsia="MS Mincho"/>
          <w:color w:val="000000" w:themeColor="text1"/>
        </w:rPr>
        <w:t>T</w:t>
      </w:r>
      <w:r w:rsidRPr="00D23848">
        <w:rPr>
          <w:rFonts w:eastAsia="MS Mincho"/>
          <w:color w:val="000000" w:themeColor="text1"/>
        </w:rPr>
        <w:t>hese practices help minimize the environmental impact of agriculture by preventing nutrient leaching into water bodies, which can cause eutrophication</w:t>
      </w:r>
      <w:r w:rsidR="007507E8">
        <w:rPr>
          <w:rFonts w:eastAsia="MS Mincho"/>
          <w:color w:val="000000" w:themeColor="text1"/>
        </w:rPr>
        <w:t xml:space="preserve">, human health problems and </w:t>
      </w:r>
      <w:r w:rsidRPr="00D23848">
        <w:rPr>
          <w:rFonts w:eastAsia="MS Mincho"/>
          <w:color w:val="000000" w:themeColor="text1"/>
        </w:rPr>
        <w:t>other ecological issues.</w:t>
      </w:r>
    </w:p>
    <w:p w:rsidR="000D5CBE" w:rsidRPr="00AF0477" w:rsidRDefault="000D5CBE" w:rsidP="002E7BE8">
      <w:pPr>
        <w:tabs>
          <w:tab w:val="left" w:pos="2235"/>
          <w:tab w:val="center" w:pos="4514"/>
        </w:tabs>
        <w:ind w:right="29"/>
        <w:jc w:val="both"/>
        <w:rPr>
          <w:rFonts w:eastAsia="MS Mincho"/>
          <w:color w:val="000000" w:themeColor="text1"/>
        </w:rPr>
      </w:pPr>
    </w:p>
    <w:p w:rsidR="00254309" w:rsidRPr="00AF0477" w:rsidRDefault="00BA206A" w:rsidP="000D5CBE">
      <w:pPr>
        <w:pStyle w:val="ListParagraph"/>
        <w:numPr>
          <w:ilvl w:val="0"/>
          <w:numId w:val="18"/>
        </w:numPr>
        <w:tabs>
          <w:tab w:val="left" w:pos="2235"/>
          <w:tab w:val="center" w:pos="4514"/>
        </w:tabs>
        <w:ind w:left="180" w:right="29" w:hanging="180"/>
        <w:rPr>
          <w:rFonts w:eastAsia="MS Mincho"/>
          <w:b/>
          <w:bCs/>
          <w:color w:val="000000" w:themeColor="text1"/>
        </w:rPr>
      </w:pPr>
      <w:r w:rsidRPr="00AF0477">
        <w:rPr>
          <w:rFonts w:eastAsia="MS Mincho"/>
          <w:b/>
          <w:bCs/>
          <w:color w:val="000000" w:themeColor="text1"/>
        </w:rPr>
        <w:t>PROTECTIVE CULTIVATION</w:t>
      </w:r>
    </w:p>
    <w:p w:rsidR="000D5CBE" w:rsidRPr="00AF0477" w:rsidRDefault="000D5CBE" w:rsidP="00254309">
      <w:pPr>
        <w:tabs>
          <w:tab w:val="left" w:pos="2235"/>
          <w:tab w:val="center" w:pos="4514"/>
        </w:tabs>
        <w:ind w:right="29"/>
        <w:jc w:val="both"/>
        <w:rPr>
          <w:rFonts w:eastAsia="MS Mincho"/>
          <w:b/>
          <w:bCs/>
          <w:color w:val="000000" w:themeColor="text1"/>
        </w:rPr>
      </w:pPr>
    </w:p>
    <w:p w:rsidR="00254309" w:rsidRPr="00AF0477" w:rsidRDefault="00254309" w:rsidP="00254309">
      <w:pPr>
        <w:tabs>
          <w:tab w:val="left" w:pos="2235"/>
          <w:tab w:val="center" w:pos="4514"/>
        </w:tabs>
        <w:ind w:right="29" w:firstLine="720"/>
        <w:jc w:val="both"/>
        <w:rPr>
          <w:rFonts w:eastAsia="MS Mincho"/>
          <w:color w:val="000000" w:themeColor="text1"/>
        </w:rPr>
      </w:pPr>
      <w:r w:rsidRPr="00AF0477">
        <w:rPr>
          <w:rFonts w:eastAsia="MS Mincho"/>
          <w:color w:val="000000" w:themeColor="text1"/>
        </w:rPr>
        <w:t>Protective cultivation is a cropping methodology aimed at optimizing production while conserving resources by modulating the microenvironment surrounding the plant throughout its growth cycle. This involves the use of modern structures such as poly-houses, net houses, screen houses</w:t>
      </w:r>
      <w:r w:rsidR="0019506F">
        <w:rPr>
          <w:rFonts w:eastAsia="MS Mincho"/>
          <w:color w:val="000000" w:themeColor="text1"/>
        </w:rPr>
        <w:t xml:space="preserve"> </w:t>
      </w:r>
      <w:r w:rsidRPr="00AF0477">
        <w:rPr>
          <w:rFonts w:eastAsia="MS Mincho"/>
          <w:color w:val="000000" w:themeColor="text1"/>
        </w:rPr>
        <w:t xml:space="preserve">and tunnels, as well as protective measures like windbreaks, irrigation and mulches to cultivate crops in a controlled environment and protect them from adverse weather conditions </w:t>
      </w:r>
      <w:r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{"citationID":"Vs6wOSux","properties":{"formattedCitation":"[58]","plainCitation":"[58]","noteIndex":0},"citationItems":[{"id":161,"uris":["http://zotero.org/users/14036693/items/VNK34CAZ"],"itemData":{"id":161,"type":"article-journal","abstract":"Here we provide a critical and comprehensive review of recent developments in the impact of protected cultivation on climate change and map the factors involved. Some possible ways to reduce greenhouse gas emissions are suggested and some sustainable adaptation strategies are indicated. We expand our survey of the existing research to the entire production system, including greenhouse structure, energy, electricity, growing media, and fertilizers. Technical and conceptual innovations are discussed, along with structural solutions, such as screenhouses. We believe that this work will contribute to facilitating reductions in direct and indirect emissions from the greenhouse gas inventory while simultaneously reducing the waste from protected cultivation systems. Moreover, we believe that this review will shed new light on some of these approaches and suggest new ways for cleaner production in controlled-environment systems. The transition to sustainable protected cultivation systems needs to be economically viable – innovative adaptations are required. We recommend adaptations such as maximum insulation, smart climate control, sustainable energy sources such as biogas, photovoltaics and geothermal energy, as well as new concepts for crop production to reduce the impact of protected cultivation on climate change.","container-title":"Journal of Cleaner Production","DOI":"10.1016/j.jclepro.2019.03.295","ISSN":"0959-6526","journalAbbreviation":"Journal of Cleaner Production","page":"324-339","source":"ScienceDirect","title":"Impacts of protected vegetable cultivation on climate change and adaptation strategies for cleaner production – A review","volume":"225","author":[{"family":"Gruda","given":"Nazim"},{"family":"Bisbis","given":"Mehdi"},{"family":"Tanny","given":"Josef"}],"issued":{"date-parts":[["2019",7,10]]}}}],"schema":"https://github.com/citation-style-language/schema/raw/master/csl-citation.json"} </w:instrText>
      </w:r>
      <w:r w:rsidRPr="00AF0477">
        <w:rPr>
          <w:rFonts w:eastAsia="MS Mincho"/>
          <w:color w:val="000000" w:themeColor="text1"/>
        </w:rPr>
        <w:fldChar w:fldCharType="separate"/>
      </w:r>
      <w:r w:rsidR="00AF0477" w:rsidRPr="00AF0477">
        <w:rPr>
          <w:color w:val="000000" w:themeColor="text1"/>
          <w:szCs w:val="24"/>
          <w:lang w:val="en-GB"/>
        </w:rPr>
        <w:t>[58]</w:t>
      </w:r>
      <w:r w:rsidRPr="00AF0477">
        <w:rPr>
          <w:rFonts w:eastAsia="MS Mincho"/>
          <w:color w:val="000000" w:themeColor="text1"/>
        </w:rPr>
        <w:fldChar w:fldCharType="end"/>
      </w:r>
      <w:r w:rsidRPr="00AF0477">
        <w:rPr>
          <w:rFonts w:eastAsia="MS Mincho"/>
          <w:color w:val="000000" w:themeColor="text1"/>
        </w:rPr>
        <w:t xml:space="preserve">. Protective cultivation finds significant application in arid and semi-arid regions, where it addresses challenges such as elevated temperatures, diminished soil fertility, limited biomass generation, prevalent strong winds and intense solar irradiation </w:t>
      </w:r>
      <w:r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{"citationID":"cd5dWqZT","properties":{"formattedCitation":"[59]","plainCitation":"[59]","noteIndex":0},"citationItems":[{"id":154,"uris":["http://zotero.org/users/14036693/items/CJJN8P95"],"itemData":{"id":154,"type":"article-journal","abstract":"Agriculture occupies the most prominent position in Himachal Pradesh, as it is the mainstay of more than 69 per cent of the state’s population. Since the state is exposed to constraints such as shrinking land holdings coupled with perceptible changes in weather and climate, protected cultivation has emerged as the best alternative for using land and other resources efficiently. The main aim of this technology is to enhance the socio-economic conditions of the farmers. Therefore, the present study was conducted to analyse the cropping pattern, production and productivity of major crops being cultivated under protected conditions and to study its impact in crop productivity, employment and income (farm income and total household income) generation and income variability. In order to have a better insight, the factors under consideration were compared to the open-field conditions. The study is based on primary data collected through survey method for the agricultural year 2015-16. The data had been collected from 60 tomato (30 open-field and 30 polyhouse) growers, selected through proportional allocation method from Kangra District of Himachal Pradesh. The study revealed that protected cultivation had a significant impact in enhancing the crop productivity and was approximately three times higher in comparison to the open-field conditions. The labour utilization pattern on protected cultivation was found to be almost four times higher than that of the open- field cultivation indicating a significant contribution in enhancing the employment opportunities. The average farm and household income of the protected growers was observed to be increased by about 25 and 11 per cent, respectively with the adoption of protected technology in the study area. The income variability of the protected growers was also found to be less in comparison to the open-field growers indicating lesser risk and higher stability of income generated by the protected growers in the study area. Therefore, it can be concluded that protected cultivation has a significantly positive impact in improving the socio-economic conditions of the farmers in the study area and suits well to the agro-climatic conditions prevailing in the hilly areas like Himachal Pradesh.","container-title":"Economic Affairs","DOI":"10.30954/0424-2513.1.2020.1","journalAbbreviation":"Economic Affairs","source":"ResearchGate","title":"Socio-Economic Impact of Protected Cultivation on Tomato Growers of Himachal Pradesh","volume":"65","author":[{"family":"Mehta","given":"Kanika"}],"issued":{"date-parts":[["2020",3,19]]}}}],"schema":"https://github.com/citation-style-language/schema/raw/master/csl-citation.json"} </w:instrText>
      </w:r>
      <w:r w:rsidRPr="00AF0477">
        <w:rPr>
          <w:rFonts w:eastAsia="MS Mincho"/>
          <w:color w:val="000000" w:themeColor="text1"/>
        </w:rPr>
        <w:fldChar w:fldCharType="separate"/>
      </w:r>
      <w:r w:rsidR="00AF0477" w:rsidRPr="00AF0477">
        <w:rPr>
          <w:color w:val="000000" w:themeColor="text1"/>
          <w:szCs w:val="24"/>
          <w:lang w:val="en-GB"/>
        </w:rPr>
        <w:t>[59]</w:t>
      </w:r>
      <w:r w:rsidRPr="00AF0477">
        <w:rPr>
          <w:rFonts w:eastAsia="MS Mincho"/>
          <w:color w:val="000000" w:themeColor="text1"/>
        </w:rPr>
        <w:fldChar w:fldCharType="end"/>
      </w:r>
      <w:r w:rsidR="0055046B">
        <w:rPr>
          <w:rFonts w:eastAsia="MS Mincho"/>
          <w:color w:val="000000" w:themeColor="text1"/>
        </w:rPr>
        <w:t>,</w:t>
      </w:r>
      <w:r w:rsidRPr="00AF0477">
        <w:rPr>
          <w:rFonts w:eastAsia="MS Mincho"/>
          <w:color w:val="000000" w:themeColor="text1"/>
        </w:rPr>
        <w:t xml:space="preserve"> </w:t>
      </w:r>
      <w:r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{"citationID":"ZwPgMLcB","properties":{"formattedCitation":"[60]","plainCitation":"[60]","noteIndex":0},"citationItems":[{"id":41,"uris":["http://zotero.org/users/14036693/items/YS93PMWR"],"itemData":{"id":41,"type":"article-journal","abstract":"Water scarcity and climate variability impede the realization of satisfactory vegetable yields in arid regions. It is imperative to delve into high-productivity and water-use-efficient protected cultivation systems for the sustained supply of vegetables in harsh arid climates. A strenuous effort was made to find suitable protected structures and levels of irrigation for greenhouse cucumber production in hot arid zones of India. In this endeavor, the effects of three low-tech passively ventilated protected structures, i.e., naturally ventilated polyhouse (NVP), insect-proof screenhouse (IPS) and shade screenhouse (SHS), as well as three levels of irrigation (100%, 80% and 60% of evapotranspiration, ET) were assessed for different morpho-physiological, yield and quality traits of the cucumber in a two-year study. Among the low-tech protected structures, NVP was found superior to IPS and SHS for cucumber performance, as evidenced by distinctly higher fruit yields (i.e., 31% and 121%, respectively) arising as a result of higher fruit number/plants and mean fruit weights under NVP. The fruit yield decreased in response to the degree of water shortage in deficit irrigation across all protected structures. However, the interaction effect of the protected structure and irrigation regime reveals that plants grown under moderate deficit (MD, 20% deficit) inside NVP could provide higher yields than those obtained under well-watered (WW, 100% of ET) conditions inside IPS or SHS. Plant growth indices such as vine length, node number/plant, and shoot dry mass were also measured higher under NVP. The greater performance of cucumber under NVP was attributed to a better plant physiological status (i.e., higher photosystem II efficiency, leaf relative water content and lower leaf water potential). The water deficit increased water productivity progressively with its severity; it remained higher in NVP, as reflected by 20% and 94% higher water productivity than those recorded in IPS and SHS, respectively, across different irrigation levels. With the exception of total soluble solids and fruit dry matter content (which were recorded higher), fruit quality parameters were reduced under water deficit conditions. The findings of this study emphasize the importance of considering suitable low-tech protected structures (i.e., NVP) and irrigation levels (i.e., normal rates for higher yields and moderate deficit (−20%) for satisfactory yields) for cucumber in hot arid regions. The results provide valuable insights for growers as well as researchers aiming to increase vegetable production under harsh climates and the water-limiting conditions of arid regions.","container-title":"Plants","DOI":"10.3390/plants13010146","ISSN":"2223-7747","issue":"1","language":"en","license":"http://creativecommons.org/licenses/by/3.0/","note":"number: 1\npublisher: Multidisciplinary Digital Publishing Institute","page":"146","source":"www.mdpi.com","title":"Optimization of Low-Tech Protected Structure and Irrigation Regime for Cucumber Production under Hot Arid Regions of India","volume":"13","author":[{"family":"Kumar","given":"Pradeep"},{"family":"Khapte","given":"Pratapsingh S."},{"family":"Singh","given":"Akath"},{"family":"Saxena","given":"Anurag"}],"issued":{"date-parts":[["2024",1]]}}}],"schema":"https://github.com/citation-style-language/schema/raw/master/csl-citation.json"} </w:instrText>
      </w:r>
      <w:r w:rsidRPr="00AF0477">
        <w:rPr>
          <w:rFonts w:eastAsia="MS Mincho"/>
          <w:color w:val="000000" w:themeColor="text1"/>
        </w:rPr>
        <w:fldChar w:fldCharType="separate"/>
      </w:r>
      <w:r w:rsidR="00AF0477" w:rsidRPr="00AF0477">
        <w:rPr>
          <w:color w:val="000000" w:themeColor="text1"/>
          <w:szCs w:val="24"/>
          <w:lang w:val="en-GB"/>
        </w:rPr>
        <w:t>[60]</w:t>
      </w:r>
      <w:r w:rsidRPr="00AF0477">
        <w:rPr>
          <w:rFonts w:eastAsia="MS Mincho"/>
          <w:color w:val="000000" w:themeColor="text1"/>
        </w:rPr>
        <w:fldChar w:fldCharType="end"/>
      </w:r>
      <w:r w:rsidR="0055046B">
        <w:rPr>
          <w:rFonts w:eastAsia="MS Mincho"/>
          <w:color w:val="000000" w:themeColor="text1"/>
        </w:rPr>
        <w:t>,</w:t>
      </w:r>
      <w:r w:rsidRPr="00AF0477">
        <w:rPr>
          <w:rFonts w:eastAsia="MS Mincho"/>
          <w:color w:val="000000" w:themeColor="text1"/>
        </w:rPr>
        <w:t xml:space="preserve"> </w:t>
      </w:r>
      <w:r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{"citationID":"TceYLrlZ","properties":{"formattedCitation":"[61]","plainCitation":"[61]","noteIndex":0},"citationItems":[{"id":125,"uris":["http://zotero.org/users/14036693/items/UNPUA2RS"],"itemData":{"id":125,"type":"article-journal","abstract":"Alike in other areas, greenhouse cultivation is getting special impetus in arid regions owing to providing favourable micro-climate, besides protecting crops from various external crop limiting factors which causes considerable losses to productivity. Cultivar selection is among the most critical aspect for successful greenhouse cultivation. In order to select appropriate cultivar for peculiar arid conditions, the performance of twenty indeterminate tomato hybrids were evaluated under greenhouse condition at Jodhpur during September to April, 2016-17. The performance of hybrids was assessed for their growth, yield and quality characteristics. Results obtained from the study reveal that the performance of tomato hybrids differ significantly for different growth and yield parameters among them. Shoot (leaf + stem) biomass production showed wide variation among the hybrids, ranging from 162g (IA05) to 225.7g (Avtar) per plant. Fruit yield also varied widely (2.36 kg to 4.94 kg plant-1). Hybrid Myla (4.94 kg) was found superior in per plant fruit yield, followed by TR4343 (4.71kg) and TR4266 (4.65kg). Significant differences were also observed for fruit quality attributes such as pericarp thickness, total soluble solids, pH and EC in different hybrids. The character association analyses show that the yield per plant had significant positive correlation with average fruit weight (0.72), fruit diameter (0.50) and pericarp thickness (0.45). The highest fruit number was found in TR4266 (68.4), which had statistically similar per plant fruit yield with Myla. Whereas, the highest average fruit weight (166.8g), though lowest fruit number (40.3) was recorded in TR4293. The high mean values of the yield associated parameters in high-yielding hybrids Myla, TR4343, TR4266, TR4293 corroborates their production potential under greenhouse in arid regions.","container-title":"Indian Journal of Horticulture","DOI":"10.5958/0974-0112.2018.00077.4","ISSN":"0974-0112","issue":"03","language":"en-US","license":"Copyright (c) 2018 Array","note":"number: 03","page":"457-462","source":"journal.iahs.org.in","title":"Performance evaluation and character association studies in arid region greenhouse tomato hybrids","volume":"75","author":[{"family":"Khapte","given":"P. S."},{"family":"Kumar","given":"Pradeep"},{"family":"Saxena","given":"Anurag"},{"family":"Singh","given":"Akath"}],"issued":{"date-parts":[["2018",9,30]]}}}],"schema":"https://github.com/citation-style-language/schema/raw/master/csl-citation.json"} </w:instrText>
      </w:r>
      <w:r w:rsidRPr="00AF0477">
        <w:rPr>
          <w:rFonts w:eastAsia="MS Mincho"/>
          <w:color w:val="000000" w:themeColor="text1"/>
        </w:rPr>
        <w:fldChar w:fldCharType="separate"/>
      </w:r>
      <w:r w:rsidR="00AF0477" w:rsidRPr="00AF0477">
        <w:rPr>
          <w:color w:val="000000" w:themeColor="text1"/>
          <w:szCs w:val="24"/>
          <w:lang w:val="en-GB"/>
        </w:rPr>
        <w:t>[61]</w:t>
      </w:r>
      <w:r w:rsidRPr="00AF0477">
        <w:rPr>
          <w:rFonts w:eastAsia="MS Mincho"/>
          <w:color w:val="000000" w:themeColor="text1"/>
        </w:rPr>
        <w:fldChar w:fldCharType="end"/>
      </w:r>
      <w:r w:rsidRPr="00AF0477">
        <w:rPr>
          <w:rFonts w:eastAsia="MS Mincho"/>
          <w:color w:val="000000" w:themeColor="text1"/>
        </w:rPr>
        <w:t xml:space="preserve">. One of the primary drivers for adopting protective cultivation in such regions is the pronounced scarcity of water resources. Protected cultivation offers a way around most of the problems associated with crop cultivation within arid environments </w:t>
      </w:r>
      <w:r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{"citationID":"TBIlyZIA","properties":{"formattedCitation":"[62]","plainCitation":"[62]","noteIndex":0},"citationItems":[{"id":38,"uris":["http://zotero.org/users/14036693/items/RTELVWFX"],"itemData":{"id":38,"type":"article-journal","abstract":"Protected cultivation is gaining momentum in (semi) arid regions to ameliorate the adverse environmental impacts on vegetable crops, besides ensuring high resource use efficiency in resource-limiting environments. Among the less techno-intensive protected cultivation structures, naturally ventilated polyhouses (NVP), insect-proof net houses (IPN) and shade net houses (SNH) are commercial structures in India. With the aim to find the best-protected structure, together with optimum irrigation level, for high yield and water productivity of the tomato crop, the most popular crop in hot arid regions, we evaluated tomato performance in low-tech protected structures (NVP, IPN and SNH) in interaction with three irrigation levels (100, 80 and 60% of crop evapotranspiration, ETc) during spring–summer of 2019 and 2020. The NVP was found superior to both the net house structures (IPN and SNH) for different performance indicators of tomatoes under investigation. The components of plant growth (leaf and stem dry mass) and fruit yield (fruit size, weight, yield), as well as fruit quality (total soluble solids, fruit dry matter and lycopene content) were higher in NVP, regardless of irrigation level. The yield as well as water productivity were significantly higher in NVP at 100% ETc. However, there was no statistical variation for water productivity between NVP and IPN. Microclimate parameters (temperature, relative humidity and photosynthetic active radiation) were markedly more congenial for tomato cultivation in NVP followed by IPN in relation to SNH. Consequently, plants’ physiological functioning with higher leaf relative water content (RWC) and lower leaf water potential concomitantly with better photosynthetic efficiency (chlorophyll fluorescence, Fv/Fm), was in NVP and IPN. Most growth and yield attributes were depressed with the decrease in water application rates; hence, deficit irrigation in these low-tech protected structures is not feasible. For tomato cultivation in resource-scarce arid regions, the combination of the normal rate of irrigation (100% ETc) and NVP was optimal for gaining high yield as well as water productivity as compared to net houses.","container-title":"Plants","DOI":"10.3390/plants11202743","ISSN":"2223-7747","issue":"20","journalAbbreviation":"Plants (Basel)","note":"PMID: 36297769\nPMCID: PMC9611190","page":"2743","source":"PubMed Central","title":"Integrative Effect of Protective Structures and Irrigation Levels on Tomato Performance in Indian Hot-Arid Region","volume":"11","author":[{"family":"Khapte","given":"Pratapsingh S."},{"family":"Kumar","given":"Pradeep"},{"family":"Singh","given":"Akath"},{"family":"Wakchaure","given":"Goraksha C."},{"family":"Saxena","given":"Anurag"},{"family":"Sabatino","given":"Leo"}],"issued":{"date-parts":[["2022",10,17]]}}}],"schema":"https://github.com/citation-style-language/schema/raw/master/csl-citation.json"} </w:instrText>
      </w:r>
      <w:r w:rsidRPr="00AF0477">
        <w:rPr>
          <w:rFonts w:eastAsia="MS Mincho"/>
          <w:color w:val="000000" w:themeColor="text1"/>
        </w:rPr>
        <w:fldChar w:fldCharType="separate"/>
      </w:r>
      <w:r w:rsidR="00AF0477" w:rsidRPr="00AF0477">
        <w:rPr>
          <w:color w:val="000000" w:themeColor="text1"/>
          <w:szCs w:val="24"/>
          <w:lang w:val="en-GB"/>
        </w:rPr>
        <w:t>[62]</w:t>
      </w:r>
      <w:r w:rsidRPr="00AF0477">
        <w:rPr>
          <w:rFonts w:eastAsia="MS Mincho"/>
          <w:color w:val="000000" w:themeColor="text1"/>
        </w:rPr>
        <w:fldChar w:fldCharType="end"/>
      </w:r>
      <w:r w:rsidRPr="00AF0477">
        <w:rPr>
          <w:rFonts w:eastAsia="MS Mincho"/>
          <w:color w:val="000000" w:themeColor="text1"/>
        </w:rPr>
        <w:t xml:space="preserve">. It encompasses a spectrum of sustainable agricultural practices, including hydroponic cultivation, precision agriculture techniques, integrated pest management (IPM), integrated nutrient management (INM), utilization of grafted robust planting material, facilitation of high-quality seed production and judicious utilization of water and other resources to mitigate the impacts of climate change and reduce greenhouse gas emission </w:t>
      </w:r>
      <w:r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{"citationID":"Oo1nVKBF","properties":{"formattedCitation":"[63]","plainCitation":"[63]","noteIndex":0},"citationItems":[{"id":36,"uris":["http://zotero.org/users/14036693/items/THCD6QX5"],"itemData":{"id":36,"type":"article-journal","abstract":"Protected cultivation is an innovative way of raising seasonal and off-seasonal crops under a controlled environment. Vegetables and flower crops have tremendous potential to augment productivity, generate employment, utilize land efficiently and enhance export. This study was undertaken to assess the economic feasibility of protected cultivation in the high export potential zones of the Pune and Nasik districts of Maharashtra, India, by employing project analytical tools and the regression model. The results revealed that the cultivation of flowers and vegetables under protected cultivation was highly lucrative with high investment. The protected cultivation of rose and capsicum had higher cultivation cost (300%), gross return (250%) and net return (190%) as compared to open cultivation. Moreover, most of the crops grown in polyhouses are highly profitable at different discount rates (7%, 10% and 12%), whereas a few crops were rewarding under shade net condition with subsidies. Factors such as literacy (p &lt; 0.05), income (p &lt; 0.05), access to subsidy (p &lt; 0.05) and the risk orientation index (p &lt; 0.01) were found statistically significant in technology adoption. In the context of a changing climate and shrinking land resources, water scarcity, incidence of pests and diseases, an ever-increasing population, low productivity under open conditions and changes in consumer’s preference are the drivers for switching over to protected cultivation. In the recent past, protected cultivation has been gaining importance in different parts of the country, including Maharashtra. The policy implications are creating modern infrastructure, enhanced application of ICTs, maximum crop production with minimum utilization of land and institutional support to promote technology on a commercial scale.","container-title":"Sustainability","DOI":"10.3390/su14127430","ISSN":"2071-1050","issue":"12","language":"en","license":"http://creativecommons.org/licenses/by/3.0/","note":"number: 12\npublisher: Multidisciplinary Digital Publishing Institute","page":"7430","source":"www.mdpi.com","title":"Protected Cultivation of Horticultural Crops as a Livelihood Opportunity in Western India: An Economic Assessment","title-short":"Protected Cultivation of Horticultural Crops as a Livelihood Opportunity in Western India","volume":"14","author":[{"family":"Pachiyappan","given":"Prakash"},{"family":"Kumar","given":"Pramod"},{"family":"Reddy","given":"Krishna Viswanatha"},{"family":"Kumar","given":"Kotamraju N. Ravi"},{"family":"Konduru","given":"Srinivasa"},{"family":"Paramesh","given":"Venkatesh"},{"family":"Rajanna","given":"Gandhamanagenahalli A."},{"family":"Shankarappa","given":"Shashidhar K."},{"family":"Jaganathan","given":"Duraisamy"},{"family":"Immanuel","given":"Sheela"},{"family":"Kamble","given":"Ankush L."},{"family":"Selvakumar","given":"Raman"},{"family":"Immanuelraj","given":"Kingsly T."},{"family":"Manogaran","given":"Boopathy Raja"},{"family":"Perumal","given":"Anbukani"},{"family":"Maruthanayagam","given":"Umamageswari"},{"family":"Niranjan","given":"Sivalingam"}],"issued":{"date-parts":[["2022",1]]}}}],"schema":"https://github.com/citation-style-language/schema/raw/master/csl-citation.json"} </w:instrText>
      </w:r>
      <w:r w:rsidRPr="00AF0477">
        <w:rPr>
          <w:rFonts w:eastAsia="MS Mincho"/>
          <w:color w:val="000000" w:themeColor="text1"/>
        </w:rPr>
        <w:fldChar w:fldCharType="separate"/>
      </w:r>
      <w:r w:rsidR="00AF0477" w:rsidRPr="00AF0477">
        <w:rPr>
          <w:color w:val="000000" w:themeColor="text1"/>
          <w:szCs w:val="24"/>
          <w:lang w:val="en-GB"/>
        </w:rPr>
        <w:t>[63]</w:t>
      </w:r>
      <w:r w:rsidRPr="00AF0477">
        <w:rPr>
          <w:rFonts w:eastAsia="MS Mincho"/>
          <w:color w:val="000000" w:themeColor="text1"/>
        </w:rPr>
        <w:fldChar w:fldCharType="end"/>
      </w:r>
      <w:r w:rsidRPr="00AF0477">
        <w:rPr>
          <w:rFonts w:eastAsia="MS Mincho"/>
          <w:color w:val="000000" w:themeColor="text1"/>
        </w:rPr>
        <w:t>. Moreover, the integration of high-tech agricultural methodologies facilitates heightened yield potentials within confined land areas, fosters avenues for entrepreneurial endeavors and augments export opportunities.</w:t>
      </w:r>
    </w:p>
    <w:p w:rsidR="00254309" w:rsidRPr="00AF0477" w:rsidRDefault="00254309" w:rsidP="00254309">
      <w:pPr>
        <w:tabs>
          <w:tab w:val="left" w:pos="2235"/>
          <w:tab w:val="center" w:pos="4514"/>
        </w:tabs>
        <w:ind w:right="29"/>
        <w:jc w:val="both"/>
        <w:rPr>
          <w:rFonts w:eastAsia="MS Mincho"/>
          <w:color w:val="000000" w:themeColor="text1"/>
        </w:rPr>
      </w:pPr>
    </w:p>
    <w:p w:rsidR="00254309" w:rsidRPr="00AF0477" w:rsidRDefault="00254309" w:rsidP="00254309">
      <w:pPr>
        <w:tabs>
          <w:tab w:val="left" w:pos="2235"/>
          <w:tab w:val="center" w:pos="4514"/>
        </w:tabs>
        <w:ind w:right="29" w:firstLine="720"/>
        <w:jc w:val="both"/>
        <w:rPr>
          <w:rFonts w:eastAsia="MS Mincho"/>
          <w:color w:val="000000" w:themeColor="text1"/>
        </w:rPr>
      </w:pPr>
      <w:r w:rsidRPr="00AF0477">
        <w:rPr>
          <w:rFonts w:eastAsia="MS Mincho"/>
          <w:color w:val="000000" w:themeColor="text1"/>
        </w:rPr>
        <w:t xml:space="preserve">With the compounding challenges of population growth, climate change, limited land availability, heightened demand for essential resources such as land and water and increasing consumer expectations for top-quality agricultural products, it is crucial to implement significant advancements in crop production technologies, especially in protected cultivation </w:t>
      </w:r>
      <w:r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{"citationID":"zwvY3bBV","properties":{"formattedCitation":"[64]","plainCitation":"[64]","noteIndex":0},"citationItems":[{"id":157,"uris":["http://zotero.org/users/14036693/items/E9BI7UJ3"],"itemData":{"id":157,"type":"paper-conference","container-title":"ISHS 28th Int. Horticultural Congress - Science and Horticulture for People - Abstracts Volume II (Symposia). Lisbon, Portugal, 22 - 27 August, 2010","event-title":"ISHS 28th Int. Horticultural Congress - Science and Horticulture for People, Lisbon, Portugal","language":"English","page":"186-187","publisher":"ISHS","source":"research.wur.nl","title":"Resource use efficiency in protected cultivation towards the greenhouse with zero emission","URL":"https://research.wur.nl/en/publications/resource-use-efficiency-in-protected-cultivation-towards-the-gree-2","author":[{"family":"Stanghellini","given":"C."},{"family":"Montero","given":"J. I."}],"accessed":{"date-parts":[["2024",5,29]]},"issued":{"date-parts":[["2010"]]}}}],"schema":"https://github.com/citation-style-language/schema/raw/master/csl-citation.json"} </w:instrText>
      </w:r>
      <w:r w:rsidRPr="00AF0477">
        <w:rPr>
          <w:rFonts w:eastAsia="MS Mincho"/>
          <w:color w:val="000000" w:themeColor="text1"/>
        </w:rPr>
        <w:fldChar w:fldCharType="separate"/>
      </w:r>
      <w:r w:rsidR="00AF0477" w:rsidRPr="00AF0477">
        <w:rPr>
          <w:color w:val="000000" w:themeColor="text1"/>
          <w:szCs w:val="24"/>
          <w:lang w:val="en-GB"/>
        </w:rPr>
        <w:t>[64]</w:t>
      </w:r>
      <w:r w:rsidRPr="00AF0477">
        <w:rPr>
          <w:rFonts w:eastAsia="MS Mincho"/>
          <w:color w:val="000000" w:themeColor="text1"/>
        </w:rPr>
        <w:fldChar w:fldCharType="end"/>
      </w:r>
      <w:r w:rsidRPr="00AF0477">
        <w:rPr>
          <w:rFonts w:eastAsia="MS Mincho"/>
          <w:color w:val="000000" w:themeColor="text1"/>
        </w:rPr>
        <w:t>. The integration of modern technologies in controlled environment agriculture, such as artificial intelligence and robotics for fruit harvesting, precise fruit maturity detection, selective fruit picking and the implementation of IoT or sensor-based irrigation scheduling, has the potential to enhance the crop productivity and income of local farmers. Polyhouse structures lead to improved water and fertilizer use efficiency, increased yields, high-quality produce, off-season production of high-value crops and the production of virus-free seedlings and hybrid seeds, resulting in higher income by faceting higher prices.</w:t>
      </w:r>
    </w:p>
    <w:p w:rsidR="00254309" w:rsidRPr="00AF0477" w:rsidRDefault="00254309" w:rsidP="00254309">
      <w:pPr>
        <w:tabs>
          <w:tab w:val="left" w:pos="2235"/>
          <w:tab w:val="center" w:pos="4514"/>
        </w:tabs>
        <w:ind w:right="29"/>
        <w:jc w:val="both"/>
        <w:rPr>
          <w:rFonts w:eastAsia="MS Mincho"/>
          <w:color w:val="000000" w:themeColor="text1"/>
        </w:rPr>
      </w:pPr>
    </w:p>
    <w:p w:rsidR="00254309" w:rsidRPr="00AF0477" w:rsidRDefault="00254309" w:rsidP="00254309">
      <w:pPr>
        <w:tabs>
          <w:tab w:val="left" w:pos="2235"/>
          <w:tab w:val="center" w:pos="4514"/>
        </w:tabs>
        <w:ind w:right="29" w:firstLine="720"/>
        <w:jc w:val="both"/>
        <w:rPr>
          <w:rFonts w:eastAsia="MS Mincho"/>
          <w:color w:val="000000" w:themeColor="text1"/>
        </w:rPr>
      </w:pPr>
      <w:r w:rsidRPr="00AF0477">
        <w:rPr>
          <w:rFonts w:eastAsia="MS Mincho"/>
          <w:color w:val="000000" w:themeColor="text1"/>
        </w:rPr>
        <w:t xml:space="preserve">The state of Maharashtra is at the forefront of protected cultivation in India, followed by Karnataka and Himachal Pradesh. Other states engaged in protected cultivation include Punjab, Uttarakhand, Haryana, Uttar Pradesh, Gujarat, Rajasthan, Jharkhand, Jammu &amp; Kashmir, Delhi, West Bengal, Orissa, Bihar and Madhya Pradesh (GOI 2018) </w:t>
      </w:r>
      <w:r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{"citationID":"EQddo1zw","properties":{"formattedCitation":"[65]","plainCitation":"[65]","noteIndex":0},"citationItems":[{"id":167,"uris":["http://zotero.org/users/14036693/items/JNRDTU27"],"itemData":{"id":167,"type":"article-journal","abstract":"Protected farming techniques are set of agricultural practices that are designed to produce a plant in a controlled environmental condition by using soil cover and / or crop covers to control pests and effect of climate. While a protected farming method can increase the productivity of vegetable crops as well as growth and yield. It is evident that protected farming has been found beneficial for farmers. In addition to its great importance, it challenges many biotic and abiotic factors such as photo-stress, water stress, heat stress, weed growth, soil nutrient deficiencies, high wind velocities and atmospheric carbon dioxide, pest and diseases. The various benefits of a protected vegetable crop are quality, profitability, and a good level of marketing for farmers. Protected cultivation is an imminent technique for raising vegetables, flowers and other high rated as well as consumable crops. In advance agriculture, protected structures held an excessive potential for more production with greater productivity. The chapter contains the status, challenges and opportunities of protected cultivation and related government schemes for horticultural plants in India especially Uttar Pradesh. It has been found that the cumulative area has been acquired under NHM-protected cultivation in India. Financial support or funding is also provided by the government agency to spread this methodology throughout the country. Recourses are used wisely in these structures because modern methods/techniques were applied.","container-title":"International Journal of Environment and Climate Change","DOI":"10.9734/ijecc/2023/v13i113511","journalAbbreviation":"International Journal of Environment and Climate Change","page":"3371-3380","source":"ResearchGate","title":"A Review on Protected Cultivation of Vegetables: Opportunities and Challenges","title-short":"A Review on Protected Cultivation of Vegetables","volume":"13","author":[{"family":"Dixit","given":"Pooshpendra"},{"family":"Singh","given":"Ankit"},{"family":"Tripathi","given":"C."},{"family":"Singh","given":"Raghvendra"},{"family":"Kumar","given":"Prabhat"}],"issued":{"date-parts":[["2023",11,18]]}}}],"schema":"https://github.com/citation-style-language/schema/raw/master/csl-citation.json"} </w:instrText>
      </w:r>
      <w:r w:rsidRPr="00AF0477">
        <w:rPr>
          <w:rFonts w:eastAsia="MS Mincho"/>
          <w:color w:val="000000" w:themeColor="text1"/>
        </w:rPr>
        <w:fldChar w:fldCharType="separate"/>
      </w:r>
      <w:r w:rsidR="00AF0477" w:rsidRPr="00AF0477">
        <w:rPr>
          <w:color w:val="000000" w:themeColor="text1"/>
          <w:szCs w:val="24"/>
          <w:lang w:val="en-GB"/>
        </w:rPr>
        <w:t>[65]</w:t>
      </w:r>
      <w:r w:rsidRPr="00AF0477">
        <w:rPr>
          <w:rFonts w:eastAsia="MS Mincho"/>
          <w:color w:val="000000" w:themeColor="text1"/>
        </w:rPr>
        <w:fldChar w:fldCharType="end"/>
      </w:r>
      <w:r w:rsidRPr="00AF0477">
        <w:rPr>
          <w:rFonts w:eastAsia="MS Mincho"/>
          <w:color w:val="000000" w:themeColor="text1"/>
        </w:rPr>
        <w:t xml:space="preserve">. Farmers typically cultivate roses, gerbera and carnations as flowers and capsicum, tomato and cucumber as vegetable crops. However, protected cultivation in India is still in its early stages, with only 0.2 per cent penetration, significantly lower compared to the Netherlands, Turkey and Israel. In the arid and semi-arid regions of India, the adoption of protective cultivation faces several challenges. These include high initial investment costs, lack of awareness, limited access to subsidies, high wages for skilled </w:t>
      </w:r>
      <w:proofErr w:type="spellStart"/>
      <w:r w:rsidRPr="00AF0477">
        <w:rPr>
          <w:rFonts w:eastAsia="MS Mincho"/>
          <w:color w:val="000000" w:themeColor="text1"/>
        </w:rPr>
        <w:t>labour</w:t>
      </w:r>
      <w:proofErr w:type="spellEnd"/>
      <w:r w:rsidRPr="00AF0477">
        <w:rPr>
          <w:rFonts w:eastAsia="MS Mincho"/>
          <w:color w:val="000000" w:themeColor="text1"/>
        </w:rPr>
        <w:t xml:space="preserve">, expensive transportation, inadequate local marketing facilities, insufficient supply chain management and market price fluctuations </w:t>
      </w:r>
      <w:r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{"citationID":"C46PGjPn","properties":{"formattedCitation":"[66]","plainCitation":"[66]","noteIndex":0},"citationItems":[{"id":23,"uris":["http://zotero.org/users/14036693/items/GB6UCT65"],"itemData":{"id":23,"type":"article-journal","abstract":"The present investigation was conducted in Semi-arid Eastern Plain Zone of Rajasthan with objective to find constraints in adoption of protected cultivation technologies. The study was conducted in the year 2022–2023. A total of 120 farmers were selected as sample respondents through multistage sampling process. The findings showed that the biggest barriers to farmers adopting protected cultivation technologies were a lack of scientific know how about cultivation practices under protected conditions, a lack of technical guidance about crop production techniques, a high initial investment, a high cost of planting materials, a lack of marketing facilities at locality, and insufficient expertise in supply chain management.","language":"en","source":"Zotero","title":"Constraints in adoption of protected cultivation technologies in semi-arid eastern plains zone of Rajasthan","author":[{"family":"Meena","given":"RL"},{"family":"Kalla","given":"PN"},{"family":"Dhaka","given":"BL"}]}}],"schema":"https://github.com/citation-style-language/schema/raw/master/csl-citation.json"} </w:instrText>
      </w:r>
      <w:r w:rsidRPr="00AF0477">
        <w:rPr>
          <w:rFonts w:eastAsia="MS Mincho"/>
          <w:color w:val="000000" w:themeColor="text1"/>
        </w:rPr>
        <w:fldChar w:fldCharType="separate"/>
      </w:r>
      <w:r w:rsidR="00AF0477" w:rsidRPr="00AF0477">
        <w:rPr>
          <w:color w:val="000000" w:themeColor="text1"/>
          <w:szCs w:val="24"/>
          <w:lang w:val="en-GB"/>
        </w:rPr>
        <w:t>[66]</w:t>
      </w:r>
      <w:r w:rsidRPr="00AF0477">
        <w:rPr>
          <w:rFonts w:eastAsia="MS Mincho"/>
          <w:color w:val="000000" w:themeColor="text1"/>
        </w:rPr>
        <w:fldChar w:fldCharType="end"/>
      </w:r>
      <w:r w:rsidR="0055046B">
        <w:rPr>
          <w:rFonts w:eastAsia="MS Mincho"/>
          <w:color w:val="000000" w:themeColor="text1"/>
        </w:rPr>
        <w:t>,</w:t>
      </w:r>
      <w:r w:rsidRPr="00AF0477">
        <w:rPr>
          <w:rFonts w:eastAsia="MS Mincho"/>
          <w:color w:val="000000" w:themeColor="text1"/>
        </w:rPr>
        <w:t xml:space="preserve"> </w:t>
      </w:r>
      <w:r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{"citationID":"QoIyA5Xt","properties":{"formattedCitation":"[58]","plainCitation":"[58]","noteIndex":0},"citationItems":[{"id":161,"uris":["http://zotero.org/users/14036693/items/VNK34CAZ"],"itemData":{"id":161,"type":"article-journal","abstract":"Here we provide a critical and comprehensive review of recent developments in the impact of protected cultivation on climate change and map the factors involved. Some possible ways to reduce greenhouse gas emissions are suggested and some sustainable adaptation strategies are indicated. We expand our survey of the existing research to the entire production system, including greenhouse structure, energy, electricity, growing media, and fertilizers. Technical and conceptual innovations are discussed, along with structural solutions, such as screenhouses. We believe that this work will contribute to facilitating reductions in direct and indirect emissions from the greenhouse gas inventory while simultaneously reducing the waste from protected cultivation systems. Moreover, we believe that this review will shed new light on some of these approaches and suggest new ways for cleaner production in controlled-environment systems. The transition to sustainable protected cultivation systems needs to be economically viable – innovative adaptations are required. We recommend adaptations such as maximum insulation, smart climate control, sustainable energy sources such as biogas, photovoltaics and geothermal energy, as well as new concepts for crop production to reduce the impact of protected cultivation on climate change.","container-title":"Journal of Cleaner Production","DOI":"10.1016/j.jclepro.2019.03.295","ISSN":"0959-6526","journalAbbreviation":"Journal of Cleaner Production","page":"324-339","source":"ScienceDirect","title":"Impacts of protected vegetable cultivation on climate change and adaptation strategies for cleaner production – A review","volume":"225","author":[{"family":"Gruda","given":"Nazim"},{"family":"Bisbis","given":"Mehdi"},{"family":"Tanny","given":"Josef"}],"issued":{"date-parts":[["2019",7,10]]}}}],"schema":"https://github.com/citation-style-language/schema/raw/master/csl-citation.json"} </w:instrText>
      </w:r>
      <w:r w:rsidRPr="00AF0477">
        <w:rPr>
          <w:rFonts w:eastAsia="MS Mincho"/>
          <w:color w:val="000000" w:themeColor="text1"/>
        </w:rPr>
        <w:fldChar w:fldCharType="separate"/>
      </w:r>
      <w:r w:rsidR="00AF0477" w:rsidRPr="00AF0477">
        <w:rPr>
          <w:color w:val="000000" w:themeColor="text1"/>
          <w:szCs w:val="24"/>
          <w:lang w:val="en-GB"/>
        </w:rPr>
        <w:t>[58]</w:t>
      </w:r>
      <w:r w:rsidRPr="00AF0477">
        <w:rPr>
          <w:rFonts w:eastAsia="MS Mincho"/>
          <w:color w:val="000000" w:themeColor="text1"/>
        </w:rPr>
        <w:fldChar w:fldCharType="end"/>
      </w:r>
      <w:r w:rsidRPr="00AF0477">
        <w:rPr>
          <w:rFonts w:eastAsia="MS Mincho"/>
          <w:color w:val="000000" w:themeColor="text1"/>
        </w:rPr>
        <w:t xml:space="preserve">. Due to the capital-intensive nature of this technology, there is a concern that only large, educated and progressive farmers will adopt it </w:t>
      </w:r>
      <w:r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{"citationID":"hJhJICib","properties":{"formattedCitation":"[67]","plainCitation":"[67]","noteIndex":0},"citationItems":[{"id":159,"uris":["http://zotero.org/users/14036693/items/VKJXCP6P"],"itemData":{"id":159,"type":"article-journal","abstract":"The study was conducted on 120 farmers and 30 agricultural researchers each of two states, viz. Maharashtra and \nKarnataka to delineate the constraints in adoption of polyhouse. The farmers faced environmental, technical, labour, \neconomic and marketing constraints in harnessing profitability and sustainability of this technology. The major \nconstraints in rapid adoption were high initial investment, poor availability of quality planting material and inputs, \npoor post-harvest infrastructure and absence of price policy measures. Farmers of Maharashtra were found to be \nbetter placed with respect to market access and availability of quality planting material. All the stakeholders agreed \nthat R&amp;D initiatives were required to develop low cost designs and reduce the cost of cultivation under polyhouse. \nFarmers’ ability to successfully integrate this technology to suit their socio-economic and agro-ecological conditions \nwould further affect its profitability and sustainability.","ISSN":"Not Available","journalAbbreviation":"Not Available","language":"English","note":"Accepted: 2018-11-30T06:28:55Z\npublisher: Not Available","source":"krishi.icar.gov.in","title":"Constraints in adoption and strategies to promote polyhouse technology among farmers: A multi-stakeholder and multi-dimensional study","title-short":"Constraints in adoption and strategies to promote polyhouse technology among farmers","URL":"http://krishi.icar.gov.in/jspui/handle/123456789/14390","author":[{"family":"Prabhakar","given":"Itigi"},{"family":"Vijayaragavan","given":"K."},{"family":"Singh","given":"Premlata"},{"family":"Singh","given":"Balraj"},{"family":"Janakiram","given":""},{"family":"Manjunatha","given":"B. L."},{"family":"Jaggi","given":"Seema"},{"family":"Sekar","given":"I."}],"accessed":{"date-parts":[["2024",5,29]]},"issued":{"date-parts":[["2017",1,1]]}}}],"schema":"https://github.com/citation-style-language/schema/raw/master/csl-citation.json"} </w:instrText>
      </w:r>
      <w:r w:rsidRPr="00AF0477">
        <w:rPr>
          <w:rFonts w:eastAsia="MS Mincho"/>
          <w:color w:val="000000" w:themeColor="text1"/>
        </w:rPr>
        <w:fldChar w:fldCharType="separate"/>
      </w:r>
      <w:r w:rsidR="00AF0477" w:rsidRPr="00AF0477">
        <w:rPr>
          <w:color w:val="000000" w:themeColor="text1"/>
          <w:szCs w:val="24"/>
          <w:lang w:val="en-GB"/>
        </w:rPr>
        <w:t>[67]</w:t>
      </w:r>
      <w:r w:rsidRPr="00AF0477">
        <w:rPr>
          <w:rFonts w:eastAsia="MS Mincho"/>
          <w:color w:val="000000" w:themeColor="text1"/>
        </w:rPr>
        <w:fldChar w:fldCharType="end"/>
      </w:r>
      <w:r w:rsidRPr="00AF0477">
        <w:rPr>
          <w:rFonts w:eastAsia="MS Mincho"/>
          <w:color w:val="000000" w:themeColor="text1"/>
        </w:rPr>
        <w:t>. To address this issue, substantial subsidies and quotas are being allocated to small and marginal farmers to encourage the widespread adoption of protective cultivation. Additionally, financial and marketing support is being provided to ensure better quality input supply and maximize earnings from farm produce. Both central and state governments have introduced various schemes and programs to promote and develop protective cultivation, with the National Horticulture Mission (NHM) being a major initiative. Under this program, farmers receive a 50% subsidy for establishing protective cultivation structures and 50% subsidy for planting materials of flowers and vegetables grown under protective cultivation.</w:t>
      </w:r>
    </w:p>
    <w:p w:rsidR="00254309" w:rsidRPr="00AF0477" w:rsidRDefault="00254309" w:rsidP="00254309">
      <w:pPr>
        <w:tabs>
          <w:tab w:val="left" w:pos="2235"/>
          <w:tab w:val="center" w:pos="4514"/>
        </w:tabs>
        <w:ind w:right="29" w:firstLine="720"/>
        <w:jc w:val="both"/>
        <w:rPr>
          <w:rFonts w:eastAsia="MS Mincho"/>
          <w:color w:val="000000" w:themeColor="text1"/>
        </w:rPr>
      </w:pPr>
    </w:p>
    <w:p w:rsidR="0041282C" w:rsidRPr="00AF0477" w:rsidRDefault="000D5CBE" w:rsidP="000D5CBE">
      <w:pPr>
        <w:pStyle w:val="ListParagraph"/>
        <w:numPr>
          <w:ilvl w:val="0"/>
          <w:numId w:val="18"/>
        </w:numPr>
        <w:ind w:left="180" w:hanging="180"/>
        <w:rPr>
          <w:b/>
          <w:bCs/>
          <w:color w:val="000000" w:themeColor="text1"/>
        </w:rPr>
      </w:pPr>
      <w:r w:rsidRPr="00AF0477">
        <w:rPr>
          <w:b/>
          <w:bCs/>
          <w:color w:val="000000" w:themeColor="text1"/>
        </w:rPr>
        <w:t xml:space="preserve">LAND </w:t>
      </w:r>
      <w:r w:rsidR="00682084">
        <w:rPr>
          <w:b/>
          <w:bCs/>
          <w:color w:val="000000" w:themeColor="text1"/>
        </w:rPr>
        <w:t xml:space="preserve">DEGRADATION </w:t>
      </w:r>
    </w:p>
    <w:p w:rsidR="000D5CBE" w:rsidRPr="00AF0477" w:rsidRDefault="000D5CBE" w:rsidP="000D5CBE">
      <w:pPr>
        <w:pStyle w:val="ListParagraph"/>
        <w:ind w:left="180"/>
        <w:jc w:val="both"/>
        <w:rPr>
          <w:b/>
          <w:bCs/>
          <w:color w:val="000000" w:themeColor="text1"/>
        </w:rPr>
      </w:pPr>
    </w:p>
    <w:p w:rsidR="0041282C" w:rsidRPr="00AF0477" w:rsidRDefault="0041282C" w:rsidP="00B6761F">
      <w:pPr>
        <w:ind w:firstLine="720"/>
        <w:jc w:val="both"/>
        <w:rPr>
          <w:color w:val="000000" w:themeColor="text1"/>
          <w:lang w:eastAsia="en-IN"/>
        </w:rPr>
      </w:pPr>
      <w:r w:rsidRPr="00AF0477">
        <w:rPr>
          <w:color w:val="000000" w:themeColor="text1"/>
          <w:lang w:eastAsia="en-IN"/>
        </w:rPr>
        <w:t xml:space="preserve">Land degradation can be defined as </w:t>
      </w:r>
      <w:r w:rsidR="00B6761F" w:rsidRPr="00AF0477">
        <w:rPr>
          <w:color w:val="000000" w:themeColor="text1"/>
          <w:lang w:eastAsia="en-IN"/>
        </w:rPr>
        <w:t xml:space="preserve">a </w:t>
      </w:r>
      <w:r w:rsidRPr="00AF0477">
        <w:rPr>
          <w:color w:val="000000" w:themeColor="text1"/>
          <w:lang w:eastAsia="en-IN"/>
        </w:rPr>
        <w:t>piece of land los</w:t>
      </w:r>
      <w:r w:rsidR="00B6761F" w:rsidRPr="00AF0477">
        <w:rPr>
          <w:color w:val="000000" w:themeColor="text1"/>
          <w:lang w:eastAsia="en-IN"/>
        </w:rPr>
        <w:t>ing</w:t>
      </w:r>
      <w:r w:rsidRPr="00AF0477">
        <w:rPr>
          <w:color w:val="000000" w:themeColor="text1"/>
          <w:lang w:eastAsia="en-IN"/>
        </w:rPr>
        <w:t xml:space="preserve"> its ability to produce </w:t>
      </w:r>
      <w:r w:rsidR="0019506F">
        <w:rPr>
          <w:color w:val="000000" w:themeColor="text1"/>
          <w:lang w:eastAsia="en-IN"/>
        </w:rPr>
        <w:t xml:space="preserve">crops </w:t>
      </w:r>
      <w:r w:rsidRPr="00AF0477">
        <w:rPr>
          <w:color w:val="000000" w:themeColor="text1"/>
          <w:lang w:eastAsia="en-IN"/>
        </w:rPr>
        <w:t xml:space="preserve">due to factors including soil erosion caused by wind and water, humus loss, nitrogen depletion, secondary salinization, dilution and deterioration of the plant cover and biodiversity loss. In addition, it results in a decline in the productivity of land in terms of economy and biodiversity, which is caused by </w:t>
      </w:r>
      <w:r w:rsidR="00B6761F" w:rsidRPr="00AF0477">
        <w:rPr>
          <w:color w:val="000000" w:themeColor="text1"/>
          <w:lang w:eastAsia="en-IN"/>
        </w:rPr>
        <w:t>several</w:t>
      </w:r>
      <w:r w:rsidRPr="00AF0477">
        <w:rPr>
          <w:color w:val="000000" w:themeColor="text1"/>
          <w:lang w:eastAsia="en-IN"/>
        </w:rPr>
        <w:t xml:space="preserve"> factors such as climate change and human dominance, which destroys ecosystem</w:t>
      </w:r>
      <w:r w:rsidR="00B92CA8" w:rsidRPr="00AF0477">
        <w:rPr>
          <w:color w:val="000000" w:themeColor="text1"/>
          <w:lang w:eastAsia="en-IN"/>
        </w:rPr>
        <w:t>s</w:t>
      </w:r>
      <w:r w:rsidRPr="00AF0477">
        <w:rPr>
          <w:color w:val="000000" w:themeColor="text1"/>
          <w:lang w:eastAsia="en-IN"/>
        </w:rPr>
        <w:t xml:space="preserve">. The area under land degradation in India was about 97.85 million ha </w:t>
      </w:r>
      <w:r w:rsidRPr="00AF0477">
        <w:rPr>
          <w:color w:val="000000" w:themeColor="text1"/>
          <w:lang w:eastAsia="en-IN"/>
        </w:rPr>
        <w:lastRenderedPageBreak/>
        <w:t xml:space="preserve">which is 29.77% of </w:t>
      </w:r>
      <w:r w:rsidR="00B6761F" w:rsidRPr="00AF0477">
        <w:rPr>
          <w:color w:val="000000" w:themeColor="text1"/>
          <w:lang w:eastAsia="en-IN"/>
        </w:rPr>
        <w:t xml:space="preserve">the </w:t>
      </w:r>
      <w:r w:rsidRPr="00AF0477">
        <w:rPr>
          <w:color w:val="000000" w:themeColor="text1"/>
          <w:lang w:eastAsia="en-IN"/>
        </w:rPr>
        <w:t xml:space="preserve">total geographical area of the country </w:t>
      </w:r>
      <w:r w:rsidR="00C607FB" w:rsidRPr="00AF0477">
        <w:rPr>
          <w:color w:val="000000" w:themeColor="text1"/>
          <w:lang w:eastAsia="en-IN"/>
        </w:rPr>
        <w:fldChar w:fldCharType="begin"/>
      </w:r>
      <w:r w:rsidR="004126BC" w:rsidRPr="00AF0477">
        <w:rPr>
          <w:color w:val="000000" w:themeColor="text1"/>
          <w:lang w:eastAsia="en-IN"/>
        </w:rPr>
        <w:instrText xml:space="preserve"> ADDIN ZOTERO_ITEM CSL_CITATION {"citationID":"fh9e2El5","properties":{"formattedCitation":"[68]","plainCitation":"[68]","noteIndex":0},"citationItems":[{"id":206,"uris":["http://zotero.org/users/14036693/items/F4JS4D82"],"itemData":{"id":206,"type":"book","abstract":"Land degradation is an global concern and this atlas presents assessment of land degradation vulnerability in India by geospatial analysis of satellite derived information. (https://vedas.sac.gov.in/static/atlas/dsm/DLD_Atlas_SAC_2021.pdf)","ISBN":"978-93-82760-39-9","source":"ResearchGate","title":"Desertification and Land Degradation Atlas of India (Assessment and analysis of changes over 15 years based on remote sensing)","author":[{"family":"Parmar","given":"Manish"},{"family":"Arya","given":"A.s"},{"family":"Patel","given":"Shri"},{"family":"Singh","given":"C. P."},{"family":"Rathore","given":"B."},{"family":"Bhanderi","given":"Shri"},{"family":"Ramakrishnan","given":"Ratheesh"},{"family":"Shah","given":"S."},{"family":"Rajawat","given":"A."},{"family":"Rajak","given":"D."},{"family":"Bahuguna","given":"I."},{"family":"Moharana","given":"P."},{"family":"Kumar","given":"Mahesh"},{"family":"Hazra","given":"Anupam"},{"family":"Meharu","given":"Swarna"},{"family":"Dave","given":"Viral"},{"family":"Pandya","given":"Megha"},{"family":"Ghosh","given":"Ranendu"},{"family":"Mitra","given":"Suman"},{"family":"Bhat","given":"Insha"}],"issued":{"date-parts":[["2021",6,17]]}}}],"schema":"https://github.com/citation-style-language/schema/raw/master/csl-citation.json"} </w:instrText>
      </w:r>
      <w:r w:rsidR="00C607FB" w:rsidRPr="00AF0477">
        <w:rPr>
          <w:color w:val="000000" w:themeColor="text1"/>
          <w:lang w:eastAsia="en-IN"/>
        </w:rPr>
        <w:fldChar w:fldCharType="separate"/>
      </w:r>
      <w:r w:rsidR="00AF0477" w:rsidRPr="00AF0477">
        <w:rPr>
          <w:noProof/>
          <w:color w:val="000000" w:themeColor="text1"/>
          <w:lang w:eastAsia="en-IN"/>
        </w:rPr>
        <w:t>[68]</w:t>
      </w:r>
      <w:r w:rsidR="00C607FB" w:rsidRPr="00AF0477">
        <w:rPr>
          <w:color w:val="000000" w:themeColor="text1"/>
          <w:lang w:eastAsia="en-IN"/>
        </w:rPr>
        <w:fldChar w:fldCharType="end"/>
      </w:r>
      <w:r w:rsidRPr="00AF0477">
        <w:rPr>
          <w:color w:val="000000" w:themeColor="text1"/>
          <w:lang w:eastAsia="en-IN"/>
        </w:rPr>
        <w:t>. The extent of land degradation is vast, occupying over 23% of the Earth's landmass, increasing at a rate of 5-10 million h</w:t>
      </w:r>
      <w:r w:rsidR="00B6761F" w:rsidRPr="00AF0477">
        <w:rPr>
          <w:color w:val="000000" w:themeColor="text1"/>
          <w:lang w:eastAsia="en-IN"/>
        </w:rPr>
        <w:t>ectares</w:t>
      </w:r>
      <w:r w:rsidRPr="00AF0477">
        <w:rPr>
          <w:color w:val="000000" w:themeColor="text1"/>
          <w:lang w:eastAsia="en-IN"/>
        </w:rPr>
        <w:t xml:space="preserve"> per year and impacting roughly 1.5 billion people worldwide. To avert such harmful processes, comprehensive and immediate effort is required to prevent land degradation </w:t>
      </w:r>
      <w:r w:rsidR="00C607FB" w:rsidRPr="00AF0477">
        <w:rPr>
          <w:color w:val="000000" w:themeColor="text1"/>
          <w:lang w:eastAsia="en-IN"/>
        </w:rPr>
        <w:fldChar w:fldCharType="begin"/>
      </w:r>
      <w:r w:rsidR="004126BC" w:rsidRPr="00AF0477">
        <w:rPr>
          <w:color w:val="000000" w:themeColor="text1"/>
          <w:lang w:eastAsia="en-IN"/>
        </w:rPr>
        <w:instrText xml:space="preserve"> ADDIN ZOTERO_ITEM CSL_CITATION {"citationID":"rc1DIW21","properties":{"formattedCitation":"[8]","plainCitation":"[8]","noteIndex":0},"citationItems":[{"id":197,"uris":["http://zotero.org/users/14036693/items/KGR5YXZN"],"itemData":{"id":197,"type":"article-journal","abstract":"Land degradation is extensive, covering approximately 23% of the globe's terrestrial area, increasing at an annual rate of 5–10 million ha, and affecting about 1.5 billion people globally. Such detrimental processes call for urgent and comprehensive action to halt land degradation. In this paper, we assess the causes and extent of land degradation around the world, followed by an outline of the various challenges in implementing a global Zero Net Land Degradation (ZNLD) policy. The concept of ZNLD proposes a scheme under which the extent of global degraded lands will decrease or at least, remain stable. To enable this type of scenario, the rate of global land degradation should not exceed that of land restoration. Restoration efforts should include not only croplands, rangelands, and woodlands, but also natural and semi-natural lands that do not generate direct economic revenues. The United Nations Convention to Combat Desertification (UNCCD) envisages achieving this target by 2030. Despite being seemingly ambitious, the target of ZNLD could be achieved if degraded lands are restored to a considerable extent and, at the same time, land-degrading management practices are replaced with ones that conserve soils. To enable effective implementation of these steps, it is necessary to formulate a ZNLD Protocol aimed at managing assessment actions and maintaining of supportive policies and regulations. Restoration projects could be financed through payments for improving ecosystem services, as well as other economic mechanisms. Achieving the target of land degradation neutrality would decrease the environmental footprint of agriculture, while supporting food security and sustaining human wellbeing.","collection-title":"Special Issue on the Fourth Drylands Deserts and Desertification “DDD” Conference","container-title":"Journal of Arid Environments","DOI":"10.1016/j.jaridenv.2014.01.016","ISSN":"0140-1963","journalAbbreviation":"Journal of Arid Environments","page":"44-51","source":"ScienceDirect","title":"Achieving Zero Net Land Degradation: Challenges and opportunities","title-short":"Achieving Zero Net Land Degradation","volume":"112","author":[{"family":"Stavi","given":"Ilan"},{"family":"Lal","given":"Rattan"}],"issued":{"date-parts":[["2015",1,1]]}}}],"schema":"https://github.com/citation-style-language/schema/raw/master/csl-citation.json"} </w:instrText>
      </w:r>
      <w:r w:rsidR="00C607FB" w:rsidRPr="00AF0477">
        <w:rPr>
          <w:color w:val="000000" w:themeColor="text1"/>
          <w:lang w:eastAsia="en-IN"/>
        </w:rPr>
        <w:fldChar w:fldCharType="separate"/>
      </w:r>
      <w:r w:rsidR="00AF0477" w:rsidRPr="00AF0477">
        <w:rPr>
          <w:noProof/>
          <w:color w:val="000000" w:themeColor="text1"/>
          <w:lang w:eastAsia="en-IN"/>
        </w:rPr>
        <w:t>[8]</w:t>
      </w:r>
      <w:r w:rsidR="00C607FB" w:rsidRPr="00AF0477">
        <w:rPr>
          <w:color w:val="000000" w:themeColor="text1"/>
          <w:lang w:eastAsia="en-IN"/>
        </w:rPr>
        <w:fldChar w:fldCharType="end"/>
      </w:r>
      <w:r w:rsidRPr="00AF0477">
        <w:rPr>
          <w:color w:val="000000" w:themeColor="text1"/>
          <w:lang w:eastAsia="en-IN"/>
        </w:rPr>
        <w:t>.</w:t>
      </w:r>
      <w:r w:rsidR="00B6761F" w:rsidRPr="00AF0477">
        <w:rPr>
          <w:color w:val="000000" w:themeColor="text1"/>
          <w:lang w:eastAsia="en-IN"/>
        </w:rPr>
        <w:t xml:space="preserve"> L</w:t>
      </w:r>
      <w:r w:rsidRPr="00AF0477">
        <w:rPr>
          <w:color w:val="000000" w:themeColor="text1"/>
          <w:lang w:eastAsia="en-IN"/>
        </w:rPr>
        <w:t xml:space="preserve">and degradation neutrality (LDN) is one of the sustainable development goals among 17 goals which </w:t>
      </w:r>
      <w:r w:rsidR="00E24A18">
        <w:rPr>
          <w:color w:val="000000" w:themeColor="text1"/>
          <w:lang w:eastAsia="en-IN"/>
        </w:rPr>
        <w:t>wa</w:t>
      </w:r>
      <w:r w:rsidRPr="00AF0477">
        <w:rPr>
          <w:color w:val="000000" w:themeColor="text1"/>
          <w:lang w:eastAsia="en-IN"/>
        </w:rPr>
        <w:t xml:space="preserve">s adopted by </w:t>
      </w:r>
      <w:r w:rsidR="00E24A18">
        <w:rPr>
          <w:color w:val="000000" w:themeColor="text1"/>
          <w:lang w:eastAsia="en-IN"/>
        </w:rPr>
        <w:t xml:space="preserve">the </w:t>
      </w:r>
      <w:r w:rsidRPr="00AF0477">
        <w:rPr>
          <w:color w:val="000000" w:themeColor="text1"/>
          <w:lang w:eastAsia="en-IN"/>
        </w:rPr>
        <w:t xml:space="preserve">UN </w:t>
      </w:r>
      <w:r w:rsidR="00B6761F" w:rsidRPr="00AF0477">
        <w:rPr>
          <w:color w:val="000000" w:themeColor="text1"/>
          <w:lang w:eastAsia="en-IN"/>
        </w:rPr>
        <w:t>General A</w:t>
      </w:r>
      <w:r w:rsidRPr="00AF0477">
        <w:rPr>
          <w:color w:val="000000" w:themeColor="text1"/>
          <w:lang w:eastAsia="en-IN"/>
        </w:rPr>
        <w:t xml:space="preserve">ssembly in September 2015 which demands </w:t>
      </w:r>
      <w:r w:rsidR="00E24A18">
        <w:rPr>
          <w:color w:val="000000" w:themeColor="text1"/>
          <w:lang w:eastAsia="en-IN"/>
        </w:rPr>
        <w:t>that</w:t>
      </w:r>
      <w:r w:rsidRPr="00AF0477">
        <w:rPr>
          <w:color w:val="000000" w:themeColor="text1"/>
          <w:lang w:eastAsia="en-IN"/>
        </w:rPr>
        <w:t xml:space="preserve"> nations promote sustainable use of </w:t>
      </w:r>
      <w:r w:rsidR="009445EB" w:rsidRPr="00AF0477">
        <w:rPr>
          <w:color w:val="000000" w:themeColor="text1"/>
          <w:lang w:eastAsia="en-IN"/>
        </w:rPr>
        <w:t xml:space="preserve">the </w:t>
      </w:r>
      <w:r w:rsidRPr="00AF0477">
        <w:rPr>
          <w:color w:val="000000" w:themeColor="text1"/>
          <w:lang w:eastAsia="en-IN"/>
        </w:rPr>
        <w:t xml:space="preserve">ecosystem, combat desertification and reduce the loss of biodiversity and land degradation. The main aim of LDN is to maintain the land resources base so that it can continue to provide ecosystem services while enhancing the resilience of the communities that rely on the land. By 2030, India hopes to repair 26 million hectares of degraded land </w:t>
      </w:r>
      <w:r w:rsidR="00B92CA8" w:rsidRPr="00AF0477">
        <w:rPr>
          <w:color w:val="000000" w:themeColor="text1"/>
          <w:lang w:eastAsia="en-IN"/>
        </w:rPr>
        <w:fldChar w:fldCharType="begin"/>
      </w:r>
      <w:r w:rsidR="004126BC" w:rsidRPr="00AF0477">
        <w:rPr>
          <w:color w:val="000000" w:themeColor="text1"/>
          <w:lang w:eastAsia="en-IN"/>
        </w:rPr>
        <w:instrText xml:space="preserve"> ADDIN ZOTERO_ITEM CSL_CITATION {"citationID":"kIrjDdir","properties":{"formattedCitation":"[69]","plainCitation":"[69]","noteIndex":0},"citationItems":[{"id":212,"uris":["http://zotero.org/users/14036693/items/YGINFF88"],"itemData":{"id":212,"type":"article-journal","abstract":"This review focuses on the main causes, effects and governmental management practices of soils in Egypt subjected to degradation threats. Land degradation became a global concern threatening food security and the ecosystem since it has a significant impact on the environment and agriculture. The major causes of degradation are alteration in climatic conditions, overgrazing, salinization, deforestation, depletion of soil organic matter content, desertification, waterlogging, inappropriate agronomic practices and erosion. It is paramount to reduce these causative factors in order to adequately manage the situation. We can manage and improve the well-being of our soils in Egypt through afforestation, managing vegetation cover, soil reclamation, optimizing agricultural practices (e.g. tillage, irrigation and fertilization), avoidance of crop residues removal and application of organic matter to the farmland. Additionally, organic farming can be a substitute in keeping our land safe from degradation. The effects of these factors may lead to loss of ecosystem, biodiversity and agricultural yield/output. The technology of GIS and remote sensing is now widely applied in the studies of land degradation due to its timeliness, coverage and efficiency. This is because of the outstanding features of GIS and remote sensing, which include: field wide view, inexpensive, instantaneous data capturing, and sporadic imagery.","container-title":"Egyptian Journal of Soil Science","DOI":"10.21608/ejss.2023.230986.1647","ISSN":"0302-6701","issue":"4","note":"publisher: The National Information and Documentation Centre (NIDOC) affiliated to Academy of Scientific Research and Technology(ASRT)","page":"659-676","source":"journals.ekb.eg","title":"LAND DEGRADATION, CAUSES, IMPLICATIONS AND SUSTAINABLE MANAGEMENT IN ARID AND SEMI ARID REGIONS: A CASE STUDY OF EGYPT","title-short":"LAND DEGRADATION, CAUSES, IMPLICATIONS AND SUSTAINABLE MANAGEMENT IN ARID AND SEMI ARID REGIONS","volume":"63","author":[{"family":"Abdullahi","given":"Mohammed Bello"},{"family":"Elnaggar","given":"Abdelhamid Ahmed"},{"family":"Omar","given":"Mahmoud Mousa"},{"family":"Murtala","given":"Animashaun"},{"family":"Lawal","given":"Mohammed"},{"family":"Mosa","given":"Ahmed Ali"}],"issued":{"date-parts":[["2023",10,1]]}}}],"schema":"https://github.com/citation-style-language/schema/raw/master/csl-citation.json"} </w:instrText>
      </w:r>
      <w:r w:rsidR="00B92CA8" w:rsidRPr="00AF0477">
        <w:rPr>
          <w:color w:val="000000" w:themeColor="text1"/>
          <w:lang w:eastAsia="en-IN"/>
        </w:rPr>
        <w:fldChar w:fldCharType="separate"/>
      </w:r>
      <w:r w:rsidR="00AF0477" w:rsidRPr="00AF0477">
        <w:rPr>
          <w:noProof/>
          <w:color w:val="000000" w:themeColor="text1"/>
          <w:lang w:eastAsia="en-IN"/>
        </w:rPr>
        <w:t>[69]</w:t>
      </w:r>
      <w:r w:rsidR="00B92CA8" w:rsidRPr="00AF0477">
        <w:rPr>
          <w:color w:val="000000" w:themeColor="text1"/>
          <w:lang w:eastAsia="en-IN"/>
        </w:rPr>
        <w:fldChar w:fldCharType="end"/>
      </w:r>
      <w:r w:rsidRPr="00AF0477">
        <w:rPr>
          <w:color w:val="000000" w:themeColor="text1"/>
          <w:lang w:eastAsia="en-IN"/>
        </w:rPr>
        <w:t>.</w:t>
      </w:r>
    </w:p>
    <w:p w:rsidR="009445EB" w:rsidRPr="00AF0477" w:rsidRDefault="009445EB" w:rsidP="00B6761F">
      <w:pPr>
        <w:ind w:firstLine="720"/>
        <w:jc w:val="both"/>
        <w:rPr>
          <w:color w:val="000000" w:themeColor="text1"/>
          <w:lang w:eastAsia="en-IN"/>
        </w:rPr>
      </w:pPr>
    </w:p>
    <w:p w:rsidR="0041282C" w:rsidRPr="00AF0477" w:rsidRDefault="009445EB" w:rsidP="009445EB">
      <w:pPr>
        <w:ind w:firstLine="720"/>
        <w:jc w:val="both"/>
        <w:rPr>
          <w:color w:val="000000" w:themeColor="text1"/>
        </w:rPr>
      </w:pPr>
      <w:r w:rsidRPr="00AF0477">
        <w:rPr>
          <w:color w:val="000000" w:themeColor="text1"/>
        </w:rPr>
        <w:t>Many different approaches</w:t>
      </w:r>
      <w:r w:rsidR="0041282C" w:rsidRPr="00AF0477">
        <w:rPr>
          <w:color w:val="000000" w:themeColor="text1"/>
        </w:rPr>
        <w:t xml:space="preserve"> can be used to restore land degradation, depending on its type, degree and nature. Most types of land degrad</w:t>
      </w:r>
      <w:r w:rsidR="0019506F">
        <w:rPr>
          <w:color w:val="000000" w:themeColor="text1"/>
        </w:rPr>
        <w:t>ed</w:t>
      </w:r>
      <w:r w:rsidR="0041282C" w:rsidRPr="00AF0477">
        <w:rPr>
          <w:color w:val="000000" w:themeColor="text1"/>
        </w:rPr>
        <w:t xml:space="preserve"> are recoverable with the addition of organic matter, soil additives</w:t>
      </w:r>
      <w:r w:rsidR="00A47427">
        <w:rPr>
          <w:color w:val="000000" w:themeColor="text1"/>
        </w:rPr>
        <w:t xml:space="preserve">, </w:t>
      </w:r>
      <w:r w:rsidR="0041282C" w:rsidRPr="00AF0477">
        <w:rPr>
          <w:color w:val="000000" w:themeColor="text1"/>
        </w:rPr>
        <w:t>cover crops and green manure to encourage the growth of new vegetation.</w:t>
      </w:r>
      <w:r w:rsidR="0041282C" w:rsidRPr="00AF0477">
        <w:rPr>
          <w:color w:val="000000" w:themeColor="text1"/>
          <w:lang w:eastAsia="en-IN"/>
        </w:rPr>
        <w:t xml:space="preserve"> </w:t>
      </w:r>
      <w:r w:rsidR="0041282C" w:rsidRPr="00AF0477">
        <w:rPr>
          <w:color w:val="000000" w:themeColor="text1"/>
        </w:rPr>
        <w:t>It requires accurate, evaluated and scientifically proven technologies and methodologies for sustainable land management that combine the ecological, economic and social aspects of land use to avoid and address current land degradation.</w:t>
      </w:r>
      <w:r w:rsidRPr="00AF0477">
        <w:rPr>
          <w:color w:val="000000" w:themeColor="text1"/>
        </w:rPr>
        <w:t xml:space="preserve"> </w:t>
      </w:r>
      <w:r w:rsidR="0041282C" w:rsidRPr="00AF0477">
        <w:rPr>
          <w:color w:val="000000" w:themeColor="text1"/>
        </w:rPr>
        <w:t xml:space="preserve">Soil conservation techniques which include contour ploughing, strip cropping, cover crops, mulching, bunding and terracing aid in mitigating soil erosion. Minimum tillage which is part of conservation agriculture can help in </w:t>
      </w:r>
      <w:r w:rsidRPr="00AF0477">
        <w:rPr>
          <w:color w:val="000000" w:themeColor="text1"/>
        </w:rPr>
        <w:t xml:space="preserve">the </w:t>
      </w:r>
      <w:r w:rsidR="0041282C" w:rsidRPr="00AF0477">
        <w:rPr>
          <w:color w:val="000000" w:themeColor="text1"/>
        </w:rPr>
        <w:t>conservation of soil resources by reducing soil erosion, improv</w:t>
      </w:r>
      <w:r w:rsidRPr="00AF0477">
        <w:rPr>
          <w:color w:val="000000" w:themeColor="text1"/>
        </w:rPr>
        <w:t>ing</w:t>
      </w:r>
      <w:r w:rsidR="0041282C" w:rsidRPr="00AF0477">
        <w:rPr>
          <w:color w:val="000000" w:themeColor="text1"/>
        </w:rPr>
        <w:t xml:space="preserve"> soil health, increas</w:t>
      </w:r>
      <w:r w:rsidRPr="00AF0477">
        <w:rPr>
          <w:color w:val="000000" w:themeColor="text1"/>
        </w:rPr>
        <w:t>ing</w:t>
      </w:r>
      <w:r w:rsidR="0041282C" w:rsidRPr="00AF0477">
        <w:rPr>
          <w:color w:val="000000" w:themeColor="text1"/>
        </w:rPr>
        <w:t xml:space="preserve"> crop yield</w:t>
      </w:r>
      <w:r w:rsidRPr="00AF0477">
        <w:rPr>
          <w:color w:val="000000" w:themeColor="text1"/>
        </w:rPr>
        <w:t>,</w:t>
      </w:r>
      <w:r w:rsidR="0041282C" w:rsidRPr="00AF0477">
        <w:rPr>
          <w:color w:val="000000" w:themeColor="text1"/>
        </w:rPr>
        <w:t xml:space="preserve"> promot</w:t>
      </w:r>
      <w:r w:rsidRPr="00AF0477">
        <w:rPr>
          <w:color w:val="000000" w:themeColor="text1"/>
        </w:rPr>
        <w:t>ing</w:t>
      </w:r>
      <w:r w:rsidR="0041282C" w:rsidRPr="00AF0477">
        <w:rPr>
          <w:color w:val="000000" w:themeColor="text1"/>
        </w:rPr>
        <w:t xml:space="preserve"> environmental sustainability </w:t>
      </w:r>
      <w:r w:rsidRPr="00AF0477">
        <w:rPr>
          <w:color w:val="000000" w:themeColor="text1"/>
        </w:rPr>
        <w:t>and</w:t>
      </w:r>
      <w:r w:rsidR="0041282C" w:rsidRPr="00AF0477">
        <w:rPr>
          <w:color w:val="000000" w:themeColor="text1"/>
        </w:rPr>
        <w:t xml:space="preserve"> contributing to soil carbon sequestration </w:t>
      </w:r>
      <w:r w:rsidR="0010110A" w:rsidRPr="00AF0477">
        <w:rPr>
          <w:color w:val="000000" w:themeColor="text1"/>
        </w:rPr>
        <w:fldChar w:fldCharType="begin"/>
      </w:r>
      <w:r w:rsidR="004126BC" w:rsidRPr="00AF0477">
        <w:rPr>
          <w:color w:val="000000" w:themeColor="text1"/>
        </w:rPr>
        <w:instrText xml:space="preserve"> ADDIN ZOTERO_ITEM CSL_CITATION {"citationID":"hanz14pU","properties":{"formattedCitation":"[70]","plainCitation":"[70]","noteIndex":0},"citationItems":[{"id":224,"uris":["http://zotero.org/users/14036693/items/N9CDQDAA"],"itemData":{"id":224,"type":"article-journal","abstract":"The investigation was pointed to compare the effects of three tillage systems viz. conventional tillage (CT), reduced tillage (RT) and no-tillage (NT) and four cropping systems namely, Soybean + P. Pea (2:1), Soybean – Wheat, Maize + P. Pea (1:1), Maize – Gram) on soil living environs in terms of dehydrogenase activity (DHA), fluorescein diacetate hydrolysis activity (FDA), liable carbon (KMNO4 extractable) and soil organic carbon (SOC). Soil samples were collected at the end of 3rd crop cycles from the layer of 0-15 cm depth. Within tillage systems, SOC were reported higher in RT (0.63%) and NT (0.62%) as compared to CT (0.57%) at surface soil (0-15cm). At 0-15cm depth, RT and NT registered significantly (P&lt;0.05) higher SOC concentration compared to CT. The liable carbon (LC) content in surface soil (0-15 cm) was followed same trends of SOC, it follows the trend of RT &gt; NT &gt; CT. Further, cropping systems (CS) significantly affect this fraction of carbon at the surface layer. Moreover, soil enzymatic activity was significantly (P&lt;0.05) affected by the imposed tillage systems. The results of DHA reported that significantly (P&lt;0.05) higher in NT (122.35 µg TPF g-1 day-1) system compared to RT (109.65 µg TPF g-1 day-1) and CT (77.07 µg TPF g-1 day-1). The FDA was reported significantly (P&lt;0.05) higher in RT (30.85 µg fluorescein g-1 h-1) followed by NT (27.95 µg fluorescein g-1 h-1) and CT (22.91 µg fluorescein g-1 h-1) at 0-15cm depth. Pearson correlation (r) showed significant correlations between soil organic carbon and studied soil biological parameters. The results of this study also confirmed effectiveness of studied parameters as soil indicators owing to sensitiveness towards management practices.","container-title":"International Journal of Chemical Studies","language":"en","source":"Zotero","title":"Effect of conservation tillage on biological activity in soil and crop productivity under rainfed Vertisols of central India","author":[{"family":"Kumar","given":"Awanish"},{"family":"Panda","given":"Anusuiya"},{"family":"Srivastava","given":"LK"},{"family":"Mishra","given":"VN"}]}}],"schema":"https://github.com/citation-style-language/schema/raw/master/csl-citation.json"} </w:instrText>
      </w:r>
      <w:r w:rsidR="0010110A" w:rsidRPr="00AF0477">
        <w:rPr>
          <w:color w:val="000000" w:themeColor="text1"/>
        </w:rPr>
        <w:fldChar w:fldCharType="separate"/>
      </w:r>
      <w:r w:rsidR="00AF0477" w:rsidRPr="00AF0477">
        <w:rPr>
          <w:noProof/>
          <w:color w:val="000000" w:themeColor="text1"/>
        </w:rPr>
        <w:t>[70]</w:t>
      </w:r>
      <w:r w:rsidR="0010110A" w:rsidRPr="00AF0477">
        <w:rPr>
          <w:color w:val="000000" w:themeColor="text1"/>
        </w:rPr>
        <w:fldChar w:fldCharType="end"/>
      </w:r>
      <w:r w:rsidR="0041282C" w:rsidRPr="00AF0477">
        <w:rPr>
          <w:color w:val="000000" w:themeColor="text1"/>
        </w:rPr>
        <w:t>.</w:t>
      </w:r>
      <w:r w:rsidRPr="00AF0477">
        <w:rPr>
          <w:color w:val="000000" w:themeColor="text1"/>
        </w:rPr>
        <w:t xml:space="preserve"> </w:t>
      </w:r>
      <w:r w:rsidR="0041282C" w:rsidRPr="00AF0477">
        <w:rPr>
          <w:color w:val="000000" w:themeColor="text1"/>
        </w:rPr>
        <w:t xml:space="preserve">In the long run, afforestation activities contribute to ecological restoration and the mitigation of climate change in addition to improving the condition of the soil by carbon sequestration, water regulation, nutrient cycling and soil erosion control. In the age of climate change, increased ecological stability and sustainability are ensured by afforestation and sustainable forest management (SFM) techniques on degraded land. Therefore, in degraded and wasteland areas, including problem soils like saline, waterlogged, marshy, coastal and sandy land, afforestation activities must be implemented. Improved scientific afforestation techniques, reinforced by SFM techniques, can help remediate problematic soil </w:t>
      </w:r>
      <w:r w:rsidR="00B92CA8" w:rsidRPr="00AF0477">
        <w:rPr>
          <w:color w:val="000000" w:themeColor="text1"/>
        </w:rPr>
        <w:fldChar w:fldCharType="begin"/>
      </w:r>
      <w:r w:rsidR="004126BC" w:rsidRPr="00AF0477">
        <w:rPr>
          <w:color w:val="000000" w:themeColor="text1"/>
        </w:rPr>
        <w:instrText xml:space="preserve"> ADDIN ZOTERO_ITEM CSL_CITATION {"citationID":"u3dXgoLA","properties":{"formattedCitation":"[71]","plainCitation":"[71]","noteIndex":0},"citationItems":[{"id":220,"uris":["http://zotero.org/users/14036693/items/N4NH7TDP"],"itemData":{"id":220,"type":"article-journal","abstract":"India is on track to meet the Bonn Challenge pledge by showcasing its ambitious compensatory afforestation programme. But a question remains regarding the extent to which this programme has achieved the restoration of degraded forests. Using the lens of ecological restoration, mitigation\nhierarchy and compensatory conservation, the performance of compensatory afforestation policy in India is analyzed. It was found that this policy has significant shortcomings, namely, (i) it does not stipulate ending the drivers of degradation as a pre-condition before initiating afforestation,\n(ii) it permits only a uniform reconstructive afforestation approach, and (iii) it does not provide guidance on the selection of sites and species for plantation. Evidence from field evaluation studies points to poor restoration outcomes owing to the selection of unsuitable sites, preference\nfor hardy species, poor plant survival, lack of community involvement and inconsistent monitoring. A revision of the compensatory afforestation policy is recommended by graduating to an ecological restoration regime if the country is to meet its international commitments of forest landscape\nrestoration, biodiversity conservation and carbon sequestration.","container-title":"International Forestry Review","DOI":"10.1505/146554822836282473","issue":"4","journalAbbreviation":"International Forestry Review","page":"607-618","source":"IngentaConnect","title":"Compensatory afforestation policy in India: an analysis using an ecorestoration lens","title-short":"Compensatory afforestation policy in India","volume":"24","author":[{"family":"Tambe","given":"S."},{"family":"Rawat","given":"G.S."},{"family":"Krishen","given":"P."},{"family":"Ranjitsinh","given":"M.K."},{"family":"Ghosh","given":"N."},{"family":"Rawat","given":"A.S."},{"family":"Takpa","given":"J."}],"issued":{"date-parts":[["2022",12,1]]}}}],"schema":"https://github.com/citation-style-language/schema/raw/master/csl-citation.json"} </w:instrText>
      </w:r>
      <w:r w:rsidR="00B92CA8" w:rsidRPr="00AF0477">
        <w:rPr>
          <w:color w:val="000000" w:themeColor="text1"/>
        </w:rPr>
        <w:fldChar w:fldCharType="separate"/>
      </w:r>
      <w:r w:rsidR="00AF0477" w:rsidRPr="00AF0477">
        <w:rPr>
          <w:noProof/>
          <w:color w:val="000000" w:themeColor="text1"/>
        </w:rPr>
        <w:t>[71]</w:t>
      </w:r>
      <w:r w:rsidR="00B92CA8" w:rsidRPr="00AF0477">
        <w:rPr>
          <w:color w:val="000000" w:themeColor="text1"/>
        </w:rPr>
        <w:fldChar w:fldCharType="end"/>
      </w:r>
      <w:r w:rsidR="0041282C" w:rsidRPr="00AF0477">
        <w:rPr>
          <w:color w:val="000000" w:themeColor="text1"/>
        </w:rPr>
        <w:t>.</w:t>
      </w:r>
    </w:p>
    <w:p w:rsidR="00EC1202" w:rsidRPr="00AF0477" w:rsidRDefault="00EC1202" w:rsidP="009445EB">
      <w:pPr>
        <w:ind w:firstLine="720"/>
        <w:jc w:val="both"/>
        <w:rPr>
          <w:color w:val="000000" w:themeColor="text1"/>
        </w:rPr>
      </w:pPr>
    </w:p>
    <w:p w:rsidR="0041282C" w:rsidRPr="00AF0477" w:rsidRDefault="0041282C" w:rsidP="009445EB">
      <w:pPr>
        <w:ind w:firstLine="720"/>
        <w:jc w:val="both"/>
        <w:rPr>
          <w:color w:val="000000" w:themeColor="text1"/>
        </w:rPr>
      </w:pPr>
      <w:r w:rsidRPr="00AF0477">
        <w:rPr>
          <w:color w:val="000000" w:themeColor="text1"/>
          <w:lang w:eastAsia="en-IN"/>
        </w:rPr>
        <w:t xml:space="preserve">Planting windbreaks and shelterbelts along the boundaries is necessary to reduce wind velocity and decrease wind erosion. The best planting arrangement is a row of trees and shrubs across the direction of the wind. On the leeward side, it reduces wind speed by 60–80%. The amount of protection offered to the soil depends on the height of a tall tree and the length of the windbreak. On the windward side, windbreaks and shelterbelts offer protection from desiccating winds up to five to ten times the height of a tall tree and up to thirty times on the leeward side </w:t>
      </w:r>
      <w:r w:rsidR="0010110A" w:rsidRPr="00AF0477">
        <w:rPr>
          <w:color w:val="000000" w:themeColor="text1"/>
          <w:lang w:eastAsia="en-IN"/>
        </w:rPr>
        <w:fldChar w:fldCharType="begin"/>
      </w:r>
      <w:r w:rsidR="004126BC" w:rsidRPr="00AF0477">
        <w:rPr>
          <w:color w:val="000000" w:themeColor="text1"/>
          <w:lang w:eastAsia="en-IN"/>
        </w:rPr>
        <w:instrText xml:space="preserve"> ADDIN ZOTERO_ITEM CSL_CITATION {"citationID":"ZYHQbYG2","properties":{"formattedCitation":"[72]","plainCitation":"[72]","noteIndex":0},"citationItems":[{"id":225,"uris":["http://zotero.org/users/14036693/items/5L5KZK53"],"itemData":{"id":225,"type":"article-journal","abstract":"of late, during cyclones and wind speed of more than 50 km hr-1 leads to the lodgingof crops finally paving the way to heavy loss, and wind stronger than 8 k hr-1 can lift the sandin arid regions leading to the formation of sand dunes. The use of windbreak and shelterbeltsis the only eco-friendly practical remedy for protecting crops from high winds. Windbreaks arestructures that break the wind flow and reduce wind speed while shelterbelts are rows of treesor shrubs planted for the protection of crops against the wind. They provide a protectiveshelter against wind and suitable habitat for birds and honeybees as well as produce cattle feedand also fuel wood. In the wind erosion areas, windbreaks and shelterbelts are to be planted.They prevent soil erosion, arrest the desert and protect the agricultural and residential landsfrom dust storms. A row of trees and shrubs planted across the winds-direction is the mosteffective. It reduces the wind speed up to 60-80% on the leeward side. The height of a tall treeand the length of the windbreak determine the extent of protection provided to the soil.Windbreaks and shelterbelts provide protective shelter against desiccating winds to extent of5-10 times the height of the tall tree on the windward side and up to 30 times on the leewardside.\nKeywords: Lodging, windbreak, shelterbelt and Erosion","container-title":"SSRN Electronic Journal","DOI":"10.2139/ssrn.4216977","journalAbbreviation":"SSRN Electronic Journal","source":"ResearchGate","title":"Windbreaks and Shelterbelts: Bio-Protectors for Soil and Wind Erosion","title-short":"Windbreaks and Shelterbelts","author":[{"family":"Murthy. R","given":"Surya"},{"family":"Richard","given":"Jasmine"}],"issued":{"date-parts":[["2022",1,1]]}}}],"schema":"https://github.com/citation-style-language/schema/raw/master/csl-citation.json"} </w:instrText>
      </w:r>
      <w:r w:rsidR="0010110A" w:rsidRPr="00AF0477">
        <w:rPr>
          <w:color w:val="000000" w:themeColor="text1"/>
          <w:lang w:eastAsia="en-IN"/>
        </w:rPr>
        <w:fldChar w:fldCharType="separate"/>
      </w:r>
      <w:r w:rsidR="00AF0477" w:rsidRPr="00AF0477">
        <w:rPr>
          <w:noProof/>
          <w:color w:val="000000" w:themeColor="text1"/>
          <w:lang w:eastAsia="en-IN"/>
        </w:rPr>
        <w:t>[72]</w:t>
      </w:r>
      <w:r w:rsidR="0010110A" w:rsidRPr="00AF0477">
        <w:rPr>
          <w:color w:val="000000" w:themeColor="text1"/>
          <w:lang w:eastAsia="en-IN"/>
        </w:rPr>
        <w:fldChar w:fldCharType="end"/>
      </w:r>
      <w:r w:rsidRPr="00AF0477">
        <w:rPr>
          <w:color w:val="000000" w:themeColor="text1"/>
          <w:lang w:eastAsia="en-IN"/>
        </w:rPr>
        <w:t xml:space="preserve">. </w:t>
      </w:r>
      <w:proofErr w:type="spellStart"/>
      <w:r w:rsidRPr="00AF0477">
        <w:rPr>
          <w:color w:val="000000" w:themeColor="text1"/>
        </w:rPr>
        <w:t>Agro</w:t>
      </w:r>
      <w:proofErr w:type="spellEnd"/>
      <w:r w:rsidRPr="00AF0477">
        <w:rPr>
          <w:color w:val="000000" w:themeColor="text1"/>
        </w:rPr>
        <w:t>-forestry has been suggested as one of the viable solutions for land degradation because of its positive influences on soil fertility, mainly due to tree component</w:t>
      </w:r>
      <w:r w:rsidR="009445EB" w:rsidRPr="00AF0477">
        <w:rPr>
          <w:color w:val="000000" w:themeColor="text1"/>
        </w:rPr>
        <w:t>s</w:t>
      </w:r>
      <w:r w:rsidRPr="00AF0477">
        <w:rPr>
          <w:color w:val="000000" w:themeColor="text1"/>
        </w:rPr>
        <w:t xml:space="preserve">. The inclusion of suitable and desirable species of trees in agroforestry can result in significant improvement in soil fertility by enhancing </w:t>
      </w:r>
      <w:r w:rsidR="009445EB" w:rsidRPr="00AF0477">
        <w:rPr>
          <w:color w:val="000000" w:themeColor="text1"/>
        </w:rPr>
        <w:t xml:space="preserve">the </w:t>
      </w:r>
      <w:r w:rsidRPr="00AF0477">
        <w:rPr>
          <w:color w:val="000000" w:themeColor="text1"/>
        </w:rPr>
        <w:t xml:space="preserve">organic matter content of </w:t>
      </w:r>
      <w:r w:rsidR="009445EB" w:rsidRPr="00AF0477">
        <w:rPr>
          <w:color w:val="000000" w:themeColor="text1"/>
        </w:rPr>
        <w:t xml:space="preserve">the </w:t>
      </w:r>
      <w:r w:rsidRPr="00AF0477">
        <w:rPr>
          <w:color w:val="000000" w:themeColor="text1"/>
        </w:rPr>
        <w:t>soil, which stimulate</w:t>
      </w:r>
      <w:r w:rsidR="009445EB" w:rsidRPr="00AF0477">
        <w:rPr>
          <w:color w:val="000000" w:themeColor="text1"/>
        </w:rPr>
        <w:t>s</w:t>
      </w:r>
      <w:r w:rsidRPr="00AF0477">
        <w:rPr>
          <w:color w:val="000000" w:themeColor="text1"/>
        </w:rPr>
        <w:t xml:space="preserve"> </w:t>
      </w:r>
      <w:r w:rsidR="009445EB" w:rsidRPr="00AF0477">
        <w:rPr>
          <w:color w:val="000000" w:themeColor="text1"/>
        </w:rPr>
        <w:t xml:space="preserve">the </w:t>
      </w:r>
      <w:r w:rsidRPr="00AF0477">
        <w:rPr>
          <w:color w:val="000000" w:themeColor="text1"/>
        </w:rPr>
        <w:t xml:space="preserve">activity of micro-organisms in the root zone, improving efficient nutrient cycling within the systems and reducing soil erosion </w:t>
      </w:r>
      <w:r w:rsidR="00B92CA8" w:rsidRPr="00AF0477">
        <w:rPr>
          <w:color w:val="000000" w:themeColor="text1"/>
        </w:rPr>
        <w:fldChar w:fldCharType="begin"/>
      </w:r>
      <w:r w:rsidR="004126BC" w:rsidRPr="00AF0477">
        <w:rPr>
          <w:color w:val="000000" w:themeColor="text1"/>
        </w:rPr>
        <w:instrText xml:space="preserve"> ADDIN ZOTERO_ITEM CSL_CITATION {"citationID":"iXlL4xNl","properties":{"formattedCitation":"[73]","plainCitation":"[73]","noteIndex":0},"citationItems":[{"id":218,"uris":["http://zotero.org/users/14036693/items/GYJGQ86U"],"itemData":{"id":218,"type":"article-journal","container-title":"Journal of Biology","language":"en","source":"Zotero","title":"A Review Paper on: The Role of Agroforestry for Rehabilitation of Degraded Soil","author":[{"family":"Masebo","given":"Nebiyou"},{"family":"Menamo","given":"Muluneh"}],"issued":{"date-parts":[["2016"]]}}}],"schema":"https://github.com/citation-style-language/schema/raw/master/csl-citation.json"} </w:instrText>
      </w:r>
      <w:r w:rsidR="00B92CA8" w:rsidRPr="00AF0477">
        <w:rPr>
          <w:color w:val="000000" w:themeColor="text1"/>
        </w:rPr>
        <w:fldChar w:fldCharType="separate"/>
      </w:r>
      <w:r w:rsidR="00AF0477" w:rsidRPr="00AF0477">
        <w:rPr>
          <w:noProof/>
          <w:color w:val="000000" w:themeColor="text1"/>
        </w:rPr>
        <w:t>[73]</w:t>
      </w:r>
      <w:r w:rsidR="00B92CA8" w:rsidRPr="00AF0477">
        <w:rPr>
          <w:color w:val="000000" w:themeColor="text1"/>
        </w:rPr>
        <w:fldChar w:fldCharType="end"/>
      </w:r>
      <w:r w:rsidRPr="00AF0477">
        <w:rPr>
          <w:color w:val="000000" w:themeColor="text1"/>
        </w:rPr>
        <w:t>.</w:t>
      </w:r>
      <w:r w:rsidR="009445EB" w:rsidRPr="00AF0477">
        <w:rPr>
          <w:color w:val="000000" w:themeColor="text1"/>
        </w:rPr>
        <w:t xml:space="preserve"> </w:t>
      </w:r>
      <w:r w:rsidRPr="00AF0477">
        <w:rPr>
          <w:color w:val="000000" w:themeColor="text1"/>
        </w:rPr>
        <w:t>Currently</w:t>
      </w:r>
      <w:r w:rsidR="009445EB" w:rsidRPr="00AF0477">
        <w:rPr>
          <w:color w:val="000000" w:themeColor="text1"/>
        </w:rPr>
        <w:t>,</w:t>
      </w:r>
      <w:r w:rsidRPr="00AF0477">
        <w:rPr>
          <w:color w:val="000000" w:themeColor="text1"/>
        </w:rPr>
        <w:t xml:space="preserve"> GIS and remote sensing are employed to study the different sources of land degradation as these technologies are effective and profitable for assessing spatial distribution, land cover dynamics and investigat</w:t>
      </w:r>
      <w:r w:rsidR="009445EB" w:rsidRPr="00AF0477">
        <w:rPr>
          <w:color w:val="000000" w:themeColor="text1"/>
        </w:rPr>
        <w:t>ing</w:t>
      </w:r>
      <w:r w:rsidRPr="00AF0477">
        <w:rPr>
          <w:color w:val="000000" w:themeColor="text1"/>
        </w:rPr>
        <w:t xml:space="preserve"> land degradation </w:t>
      </w:r>
      <w:r w:rsidR="0010110A" w:rsidRPr="00AF0477">
        <w:rPr>
          <w:color w:val="000000" w:themeColor="text1"/>
        </w:rPr>
        <w:fldChar w:fldCharType="begin"/>
      </w:r>
      <w:r w:rsidR="004126BC" w:rsidRPr="00AF0477">
        <w:rPr>
          <w:color w:val="000000" w:themeColor="text1"/>
        </w:rPr>
        <w:instrText xml:space="preserve"> ADDIN ZOTERO_ITEM CSL_CITATION {"citationID":"FdD75JO9","properties":{"formattedCitation":"[69]","plainCitation":"[69]","noteIndex":0},"citationItems":[{"id":212,"uris":["http://zotero.org/users/14036693/items/YGINFF88"],"itemData":{"id":212,"type":"article-journal","abstract":"This review focuses on the main causes, effects and governmental management practices of soils in Egypt subjected to degradation threats. Land degradation became a global concern threatening food security and the ecosystem since it has a significant impact on the environment and agriculture. The major causes of degradation are alteration in climatic conditions, overgrazing, salinization, deforestation, depletion of soil organic matter content, desertification, waterlogging, inappropriate agronomic practices and erosion. It is paramount to reduce these causative factors in order to adequately manage the situation. We can manage and improve the well-being of our soils in Egypt through afforestation, managing vegetation cover, soil reclamation, optimizing agricultural practices (e.g. tillage, irrigation and fertilization), avoidance of crop residues removal and application of organic matter to the farmland. Additionally, organic farming can be a substitute in keeping our land safe from degradation. The effects of these factors may lead to loss of ecosystem, biodiversity and agricultural yield/output. The technology of GIS and remote sensing is now widely applied in the studies of land degradation due to its timeliness, coverage and efficiency. This is because of the outstanding features of GIS and remote sensing, which include: field wide view, inexpensive, instantaneous data capturing, and sporadic imagery.","container-title":"Egyptian Journal of Soil Science","DOI":"10.21608/ejss.2023.230986.1647","ISSN":"0302-6701","issue":"4","note":"publisher: The National Information and Documentation Centre (NIDOC) affiliated to Academy of Scientific Research and Technology(ASRT)","page":"659-676","source":"journals.ekb.eg","title":"LAND DEGRADATION, CAUSES, IMPLICATIONS AND SUSTAINABLE MANAGEMENT IN ARID AND SEMI ARID REGIONS: A CASE STUDY OF EGYPT","title-short":"LAND DEGRADATION, CAUSES, IMPLICATIONS AND SUSTAINABLE MANAGEMENT IN ARID AND SEMI ARID REGIONS","volume":"63","author":[{"family":"Abdullahi","given":"Mohammed Bello"},{"family":"Elnaggar","given":"Abdelhamid Ahmed"},{"family":"Omar","given":"Mahmoud Mousa"},{"family":"Murtala","given":"Animashaun"},{"family":"Lawal","given":"Mohammed"},{"family":"Mosa","given":"Ahmed Ali"}],"issued":{"date-parts":[["2023",10,1]]}}}],"schema":"https://github.com/citation-style-language/schema/raw/master/csl-citation.json"} </w:instrText>
      </w:r>
      <w:r w:rsidR="0010110A" w:rsidRPr="00AF0477">
        <w:rPr>
          <w:color w:val="000000" w:themeColor="text1"/>
        </w:rPr>
        <w:fldChar w:fldCharType="separate"/>
      </w:r>
      <w:r w:rsidR="00AF0477" w:rsidRPr="00AF0477">
        <w:rPr>
          <w:noProof/>
          <w:color w:val="000000" w:themeColor="text1"/>
        </w:rPr>
        <w:t>[69]</w:t>
      </w:r>
      <w:r w:rsidR="0010110A" w:rsidRPr="00AF0477">
        <w:rPr>
          <w:color w:val="000000" w:themeColor="text1"/>
        </w:rPr>
        <w:fldChar w:fldCharType="end"/>
      </w:r>
      <w:r w:rsidRPr="00AF0477">
        <w:rPr>
          <w:color w:val="000000" w:themeColor="text1"/>
        </w:rPr>
        <w:t xml:space="preserve">. </w:t>
      </w:r>
    </w:p>
    <w:p w:rsidR="00524344" w:rsidRPr="00AF0477" w:rsidRDefault="00524344" w:rsidP="009445EB">
      <w:pPr>
        <w:ind w:firstLine="720"/>
        <w:jc w:val="both"/>
        <w:rPr>
          <w:color w:val="000000" w:themeColor="text1"/>
        </w:rPr>
      </w:pPr>
    </w:p>
    <w:p w:rsidR="00524344" w:rsidRPr="00AF0477" w:rsidRDefault="00524344" w:rsidP="00524344">
      <w:pPr>
        <w:pStyle w:val="ListParagraph"/>
        <w:numPr>
          <w:ilvl w:val="0"/>
          <w:numId w:val="18"/>
        </w:numPr>
        <w:ind w:left="180" w:hanging="180"/>
        <w:rPr>
          <w:b/>
          <w:bCs/>
          <w:color w:val="000000" w:themeColor="text1"/>
        </w:rPr>
      </w:pPr>
      <w:r w:rsidRPr="00AF0477">
        <w:rPr>
          <w:b/>
          <w:bCs/>
          <w:color w:val="000000" w:themeColor="text1"/>
        </w:rPr>
        <w:t>MARKER-ASSISTED SELECTION</w:t>
      </w:r>
    </w:p>
    <w:p w:rsidR="00524344" w:rsidRPr="00AF0477" w:rsidRDefault="00524344" w:rsidP="00524344">
      <w:pPr>
        <w:pStyle w:val="ListParagraph"/>
        <w:ind w:left="180"/>
        <w:rPr>
          <w:b/>
          <w:bCs/>
          <w:color w:val="000000" w:themeColor="text1"/>
        </w:rPr>
      </w:pPr>
    </w:p>
    <w:p w:rsidR="0083004B" w:rsidRPr="00ED36F1" w:rsidRDefault="00524344" w:rsidP="0083004B">
      <w:pPr>
        <w:jc w:val="both"/>
        <w:rPr>
          <w:color w:val="000000" w:themeColor="text1"/>
          <w:lang w:val="en-IN"/>
        </w:rPr>
      </w:pPr>
      <w:r w:rsidRPr="00AF0477">
        <w:rPr>
          <w:color w:val="000000" w:themeColor="text1"/>
        </w:rPr>
        <w:tab/>
      </w:r>
      <w:r w:rsidR="0083004B" w:rsidRPr="00AF0477">
        <w:rPr>
          <w:color w:val="000000" w:themeColor="text1"/>
        </w:rPr>
        <w:t>Arid regions, characterized by limited precipitation and harsh environmental conditions, present unique challenges for agricultural practices and research. High solar radiation, low moisture availability and soil salinity are major constraints for plant growth and development in arid agriculture.</w:t>
      </w:r>
      <w:r w:rsidR="0083004B">
        <w:rPr>
          <w:color w:val="000000" w:themeColor="text1"/>
        </w:rPr>
        <w:t xml:space="preserve"> </w:t>
      </w:r>
      <w:r w:rsidR="0083004B" w:rsidRPr="00ED36F1">
        <w:rPr>
          <w:color w:val="000000" w:themeColor="text1"/>
          <w:lang w:val="en-IN"/>
        </w:rPr>
        <w:t>The practice of improving the effectiveness of selection for the traits of interest in breeding programs by using morphological, biochemical, or DNA markers as indirect selection for agriculturally significant traits in plant breeding is known as marker-assisted selection (MAS)</w:t>
      </w:r>
      <w:r w:rsidR="0083004B">
        <w:rPr>
          <w:color w:val="000000" w:themeColor="text1"/>
        </w:rPr>
        <w:t xml:space="preserve"> </w:t>
      </w:r>
      <w:r w:rsidR="0083004B" w:rsidRPr="00AF0477">
        <w:rPr>
          <w:color w:val="000000" w:themeColor="text1"/>
        </w:rPr>
        <w:fldChar w:fldCharType="begin"/>
      </w:r>
      <w:r w:rsidR="0083004B" w:rsidRPr="00AF0477">
        <w:rPr>
          <w:color w:val="000000" w:themeColor="text1"/>
        </w:rPr>
        <w:instrText xml:space="preserve"> ADDIN ZOTERO_ITEM CSL_CITATION {"citationID":"Sxv4gQon","properties":{"formattedCitation":"[74]","plainCitation":"[74]","noteIndex":0},"citationItems":[{"id":"tkNNqo55/UeCsBIMe","uris":["http://zotero.org/users/14366882/items/W2CXUJNQ"],"itemData":{"id":23,"type":"article-journal","abstract":"Marker-assisted selection (MAS) is the process of using morphological, biochemical, or DNA markers as indirect selection criteria for selecting agriculturally important traits in crop breeding. This process is used to improve the effectiveness or efficiency of selection for the traits of interest in breeding programs. The significance of MAS as a tool for crop improvement has been extensively investigated in different crop -species and for different traits. The use of MAS for manipulating simple/qualitative traits is straightforward and has been well reported. However, MAS for the improvement of complex/polygenic traits, including plant tolerance/resistance to abiotic stresses, is more complicated, although its usefulness has been recognized. With the recent advances in marker technology, including high-throughput genotyping of plants, together with the development of nested association mapping populations, it is expected that the utility of MAS for breeding for stress tolerance traits will increase. In this chapter, we describe the basic procedure for using MAS in crop breeding for salt tolerance.","container-title":"Methods in Molecular Biology (Clifton, N.J.)","DOI":"10.1007/978-1-61779-986-0_21","ISSN":"1940-6029","journalAbbreviation":"Methods Mol Biol","language":"eng","note":"PMID: 22895769","page":"305-333","source":"PubMed","title":"Marker-assisted selection in plant breeding for salinity tolerance","volume":"913","author":[{"family":"Ashraf","given":"M."},{"family":"Akram","given":"N. A."},{"family":"Mehboob-Ur-Rahman","given":"null"},{"family":"Foolad","given":"M. R."}],"issued":{"date-parts":[["2012"]]}}}],"schema":"https://github.com/citation-style-language/schema/raw/master/csl-citation.json"} </w:instrText>
      </w:r>
      <w:r w:rsidR="0083004B" w:rsidRPr="00AF0477">
        <w:rPr>
          <w:color w:val="000000" w:themeColor="text1"/>
        </w:rPr>
        <w:fldChar w:fldCharType="separate"/>
      </w:r>
      <w:r w:rsidR="0083004B" w:rsidRPr="00AF0477">
        <w:rPr>
          <w:color w:val="000000" w:themeColor="text1"/>
        </w:rPr>
        <w:t>[74]</w:t>
      </w:r>
      <w:r w:rsidR="0083004B" w:rsidRPr="00AF0477">
        <w:rPr>
          <w:color w:val="000000" w:themeColor="text1"/>
        </w:rPr>
        <w:fldChar w:fldCharType="end"/>
      </w:r>
      <w:r w:rsidR="0083004B">
        <w:rPr>
          <w:color w:val="000000" w:themeColor="text1"/>
        </w:rPr>
        <w:t>.</w:t>
      </w:r>
      <w:r w:rsidR="0083004B" w:rsidRPr="00AF0477">
        <w:rPr>
          <w:color w:val="000000" w:themeColor="text1"/>
        </w:rPr>
        <w:t xml:space="preserve"> Molecular markers are utilized to generate genetic marker maps. With data from the map position of desirable characteristics linked to genetic markers, the MAS facilitates the enhancement of targeted traits in crops. However, the success of MAS depends upon the desired trait's genetic information and its correlation with a molecular marker </w:t>
      </w:r>
      <w:r w:rsidR="0083004B" w:rsidRPr="00AF0477">
        <w:rPr>
          <w:color w:val="000000" w:themeColor="text1"/>
        </w:rPr>
        <w:fldChar w:fldCharType="begin"/>
      </w:r>
      <w:r w:rsidR="0083004B" w:rsidRPr="00AF0477">
        <w:rPr>
          <w:color w:val="000000" w:themeColor="text1"/>
        </w:rPr>
        <w:instrText xml:space="preserve"> ADDIN ZOTERO_ITEM CSL_CITATION {"citationID":"QmnqtffI","properties":{"formattedCitation":"[75]","plainCitation":"[75]","noteIndex":0},"citationItems":[{"id":"tkNNqo55/XbeqEUaP","uris":["http://zotero.org/users/14366882/items/MBNHDLPS"],"itemData":{"id":25,"type":"article-journal","abstract":"Hybrid vigor is the most important event in crop improvement, making F1 typically superior to either of their homozygous parents. The development of the best hybrid requires the evaluation of a large number of crosses derived from inbred lines. Breeders often confront considerable difficulties during evaluation due to the unpredictable nature of heterosis and characterization of heterozygotes. It leads to the loss of favorable alleles combinations in the next generation due to the segregation of genes. Apomixis is a way to preserve heterozygosity but has not been fully exploited in food crops due\nto mechanisms, i.e., apo-meiosis, parthenogenesis, and endosperm forma�tion, which need to be operationalized and synchronized. However, reverse\nbreeding seems to be a powerful and versatile technique to fix the hetero�zygous genotypes and develop complementary homozygous parental lines o reconstitute even better plant types than even original hybrid. Further, it\nalso helps to develop homozygous chromosome substitution lines (CSL) and\nthe construction of heterozygous inbred families (HIFs). Reverse breeding\ncomprises selection of desirable heterozygous genotype, suppression of\ncrossing over (CO), production of doubled haploids followed by selection,\nand crossing of complimentary lines through marker-assisted selection\n(MAS). Suppression of CO can be done using RNAi technology for the genes\nresponsible for meiotic recombination or applying chemical compounds that\ninhibit recombination. Despite its potentiality, this technique is limited to\ndiploid crops with basic chromosome number 12 or less and a high response\nto double haploid (DH) production. Besides, it necessitates standardization\nof protocol for suppression of meiotic CO.","source":"ResearchGate","title":"Smart Breeding -MANDAKINI KABI,1 S. K. TRIPATHY,2 MANASI DASH,3 BHABENDRA BAISAKH,3 TAPAS RANJAN DAS,4 and MAHIPAL SINGH KESAWAT","author":[{"family":"Kabi","given":"M."},{"family":"Tripathy","given":"S.K."}],"issued":{"date-parts":[["2023",10,1]]}}}],"schema":"https://github.com/citation-style-language/schema/raw/master/csl-citation.json"} </w:instrText>
      </w:r>
      <w:r w:rsidR="0083004B" w:rsidRPr="00AF0477">
        <w:rPr>
          <w:color w:val="000000" w:themeColor="text1"/>
        </w:rPr>
        <w:fldChar w:fldCharType="separate"/>
      </w:r>
      <w:r w:rsidR="0083004B" w:rsidRPr="00AF0477">
        <w:rPr>
          <w:color w:val="000000" w:themeColor="text1"/>
        </w:rPr>
        <w:t>[75]</w:t>
      </w:r>
      <w:r w:rsidR="0083004B" w:rsidRPr="00AF0477">
        <w:rPr>
          <w:color w:val="000000" w:themeColor="text1"/>
        </w:rPr>
        <w:fldChar w:fldCharType="end"/>
      </w:r>
      <w:r w:rsidR="0083004B" w:rsidRPr="00AF0477">
        <w:rPr>
          <w:color w:val="000000" w:themeColor="text1"/>
        </w:rPr>
        <w:t>.</w:t>
      </w:r>
    </w:p>
    <w:p w:rsidR="0083004B" w:rsidRPr="00AF0477" w:rsidRDefault="0083004B" w:rsidP="0083004B">
      <w:pPr>
        <w:jc w:val="both"/>
        <w:rPr>
          <w:color w:val="000000" w:themeColor="text1"/>
        </w:rPr>
      </w:pPr>
    </w:p>
    <w:p w:rsidR="0083004B" w:rsidRPr="008758F3" w:rsidRDefault="0083004B" w:rsidP="0083004B">
      <w:pPr>
        <w:jc w:val="both"/>
        <w:rPr>
          <w:color w:val="000000" w:themeColor="text1"/>
          <w:lang w:val="en-IN"/>
        </w:rPr>
      </w:pPr>
      <w:r w:rsidRPr="00AF0477">
        <w:rPr>
          <w:color w:val="000000" w:themeColor="text1"/>
        </w:rPr>
        <w:tab/>
        <w:t xml:space="preserve">Molecular markers have some advanced benefits: low cost, easy selection and generation advancement. </w:t>
      </w:r>
      <w:r w:rsidRPr="008758F3">
        <w:rPr>
          <w:color w:val="000000" w:themeColor="text1"/>
          <w:lang w:val="en-IN"/>
        </w:rPr>
        <w:t>Numerous molecular markers are now accessible due to the rapid expansion of genetic research and the widespread availability of sequenced genomes brought about by the decrease in sequencing costs made possible by second- and third-generation sequencing techniques</w:t>
      </w:r>
      <w:r>
        <w:rPr>
          <w:color w:val="000000" w:themeColor="text1"/>
        </w:rPr>
        <w:t xml:space="preserve"> </w:t>
      </w:r>
      <w:r w:rsidRPr="00AF0477">
        <w:rPr>
          <w:color w:val="000000" w:themeColor="text1"/>
        </w:rPr>
        <w:fldChar w:fldCharType="begin"/>
      </w:r>
      <w:r w:rsidRPr="00AF0477">
        <w:rPr>
          <w:color w:val="000000" w:themeColor="text1"/>
        </w:rPr>
        <w:instrText xml:space="preserve"> ADDIN ZOTERO_ITEM CSL_CITATION {"citationID":"dIKGLaQv","properties":{"formattedCitation":"[76]","plainCitation":"[76]","noteIndex":0},"citationItems":[{"id":"tkNNqo55/Q8ORl2Ba","uris":["http://zotero.org/users/14366882/items/QZ9F5N2H"],"itemData":{"id":31,"type":"article-journal","abstract":"Breeding fruit species is time-consuming and expensive. With few exceptions, trees are likely the worst species to work with in terms of genetics and breeding. Most are characterized by large trees, long juvenile periods, and intensive agricultural practice, and environmental variability plays an important role in the heritability evaluations of every single important trait. Although vegetative propagation allows for the production of a significant number of clonal replicates for the evaluation of environmental effects and genotype × environment interactions, the spaces required for plant cultivation and the intensity of work necessary for phenotypic surveys slow down the work of researchers. Fruit breeders are very often interested in fruit traits: size, weight, sugar and acid content, ripening time, fruit storability, and post-harvest practices, among other traits relevant to each individual species. The translation of trait loci and whole-genome sequences into diagnostic genetic markers that are effective and affordable for use by breeders, who must choose genetically superior parents and subsequently choose genetically superior individuals among their progeny, is one of the most difficult tasks still facing tree fruit geneticists. The availability of updated sequencing techniques and powerful software tools offered the opportunity to mine tens of fruit genomes to find out sequence variants potentially useful as molecular markers. This review is devoted to analysing what has been the role of molecular markers in assisting breeders in selection processes, with an emphasis on the fruit traits of the most important fruit crops for which examples of trustworthy molecular markers have been developed, such as the MDo.chr9.4 marker for red skin colour in apples, the CCD4-based marker CPRFC1, and LG3_13.146 marker for flesh colour in peaches, papayas, and cherries, respectively.","container-title":"International Journal of Molecular Sciences","DOI":"10.3390/ijms24108984","ISSN":"1422-0067","issue":"10","language":"en","license":"http://creativecommons.org/licenses/by/3.0/","note":"number: 10\npublisher: Multidisciplinary Digital Publishing Institute","page":"8984","source":"www.mdpi.com","title":"Marker-Assisted Selection in Breeding for Fruit Trait Improvement: A Review","title-short":"Marker-Assisted Selection in Breeding for Fruit Trait Improvement","volume":"24","author":[{"family":"De Mori","given":"Gloria"},{"family":"Cipriani","given":"Guido"}],"issued":{"date-parts":[["2023",1]]}}}],"schema":"https://github.com/citation-style-language/schema/raw/master/csl-citation.json"} </w:instrText>
      </w:r>
      <w:r w:rsidRPr="00AF0477">
        <w:rPr>
          <w:color w:val="000000" w:themeColor="text1"/>
        </w:rPr>
        <w:fldChar w:fldCharType="separate"/>
      </w:r>
      <w:r w:rsidRPr="00AF0477">
        <w:rPr>
          <w:color w:val="000000" w:themeColor="text1"/>
        </w:rPr>
        <w:t>[76]</w:t>
      </w:r>
      <w:r w:rsidRPr="00AF0477">
        <w:rPr>
          <w:color w:val="000000" w:themeColor="text1"/>
        </w:rPr>
        <w:fldChar w:fldCharType="end"/>
      </w:r>
      <w:r>
        <w:rPr>
          <w:color w:val="000000" w:themeColor="text1"/>
        </w:rPr>
        <w:t>.</w:t>
      </w:r>
      <w:r w:rsidRPr="00AF0477">
        <w:rPr>
          <w:color w:val="000000" w:themeColor="text1"/>
        </w:rPr>
        <w:t xml:space="preserve"> </w:t>
      </w:r>
      <w:r w:rsidRPr="008758F3">
        <w:rPr>
          <w:color w:val="000000" w:themeColor="text1"/>
          <w:lang w:val="en-IN"/>
        </w:rPr>
        <w:t>MAS is becoming more and more significant because it can increase the effectiveness of plant breeding by accurately transferring genomic regions of interest and hastening the recovery of the genome segment containing the desired feature</w:t>
      </w:r>
      <w:r>
        <w:rPr>
          <w:color w:val="000000" w:themeColor="text1"/>
          <w:lang w:val="en-IN"/>
        </w:rPr>
        <w:t xml:space="preserve"> </w:t>
      </w:r>
      <w:r w:rsidRPr="00AF0477">
        <w:rPr>
          <w:color w:val="000000" w:themeColor="text1"/>
          <w:shd w:val="clear" w:color="auto" w:fill="FFFFFF"/>
        </w:rPr>
        <w:fldChar w:fldCharType="begin"/>
      </w:r>
      <w:r w:rsidRPr="00AF0477">
        <w:rPr>
          <w:color w:val="000000" w:themeColor="text1"/>
          <w:shd w:val="clear" w:color="auto" w:fill="FFFFFF"/>
        </w:rPr>
        <w:instrText xml:space="preserve"> ADDIN ZOTERO_ITEM CSL_CITATION {"citationID":"BuepfDRA","properties":{"formattedCitation":"[76]","plainCitation":"[76]","noteIndex":0},"citationItems":[{"id":"tkNNqo55/Q8ORl2Ba","uris":["http://zotero.org/users/14366882/items/QZ9F5N2H"],"itemData":{"id":31,"type":"article-journal","abstract":"Breeding fruit species is time-consuming and expensive. With few exceptions, trees are likely the worst species to work with in terms of genetics and breeding. Most are characterized by large trees, long juvenile periods, and intensive agricultural practice, and environmental variability plays an important role in the heritability evaluations of every single important trait. Although vegetative propagation allows for the production of a significant number of clonal replicates for the evaluation of environmental effects and genotype × environment interactions, the spaces required for plant cultivation and the intensity of work necessary for phenotypic surveys slow down the work of researchers. Fruit breeders are very often interested in fruit traits: size, weight, sugar and acid content, ripening time, fruit storability, and post-harvest practices, among other traits relevant to each individual species. The translation of trait loci and whole-genome sequences into diagnostic genetic markers that are effective and affordable for use by breeders, who must choose genetically superior parents and subsequently choose genetically superior individuals among their progeny, is one of the most difficult tasks still facing tree fruit geneticists. The availability of updated sequencing techniques and powerful software tools offered the opportunity to mine tens of fruit genomes to find out sequence variants potentially useful as molecular markers. This review is devoted to analysing what has been the role of molecular markers in assisting breeders in selection processes, with an emphasis on the fruit traits of the most important fruit crops for which examples of trustworthy molecular markers have been developed, such as the MDo.chr9.4 marker for red skin colour in apples, the CCD4-based marker CPRFC1, and LG3_13.146 marker for flesh colour in peaches, papayas, and cherries, respectively.","container-title":"International Journal of Molecular Sciences","DOI":"10.3390/ijms24108984","ISSN":"1422-0067","issue":"10","language":"en","license":"http://creativecommons.org/licenses/by/3.0/","note":"number: 10\npublisher: Multidisciplinary Digital Publishing Institute","page":"8984","source":"www.mdpi.com","title":"Marker-Assisted Selection in Breeding for Fruit Trait Improvement: A Review","title-short":"Marker-Assisted Selection in Breeding for Fruit Trait Improvement","volume":"24","author":[{"family":"De Mori","given":"Gloria"},{"family":"Cipriani","given":"Guido"}],"issued":{"date-parts":[["2023",1]]}}}],"schema":"https://github.com/citation-style-language/schema/raw/master/csl-citation.json"} </w:instrText>
      </w:r>
      <w:r w:rsidRPr="00AF0477">
        <w:rPr>
          <w:color w:val="000000" w:themeColor="text1"/>
          <w:shd w:val="clear" w:color="auto" w:fill="FFFFFF"/>
        </w:rPr>
        <w:fldChar w:fldCharType="separate"/>
      </w:r>
      <w:r w:rsidRPr="00AF0477">
        <w:rPr>
          <w:color w:val="000000" w:themeColor="text1"/>
        </w:rPr>
        <w:t>[</w:t>
      </w:r>
      <w:r>
        <w:rPr>
          <w:color w:val="000000" w:themeColor="text1"/>
        </w:rPr>
        <w:t>7</w:t>
      </w:r>
      <w:r w:rsidRPr="00AF0477">
        <w:rPr>
          <w:color w:val="000000" w:themeColor="text1"/>
        </w:rPr>
        <w:t>6]</w:t>
      </w:r>
      <w:r w:rsidRPr="00AF0477">
        <w:rPr>
          <w:color w:val="000000" w:themeColor="text1"/>
          <w:shd w:val="clear" w:color="auto" w:fill="FFFFFF"/>
        </w:rPr>
        <w:fldChar w:fldCharType="end"/>
      </w:r>
      <w:r w:rsidRPr="00AF0477">
        <w:rPr>
          <w:color w:val="000000" w:themeColor="text1"/>
        </w:rPr>
        <w:t>. A single locus controlling a trait of interest can be intro</w:t>
      </w:r>
      <w:r>
        <w:rPr>
          <w:color w:val="000000" w:themeColor="text1"/>
        </w:rPr>
        <w:t>duc</w:t>
      </w:r>
      <w:r w:rsidRPr="00AF0477">
        <w:rPr>
          <w:color w:val="000000" w:themeColor="text1"/>
        </w:rPr>
        <w:t>ed precisely and effectively using MABC, all while maintaining essential characteristics of the RP</w:t>
      </w:r>
      <w:r>
        <w:rPr>
          <w:color w:val="000000" w:themeColor="text1"/>
        </w:rPr>
        <w:t xml:space="preserve"> </w:t>
      </w:r>
      <w:r w:rsidRPr="00AF0477">
        <w:rPr>
          <w:color w:val="000000" w:themeColor="text1"/>
        </w:rPr>
        <w:fldChar w:fldCharType="begin"/>
      </w:r>
      <w:r w:rsidRPr="00AF0477">
        <w:rPr>
          <w:color w:val="000000" w:themeColor="text1"/>
        </w:rPr>
        <w:instrText xml:space="preserve"> ADDIN ZOTERO_ITEM CSL_CITATION {"citationID":"8kiJ9W7j","properties":{"formattedCitation":"[77]","plainCitation":"[77]","noteIndex":0},"citationItems":[{"id":"tkNNqo55/aaYsxYav","uris":["http://zotero.org/users/14366882/items/DK2GK9RK"],"itemData":{"id":41,"type":"article-journal","abstract":"DNA markers have enormous potential to improve the efficiency and precision of conventional plant breeding via marker-assisted selection (MAS). The large number of quantitative trait loci (QTLs) mapping studies for diverse crops species have provided an abundance of DNA marker–trait associations. In this review, we present an overview of the advantages of MAS and its most widely used applications in plant breeding, providing examples from cereal crops. We also consider reasons why MAS has had only a small impact on plant breeding so far and suggest ways in which the potential of MAS can be realized. Finally, we discuss reasons why the greater adoption of MAS in the future is inevitable, although the extent of its use will depend on available resources, especially for orphan crops, and may be delayed in less-developed countries. Achieving a substantial impact on crop improvement by MAS represents the great challenge for agricultural scientists in the next few decades.","container-title":"Philosophical Transactions of the Royal Society B: Biological Sciences","DOI":"10.1098/rstb.2007.2170","ISSN":"0962-8436","issue":"1491","journalAbbreviation":"Philos Trans R Soc Lond B Biol Sci","note":"PMID: 17715053\nPMCID: PMC2610170","page":"557-572","source":"PubMed Central","title":"Marker-assisted selection: an approach for precision plant breeding in the twenty-first century","title-short":"Marker-assisted selection","volume":"363","author":[{"family":"Collard","given":"Bertrand C.Y"},{"family":"Mackill","given":"David J"}],"issued":{"date-parts":[["2008",2,12]]}}}],"schema":"https://github.com/citation-style-language/schema/raw/master/csl-citation.json"} </w:instrText>
      </w:r>
      <w:r w:rsidRPr="00AF0477">
        <w:rPr>
          <w:color w:val="000000" w:themeColor="text1"/>
        </w:rPr>
        <w:fldChar w:fldCharType="separate"/>
      </w:r>
      <w:r w:rsidRPr="00AF0477">
        <w:rPr>
          <w:color w:val="000000" w:themeColor="text1"/>
        </w:rPr>
        <w:t>[77]</w:t>
      </w:r>
      <w:r w:rsidRPr="00AF0477">
        <w:rPr>
          <w:color w:val="000000" w:themeColor="text1"/>
        </w:rPr>
        <w:fldChar w:fldCharType="end"/>
      </w:r>
      <w:r>
        <w:rPr>
          <w:color w:val="000000" w:themeColor="text1"/>
        </w:rPr>
        <w:t>.</w:t>
      </w:r>
      <w:r w:rsidRPr="00AF0477">
        <w:rPr>
          <w:color w:val="000000" w:themeColor="text1"/>
        </w:rPr>
        <w:t xml:space="preserve"> The technique known as MABC involves the use of markers to minimize the length of the donor segment that contains a target locus, select target loci, and/or speed up the recovery of the RP genome </w:t>
      </w:r>
      <w:r w:rsidRPr="00AF0477">
        <w:rPr>
          <w:color w:val="000000" w:themeColor="text1"/>
        </w:rPr>
        <w:lastRenderedPageBreak/>
        <w:t>during backcrossing</w:t>
      </w:r>
      <w:r>
        <w:rPr>
          <w:color w:val="000000" w:themeColor="text1"/>
        </w:rPr>
        <w:t xml:space="preserve"> </w:t>
      </w:r>
      <w:r w:rsidRPr="00AF0477">
        <w:rPr>
          <w:color w:val="000000" w:themeColor="text1"/>
        </w:rPr>
        <w:fldChar w:fldCharType="begin"/>
      </w:r>
      <w:r w:rsidRPr="00AF0477">
        <w:rPr>
          <w:color w:val="000000" w:themeColor="text1"/>
        </w:rPr>
        <w:instrText xml:space="preserve"> ADDIN ZOTERO_ITEM CSL_CITATION {"citationID":"7NZfyVRt","properties":{"formattedCitation":"[78], [79]","plainCitation":"[78], [79]","noteIndex":0},"citationItems":[{"id":"tkNNqo55/r0CtnUUh","uris":["http://zotero.org/users/14366882/items/J5NUW55P"],"itemData":{"id":44,"type":"article-journal","abstract":"This article investigates the efficiency of marker-assisted selection in reducing the length of the donor chromosome segment retained around a locus held heterozygous by backcrossing. First, the efficiency of marker-assisted selection is evaluated from the length of the donor segment in backcrossed individuals that are (double) recombinants for two markers flanking the introgressed gene on each side. Analytical expressions for the probability density function, the mean, and the variance of this length are given for any number of backcross generations, as well as numerical applications. For a given marker distance, the number of backcross generations performed has little impact on the reduction of donor segment length, except for distant markers. In practical situations, the most important parameter is the distance between the introgressed gene and the flanking markers, which should be chosen to be as closely linked as possible to the introgressed gene. Second, the minimal population sizes required to obtain double recombinants for such closely linked markers are computed and optimized in the context of a multigeneration backcross program. The results indicate that it is generally more profitable to allow for three or more successive backcross generations rather than to favor recombinations in early generations.","container-title":"Genetics","ISSN":"0016-6731","issue":"3","journalAbbreviation":"Genetics","note":"PMID: 11454782\nPMCID: PMC1461714","page":"1363-1379","source":"PubMed Central","title":"Size of donor chromosome segments around introgressed loci and reduction of linkage drag in marker-assisted backcross programs.","volume":"158","author":[{"family":"Hospital","given":"F"}],"issued":{"date-parts":[["2001",7]]}}},{"id":"tkNNqo55/39plzNex","uris":["http://zotero.org/users/14366882/items/2AXYZK4U"],"itemData":{"id":47,"type":"article-journal","abstract":"The use of molecular markers for the introgression of one or several superior QTL alleles into a recipient line is investigated using analytic and simulation results. The positions of the markers devoted to the control of the genotype at the QTLs in a ``foreground selection'' step are optimized given the confidence interval of the QTL position. Results demonstrate that using at least three markers per QTL allows a good control over several generations. Population sizes that should be recommended for various numbers of QTLs are calculated and are used to determine the limit in the number of QTLs that can be monitored simultaneously. If ``background selection'' devoted to accelerate the return to the recipient parent genotype outside the QTL regions is applied, the positions of the markers devoted to the control of the QTLs have to be reconsidered. When several QTLs are monitored simultaneously, background selection among the limited number of individuals resulting from the foreground selection step accelerates the increase in genomic similarity with the recipient parent, with only limited costs. Background selection is even more efficient in a pyramidal backcross program where QTLs are first monitored one by one.","container-title":"Genetics","ISSN":"0016-6731","issue":"3","journalAbbreviation":"Genetics","note":"PMID: 9383086\nPMCID: PMC1208267","page":"1469-1485","source":"PubMed Central","title":"Marker-Assisted Introgression of Quantitative Trait Loci","volume":"147","author":[{"family":"Hospital","given":"F."},{"family":"Charcosset","given":"A."}],"issued":{"date-parts":[["1997",11]]}}}],"schema":"https://github.com/citation-style-language/schema/raw/master/csl-citation.json"} </w:instrText>
      </w:r>
      <w:r w:rsidRPr="00AF0477">
        <w:rPr>
          <w:color w:val="000000" w:themeColor="text1"/>
        </w:rPr>
        <w:fldChar w:fldCharType="separate"/>
      </w:r>
      <w:r w:rsidRPr="00AF0477">
        <w:rPr>
          <w:color w:val="000000" w:themeColor="text1"/>
        </w:rPr>
        <w:t>[78], [79]</w:t>
      </w:r>
      <w:r w:rsidRPr="00AF0477">
        <w:rPr>
          <w:color w:val="000000" w:themeColor="text1"/>
        </w:rPr>
        <w:fldChar w:fldCharType="end"/>
      </w:r>
      <w:r>
        <w:rPr>
          <w:color w:val="000000" w:themeColor="text1"/>
        </w:rPr>
        <w:t>.</w:t>
      </w:r>
      <w:r w:rsidRPr="00AF0477">
        <w:rPr>
          <w:color w:val="000000" w:themeColor="text1"/>
        </w:rPr>
        <w:t xml:space="preserve"> The desired result is an enhanced line that contains only the desired gene from the donor parent, with the recipient parent line existing across the entire genome. </w:t>
      </w:r>
      <w:r w:rsidRPr="008758F3">
        <w:rPr>
          <w:color w:val="000000" w:themeColor="text1"/>
          <w:lang w:val="en-IN"/>
        </w:rPr>
        <w:t xml:space="preserve">Using molecular markers in plants to accelerate backcrossing had the early benefit of lowering the number of backcrosses required to recover the RP phenotype. </w:t>
      </w:r>
      <w:r w:rsidRPr="00AF0477">
        <w:rPr>
          <w:color w:val="000000" w:themeColor="text1"/>
        </w:rPr>
        <w:t xml:space="preserve">(Figure 3) </w:t>
      </w:r>
      <w:r w:rsidRPr="00AF0477">
        <w:rPr>
          <w:color w:val="000000" w:themeColor="text1"/>
          <w:lang w:eastAsia="en-IN"/>
        </w:rPr>
        <w:fldChar w:fldCharType="begin"/>
      </w:r>
      <w:r w:rsidRPr="00AF0477">
        <w:rPr>
          <w:color w:val="000000" w:themeColor="text1"/>
          <w:lang w:eastAsia="en-IN"/>
        </w:rPr>
        <w:instrText xml:space="preserve"> ADDIN ZOTERO_ITEM CSL_CITATION {"citationID":"8Sc0bDWs","properties":{"formattedCitation":"[80]","plainCitation":"[80]","noteIndex":0},"citationItems":[{"id":"tkNNqo55/mo5KNbmO","uris":["http://zotero.org/users/14366882/items/L5YBZ6ZR"],"itemData":{"id":50,"type":"article-journal","abstract":"Breeders have traditionally improved plant varieties by selecting on the basis of phenotype. Now restriction fragment length polymorphism (RFLP) linkage maps are being constructed for most major crop plants and these maps provide a more direct method for selecting desirable genes via their linkage to easily detectable RFLP markers. The integration of RFLP techniques into plant breeding promises to: (1) Expedite the movement of desirable genes among varieties, (2) Allow the transfer of novel genes from related wild species, (3) Make possible the analysis of complex polygenic characters as ensembles of single Mendelian factors, and (4) Establish genetic relationships between sexually incompatible crop plants. In the future, high density RFLP maps may also make it possible to clone genes whose products are unknown, such as genes for disease resistance or stress tolerance.","container-title":"Bio/Technology","DOI":"10.1038/nbt0389-257","ISSN":"1546-1696","issue":"3","journalAbbreviation":"Nat Biotechnol","language":"en","license":"1989 Nature Publishing Company","note":"publisher: Nature Publishing Group","page":"257-264","source":"www.nature.com","title":"RFLP Mapping in Plant Breeding: New Tools for an Old Science","title-short":"RFLP Mapping in Plant Breeding","volume":"7","author":[{"family":"Tanksley","given":"S. D."},{"family":"Young","given":"N. D."},{"family":"Paterson","given":"A. H."},{"family":"Bonierbale","given":"M. W."}],"issued":{"date-parts":[["1989",3]]}}}],"schema":"https://github.com/citation-style-language/schema/raw/master/csl-citation.json"} </w:instrText>
      </w:r>
      <w:r w:rsidRPr="00AF0477">
        <w:rPr>
          <w:color w:val="000000" w:themeColor="text1"/>
          <w:lang w:eastAsia="en-IN"/>
        </w:rPr>
        <w:fldChar w:fldCharType="separate"/>
      </w:r>
      <w:r w:rsidRPr="00AF0477">
        <w:rPr>
          <w:color w:val="000000" w:themeColor="text1"/>
        </w:rPr>
        <w:t>[80]</w:t>
      </w:r>
      <w:r w:rsidRPr="00AF0477">
        <w:rPr>
          <w:color w:val="000000" w:themeColor="text1"/>
          <w:lang w:eastAsia="en-IN"/>
        </w:rPr>
        <w:fldChar w:fldCharType="end"/>
      </w:r>
      <w:r w:rsidRPr="00AF0477">
        <w:rPr>
          <w:color w:val="000000" w:themeColor="text1"/>
          <w:lang w:eastAsia="en-IN"/>
        </w:rPr>
        <w:t>.</w:t>
      </w:r>
    </w:p>
    <w:p w:rsidR="0083004B" w:rsidRPr="00AF0477" w:rsidRDefault="0083004B" w:rsidP="0083004B">
      <w:pPr>
        <w:jc w:val="both"/>
        <w:rPr>
          <w:color w:val="000000" w:themeColor="text1"/>
        </w:rPr>
      </w:pPr>
    </w:p>
    <w:p w:rsidR="0083004B" w:rsidRPr="006E66B2" w:rsidRDefault="0083004B" w:rsidP="0083004B">
      <w:pPr>
        <w:jc w:val="both"/>
        <w:rPr>
          <w:color w:val="000000" w:themeColor="text1"/>
          <w:lang w:val="en-IN"/>
        </w:rPr>
      </w:pPr>
      <w:r w:rsidRPr="00AF0477">
        <w:rPr>
          <w:color w:val="000000" w:themeColor="text1"/>
        </w:rPr>
        <w:tab/>
      </w:r>
      <w:r w:rsidRPr="006E66B2">
        <w:rPr>
          <w:color w:val="000000" w:themeColor="text1"/>
          <w:lang w:val="en-IN"/>
        </w:rPr>
        <w:t>The process of merging two or more genes from different parents into a single genotype, known as "gene pyramiding," permits the expression of numerous genes for resistance to both biotic and abiotic stress. Pyramiding is affected by a number of parameters, such as the quantity of transferred genes, the range of flanking markers and genes, the number of selected populations in each breeding generation, the properties of germplasms and genes, and the capacity of breeders to detect the target genes. Marker-assisted techniques have improved the accuracy and reliability of gene pyramiding for the development of stress-tolerant cultivars</w:t>
      </w:r>
      <w:r>
        <w:rPr>
          <w:color w:val="000000" w:themeColor="text1"/>
          <w:lang w:val="en-IN"/>
        </w:rPr>
        <w:t xml:space="preserve"> </w:t>
      </w:r>
      <w:r w:rsidRPr="00AF0477">
        <w:rPr>
          <w:color w:val="000000" w:themeColor="text1"/>
          <w:lang w:eastAsia="en-IN"/>
        </w:rPr>
        <w:fldChar w:fldCharType="begin"/>
      </w:r>
      <w:r w:rsidRPr="00AF0477">
        <w:rPr>
          <w:color w:val="000000" w:themeColor="text1"/>
          <w:lang w:eastAsia="en-IN"/>
        </w:rPr>
        <w:instrText xml:space="preserve"> ADDIN ZOTERO_ITEM CSL_CITATION {"citationID":"jzwYfpxP","properties":{"formattedCitation":"[81]","plainCitation":"[81]","noteIndex":0},"citationItems":[{"id":"tkNNqo55/e46BTPp4","uris":["http://zotero.org/users/14366882/items/UZHM6AQU"],"itemData":{"id":51,"type":"article-journal","abstract":"Abiotic and biotic stresses adversely affect rice growth, development and grain yield. Traditional rice breeding techniques are insufficient in modern agriculture to meet the growing population’s food needs on a long-term basis. The development of DNA markers closely linked to target genes or QTLs on rice chromosomes, and advanced molecular techniques, such as marker-assisted selection (MAS), have encouraged the evolution of contemporary techniques in rice genetics and breeding, such as gene pyramiding. Gene pyramiding refers to the act of combining two or more genes from multiple parents into a single genotype, which allows the overexpression of more than one gene for broad-spectrum abiotic and biotic stress resistance. Marker-assisted pedigree, backcrossing and pseudo-backcrossing methods can increase the conventional breeding speed by reducing the number of breeding generations in order to enhance the pyramiding process. Pyramiding is affected by several factors: the number of transferred genes; the range within gene and flanking markers; the number of chosen populations in every breeding generation; the features of genes and germplasms; and the potentiality of breeders to identify the target genes. Modern breeding methods, such as the marker-assisted backcrossing approach, have made gene pyramiding more precise and reliable for the development of stress-tolerant rice varieties in the coming decades. This review presents up-to-date knowledge on gene pyramiding schemes, marker-assisted gene pyramiding techniques, the efficiency of marker-assisted gene pyramiding and the advantages and limitations of gene pyramiding methods. This review also reports on the potential application of marker-assisted selection breeding to develop stress-tolerant rice varieties that stabilize abiotic and biotic stresses. This review will help rice breeders to improve yields by increasing rice productivity under abiotic and biotic stress conditions.","container-title":"Sustainability","DOI":"10.3390/su131910806","ISSN":"2071-1050","issue":"19","language":"en","license":"http://creativecommons.org/licenses/by/3.0/","note":"number: 19\npublisher: Multidisciplinary Digital Publishing Institute","page":"10806","source":"www.mdpi.com","title":"Recent Advances in Rice Varietal Development for Durable Resistance to Biotic and Abiotic Stresses through Marker-Assisted Gene Pyramiding","volume":"13","author":[{"family":"Haque","given":"Md Azadul"},{"family":"Rafii","given":"Mohd Y."},{"family":"Yusoff","given":"Martini Mohammad"},{"family":"Ali","given":"Nusaibah Syd"},{"family":"Yusuff","given":"Oladosu"},{"family":"Datta","given":"Debi Rani"},{"family":"Anisuzzaman","given":"Mohammad"},{"family":"Ikbal","given":"Mohammad Ferdous"}],"issued":{"date-parts":[["2021",1]]}}}],"schema":"https://github.com/citation-style-language/schema/raw/master/csl-citation.json"} </w:instrText>
      </w:r>
      <w:r w:rsidRPr="00AF0477">
        <w:rPr>
          <w:color w:val="000000" w:themeColor="text1"/>
          <w:lang w:eastAsia="en-IN"/>
        </w:rPr>
        <w:fldChar w:fldCharType="separate"/>
      </w:r>
      <w:r w:rsidRPr="00AF0477">
        <w:rPr>
          <w:color w:val="000000" w:themeColor="text1"/>
        </w:rPr>
        <w:t>[81]</w:t>
      </w:r>
      <w:r w:rsidRPr="00AF0477">
        <w:rPr>
          <w:color w:val="000000" w:themeColor="text1"/>
          <w:lang w:eastAsia="en-IN"/>
        </w:rPr>
        <w:fldChar w:fldCharType="end"/>
      </w:r>
      <w:r>
        <w:rPr>
          <w:color w:val="000000" w:themeColor="text1"/>
          <w:lang w:eastAsia="en-IN"/>
        </w:rPr>
        <w:t>.</w:t>
      </w:r>
    </w:p>
    <w:p w:rsidR="00524344" w:rsidRPr="00AF0477" w:rsidRDefault="00524344" w:rsidP="0083004B">
      <w:pPr>
        <w:jc w:val="both"/>
        <w:rPr>
          <w:color w:val="000000" w:themeColor="text1"/>
        </w:rPr>
      </w:pPr>
    </w:p>
    <w:p w:rsidR="00524344" w:rsidRPr="00BA206A" w:rsidRDefault="00D8288F" w:rsidP="00D8288F">
      <w:pPr>
        <w:pStyle w:val="ListParagraph"/>
        <w:numPr>
          <w:ilvl w:val="0"/>
          <w:numId w:val="18"/>
        </w:numPr>
        <w:ind w:left="180" w:hanging="180"/>
        <w:rPr>
          <w:b/>
          <w:bCs/>
          <w:color w:val="000000" w:themeColor="text1"/>
          <w:lang w:eastAsia="en-IN"/>
        </w:rPr>
      </w:pPr>
      <w:r w:rsidRPr="00BA206A">
        <w:rPr>
          <w:b/>
          <w:bCs/>
          <w:color w:val="000000" w:themeColor="text1"/>
        </w:rPr>
        <w:t>CRISPR TECHNOLOGY IN ARID AGRICULTURE</w:t>
      </w:r>
    </w:p>
    <w:p w:rsidR="00524344" w:rsidRPr="00AF0477" w:rsidRDefault="00524344" w:rsidP="00524344">
      <w:pPr>
        <w:jc w:val="both"/>
        <w:rPr>
          <w:color w:val="000000" w:themeColor="text1"/>
          <w:lang w:eastAsia="en-IN"/>
        </w:rPr>
      </w:pPr>
    </w:p>
    <w:p w:rsidR="0083004B" w:rsidRPr="006E4141" w:rsidRDefault="0083004B" w:rsidP="0083004B">
      <w:pPr>
        <w:ind w:firstLine="720"/>
        <w:jc w:val="both"/>
        <w:rPr>
          <w:color w:val="000000" w:themeColor="text1"/>
          <w:lang w:val="en-IN"/>
        </w:rPr>
      </w:pPr>
      <w:r w:rsidRPr="006E4141">
        <w:rPr>
          <w:color w:val="000000" w:themeColor="text1"/>
          <w:lang w:val="en-IN"/>
        </w:rPr>
        <w:t>The main goals of crop development are to enhance crop yield, quality, nutritional value, and resilience to biotic and abiotic challenge. As a result, scientists and breeders nowadays concentrate more on improving quality rather than solely raising quantity.</w:t>
      </w:r>
      <w:r w:rsidRPr="00AF0477">
        <w:rPr>
          <w:color w:val="000000" w:themeColor="text1"/>
        </w:rPr>
        <w:t xml:space="preserve"> The combination of speed breeding, genomic-assisted breeding, and advanced genome editing tools has enabled the rapid manipulation and generation of multiple crop cycles, significantly accelerating the plant breeding process, especially in arid regions of the globe.</w:t>
      </w:r>
    </w:p>
    <w:p w:rsidR="0083004B" w:rsidRPr="00AF0477" w:rsidRDefault="0083004B" w:rsidP="0083004B">
      <w:pPr>
        <w:ind w:firstLine="720"/>
        <w:jc w:val="both"/>
        <w:rPr>
          <w:color w:val="000000" w:themeColor="text1"/>
        </w:rPr>
      </w:pPr>
    </w:p>
    <w:p w:rsidR="0083004B" w:rsidRPr="00DC52C4" w:rsidRDefault="0083004B" w:rsidP="0083004B">
      <w:pPr>
        <w:ind w:firstLine="720"/>
        <w:jc w:val="both"/>
        <w:rPr>
          <w:color w:val="000000" w:themeColor="text1"/>
          <w:lang w:val="en-IN"/>
        </w:rPr>
      </w:pPr>
      <w:r w:rsidRPr="00DC52C4">
        <w:rPr>
          <w:color w:val="000000" w:themeColor="text1"/>
          <w:lang w:val="en-IN"/>
        </w:rPr>
        <w:t>It has recently been discovered that genome editing (GE) technology allows for precise genome alterations in plants. At particular genomic locations, GE can cause predictable, inheritable mutations with little to no off-target consequences and no integration of foreign genes. Large fragment substitutions, insertions, deletions, and single-nucleotide substitutions (SNPs) are examples of GE-mediated DNA changes. This mechanism depends on four groups of site-directed nucleases (SDNs): zinc-finger nucleases (ZFNs), transcription activator-like effector nucleases (TALENs), homing endonucleases (HEs), and CRISPR-associated proteins (Cas). Usually, these nucleases cause DNA double-strand breaks (DSBs), which are then repaired by the endogenous systems of the plant by homologous-directed recombination (HDR) or nonhomologous end joining (NHEJ). While HDR employs homologous sequences or exogenous templates for accurate repair, allowing for massive insertions or fragments, NHEJ frequently produces tiny indels around the cleavage site.</w:t>
      </w:r>
    </w:p>
    <w:p w:rsidR="0083004B" w:rsidRDefault="0083004B" w:rsidP="0083004B">
      <w:pPr>
        <w:jc w:val="both"/>
        <w:rPr>
          <w:color w:val="000000" w:themeColor="text1"/>
        </w:rPr>
      </w:pPr>
    </w:p>
    <w:p w:rsidR="0083004B" w:rsidRPr="00891BD1" w:rsidRDefault="0083004B" w:rsidP="0083004B">
      <w:pPr>
        <w:jc w:val="both"/>
        <w:rPr>
          <w:color w:val="000000" w:themeColor="text1"/>
          <w:lang w:val="en-IN"/>
        </w:rPr>
      </w:pPr>
      <w:r>
        <w:rPr>
          <w:color w:val="000000" w:themeColor="text1"/>
        </w:rPr>
        <w:t xml:space="preserve">              </w:t>
      </w:r>
      <w:r w:rsidRPr="00AF0477">
        <w:rPr>
          <w:color w:val="000000" w:themeColor="text1"/>
        </w:rPr>
        <w:t xml:space="preserve">ZFNs and TALENs were successful, nonetheless, the main obstacles facing researchers and manufacturers were the complexity, cost, and duration of protein engineering. </w:t>
      </w:r>
      <w:r>
        <w:rPr>
          <w:color w:val="000000" w:themeColor="text1"/>
        </w:rPr>
        <w:t xml:space="preserve">In 2012, J. </w:t>
      </w:r>
      <w:proofErr w:type="spellStart"/>
      <w:r>
        <w:rPr>
          <w:color w:val="000000" w:themeColor="text1"/>
        </w:rPr>
        <w:t>Doudna</w:t>
      </w:r>
      <w:proofErr w:type="spellEnd"/>
      <w:r>
        <w:rPr>
          <w:color w:val="000000" w:themeColor="text1"/>
        </w:rPr>
        <w:t xml:space="preserve"> and E. Charpentier discovered that CRISPR/Cas-9, when paired with the appropriate template, could effectively modify targeted DNA sequences </w:t>
      </w:r>
      <w:r w:rsidRPr="00AF0477">
        <w:rPr>
          <w:color w:val="000000" w:themeColor="text1"/>
        </w:rPr>
        <w:fldChar w:fldCharType="begin"/>
      </w:r>
      <w:r w:rsidRPr="00AF0477">
        <w:rPr>
          <w:color w:val="000000" w:themeColor="text1"/>
        </w:rPr>
        <w:instrText xml:space="preserve"> ADDIN ZOTERO_ITEM CSL_CITATION {"citationID":"PTvCDfrW","properties":{"formattedCitation":"[82]","plainCitation":"[82]","noteIndex":0},"citationItems":[{"id":"tkNNqo55/o99vwxj9","uris":["http://zotero.org/users/local/h0XMDZCs/items/EVL6JTGM"],"itemData":{"id":20,"type":"article-journal","abstract":"Ditching Invading DNA\n            \n              Bacteria and archaea protect themselves from invasive foreign nucleic acids through an RNA-mediated adaptive immune system called CRISPR (clustered regularly interspaced short palindromic repeats)/CRISPR-associated (Cas).\n              \n                Jinek\n                et al.\n              \n              (p.\n              816\n              , published online 28 June; see the Perspective by\n              \n                Brouns\n              \n              ) found that for the type II CRISPR/Cas system, the CRISPR RNA (crRNA) as well as the trans-activating crRNA—which is known to be involved in the pre-crRNA processing—were both required to direct the Cas9 endonuclease to cleave the invading target DNA. Furthermore, engineered RNA molecules were able to program the Cas9 endonuclease to cleave specific DNA sequences to generate double-stranded DNA breaks.\n            \n          , \n            A prokaryotic RNA–directed targeting system can be designed to cleave any DNA sequence.\n          , \n            Clustered regularly interspaced short palindromic repeats (CRISPR)/CRISPR-associated (Cas) systems provide bacteria and archaea with adaptive immunity against viruses and plasmids by using CRISPR RNAs (crRNAs) to guide the silencing of invading nucleic acids. We show here that in a subset of these systems, the mature crRNA that is base-paired to trans-activating crRNA (tracrRNA) forms a two-RNA structure that directs the CRISPR-associated protein Cas9 to introduce double-stranded (ds) breaks in target DNA. At sites complementary to the crRNA-guide sequence, the Cas9 HNH nuclease domain cleaves the complementary strand, whereas the Cas9 RuvC-like domain cleaves the noncomplementary strand. The dual-tracrRNA:crRNA, when engineered as a single RNA chimera, also directs sequence-specific Cas9 dsDNA cleavage. Our study reveals a family of endonucleases that use dual-RNAs for site-specific DNA cleavage and highlights the potential to exploit the system for RNA-programmable genome editing.","container-title":"Science","DOI":"10.1126/science.1225829","ISSN":"0036-8075, 1095-9203","issue":"6096","journalAbbreviation":"Science","language":"en","page":"816-821","source":"DOI.org (Crossref)","title":"A Programmable Dual-RNA–Guided DNA Endonuclease in Adaptive Bacterial Immunity","volume":"337","author":[{"family":"Jinek","given":"Martin"},{"family":"Chylinski","given":"Krzysztof"},{"family":"Fonfara","given":"Ines"},{"family":"Hauer","given":"Michael"},{"family":"Doudna","given":"Jennifer A."},{"family":"Charpentier","given":"Emmanuelle"}],"issued":{"date-parts":[["2012",8,17]]}}}],"schema":"https://github.com/citation-style-language/schema/raw/master/csl-citation.json"} </w:instrText>
      </w:r>
      <w:r w:rsidRPr="00AF0477">
        <w:rPr>
          <w:color w:val="000000" w:themeColor="text1"/>
        </w:rPr>
        <w:fldChar w:fldCharType="separate"/>
      </w:r>
      <w:r w:rsidRPr="00AF0477">
        <w:rPr>
          <w:color w:val="000000" w:themeColor="text1"/>
        </w:rPr>
        <w:t>[82]</w:t>
      </w:r>
      <w:r w:rsidRPr="00AF0477">
        <w:rPr>
          <w:color w:val="000000" w:themeColor="text1"/>
        </w:rPr>
        <w:fldChar w:fldCharType="end"/>
      </w:r>
      <w:r w:rsidRPr="00AF0477">
        <w:rPr>
          <w:color w:val="000000" w:themeColor="text1"/>
        </w:rPr>
        <w:t xml:space="preserve">. </w:t>
      </w:r>
      <w:r w:rsidRPr="00891BD1">
        <w:rPr>
          <w:color w:val="000000" w:themeColor="text1"/>
          <w:lang w:val="en-IN"/>
        </w:rPr>
        <w:t>This second-generation genome editing method is more affordable, simpler to develop and easier to use.</w:t>
      </w:r>
      <w:r>
        <w:rPr>
          <w:color w:val="000000" w:themeColor="text1"/>
          <w:lang w:val="en-IN"/>
        </w:rPr>
        <w:t xml:space="preserve"> </w:t>
      </w:r>
      <w:r w:rsidRPr="00AF0477">
        <w:rPr>
          <w:color w:val="000000" w:themeColor="text1"/>
        </w:rPr>
        <w:t xml:space="preserve">CRISPR remains the most effective genome editing technology across all fields as of right now. </w:t>
      </w:r>
    </w:p>
    <w:p w:rsidR="0083004B" w:rsidRPr="00AF0477" w:rsidRDefault="0083004B" w:rsidP="0083004B">
      <w:pPr>
        <w:ind w:firstLine="720"/>
        <w:jc w:val="both"/>
        <w:rPr>
          <w:color w:val="000000" w:themeColor="text1"/>
        </w:rPr>
      </w:pPr>
    </w:p>
    <w:p w:rsidR="0083004B" w:rsidRPr="00AF0477" w:rsidRDefault="0083004B" w:rsidP="0083004B">
      <w:pPr>
        <w:pStyle w:val="ListParagraph"/>
        <w:numPr>
          <w:ilvl w:val="0"/>
          <w:numId w:val="31"/>
        </w:numPr>
        <w:ind w:left="360"/>
        <w:jc w:val="both"/>
        <w:rPr>
          <w:b/>
          <w:bCs/>
          <w:color w:val="000000" w:themeColor="text1"/>
        </w:rPr>
      </w:pPr>
      <w:r w:rsidRPr="00AF0477">
        <w:rPr>
          <w:b/>
          <w:bCs/>
          <w:color w:val="000000" w:themeColor="text1"/>
        </w:rPr>
        <w:t>Background</w:t>
      </w:r>
    </w:p>
    <w:p w:rsidR="0083004B" w:rsidRPr="006E4141" w:rsidRDefault="0083004B" w:rsidP="0083004B">
      <w:pPr>
        <w:ind w:firstLine="720"/>
        <w:jc w:val="both"/>
        <w:rPr>
          <w:color w:val="000000" w:themeColor="text1"/>
          <w:lang w:val="en-IN"/>
        </w:rPr>
      </w:pPr>
      <w:r w:rsidRPr="006E4141">
        <w:rPr>
          <w:color w:val="000000" w:themeColor="text1"/>
          <w:lang w:val="en-IN"/>
        </w:rPr>
        <w:t xml:space="preserve">Prokaryote genomes have a unique arrangement of short, partially repeated DNA sequences called CRISPR (Clustered Regularly Interspaced Short Palindromic Repeat). Prokaryotes have an adaptive </w:t>
      </w:r>
      <w:proofErr w:type="spellStart"/>
      <w:r w:rsidRPr="006E4141">
        <w:rPr>
          <w:color w:val="000000" w:themeColor="text1"/>
          <w:lang w:val="en-IN"/>
        </w:rPr>
        <w:t>defense</w:t>
      </w:r>
      <w:proofErr w:type="spellEnd"/>
      <w:r w:rsidRPr="006E4141">
        <w:rPr>
          <w:color w:val="000000" w:themeColor="text1"/>
          <w:lang w:val="en-IN"/>
        </w:rPr>
        <w:t xml:space="preserve"> system against viruses or bacteriophages thanks to CRISPR and the protein it is related to, called Cas-9 [83], [84]. While researching a gene for alkaline phosphatase, Japanese scientist Ishino and his associates inadvertently found odd repeating palindromic DNA sequences broken up by spacers in </w:t>
      </w:r>
      <w:r w:rsidRPr="006E4141">
        <w:rPr>
          <w:i/>
          <w:iCs/>
          <w:color w:val="000000" w:themeColor="text1"/>
          <w:lang w:val="en-IN"/>
        </w:rPr>
        <w:t>Escherichia coli</w:t>
      </w:r>
      <w:r w:rsidRPr="006E4141">
        <w:rPr>
          <w:color w:val="000000" w:themeColor="text1"/>
          <w:lang w:val="en-IN"/>
        </w:rPr>
        <w:t xml:space="preserve">. This resulted in the 1987 discovery of CRISPR. However, its true potential became apparent in 2012 when J </w:t>
      </w:r>
      <w:proofErr w:type="spellStart"/>
      <w:r w:rsidRPr="006E4141">
        <w:rPr>
          <w:color w:val="000000" w:themeColor="text1"/>
          <w:lang w:val="en-IN"/>
        </w:rPr>
        <w:t>Doudna</w:t>
      </w:r>
      <w:proofErr w:type="spellEnd"/>
      <w:r w:rsidRPr="006E4141">
        <w:rPr>
          <w:color w:val="000000" w:themeColor="text1"/>
          <w:lang w:val="en-IN"/>
        </w:rPr>
        <w:t xml:space="preserve"> and E Charpentier found that CRISPR/Cas-9 could be used to precisely alter any desired DNA.</w:t>
      </w:r>
    </w:p>
    <w:p w:rsidR="0083004B" w:rsidRPr="00AF0477" w:rsidRDefault="0083004B" w:rsidP="0083004B">
      <w:pPr>
        <w:ind w:firstLine="720"/>
        <w:jc w:val="both"/>
        <w:rPr>
          <w:color w:val="000000" w:themeColor="text1"/>
        </w:rPr>
      </w:pPr>
    </w:p>
    <w:p w:rsidR="0083004B" w:rsidRPr="00AF0477" w:rsidRDefault="0083004B" w:rsidP="0083004B">
      <w:pPr>
        <w:ind w:firstLine="720"/>
        <w:jc w:val="both"/>
        <w:rPr>
          <w:color w:val="000000" w:themeColor="text1"/>
        </w:rPr>
      </w:pPr>
    </w:p>
    <w:p w:rsidR="0083004B" w:rsidRPr="00AF0477" w:rsidRDefault="0083004B" w:rsidP="0083004B">
      <w:pPr>
        <w:pStyle w:val="ListParagraph"/>
        <w:numPr>
          <w:ilvl w:val="0"/>
          <w:numId w:val="31"/>
        </w:numPr>
        <w:ind w:left="360"/>
        <w:jc w:val="both"/>
        <w:rPr>
          <w:b/>
          <w:bCs/>
          <w:color w:val="000000" w:themeColor="text1"/>
        </w:rPr>
      </w:pPr>
      <w:r w:rsidRPr="00AF0477">
        <w:rPr>
          <w:b/>
          <w:bCs/>
          <w:color w:val="000000" w:themeColor="text1"/>
        </w:rPr>
        <w:t>Components of CRISPR Cas</w:t>
      </w:r>
    </w:p>
    <w:p w:rsidR="0083004B" w:rsidRPr="00FF6FED" w:rsidRDefault="0083004B" w:rsidP="0083004B">
      <w:pPr>
        <w:ind w:firstLine="720"/>
        <w:jc w:val="both"/>
        <w:rPr>
          <w:color w:val="000000" w:themeColor="text1"/>
          <w:lang w:val="en-IN"/>
        </w:rPr>
      </w:pPr>
      <w:r w:rsidRPr="00FF6FED">
        <w:rPr>
          <w:color w:val="000000" w:themeColor="text1"/>
          <w:lang w:val="en-IN"/>
        </w:rPr>
        <w:t>The unique Cas-protein structures and functions of Class I (types I, III, and IV) and Class II (types II, V, and VI) of the CRISPR/Cas system allow for mutual identification. Class I systems consist of multi-subunit Cas-protein complexes, while class II systems use a single Cas-protein. Type II CRISPR/Cas-9's relatively simple structure has led to much research and application in genetic engineering</w:t>
      </w:r>
      <w:r w:rsidR="00EA5ED7">
        <w:rPr>
          <w:color w:val="000000" w:themeColor="text1"/>
          <w:lang w:val="en-IN"/>
        </w:rPr>
        <w:t xml:space="preserve"> </w:t>
      </w:r>
      <w:r>
        <w:rPr>
          <w:color w:val="000000" w:themeColor="text1"/>
          <w:lang w:val="en-IN"/>
        </w:rPr>
        <w:t xml:space="preserve">[90]. </w:t>
      </w:r>
      <w:r w:rsidRPr="00FF6FED">
        <w:rPr>
          <w:color w:val="000000" w:themeColor="text1"/>
          <w:lang w:val="en-IN"/>
        </w:rPr>
        <w:t>The guide-RNA (gRNA) and CRISPR-associated (Cas-9) proteins are the two main components of the CRISPR/Cas-9 system. This large, multi-domain DNA is known as a genetic endonuclease and it cleaves target DNA to produce a double-strand break.</w:t>
      </w:r>
    </w:p>
    <w:p w:rsidR="0083004B" w:rsidRPr="00AF0477" w:rsidRDefault="0083004B" w:rsidP="0083004B">
      <w:pPr>
        <w:ind w:firstLine="720"/>
        <w:jc w:val="both"/>
        <w:rPr>
          <w:color w:val="000000" w:themeColor="text1"/>
        </w:rPr>
      </w:pPr>
    </w:p>
    <w:p w:rsidR="0083004B" w:rsidRPr="00FF6FED" w:rsidRDefault="0083004B" w:rsidP="0083004B">
      <w:pPr>
        <w:jc w:val="both"/>
        <w:rPr>
          <w:color w:val="000000" w:themeColor="text1"/>
          <w:lang w:val="en-IN"/>
        </w:rPr>
      </w:pPr>
      <w:r>
        <w:rPr>
          <w:color w:val="000000" w:themeColor="text1"/>
        </w:rPr>
        <w:t xml:space="preserve">                </w:t>
      </w:r>
      <w:r w:rsidRPr="00FF6FED">
        <w:rPr>
          <w:color w:val="000000" w:themeColor="text1"/>
          <w:lang w:val="en-IN"/>
        </w:rPr>
        <w:t xml:space="preserve">Cas-9 is composed of two lobes: the nuclease (NUC) lobe and the recognition (REC) lobe. The NUC lobe is composed of </w:t>
      </w:r>
      <w:proofErr w:type="spellStart"/>
      <w:r w:rsidRPr="00FF6FED">
        <w:rPr>
          <w:color w:val="000000" w:themeColor="text1"/>
          <w:lang w:val="en-IN"/>
        </w:rPr>
        <w:t>RuvC</w:t>
      </w:r>
      <w:proofErr w:type="spellEnd"/>
      <w:r w:rsidRPr="00FF6FED">
        <w:rPr>
          <w:color w:val="000000" w:themeColor="text1"/>
          <w:lang w:val="en-IN"/>
        </w:rPr>
        <w:t xml:space="preserve">, HNH, and domains that interact with the protospacer adjacent motif (PAM), whereas the REC lobe is composed of the guide RNA-binding REC1 and REC2 domains. The </w:t>
      </w:r>
      <w:proofErr w:type="spellStart"/>
      <w:r w:rsidRPr="00FF6FED">
        <w:rPr>
          <w:color w:val="000000" w:themeColor="text1"/>
          <w:lang w:val="en-IN"/>
        </w:rPr>
        <w:t>RuvC</w:t>
      </w:r>
      <w:proofErr w:type="spellEnd"/>
      <w:r w:rsidRPr="00FF6FED">
        <w:rPr>
          <w:color w:val="000000" w:themeColor="text1"/>
          <w:lang w:val="en-IN"/>
        </w:rPr>
        <w:t xml:space="preserve"> and HNH domains cut each single-stranded DNA strand, while the PAM interaction domain provides PAM specificity and initiates </w:t>
      </w:r>
      <w:r w:rsidRPr="00FF6FED">
        <w:rPr>
          <w:color w:val="000000" w:themeColor="text1"/>
          <w:lang w:val="en-IN"/>
        </w:rPr>
        <w:lastRenderedPageBreak/>
        <w:t>the binding process to the target DNA</w:t>
      </w:r>
      <w:r w:rsidR="00EA5ED7">
        <w:rPr>
          <w:color w:val="000000" w:themeColor="text1"/>
          <w:lang w:val="en-IN"/>
        </w:rPr>
        <w:t xml:space="preserve"> </w:t>
      </w:r>
      <w:r w:rsidRPr="00AF0477">
        <w:rPr>
          <w:color w:val="000000" w:themeColor="text1"/>
        </w:rPr>
        <w:fldChar w:fldCharType="begin"/>
      </w:r>
      <w:r w:rsidRPr="00AF0477">
        <w:rPr>
          <w:color w:val="000000" w:themeColor="text1"/>
        </w:rPr>
        <w:instrText xml:space="preserve"> ADDIN ZOTERO_ITEM CSL_CITATION {"citationID":"AUbebRb1","properties":{"formattedCitation":"[85], [86]","plainCitation":"[85], [86]","noteIndex":0},"citationItems":[{"id":"tkNNqo55/WuUU0wWW","uris":["http://zotero.org/users/local/h0XMDZCs/items/CPUYRKLB"],"itemData":{"id":24,"type":"article-journal","container-title":"Journal of Genetics and Genomics","DOI":"10.1016/j.jgg.2016.01.001","ISSN":"16738527","issue":"2","journalAbbreviation":"Journal of Genetics and Genomics","language":"en","page":"63-75","source":"DOI.org (Crossref)","title":"Recent Progress in CRISPR/Cas9 Technology","volume":"43","author":[{"family":"Mei","given":"Yue"},{"family":"Wang","given":"Yan"},{"family":"Chen","given":"Huiqian"},{"family":"Sun","given":"Zhong Sheng"},{"family":"Ju","given":"Xing-Da"}],"issued":{"date-parts":[["2016",2]]}}},{"id":"tkNNqo55/Bpu9NOYk","uris":["http://zotero.org/users/local/h0XMDZCs/items/6TPRVLMF"],"itemData":{"id":25,"type":"article-journal","abstract":"The CRISPR-associated endonuclease Cas9 can be targeted to specific genomic loci by single guide RNAs (sgRNAs). Here, we report the crystal structure of Streptococcus pyogenes Cas9 in complex with sgRNA and its target DNA at 2.5 Å resolution. The structure revealed a bilobed architecture composed of target recognition and nuclease lobes, accommodating the sgRNA:DNA heteroduplex in a positively charged groove at their interface. Whereas the recognition lobe is essential for binding sgRNA and DNA, the nuclease lobe contains the HNH and RuvC nuclease domains, which are properly positioned for cleavage of the complementary and noncomplementary strands of the target DNA, respectively. The nuclease lobe also contains a carboxyl-terminal domain responsible for the interaction with the protospacer adjacent motif (PAM). This high-resolution structure and accompanying functional analyses have revealed the molecular mechanism of RNA-guided DNA targeting by Cas9, thus paving the way for the rational design of new, versatile genome-editing technologies.","container-title":"Cell","DOI":"10.1016/j.cell.2014.02.001","ISSN":"1097-4172","issue":"5","journalAbbreviation":"Cell","language":"eng","note":"PMID: 24529477\nPMCID: PMC4139937","page":"935-949","source":"PubMed","title":"Crystal structure of Cas9 in complex with guide RNA and target DNA","volume":"156","author":[{"family":"Nishimasu","given":"Hiroshi"},{"family":"Ran","given":"F. Ann"},{"family":"Hsu","given":"Patrick D."},{"family":"Konermann","given":"Silvana"},{"family":"Shehata","given":"Soraya I."},{"family":"Dohmae","given":"Naoshi"},{"family":"Ishitani","given":"Ryuichiro"},{"family":"Zhang","given":"Feng"},{"family":"Nureki","given":"Osamu"}],"issued":{"date-parts":[["2014",2,27]]}}}],"schema":"https://github.com/citation-style-language/schema/raw/master/csl-citation.json"} </w:instrText>
      </w:r>
      <w:r w:rsidRPr="00AF0477">
        <w:rPr>
          <w:color w:val="000000" w:themeColor="text1"/>
        </w:rPr>
        <w:fldChar w:fldCharType="separate"/>
      </w:r>
      <w:r w:rsidRPr="00AF0477">
        <w:rPr>
          <w:color w:val="000000" w:themeColor="text1"/>
        </w:rPr>
        <w:t>[85], [86]</w:t>
      </w:r>
      <w:r w:rsidRPr="00AF0477">
        <w:rPr>
          <w:color w:val="000000" w:themeColor="text1"/>
        </w:rPr>
        <w:fldChar w:fldCharType="end"/>
      </w:r>
      <w:r w:rsidRPr="00AF0477">
        <w:rPr>
          <w:color w:val="000000" w:themeColor="text1"/>
        </w:rPr>
        <w:t xml:space="preserve">. </w:t>
      </w:r>
      <w:r w:rsidRPr="00FF6FED">
        <w:rPr>
          <w:color w:val="000000" w:themeColor="text1"/>
          <w:lang w:val="en-IN"/>
        </w:rPr>
        <w:t>The two parts that make up guide RNA are CRISPR RNA (crRNA) and trans-activating CRISPR RNA (</w:t>
      </w:r>
      <w:proofErr w:type="spellStart"/>
      <w:r w:rsidRPr="00FF6FED">
        <w:rPr>
          <w:color w:val="000000" w:themeColor="text1"/>
          <w:lang w:val="en-IN"/>
        </w:rPr>
        <w:t>tracr</w:t>
      </w:r>
      <w:proofErr w:type="spellEnd"/>
      <w:r w:rsidRPr="00FF6FED">
        <w:rPr>
          <w:color w:val="000000" w:themeColor="text1"/>
          <w:lang w:val="en-IN"/>
        </w:rPr>
        <w:t xml:space="preserve">-RNA). While crRNA is a 16–20 base pair molecule that identifies the target DNA by pairing with the target sequence, </w:t>
      </w:r>
      <w:proofErr w:type="spellStart"/>
      <w:r w:rsidRPr="00FF6FED">
        <w:rPr>
          <w:color w:val="000000" w:themeColor="text1"/>
          <w:lang w:val="en-IN"/>
        </w:rPr>
        <w:t>tracr</w:t>
      </w:r>
      <w:proofErr w:type="spellEnd"/>
      <w:r w:rsidRPr="00FF6FED">
        <w:rPr>
          <w:color w:val="000000" w:themeColor="text1"/>
          <w:lang w:val="en-IN"/>
        </w:rPr>
        <w:t>-RNA is a long loop that serves as a binding scaffold for the Cas-9 nuclease. Although the primary function of guide RNA in prokaryotes is to target viral</w:t>
      </w:r>
      <w:r>
        <w:rPr>
          <w:color w:val="000000" w:themeColor="text1"/>
          <w:lang w:val="en-IN"/>
        </w:rPr>
        <w:t xml:space="preserve"> </w:t>
      </w:r>
      <w:r w:rsidRPr="00FF6FED">
        <w:rPr>
          <w:color w:val="000000" w:themeColor="text1"/>
          <w:lang w:val="en-IN"/>
        </w:rPr>
        <w:t xml:space="preserve">DNA, it can also be artificially designed to target almost any desired gene sequence in a gene-editing tool by combining </w:t>
      </w:r>
      <w:proofErr w:type="spellStart"/>
      <w:r w:rsidRPr="00FF6FED">
        <w:rPr>
          <w:color w:val="000000" w:themeColor="text1"/>
          <w:lang w:val="en-IN"/>
        </w:rPr>
        <w:t>tracr</w:t>
      </w:r>
      <w:proofErr w:type="spellEnd"/>
      <w:r w:rsidRPr="00FF6FED">
        <w:rPr>
          <w:color w:val="000000" w:themeColor="text1"/>
          <w:lang w:val="en-IN"/>
        </w:rPr>
        <w:t>-RNA and crRNA to create a single guide RNA (sgRNA)</w:t>
      </w:r>
      <w:r w:rsidR="00EA5ED7">
        <w:rPr>
          <w:color w:val="000000" w:themeColor="text1"/>
          <w:lang w:val="en-IN"/>
        </w:rPr>
        <w:t xml:space="preserve"> </w:t>
      </w:r>
      <w:r w:rsidRPr="00AF0477">
        <w:rPr>
          <w:color w:val="000000" w:themeColor="text1"/>
        </w:rPr>
        <w:fldChar w:fldCharType="begin"/>
      </w:r>
      <w:r w:rsidRPr="00AF0477">
        <w:rPr>
          <w:color w:val="000000" w:themeColor="text1"/>
        </w:rPr>
        <w:instrText xml:space="preserve"> ADDIN ZOTERO_ITEM CSL_CITATION {"citationID":"NXpl8l9b","properties":{"formattedCitation":"[85]","plainCitation":"[85]","noteIndex":0},"citationItems":[{"id":"tkNNqo55/WuUU0wWW","uris":["http://zotero.org/users/local/h0XMDZCs/items/CPUYRKLB"],"itemData":{"id":24,"type":"article-journal","container-title":"Journal of Genetics and Genomics","DOI":"10.1016/j.jgg.2016.01.001","ISSN":"16738527","issue":"2","journalAbbreviation":"Journal of Genetics and Genomics","language":"en","page":"63-75","source":"DOI.org (Crossref)","title":"Recent Progress in CRISPR/Cas9 Technology","volume":"43","author":[{"family":"Mei","given":"Yue"},{"family":"Wang","given":"Yan"},{"family":"Chen","given":"Huiqian"},{"family":"Sun","given":"Zhong Sheng"},{"family":"Ju","given":"Xing-Da"}],"issued":{"date-parts":[["2016",2]]}}}],"schema":"https://github.com/citation-style-language/schema/raw/master/csl-citation.json"} </w:instrText>
      </w:r>
      <w:r w:rsidRPr="00AF0477">
        <w:rPr>
          <w:color w:val="000000" w:themeColor="text1"/>
        </w:rPr>
        <w:fldChar w:fldCharType="separate"/>
      </w:r>
      <w:r w:rsidRPr="00AF0477">
        <w:rPr>
          <w:color w:val="000000" w:themeColor="text1"/>
        </w:rPr>
        <w:t>[85]</w:t>
      </w:r>
      <w:r w:rsidRPr="00AF0477">
        <w:rPr>
          <w:color w:val="000000" w:themeColor="text1"/>
        </w:rPr>
        <w:fldChar w:fldCharType="end"/>
      </w:r>
      <w:r w:rsidRPr="00AF0477">
        <w:rPr>
          <w:color w:val="000000" w:themeColor="text1"/>
        </w:rPr>
        <w:t>.</w:t>
      </w:r>
    </w:p>
    <w:p w:rsidR="0083004B" w:rsidRDefault="0083004B" w:rsidP="0083004B">
      <w:pPr>
        <w:jc w:val="both"/>
        <w:rPr>
          <w:b/>
          <w:bCs/>
          <w:color w:val="000000" w:themeColor="text1"/>
          <w:lang w:val="en-IN"/>
        </w:rPr>
      </w:pPr>
    </w:p>
    <w:p w:rsidR="0083004B" w:rsidRPr="00205688" w:rsidRDefault="0083004B" w:rsidP="0083004B">
      <w:pPr>
        <w:pStyle w:val="ListParagraph"/>
        <w:numPr>
          <w:ilvl w:val="0"/>
          <w:numId w:val="31"/>
        </w:numPr>
        <w:ind w:left="360"/>
        <w:jc w:val="both"/>
        <w:rPr>
          <w:b/>
          <w:bCs/>
          <w:color w:val="000000" w:themeColor="text1"/>
          <w:lang w:val="en-IN"/>
        </w:rPr>
      </w:pPr>
      <w:r w:rsidRPr="00205688">
        <w:rPr>
          <w:b/>
          <w:bCs/>
          <w:color w:val="000000" w:themeColor="text1"/>
          <w:lang w:val="en-IN"/>
        </w:rPr>
        <w:t>Mechanism of CRISPR/ Cas 9</w:t>
      </w:r>
    </w:p>
    <w:p w:rsidR="0083004B" w:rsidRPr="00AF0477" w:rsidRDefault="0083004B" w:rsidP="0083004B">
      <w:pPr>
        <w:ind w:firstLine="720"/>
        <w:jc w:val="both"/>
        <w:rPr>
          <w:color w:val="000000" w:themeColor="text1"/>
          <w:lang w:val="en-IN"/>
        </w:rPr>
      </w:pPr>
      <w:r w:rsidRPr="00AF0477">
        <w:rPr>
          <w:color w:val="000000" w:themeColor="text1"/>
          <w:lang w:val="en-IN"/>
        </w:rPr>
        <w:t>The mechanism is generally divided into three steps (</w:t>
      </w:r>
      <w:r w:rsidR="00EA5ED7">
        <w:rPr>
          <w:color w:val="000000" w:themeColor="text1"/>
          <w:lang w:val="en-IN"/>
        </w:rPr>
        <w:t>F</w:t>
      </w:r>
      <w:r w:rsidRPr="00AF0477">
        <w:rPr>
          <w:color w:val="000000" w:themeColor="text1"/>
          <w:lang w:val="en-IN"/>
        </w:rPr>
        <w:t xml:space="preserve">igure 4): </w:t>
      </w:r>
    </w:p>
    <w:p w:rsidR="0083004B" w:rsidRPr="00AF0477" w:rsidRDefault="0083004B" w:rsidP="0083004B">
      <w:pPr>
        <w:jc w:val="both"/>
        <w:rPr>
          <w:color w:val="000000" w:themeColor="text1"/>
          <w:lang w:val="en-IN"/>
        </w:rPr>
      </w:pPr>
      <w:r w:rsidRPr="00AF0477">
        <w:rPr>
          <w:color w:val="000000" w:themeColor="text1"/>
          <w:lang w:val="en-IN"/>
        </w:rPr>
        <w:t>1</w:t>
      </w:r>
      <w:r w:rsidRPr="00AF0477">
        <w:rPr>
          <w:b/>
          <w:bCs/>
          <w:color w:val="000000" w:themeColor="text1"/>
          <w:lang w:val="en-IN"/>
        </w:rPr>
        <w:t xml:space="preserve">. </w:t>
      </w:r>
      <w:r w:rsidRPr="00BA206A">
        <w:rPr>
          <w:b/>
          <w:bCs/>
          <w:color w:val="000000" w:themeColor="text1"/>
          <w:lang w:val="en-IN"/>
        </w:rPr>
        <w:t>Recognition</w:t>
      </w:r>
      <w:r w:rsidRPr="00AF0477">
        <w:rPr>
          <w:color w:val="000000" w:themeColor="text1"/>
          <w:lang w:val="en-IN"/>
        </w:rPr>
        <w:t>: -</w:t>
      </w:r>
      <w:r>
        <w:rPr>
          <w:color w:val="000000" w:themeColor="text1"/>
          <w:lang w:val="en-IN"/>
        </w:rPr>
        <w:t xml:space="preserve"> </w:t>
      </w:r>
      <w:r w:rsidRPr="00D04654">
        <w:rPr>
          <w:color w:val="000000" w:themeColor="text1"/>
          <w:lang w:val="en-IN"/>
        </w:rPr>
        <w:t>The chosen sgRNA directs Cas-9 and detects the target sequence in the gene of interest through its 5ʹcrRNA complementary base pair component since the Cas-9 protein is inactive in the absence of sgRNA</w:t>
      </w:r>
      <w:r>
        <w:rPr>
          <w:color w:val="000000" w:themeColor="text1"/>
          <w:lang w:val="en-IN"/>
        </w:rPr>
        <w:t xml:space="preserve"> </w:t>
      </w:r>
      <w:r w:rsidRPr="00AF0477">
        <w:rPr>
          <w:color w:val="000000" w:themeColor="text1"/>
        </w:rPr>
        <w:fldChar w:fldCharType="begin"/>
      </w:r>
      <w:r w:rsidRPr="00AF0477">
        <w:rPr>
          <w:color w:val="000000" w:themeColor="text1"/>
        </w:rPr>
        <w:instrText xml:space="preserve"> ADDIN ZOTERO_ITEM CSL_CITATION {"citationID":"K1JdLFBo","properties":{"formattedCitation":"[87]","plainCitation":"[87]","noteIndex":0},"citationItems":[{"id":"tkNNqo55/1srDTzxh","uris":["http://zotero.org/users/local/h0XMDZCs/items/K33YTAIG"],"itemData":{"id":28,"type":"article-journal","abstract":"Targeted genome editing technology has been widely used in biomedical studies. The CRISPR-associated RNA-guided endonuclease Cas9 has become a versatile genome editing tool. The CRISPR/Cas9 system is useful for studying gene function through efficient knock-out, knock-in or chromatin modification of the targeted gene loci in various cell types and organisms. It can be applied in a number of fields, such as genetic breeding, disease treatment and gene functional investigation. In this review, we introduce the most recent developments and applications, the challenges, and future directions of Cas9 in generating disease animal model. Derived from the CRISPR adaptive immune system of bacteria, the development trend of Cas9 will inevitably fuel the vital applications from basic research to biotechnology and bio-medicine.","container-title":"Dong Wu Xue Yan Jiu = Zoological Research","DOI":"10.13918/j.issn.2095-8137.2016.4.191","ISSN":"2095-8137","issue":"4","journalAbbreviation":"Dongwuxue Yanjiu","language":"eng","note":"PMID: 27469250\nPMCID: PMC4980067","page":"191-204","source":"PubMed","title":"The big bang of genome editing technology: development and application of the CRISPR/Cas9 system in disease animal models","title-short":"The big bang of genome editing technology","volume":"37","author":[{"family":"Shao","given":"Ming"},{"family":"Xu","given":"Tian-Rui"},{"family":"Chen","given":"Ce-Shi"}],"issued":{"date-parts":[["2016",7,18]]}}}],"schema":"https://github.com/citation-style-language/schema/raw/master/csl-citation.json"} </w:instrText>
      </w:r>
      <w:r w:rsidRPr="00AF0477">
        <w:rPr>
          <w:color w:val="000000" w:themeColor="text1"/>
        </w:rPr>
        <w:fldChar w:fldCharType="separate"/>
      </w:r>
      <w:r w:rsidRPr="00AF0477">
        <w:rPr>
          <w:color w:val="000000" w:themeColor="text1"/>
        </w:rPr>
        <w:t>[87]</w:t>
      </w:r>
      <w:r w:rsidRPr="00AF0477">
        <w:rPr>
          <w:color w:val="000000" w:themeColor="text1"/>
        </w:rPr>
        <w:fldChar w:fldCharType="end"/>
      </w:r>
      <w:r w:rsidRPr="00AF0477">
        <w:rPr>
          <w:color w:val="000000" w:themeColor="text1"/>
          <w:lang w:val="en-IN"/>
        </w:rPr>
        <w:t>.</w:t>
      </w:r>
    </w:p>
    <w:p w:rsidR="0083004B" w:rsidRPr="00AF0477" w:rsidRDefault="0083004B" w:rsidP="0083004B">
      <w:pPr>
        <w:ind w:firstLine="720"/>
        <w:jc w:val="both"/>
        <w:rPr>
          <w:color w:val="000000" w:themeColor="text1"/>
          <w:lang w:val="en-IN"/>
        </w:rPr>
      </w:pPr>
    </w:p>
    <w:p w:rsidR="0083004B" w:rsidRPr="00D04654" w:rsidRDefault="0083004B" w:rsidP="0083004B">
      <w:pPr>
        <w:jc w:val="both"/>
        <w:rPr>
          <w:color w:val="000000" w:themeColor="text1"/>
          <w:lang w:val="en-IN"/>
        </w:rPr>
      </w:pPr>
      <w:r w:rsidRPr="00AF0477">
        <w:rPr>
          <w:color w:val="000000" w:themeColor="text1"/>
          <w:lang w:val="en-IN"/>
        </w:rPr>
        <w:t xml:space="preserve">2. </w:t>
      </w:r>
      <w:r w:rsidRPr="00BA206A">
        <w:rPr>
          <w:b/>
          <w:bCs/>
          <w:color w:val="000000" w:themeColor="text1"/>
          <w:lang w:val="en-IN"/>
        </w:rPr>
        <w:t>Cleavage</w:t>
      </w:r>
      <w:r w:rsidRPr="00BA206A">
        <w:rPr>
          <w:color w:val="000000" w:themeColor="text1"/>
          <w:lang w:val="en-IN"/>
        </w:rPr>
        <w:t>:</w:t>
      </w:r>
      <w:r w:rsidRPr="00AF0477">
        <w:rPr>
          <w:color w:val="000000" w:themeColor="text1"/>
          <w:lang w:val="en-IN"/>
        </w:rPr>
        <w:t xml:space="preserve"> -</w:t>
      </w:r>
      <w:r w:rsidRPr="00D04654">
        <w:rPr>
          <w:color w:val="000000" w:themeColor="text1"/>
          <w:lang w:val="en-IN"/>
        </w:rPr>
        <w:t xml:space="preserve">The Cas-9 nuclease acts three base pairs upstream of PAM to generate double-strand breaks, or DSBs. Just three to five base pairs long, the PAM sequence is a conserved DNA segment that is situated downstream of the cut position. The PAM sequence at 5ʹ-NGG-3ʹ can be recognized by the Cas-9 enzyme. Cas-9 locates the target spot using the proper PAM, then initiates local DNA melting that results in the creation of an RNA-DNA hybrid. The Cas-9 protein is then made ready to cleave DNA. Target DNA's complimentary strand is cut by the HNH domain, while its non-complementary strand is cut by the </w:t>
      </w:r>
      <w:proofErr w:type="spellStart"/>
      <w:r w:rsidRPr="00D04654">
        <w:rPr>
          <w:color w:val="000000" w:themeColor="text1"/>
          <w:lang w:val="en-IN"/>
        </w:rPr>
        <w:t>RuvC</w:t>
      </w:r>
      <w:proofErr w:type="spellEnd"/>
      <w:r w:rsidRPr="00D04654">
        <w:rPr>
          <w:color w:val="000000" w:themeColor="text1"/>
          <w:lang w:val="en-IN"/>
        </w:rPr>
        <w:t xml:space="preserve"> domain, resulting in DSBs that are primarily blunt-ended. </w:t>
      </w:r>
    </w:p>
    <w:p w:rsidR="0083004B" w:rsidRPr="00AF0477" w:rsidRDefault="0083004B" w:rsidP="0083004B">
      <w:pPr>
        <w:ind w:firstLine="720"/>
        <w:jc w:val="both"/>
        <w:rPr>
          <w:color w:val="000000" w:themeColor="text1"/>
          <w:lang w:val="en-IN"/>
        </w:rPr>
      </w:pPr>
      <w:r w:rsidRPr="00AF0477">
        <w:rPr>
          <w:color w:val="000000" w:themeColor="text1"/>
          <w:lang w:val="en-IN"/>
        </w:rPr>
        <w:t xml:space="preserve"> </w:t>
      </w:r>
    </w:p>
    <w:p w:rsidR="0083004B" w:rsidRPr="00BA1F3F" w:rsidRDefault="0083004B" w:rsidP="0083004B">
      <w:pPr>
        <w:jc w:val="both"/>
        <w:rPr>
          <w:color w:val="000000" w:themeColor="text1"/>
          <w:lang w:val="en-IN"/>
        </w:rPr>
      </w:pPr>
      <w:r w:rsidRPr="00AF0477">
        <w:rPr>
          <w:color w:val="000000" w:themeColor="text1"/>
          <w:lang w:val="en-IN"/>
        </w:rPr>
        <w:t xml:space="preserve">3. </w:t>
      </w:r>
      <w:r w:rsidRPr="00BA206A">
        <w:rPr>
          <w:b/>
          <w:bCs/>
          <w:color w:val="000000" w:themeColor="text1"/>
          <w:lang w:val="en-IN"/>
        </w:rPr>
        <w:t>Repair</w:t>
      </w:r>
      <w:r w:rsidRPr="00BA206A">
        <w:rPr>
          <w:color w:val="000000" w:themeColor="text1"/>
          <w:lang w:val="en-IN"/>
        </w:rPr>
        <w:t>:</w:t>
      </w:r>
      <w:r>
        <w:rPr>
          <w:color w:val="000000" w:themeColor="text1"/>
          <w:lang w:val="en-IN"/>
        </w:rPr>
        <w:softHyphen/>
        <w:t>-</w:t>
      </w:r>
      <w:r w:rsidRPr="00AF0477">
        <w:rPr>
          <w:color w:val="000000" w:themeColor="text1"/>
          <w:lang w:val="en-IN"/>
        </w:rPr>
        <w:t xml:space="preserve"> </w:t>
      </w:r>
      <w:r w:rsidRPr="00BA1F3F">
        <w:rPr>
          <w:color w:val="000000" w:themeColor="text1"/>
          <w:lang w:val="en-IN"/>
        </w:rPr>
        <w:t>The two main pathways that double-stranded break repair mechanisms often take are homology-directed repair (HDR) and non-homologous end joining (NHEJ).</w:t>
      </w:r>
    </w:p>
    <w:p w:rsidR="0083004B" w:rsidRPr="00AF0477" w:rsidRDefault="0083004B" w:rsidP="0083004B">
      <w:pPr>
        <w:jc w:val="both"/>
        <w:rPr>
          <w:color w:val="000000" w:themeColor="text1"/>
          <w:lang w:val="en-IN"/>
        </w:rPr>
      </w:pPr>
    </w:p>
    <w:p w:rsidR="0083004B" w:rsidRPr="00AF0477" w:rsidRDefault="0083004B" w:rsidP="0083004B">
      <w:pPr>
        <w:jc w:val="both"/>
        <w:rPr>
          <w:color w:val="000000" w:themeColor="text1"/>
          <w:lang w:val="en-IN"/>
        </w:rPr>
      </w:pPr>
      <w:r>
        <w:rPr>
          <w:sz w:val="24"/>
          <w:szCs w:val="24"/>
          <w:lang w:val="en-IN" w:eastAsia="en-IN"/>
        </w:rPr>
        <w:t xml:space="preserve">            W</w:t>
      </w:r>
      <w:r w:rsidRPr="00BA1F3F">
        <w:rPr>
          <w:color w:val="000000" w:themeColor="text1"/>
          <w:lang w:val="en-IN"/>
        </w:rPr>
        <w:t>hen external homologous DNA is not available, NHEJ uses enzymes to join DNA fragments together to fix double-strand breaks (DSBs). Throughout the whole cell cycle, NHEJ is active. Although it is prone to errors and can result in premature stop codons or frameshift mutations because of minor random insertions or deletions (indels) at the cleavage site, it is the primary and most efficient cellular repair process that is currently functioning in cells. However, HDR necessitates the use of a homologous DNA template and is extremely accurate. It has been discovered that it is particularly active during the G2 and late synthesis stages of the cell cycle. By inserting a donor DNA template at the anticipated DSB site that has sequence homology, HDR carries out the precise gene insertion or replacement</w:t>
      </w:r>
      <w:r w:rsidRPr="00AF0477">
        <w:rPr>
          <w:color w:val="000000" w:themeColor="text1"/>
          <w:lang w:val="en-IN"/>
        </w:rPr>
        <w:t xml:space="preserve"> </w:t>
      </w:r>
      <w:r w:rsidRPr="00AF0477">
        <w:rPr>
          <w:color w:val="000000" w:themeColor="text1"/>
        </w:rPr>
        <w:fldChar w:fldCharType="begin"/>
      </w:r>
      <w:r w:rsidRPr="00AF0477">
        <w:rPr>
          <w:color w:val="000000" w:themeColor="text1"/>
        </w:rPr>
        <w:instrText xml:space="preserve"> ADDIN ZOTERO_ITEM CSL_CITATION {"citationID":"PA8j1O6j","properties":{"formattedCitation":"[90], [91]","plainCitation":"[90], [91]","noteIndex":0},"citationItems":[{"id":"tkNNqo55/g9iVBaA0","uris":["http://zotero.org/users/local/h0XMDZCs/items/M9FCF5AX"],"itemData":{"id":33,"type":"article-journal","container-title":"Frontiers in Genetics","DOI":"10.3389/fgene.2018.00691","ISSN":"1664-8021","journalAbbreviation":"Front. Genet.","page":"691","source":"DOI.org (Crossref)","title":"Methodologies for Improving HDR Efficiency","volume":"9","author":[{"family":"Liu","given":"Mingjie"},{"family":"Rehman","given":"Saad"},{"family":"Tang","given":"Xidian"},{"family":"Gu","given":"Kui"},{"family":"Fan","given":"Qinlei"},{"family":"Chen","given":"Dekun"},{"family":"Ma","given":"Wentao"}],"issued":{"date-parts":[["2019",1,7]]}}},{"id":"tkNNqo55/cvNO9wZV","uris":["http://zotero.org/users/local/h0XMDZCs/items/R2V44BB5"],"itemData":{"id":35,"type":"article-journal","abstract":"Precise gene editing is—or will soon be—in clinical use for several diseases, and more applications are under development. The programmable nuclease Cas9, directed by a single-guide RNA (sgRNA), can introduce double-strand breaks (DSBs) in target sites of genomic DNA, which constitutes the initial step of gene editing using this novel technology. In mammals, two pathways dominate the repair of the DSBs—nonhomologous end joining (NHEJ) and homology-directed repair (HDR)—and the outcome of gene editing mainly depends on the choice between these two repair pathways. Although HDR is attractive for its high fidelity, the choice of repair pathway is biased in a biological context. Mammalian cells preferentially employ NHEJ over HDR through several mechanisms: NHEJ is active throughout the cell cycle, whereas HDR is restricted to S/G2 phases; NHEJ is faster than HDR; and NHEJ suppresses the HDR process. This suggests that definitive control of outcome of the programmed DNA lesioning could be achieved through manipulating the choice of cellular repair pathway. In this review, we summarize the DSB repair pathways, the mechanisms involved in choice selection based on DNA resection, and make progress in the research investigating strategies that favor Cas9-mediated HDR based on the manipulation of repair pathway choice to increase the frequency of HDR in mammalian cells. The remaining problems in improving HDR efficiency are also discussed. This review should facilitate the development of CRISPR/Cas9 technology to achieve more precise gene editing.","container-title":"International Journal of Molecular Sciences","DOI":"10.3390/ijms21186461","ISSN":"1422-0067","issue":"18","journalAbbreviation":"IJMS","language":"en","license":"https://creativecommons.org/licenses/by/4.0/","page":"6461","source":"DOI.org (Crossref)","title":"Methods Favoring Homology-Directed Repair Choice in Response to CRISPR/Cas9 Induced-Double Strand Breaks","volume":"21","author":[{"family":"Yang","given":"Han"},{"family":"Ren","given":"Shuling"},{"family":"Yu","given":"Siyuan"},{"family":"Pan","given":"Haifeng"},{"family":"Li","given":"Tingdong"},{"family":"Ge","given":"Shengxiang"},{"family":"Zhang","given":"Jun"},{"family":"Xia","given":"Ningshao"}],"issued":{"date-parts":[["2020",9,4]]}}}],"schema":"https://github.com/citation-style-language/schema/raw/master/csl-citation.json"} </w:instrText>
      </w:r>
      <w:r w:rsidRPr="00AF0477">
        <w:rPr>
          <w:color w:val="000000" w:themeColor="text1"/>
        </w:rPr>
        <w:fldChar w:fldCharType="separate"/>
      </w:r>
      <w:r w:rsidRPr="00AF0477">
        <w:rPr>
          <w:color w:val="000000" w:themeColor="text1"/>
        </w:rPr>
        <w:t>[90], [91]</w:t>
      </w:r>
      <w:r w:rsidRPr="00AF0477">
        <w:rPr>
          <w:color w:val="000000" w:themeColor="text1"/>
        </w:rPr>
        <w:fldChar w:fldCharType="end"/>
      </w:r>
      <w:r w:rsidRPr="00AF0477">
        <w:rPr>
          <w:color w:val="000000" w:themeColor="text1"/>
          <w:lang w:val="en-IN"/>
        </w:rPr>
        <w:t>.</w:t>
      </w:r>
    </w:p>
    <w:p w:rsidR="0083004B" w:rsidRPr="00AF0477" w:rsidRDefault="0083004B" w:rsidP="0083004B">
      <w:pPr>
        <w:ind w:firstLine="720"/>
        <w:jc w:val="both"/>
        <w:rPr>
          <w:color w:val="000000" w:themeColor="text1"/>
          <w:lang w:val="en-IN"/>
        </w:rPr>
      </w:pPr>
    </w:p>
    <w:p w:rsidR="0083004B" w:rsidRPr="007345A2" w:rsidRDefault="0083004B" w:rsidP="0083004B">
      <w:pPr>
        <w:pStyle w:val="ListParagraph"/>
        <w:numPr>
          <w:ilvl w:val="0"/>
          <w:numId w:val="31"/>
        </w:numPr>
        <w:ind w:left="360"/>
        <w:jc w:val="both"/>
        <w:rPr>
          <w:b/>
          <w:bCs/>
          <w:color w:val="000000" w:themeColor="text1"/>
          <w:lang w:val="en-IN"/>
        </w:rPr>
      </w:pPr>
      <w:r w:rsidRPr="00AF0477">
        <w:rPr>
          <w:b/>
          <w:bCs/>
          <w:color w:val="000000" w:themeColor="text1"/>
          <w:lang w:val="en-IN"/>
        </w:rPr>
        <w:t>Applications of CRISPR Cas in Arid Agriculture</w:t>
      </w:r>
    </w:p>
    <w:p w:rsidR="0083004B" w:rsidRDefault="0083004B" w:rsidP="0083004B">
      <w:pPr>
        <w:numPr>
          <w:ilvl w:val="0"/>
          <w:numId w:val="21"/>
        </w:numPr>
        <w:ind w:left="360"/>
        <w:jc w:val="both"/>
        <w:rPr>
          <w:color w:val="000000" w:themeColor="text1"/>
          <w:lang w:val="en-IN"/>
        </w:rPr>
      </w:pPr>
      <w:r w:rsidRPr="00AF0477">
        <w:rPr>
          <w:b/>
          <w:bCs/>
          <w:color w:val="000000" w:themeColor="text1"/>
          <w:lang w:val="en-IN"/>
        </w:rPr>
        <w:t>Gene Editing for Drought Resistance</w:t>
      </w:r>
      <w:r w:rsidRPr="00AF0477">
        <w:rPr>
          <w:color w:val="000000" w:themeColor="text1"/>
          <w:lang w:val="en-IN"/>
        </w:rPr>
        <w:t>: By targeting genes involved in water use efficiency and root growth, certain crops that maintain productivity with less water can be developed.</w:t>
      </w:r>
    </w:p>
    <w:p w:rsidR="0083004B" w:rsidRPr="00AF0477" w:rsidRDefault="0083004B" w:rsidP="0083004B">
      <w:pPr>
        <w:ind w:left="360"/>
        <w:jc w:val="both"/>
        <w:rPr>
          <w:color w:val="000000" w:themeColor="text1"/>
          <w:lang w:val="en-IN"/>
        </w:rPr>
      </w:pPr>
    </w:p>
    <w:p w:rsidR="0083004B" w:rsidRDefault="0083004B" w:rsidP="0083004B">
      <w:pPr>
        <w:numPr>
          <w:ilvl w:val="0"/>
          <w:numId w:val="21"/>
        </w:numPr>
        <w:ind w:left="360"/>
        <w:jc w:val="both"/>
        <w:rPr>
          <w:color w:val="000000" w:themeColor="text1"/>
          <w:lang w:val="en-IN"/>
        </w:rPr>
      </w:pPr>
      <w:r w:rsidRPr="00AF0477">
        <w:rPr>
          <w:b/>
          <w:bCs/>
          <w:color w:val="000000" w:themeColor="text1"/>
          <w:lang w:val="en-IN"/>
        </w:rPr>
        <w:t>ABA Pathway Modification</w:t>
      </w:r>
      <w:r w:rsidRPr="00AF0477">
        <w:rPr>
          <w:color w:val="000000" w:themeColor="text1"/>
          <w:lang w:val="en-IN"/>
        </w:rPr>
        <w:t>: Abscisic acid (ABA) is a plant hormone that plays a crucial role in drought response. CRISPR can modify ABA-related genes to enhance drought resistance.</w:t>
      </w:r>
    </w:p>
    <w:p w:rsidR="0083004B" w:rsidRPr="00AF0477" w:rsidRDefault="0083004B" w:rsidP="0083004B">
      <w:pPr>
        <w:jc w:val="both"/>
        <w:rPr>
          <w:color w:val="000000" w:themeColor="text1"/>
          <w:lang w:val="en-IN"/>
        </w:rPr>
      </w:pPr>
    </w:p>
    <w:p w:rsidR="0083004B" w:rsidRDefault="0083004B" w:rsidP="0083004B">
      <w:pPr>
        <w:numPr>
          <w:ilvl w:val="0"/>
          <w:numId w:val="21"/>
        </w:numPr>
        <w:ind w:left="360"/>
        <w:jc w:val="both"/>
        <w:rPr>
          <w:color w:val="000000" w:themeColor="text1"/>
          <w:lang w:val="en-IN"/>
        </w:rPr>
      </w:pPr>
      <w:r w:rsidRPr="00AF0477">
        <w:rPr>
          <w:b/>
          <w:bCs/>
          <w:color w:val="000000" w:themeColor="text1"/>
          <w:lang w:val="en-IN"/>
        </w:rPr>
        <w:t>Heat Stress Resistance</w:t>
      </w:r>
      <w:r w:rsidRPr="00AF0477">
        <w:rPr>
          <w:color w:val="000000" w:themeColor="text1"/>
          <w:lang w:val="en-IN"/>
        </w:rPr>
        <w:t xml:space="preserve">: By editing genes that help plants manage heat shock proteins, </w:t>
      </w:r>
      <w:r>
        <w:rPr>
          <w:color w:val="000000" w:themeColor="text1"/>
          <w:lang w:val="en-IN"/>
        </w:rPr>
        <w:t xml:space="preserve">the </w:t>
      </w:r>
      <w:r w:rsidRPr="00AF0477">
        <w:rPr>
          <w:color w:val="000000" w:themeColor="text1"/>
          <w:lang w:val="en-IN"/>
        </w:rPr>
        <w:t xml:space="preserve">ability of crops to survive and produce yields under high temperatures </w:t>
      </w:r>
      <w:r>
        <w:rPr>
          <w:color w:val="000000" w:themeColor="text1"/>
          <w:lang w:val="en-IN"/>
        </w:rPr>
        <w:t>c</w:t>
      </w:r>
      <w:r w:rsidRPr="00AF0477">
        <w:rPr>
          <w:color w:val="000000" w:themeColor="text1"/>
          <w:lang w:val="en-IN"/>
        </w:rPr>
        <w:t xml:space="preserve">an be enhanced </w:t>
      </w:r>
      <w:r w:rsidRPr="00AF0477">
        <w:rPr>
          <w:color w:val="000000" w:themeColor="text1"/>
          <w:lang w:eastAsia="en-IN"/>
        </w:rPr>
        <w:fldChar w:fldCharType="begin"/>
      </w:r>
      <w:r w:rsidRPr="00AF0477">
        <w:rPr>
          <w:color w:val="000000" w:themeColor="text1"/>
          <w:lang w:eastAsia="en-IN"/>
        </w:rPr>
        <w:instrText xml:space="preserve"> ADDIN ZOTERO_ITEM CSL_CITATION {"citationID":"a63nSeYg","properties":{"formattedCitation":"[92]","plainCitation":"[92]","noteIndex":0},"citationItems":[{"id":"tkNNqo55/Tdq9qns6","uris":["http://zotero.org/users/local/h0XMDZCs/items/RSEU9JNX"],"itemData":{"id":10,"type":"article-journal","abstract":"Abiotic stresses, including drought, salinity, cold, heat, and heavy metals, extensively reducing global agricultural production. Traditional breeding approaches and transgenic technology have been widely used to mitigate the risks of these environmental stresses. The discovery of engineered nucleases as genetic scissors to carry out precise manipulation in crop stress-responsive genes and associated molecular network has paved the way for sustainable management of abiotic stress conditions. In this context, the clustered regularly interspaced short palindromic repeat-Cas (CRISPR/Cas)-based gene-editing tool has revolutionized due to its simplicity, accessibility, adaptability, flexibility, and wide applicability. This system has great potential to build up crop varieties with enhanced tolerance against abiotic stresses. In this review, we summarize the latest findings on understanding the mechanism of abiotic stress response in plants and the application of CRISPR/Cas-mediated gene-editing system towards enhanced tolerance to a multitude of stresses including drought, salinity, cold, heat, and heavy metals. We provide mechanistic insights on the CRISPR/Cas9-based genome editing technology. We also discuss applications of evolving genome editing techniques such as prime editing and base editing, mutant library production, transgene free and multiplexing to rapidly deliver modern crop cultivars adapted to abiotic stress conditions.","container-title":"Frontiers in Plant Science","DOI":"10.3389/fpls.2023.1157678","ISSN":"1664-462X","journalAbbreviation":"Front Plant Sci","note":"PMID: 37143874\nPMCID: PMC10153630","page":"1157678","source":"PubMed Central","title":"Application of CRISPR/Cas9-mediated gene editing for abiotic stress management in crop plants","volume":"14","author":[{"family":"Kumar","given":"Manoj"},{"family":"Prusty","given":"Manas Ranjan"},{"family":"Pandey","given":"Manish K."},{"family":"Singh","given":"Prashant Kumar"},{"family":"Bohra","given":"Abhishek"},{"family":"Guo","given":"Baozhu"},{"family":"Varshney","given":"Rajeev K."}],"issued":{"date-parts":[["2023",4,18]]}}}],"schema":"https://github.com/citation-style-language/schema/raw/master/csl-citation.json"} </w:instrText>
      </w:r>
      <w:r w:rsidRPr="00AF0477">
        <w:rPr>
          <w:color w:val="000000" w:themeColor="text1"/>
          <w:lang w:eastAsia="en-IN"/>
        </w:rPr>
        <w:fldChar w:fldCharType="separate"/>
      </w:r>
      <w:r w:rsidRPr="00AF0477">
        <w:rPr>
          <w:color w:val="000000" w:themeColor="text1"/>
        </w:rPr>
        <w:t>[92]</w:t>
      </w:r>
      <w:r w:rsidRPr="00AF0477">
        <w:rPr>
          <w:color w:val="000000" w:themeColor="text1"/>
          <w:lang w:eastAsia="en-IN"/>
        </w:rPr>
        <w:fldChar w:fldCharType="end"/>
      </w:r>
      <w:r w:rsidRPr="00AF0477">
        <w:rPr>
          <w:color w:val="000000" w:themeColor="text1"/>
          <w:lang w:val="en-IN"/>
        </w:rPr>
        <w:t>.</w:t>
      </w:r>
    </w:p>
    <w:p w:rsidR="0083004B" w:rsidRPr="00AF0477" w:rsidRDefault="0083004B" w:rsidP="0083004B">
      <w:pPr>
        <w:ind w:left="360"/>
        <w:jc w:val="both"/>
        <w:rPr>
          <w:color w:val="000000" w:themeColor="text1"/>
          <w:lang w:val="en-IN"/>
        </w:rPr>
      </w:pPr>
    </w:p>
    <w:p w:rsidR="0083004B" w:rsidRDefault="0083004B" w:rsidP="0083004B">
      <w:pPr>
        <w:numPr>
          <w:ilvl w:val="0"/>
          <w:numId w:val="21"/>
        </w:numPr>
        <w:ind w:left="360"/>
        <w:jc w:val="both"/>
        <w:rPr>
          <w:color w:val="000000" w:themeColor="text1"/>
          <w:lang w:val="en-IN"/>
        </w:rPr>
      </w:pPr>
      <w:r w:rsidRPr="00AF0477">
        <w:rPr>
          <w:b/>
          <w:bCs/>
          <w:color w:val="000000" w:themeColor="text1"/>
          <w:lang w:val="en-IN"/>
        </w:rPr>
        <w:t>Salt Tolerance Genes</w:t>
      </w:r>
      <w:r w:rsidRPr="00AF0477">
        <w:rPr>
          <w:color w:val="000000" w:themeColor="text1"/>
          <w:lang w:val="en-IN"/>
        </w:rPr>
        <w:t xml:space="preserve">: In arid regions, soil salinity can be a significant problem. CRISPR-Cas can be used to develop crops that are more tolerant to high salt levels by editing genes responsible for salt stress responses. Modifying genes involved in ion transport and sequestration can help plants manage high-salinity environments better </w:t>
      </w:r>
      <w:r w:rsidRPr="00AF0477">
        <w:rPr>
          <w:color w:val="000000" w:themeColor="text1"/>
          <w:lang w:eastAsia="en-IN"/>
        </w:rPr>
        <w:fldChar w:fldCharType="begin"/>
      </w:r>
      <w:r w:rsidRPr="00AF0477">
        <w:rPr>
          <w:color w:val="000000" w:themeColor="text1"/>
          <w:lang w:eastAsia="en-IN"/>
        </w:rPr>
        <w:instrText xml:space="preserve"> ADDIN ZOTERO_ITEM CSL_CITATION {"citationID":"lI10Buku","properties":{"formattedCitation":"[92]","plainCitation":"[92]","noteIndex":0},"citationItems":[{"id":"tkNNqo55/Tdq9qns6","uris":["http://zotero.org/users/local/h0XMDZCs/items/RSEU9JNX"],"itemData":{"id":10,"type":"article-journal","abstract":"Abiotic stresses, including drought, salinity, cold, heat, and heavy metals, extensively reducing global agricultural production. Traditional breeding approaches and transgenic technology have been widely used to mitigate the risks of these environmental stresses. The discovery of engineered nucleases as genetic scissors to carry out precise manipulation in crop stress-responsive genes and associated molecular network has paved the way for sustainable management of abiotic stress conditions. In this context, the clustered regularly interspaced short palindromic repeat-Cas (CRISPR/Cas)-based gene-editing tool has revolutionized due to its simplicity, accessibility, adaptability, flexibility, and wide applicability. This system has great potential to build up crop varieties with enhanced tolerance against abiotic stresses. In this review, we summarize the latest findings on understanding the mechanism of abiotic stress response in plants and the application of CRISPR/Cas-mediated gene-editing system towards enhanced tolerance to a multitude of stresses including drought, salinity, cold, heat, and heavy metals. We provide mechanistic insights on the CRISPR/Cas9-based genome editing technology. We also discuss applications of evolving genome editing techniques such as prime editing and base editing, mutant library production, transgene free and multiplexing to rapidly deliver modern crop cultivars adapted to abiotic stress conditions.","container-title":"Frontiers in Plant Science","DOI":"10.3389/fpls.2023.1157678","ISSN":"1664-462X","journalAbbreviation":"Front Plant Sci","note":"PMID: 37143874\nPMCID: PMC10153630","page":"1157678","source":"PubMed Central","title":"Application of CRISPR/Cas9-mediated gene editing for abiotic stress management in crop plants","volume":"14","author":[{"family":"Kumar","given":"Manoj"},{"family":"Prusty","given":"Manas Ranjan"},{"family":"Pandey","given":"Manish K."},{"family":"Singh","given":"Prashant Kumar"},{"family":"Bohra","given":"Abhishek"},{"family":"Guo","given":"Baozhu"},{"family":"Varshney","given":"Rajeev K."}],"issued":{"date-parts":[["2023",4,18]]}}}],"schema":"https://github.com/citation-style-language/schema/raw/master/csl-citation.json"} </w:instrText>
      </w:r>
      <w:r w:rsidRPr="00AF0477">
        <w:rPr>
          <w:color w:val="000000" w:themeColor="text1"/>
          <w:lang w:eastAsia="en-IN"/>
        </w:rPr>
        <w:fldChar w:fldCharType="separate"/>
      </w:r>
      <w:r w:rsidRPr="00AF0477">
        <w:rPr>
          <w:color w:val="000000" w:themeColor="text1"/>
        </w:rPr>
        <w:t>[92]</w:t>
      </w:r>
      <w:r w:rsidRPr="00AF0477">
        <w:rPr>
          <w:color w:val="000000" w:themeColor="text1"/>
          <w:lang w:eastAsia="en-IN"/>
        </w:rPr>
        <w:fldChar w:fldCharType="end"/>
      </w:r>
      <w:r w:rsidRPr="00AF0477">
        <w:rPr>
          <w:color w:val="000000" w:themeColor="text1"/>
          <w:lang w:val="en-IN"/>
        </w:rPr>
        <w:t>.</w:t>
      </w:r>
    </w:p>
    <w:p w:rsidR="0083004B" w:rsidRPr="00AF0477" w:rsidRDefault="0083004B" w:rsidP="0083004B">
      <w:pPr>
        <w:ind w:left="360"/>
        <w:jc w:val="both"/>
        <w:rPr>
          <w:color w:val="000000" w:themeColor="text1"/>
          <w:lang w:val="en-IN"/>
        </w:rPr>
      </w:pPr>
    </w:p>
    <w:p w:rsidR="0083004B" w:rsidRDefault="0083004B" w:rsidP="0083004B">
      <w:pPr>
        <w:numPr>
          <w:ilvl w:val="0"/>
          <w:numId w:val="21"/>
        </w:numPr>
        <w:ind w:left="360"/>
        <w:jc w:val="both"/>
        <w:rPr>
          <w:color w:val="000000" w:themeColor="text1"/>
          <w:lang w:val="en-IN"/>
        </w:rPr>
      </w:pPr>
      <w:r w:rsidRPr="00AF0477">
        <w:rPr>
          <w:b/>
          <w:bCs/>
          <w:color w:val="000000" w:themeColor="text1"/>
          <w:lang w:val="en-IN"/>
        </w:rPr>
        <w:t>Biotic Stress Resistance</w:t>
      </w:r>
      <w:r w:rsidRPr="00AF0477">
        <w:rPr>
          <w:color w:val="000000" w:themeColor="text1"/>
          <w:lang w:val="en-IN"/>
        </w:rPr>
        <w:t xml:space="preserve">: Arid environments make crop plants more susceptible to pests and diseases. By targeting and editing genes involved in the plant's immune response crop losses due to such causes can be reduced </w:t>
      </w:r>
      <w:r w:rsidRPr="00AF0477">
        <w:rPr>
          <w:color w:val="000000" w:themeColor="text1"/>
          <w:lang w:eastAsia="en-IN"/>
        </w:rPr>
        <w:fldChar w:fldCharType="begin"/>
      </w:r>
      <w:r w:rsidRPr="00AF0477">
        <w:rPr>
          <w:color w:val="000000" w:themeColor="text1"/>
          <w:lang w:eastAsia="en-IN"/>
        </w:rPr>
        <w:instrText xml:space="preserve"> ADDIN ZOTERO_ITEM CSL_CITATION {"citationID":"J24k8wJ9","properties":{"formattedCitation":"[92]","plainCitation":"[92]","noteIndex":0},"citationItems":[{"id":"tkNNqo55/Tdq9qns6","uris":["http://zotero.org/users/local/h0XMDZCs/items/RSEU9JNX"],"itemData":{"id":10,"type":"article-journal","abstract":"Abiotic stresses, including drought, salinity, cold, heat, and heavy metals, extensively reducing global agricultural production. Traditional breeding approaches and transgenic technology have been widely used to mitigate the risks of these environmental stresses. The discovery of engineered nucleases as genetic scissors to carry out precise manipulation in crop stress-responsive genes and associated molecular network has paved the way for sustainable management of abiotic stress conditions. In this context, the clustered regularly interspaced short palindromic repeat-Cas (CRISPR/Cas)-based gene-editing tool has revolutionized due to its simplicity, accessibility, adaptability, flexibility, and wide applicability. This system has great potential to build up crop varieties with enhanced tolerance against abiotic stresses. In this review, we summarize the latest findings on understanding the mechanism of abiotic stress response in plants and the application of CRISPR/Cas-mediated gene-editing system towards enhanced tolerance to a multitude of stresses including drought, salinity, cold, heat, and heavy metals. We provide mechanistic insights on the CRISPR/Cas9-based genome editing technology. We also discuss applications of evolving genome editing techniques such as prime editing and base editing, mutant library production, transgene free and multiplexing to rapidly deliver modern crop cultivars adapted to abiotic stress conditions.","container-title":"Frontiers in Plant Science","DOI":"10.3389/fpls.2023.1157678","ISSN":"1664-462X","journalAbbreviation":"Front Plant Sci","note":"PMID: 37143874\nPMCID: PMC10153630","page":"1157678","source":"PubMed Central","title":"Application of CRISPR/Cas9-mediated gene editing for abiotic stress management in crop plants","volume":"14","author":[{"family":"Kumar","given":"Manoj"},{"family":"Prusty","given":"Manas Ranjan"},{"family":"Pandey","given":"Manish K."},{"family":"Singh","given":"Prashant Kumar"},{"family":"Bohra","given":"Abhishek"},{"family":"Guo","given":"Baozhu"},{"family":"Varshney","given":"Rajeev K."}],"issued":{"date-parts":[["2023",4,18]]}}}],"schema":"https://github.com/citation-style-language/schema/raw/master/csl-citation.json"} </w:instrText>
      </w:r>
      <w:r w:rsidRPr="00AF0477">
        <w:rPr>
          <w:color w:val="000000" w:themeColor="text1"/>
          <w:lang w:eastAsia="en-IN"/>
        </w:rPr>
        <w:fldChar w:fldCharType="separate"/>
      </w:r>
      <w:r w:rsidRPr="00AF0477">
        <w:rPr>
          <w:color w:val="000000" w:themeColor="text1"/>
        </w:rPr>
        <w:t>[92]</w:t>
      </w:r>
      <w:r w:rsidRPr="00AF0477">
        <w:rPr>
          <w:color w:val="000000" w:themeColor="text1"/>
          <w:lang w:eastAsia="en-IN"/>
        </w:rPr>
        <w:fldChar w:fldCharType="end"/>
      </w:r>
      <w:r w:rsidRPr="00AF0477">
        <w:rPr>
          <w:color w:val="000000" w:themeColor="text1"/>
          <w:lang w:val="en-IN"/>
        </w:rPr>
        <w:t>.</w:t>
      </w:r>
    </w:p>
    <w:p w:rsidR="0083004B" w:rsidRPr="00AF0477" w:rsidRDefault="0083004B" w:rsidP="0083004B">
      <w:pPr>
        <w:ind w:left="360"/>
        <w:jc w:val="both"/>
        <w:rPr>
          <w:color w:val="000000" w:themeColor="text1"/>
          <w:lang w:val="en-IN"/>
        </w:rPr>
      </w:pPr>
    </w:p>
    <w:p w:rsidR="0083004B" w:rsidRPr="00AF0477" w:rsidRDefault="0083004B" w:rsidP="0083004B">
      <w:pPr>
        <w:numPr>
          <w:ilvl w:val="0"/>
          <w:numId w:val="21"/>
        </w:numPr>
        <w:ind w:left="360"/>
        <w:jc w:val="both"/>
        <w:rPr>
          <w:color w:val="000000" w:themeColor="text1"/>
          <w:lang w:val="en-IN"/>
        </w:rPr>
      </w:pPr>
      <w:r w:rsidRPr="00AF0477">
        <w:rPr>
          <w:b/>
          <w:bCs/>
          <w:color w:val="000000" w:themeColor="text1"/>
          <w:lang w:val="en-IN"/>
        </w:rPr>
        <w:t>Nitrogen and Phosphorus Use Efficiency</w:t>
      </w:r>
      <w:r w:rsidRPr="00AF0477">
        <w:rPr>
          <w:color w:val="000000" w:themeColor="text1"/>
          <w:lang w:val="en-IN"/>
        </w:rPr>
        <w:t>: Since soil nutrient levels are low in arid lands CRISPR-Cas can improve nutrient uptake and use efficiency by targeting genes involved in nutrient transport and metabolism and also enhances the efficiency of symbiotic relationships between plants and nitrogen-fixing bacteria or mycorrhizal fungi can improve nutrient acquisition in poor soils.</w:t>
      </w:r>
    </w:p>
    <w:p w:rsidR="00524344" w:rsidRPr="00AF0477" w:rsidRDefault="00524344" w:rsidP="0041282C">
      <w:pPr>
        <w:jc w:val="both"/>
        <w:rPr>
          <w:color w:val="000000" w:themeColor="text1"/>
          <w:lang w:eastAsia="en-IN"/>
        </w:rPr>
      </w:pPr>
    </w:p>
    <w:p w:rsidR="004463CA" w:rsidRPr="00AF0477" w:rsidRDefault="004463CA" w:rsidP="004463CA">
      <w:pPr>
        <w:pStyle w:val="ListParagraph"/>
        <w:numPr>
          <w:ilvl w:val="0"/>
          <w:numId w:val="18"/>
        </w:numPr>
        <w:ind w:left="180" w:hanging="180"/>
        <w:rPr>
          <w:b/>
          <w:bCs/>
          <w:color w:val="000000" w:themeColor="text1"/>
        </w:rPr>
      </w:pPr>
      <w:r w:rsidRPr="00AF0477">
        <w:rPr>
          <w:b/>
          <w:bCs/>
          <w:color w:val="000000" w:themeColor="text1"/>
        </w:rPr>
        <w:t>CONCLUSION</w:t>
      </w:r>
      <w:r w:rsidR="00682084">
        <w:rPr>
          <w:b/>
          <w:bCs/>
          <w:color w:val="000000" w:themeColor="text1"/>
        </w:rPr>
        <w:t>S</w:t>
      </w:r>
    </w:p>
    <w:p w:rsidR="0041282C" w:rsidRPr="00AF0477" w:rsidRDefault="0041282C" w:rsidP="0041282C">
      <w:pPr>
        <w:jc w:val="both"/>
        <w:rPr>
          <w:color w:val="000000" w:themeColor="text1"/>
          <w:lang w:eastAsia="en-IN"/>
        </w:rPr>
      </w:pPr>
    </w:p>
    <w:p w:rsidR="009C0A80" w:rsidRPr="00AF0477" w:rsidRDefault="009C0A80" w:rsidP="009C0A80">
      <w:pPr>
        <w:tabs>
          <w:tab w:val="left" w:pos="2235"/>
          <w:tab w:val="center" w:pos="4514"/>
        </w:tabs>
        <w:ind w:right="29" w:firstLine="720"/>
        <w:jc w:val="both"/>
        <w:rPr>
          <w:rFonts w:eastAsia="MS Mincho"/>
          <w:color w:val="000000" w:themeColor="text1"/>
        </w:rPr>
      </w:pPr>
      <w:r w:rsidRPr="00AF0477">
        <w:rPr>
          <w:rFonts w:eastAsia="MS Mincho"/>
          <w:color w:val="000000" w:themeColor="text1"/>
        </w:rPr>
        <w:lastRenderedPageBreak/>
        <w:t>To address the challenges of the arid zone, sustainable resource management practices need to be implemented. One such practice is smart irrigation, which involves the use of advanced techniques such as high-tech soil moisture sensors, IoT, artificial intelligence, machine learning, drip irrigation and sprinklers to ensure efficient water use and minimize water loss through evaporation. This not only helps in conserving water but also prevents soil erosion caused by excessive irrigation. Effective weed management is another important aspect of sustainable resource management in the arid zone. Weeds compete with cultivated crops and natural vegetation for nutrients, water, sunlight and other resources leading to reduced crop productivity. Adopting integrated weed management strategies, which include the use of manual removal, cover cropping, crop rotation, allelopathy, bioherbicides, robotics, UAVs, genetic engineering and herbicides can help in controlling weed growth and protecting valuable resources. Balanced fertilization by using organic fertilizers, crop rotation, biofertilizers, crop residue management and foliar nutrition also improves soil fertility and productivity in the arid zone. These practices help replenish soil nutrients and prevent nutrient imbalances that can lead to crop failure.</w:t>
      </w:r>
    </w:p>
    <w:p w:rsidR="009C0A80" w:rsidRPr="00AF0477" w:rsidRDefault="009C0A80" w:rsidP="009C0A80">
      <w:pPr>
        <w:tabs>
          <w:tab w:val="left" w:pos="2235"/>
          <w:tab w:val="center" w:pos="4514"/>
        </w:tabs>
        <w:ind w:right="29" w:firstLine="720"/>
        <w:jc w:val="both"/>
        <w:rPr>
          <w:rFonts w:eastAsia="MS Mincho"/>
          <w:color w:val="000000" w:themeColor="text1"/>
        </w:rPr>
      </w:pPr>
    </w:p>
    <w:p w:rsidR="009C0A80" w:rsidRPr="00AF0477" w:rsidRDefault="009C0A80" w:rsidP="009C0A80">
      <w:pPr>
        <w:tabs>
          <w:tab w:val="left" w:pos="2235"/>
          <w:tab w:val="center" w:pos="4514"/>
        </w:tabs>
        <w:ind w:right="29" w:firstLine="720"/>
        <w:jc w:val="both"/>
        <w:rPr>
          <w:rFonts w:eastAsia="MS Mincho"/>
          <w:color w:val="000000" w:themeColor="text1"/>
        </w:rPr>
      </w:pPr>
      <w:r w:rsidRPr="00AF0477">
        <w:rPr>
          <w:rFonts w:eastAsia="MS Mincho"/>
          <w:color w:val="000000" w:themeColor="text1"/>
        </w:rPr>
        <w:t xml:space="preserve">Furthermore, land and water conservation measures are important components of sustainable resource management. Implementing measures like contour ploughing, terracing and afforestation helps to reduce soil erosion and water runoff. Constructing check dams and reservoirs can also aid in water conservation and recharge groundwater resources. Additionally, promoting the use of renewable energy sources such as solar power can reduce the dependence on non-renewable resources and contribute to environmental sustainability. The adoption of renewable energy technologies not only helps in reducing greenhouse gas emissions but also provides a reliable and sustainable source of energy for the arid zone. </w:t>
      </w:r>
    </w:p>
    <w:p w:rsidR="009C0A80" w:rsidRPr="00AF0477" w:rsidRDefault="009C0A80" w:rsidP="009C0A80">
      <w:pPr>
        <w:tabs>
          <w:tab w:val="left" w:pos="2235"/>
          <w:tab w:val="center" w:pos="4514"/>
        </w:tabs>
        <w:ind w:right="29" w:firstLine="720"/>
        <w:jc w:val="both"/>
        <w:rPr>
          <w:rFonts w:eastAsia="MS Mincho"/>
          <w:color w:val="000000" w:themeColor="text1"/>
        </w:rPr>
      </w:pPr>
    </w:p>
    <w:p w:rsidR="0083004B" w:rsidRPr="00BA1F3F" w:rsidRDefault="0083004B" w:rsidP="0083004B">
      <w:pPr>
        <w:ind w:firstLine="720"/>
        <w:jc w:val="both"/>
        <w:rPr>
          <w:rFonts w:eastAsia="MS Mincho"/>
          <w:color w:val="000000" w:themeColor="text1"/>
          <w:lang w:val="en-IN"/>
        </w:rPr>
      </w:pPr>
      <w:r w:rsidRPr="00BA1F3F">
        <w:rPr>
          <w:rFonts w:eastAsia="MS Mincho"/>
          <w:color w:val="000000" w:themeColor="text1"/>
          <w:lang w:val="en-IN"/>
        </w:rPr>
        <w:t xml:space="preserve">By enhancing plants' ability to endure the hardships of an arid environment, biotechnological techniques like CRISPR and MAS also aid in arid agriculture. A plant is selected early in its growth to take part in a breeding program using DNA markers associated with desirable traits in marker-assisted breeding. Finding varieties in a breeding program that express the necessary qualities is made much faster with this strategy. Cas endonuclease-associated clustered regularly interspaced short palindromic repeats, or CRISPR/Cas, have become a cutting-edge method for precise and effective genetic alteration of plant genomes. CRISPR genome editing techniques are used to discover and change genes associated with stressors created in an arid agricultural setting. </w:t>
      </w:r>
      <w:r w:rsidRPr="00AF0477">
        <w:rPr>
          <w:rFonts w:eastAsia="MS Mincho"/>
          <w:color w:val="000000" w:themeColor="text1"/>
        </w:rPr>
        <w:t>Through the insertion of several gene types via CRISPR, plants can be made more resilient to stress by expressing more stress proteins and antioxidant enzymes.</w:t>
      </w:r>
    </w:p>
    <w:p w:rsidR="00AF0477" w:rsidRDefault="00AF0477" w:rsidP="00655E3D">
      <w:pPr>
        <w:rPr>
          <w:b/>
          <w:bCs/>
          <w:lang w:eastAsia="en-IN"/>
        </w:rPr>
      </w:pPr>
    </w:p>
    <w:p w:rsidR="00D237BB" w:rsidRPr="00655E3D" w:rsidRDefault="00EC1202" w:rsidP="00655E3D">
      <w:pPr>
        <w:rPr>
          <w:b/>
          <w:bCs/>
          <w:lang w:eastAsia="en-IN"/>
        </w:rPr>
      </w:pPr>
      <w:r w:rsidRPr="00EC1202">
        <w:rPr>
          <w:b/>
          <w:bCs/>
          <w:lang w:eastAsia="en-IN"/>
        </w:rPr>
        <w:t>REFERENCES</w:t>
      </w:r>
    </w:p>
    <w:p w:rsidR="00D237BB" w:rsidRPr="004463CA" w:rsidRDefault="00D237BB" w:rsidP="00D237BB">
      <w:pPr>
        <w:tabs>
          <w:tab w:val="left" w:pos="2235"/>
          <w:tab w:val="center" w:pos="4514"/>
        </w:tabs>
        <w:ind w:right="29"/>
        <w:jc w:val="both"/>
        <w:rPr>
          <w:rFonts w:eastAsia="MS Mincho"/>
          <w:sz w:val="16"/>
          <w:szCs w:val="16"/>
        </w:rPr>
      </w:pPr>
    </w:p>
    <w:p w:rsidR="006F0754" w:rsidRPr="004463CA" w:rsidRDefault="006F0754" w:rsidP="004463CA">
      <w:pPr>
        <w:tabs>
          <w:tab w:val="left" w:pos="2235"/>
          <w:tab w:val="center" w:pos="4514"/>
        </w:tabs>
        <w:ind w:right="29"/>
        <w:jc w:val="left"/>
        <w:rPr>
          <w:rFonts w:eastAsia="MS Mincho"/>
          <w:sz w:val="16"/>
          <w:szCs w:val="16"/>
        </w:rPr>
      </w:pPr>
    </w:p>
    <w:p w:rsidR="00AF0477" w:rsidRPr="00AF0477" w:rsidRDefault="006F0754" w:rsidP="00AF0477">
      <w:pPr>
        <w:pStyle w:val="Bibliography"/>
        <w:tabs>
          <w:tab w:val="clear" w:pos="380"/>
          <w:tab w:val="clear" w:pos="500"/>
        </w:tabs>
        <w:ind w:left="450" w:hanging="450"/>
        <w:jc w:val="both"/>
        <w:rPr>
          <w:szCs w:val="24"/>
          <w:lang w:val="en-GB"/>
        </w:rPr>
      </w:pPr>
      <w:r w:rsidRPr="001E6398">
        <w:rPr>
          <w:rFonts w:eastAsia="MS Mincho"/>
        </w:rPr>
        <w:fldChar w:fldCharType="begin"/>
      </w:r>
      <w:r w:rsidR="00AF0477">
        <w:rPr>
          <w:rFonts w:eastAsia="MS Mincho"/>
        </w:rPr>
        <w:instrText xml:space="preserve"> ADDIN ZOTERO_BIBL {"uncited":[["http://zotero.org/users/14036693/items/2PGHFTQS"]],"omitted":[],"custom":[]} CSL_BIBLIOGRAPHY </w:instrText>
      </w:r>
      <w:r w:rsidRPr="001E6398">
        <w:rPr>
          <w:rFonts w:eastAsia="MS Mincho"/>
        </w:rPr>
        <w:fldChar w:fldCharType="separate"/>
      </w:r>
      <w:r w:rsidR="00AF0477" w:rsidRPr="00AF0477">
        <w:rPr>
          <w:szCs w:val="24"/>
          <w:lang w:val="en-GB"/>
        </w:rPr>
        <w:t>[1]</w:t>
      </w:r>
      <w:r w:rsidR="00AF0477" w:rsidRPr="00AF0477">
        <w:rPr>
          <w:szCs w:val="24"/>
          <w:lang w:val="en-GB"/>
        </w:rPr>
        <w:tab/>
        <w:t xml:space="preserve">R. Ray </w:t>
      </w:r>
      <w:r w:rsidR="00AF0477" w:rsidRPr="00AF0477">
        <w:rPr>
          <w:i/>
          <w:iCs/>
          <w:szCs w:val="24"/>
          <w:lang w:val="en-GB"/>
        </w:rPr>
        <w:t>et al.</w:t>
      </w:r>
      <w:r w:rsidR="00AF0477" w:rsidRPr="00AF0477">
        <w:rPr>
          <w:szCs w:val="24"/>
          <w:lang w:val="en-GB"/>
        </w:rPr>
        <w:t xml:space="preserve">, “Extreme rainfall deficits were not the cause of recurring colonial era famines of southern Indian semi-arid regions,” </w:t>
      </w:r>
      <w:r w:rsidR="00AF0477" w:rsidRPr="00AF0477">
        <w:rPr>
          <w:i/>
          <w:iCs/>
          <w:szCs w:val="24"/>
          <w:lang w:val="en-GB"/>
        </w:rPr>
        <w:t>Sci. Rep.</w:t>
      </w:r>
      <w:r w:rsidR="00AF0477" w:rsidRPr="00AF0477">
        <w:rPr>
          <w:szCs w:val="24"/>
          <w:lang w:val="en-GB"/>
        </w:rPr>
        <w:t>, vol. 11, no. 1, p. 17568, Sep. 2021, doi: 10.1038/s41598-021-96826-2.</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[2]</w:t>
      </w:r>
      <w:r w:rsidRPr="00AF0477">
        <w:rPr>
          <w:szCs w:val="24"/>
          <w:lang w:val="en-GB"/>
        </w:rPr>
        <w:tab/>
        <w:t>“2010–2020: UN Decade for Deserts and the Fight against Desertification.” Accessed: May 28, 2024. [Online]. Available: https://www.un.org/en/events/desertification_decade/whynow.shtml#</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[3]</w:t>
      </w:r>
      <w:r w:rsidRPr="00AF0477">
        <w:rPr>
          <w:szCs w:val="24"/>
          <w:lang w:val="en-GB"/>
        </w:rPr>
        <w:tab/>
        <w:t xml:space="preserve">M. Gaur and V. Squires, “Geographic Extent and Characteristics of the World’s Arid Zones and Their Peoples,” in </w:t>
      </w:r>
      <w:r w:rsidRPr="00AF0477">
        <w:rPr>
          <w:i/>
          <w:iCs/>
          <w:szCs w:val="24"/>
          <w:lang w:val="en-GB"/>
        </w:rPr>
        <w:t>Climate Variability Impacts on Land Use and Livelihoods in Drylands</w:t>
      </w:r>
      <w:r w:rsidRPr="00AF0477">
        <w:rPr>
          <w:szCs w:val="24"/>
          <w:lang w:val="en-GB"/>
        </w:rPr>
        <w:t>, 2018, pp. 3–20. doi: 10.1007/978-3-319-56681-8_1.</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[4]</w:t>
      </w:r>
      <w:r w:rsidRPr="00AF0477">
        <w:rPr>
          <w:szCs w:val="24"/>
          <w:lang w:val="en-GB"/>
        </w:rPr>
        <w:tab/>
        <w:t>“Special Report on Climate Change and Land — IPCC site.” Accessed: May 28, 2024. [Online]. Available: https://www.ipcc.ch/srccl/</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[5]</w:t>
      </w:r>
      <w:r w:rsidRPr="00AF0477">
        <w:rPr>
          <w:szCs w:val="24"/>
          <w:lang w:val="en-GB"/>
        </w:rPr>
        <w:tab/>
        <w:t xml:space="preserve">E. A. Abioye </w:t>
      </w:r>
      <w:r w:rsidRPr="00AF0477">
        <w:rPr>
          <w:i/>
          <w:iCs/>
          <w:szCs w:val="24"/>
          <w:lang w:val="en-GB"/>
        </w:rPr>
        <w:t>et al.</w:t>
      </w:r>
      <w:r w:rsidRPr="00AF0477">
        <w:rPr>
          <w:szCs w:val="24"/>
          <w:lang w:val="en-GB"/>
        </w:rPr>
        <w:t xml:space="preserve">, “A review on monitoring and advanced control strategies for precision irrigation,” </w:t>
      </w:r>
      <w:r w:rsidRPr="00AF0477">
        <w:rPr>
          <w:i/>
          <w:iCs/>
          <w:szCs w:val="24"/>
          <w:lang w:val="en-GB"/>
        </w:rPr>
        <w:t>Comput. Electron. Agric.</w:t>
      </w:r>
      <w:r w:rsidRPr="00AF0477">
        <w:rPr>
          <w:szCs w:val="24"/>
          <w:lang w:val="en-GB"/>
        </w:rPr>
        <w:t>, vol. 173, p. 105441, Jun. 2020, doi: 10.1016/j.compag.2020.105441.</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[6]</w:t>
      </w:r>
      <w:r w:rsidRPr="00AF0477">
        <w:rPr>
          <w:szCs w:val="24"/>
          <w:lang w:val="en-GB"/>
        </w:rPr>
        <w:tab/>
        <w:t xml:space="preserve">A. Monteiro and S. Santos, “Sustainable Approach to Weed Management: The Role of Precision Weed Management,” </w:t>
      </w:r>
      <w:r w:rsidRPr="00AF0477">
        <w:rPr>
          <w:i/>
          <w:iCs/>
          <w:szCs w:val="24"/>
          <w:lang w:val="en-GB"/>
        </w:rPr>
        <w:t>Agronomy</w:t>
      </w:r>
      <w:r w:rsidRPr="00AF0477">
        <w:rPr>
          <w:szCs w:val="24"/>
          <w:lang w:val="en-GB"/>
        </w:rPr>
        <w:t>, vol. 12, p. 118, Jan. 2022, doi: 10.3390/agronomy12010118.</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[7]</w:t>
      </w:r>
      <w:r w:rsidRPr="00AF0477">
        <w:rPr>
          <w:szCs w:val="24"/>
          <w:lang w:val="en-GB"/>
        </w:rPr>
        <w:tab/>
        <w:t xml:space="preserve">K. Majumdar, “Current Nutrient Management Approaches: Issues and Strategies,” </w:t>
      </w:r>
      <w:r w:rsidRPr="00AF0477">
        <w:rPr>
          <w:i/>
          <w:iCs/>
          <w:szCs w:val="24"/>
          <w:lang w:val="en-GB"/>
        </w:rPr>
        <w:t>Indian J. Fertil.</w:t>
      </w:r>
      <w:r w:rsidRPr="00AF0477">
        <w:rPr>
          <w:szCs w:val="24"/>
          <w:lang w:val="en-GB"/>
        </w:rPr>
        <w:t>, vol. 10, pp. 14–27, May 2014.</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[8]</w:t>
      </w:r>
      <w:r w:rsidRPr="00AF0477">
        <w:rPr>
          <w:szCs w:val="24"/>
          <w:lang w:val="en-GB"/>
        </w:rPr>
        <w:tab/>
        <w:t xml:space="preserve">I. Stavi and R. Lal, “Achieving Zero Net Land Degradation: Challenges and opportunities,” </w:t>
      </w:r>
      <w:r w:rsidRPr="00AF0477">
        <w:rPr>
          <w:i/>
          <w:iCs/>
          <w:szCs w:val="24"/>
          <w:lang w:val="en-GB"/>
        </w:rPr>
        <w:t>J. Arid Environ.</w:t>
      </w:r>
      <w:r w:rsidRPr="00AF0477">
        <w:rPr>
          <w:szCs w:val="24"/>
          <w:lang w:val="en-GB"/>
        </w:rPr>
        <w:t>, vol. 112, pp. 44–51, Jan. 2015, doi: 10.1016/j.jaridenv.2014.01.016.</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[9]</w:t>
      </w:r>
      <w:r w:rsidRPr="00AF0477">
        <w:rPr>
          <w:szCs w:val="24"/>
          <w:lang w:val="en-GB"/>
        </w:rPr>
        <w:tab/>
        <w:t xml:space="preserve">B. C. Y. Collard and D. J. Mackill, “Marker-assisted selection: an approach for precision plant breeding in the twenty-first century,” </w:t>
      </w:r>
      <w:r w:rsidRPr="00AF0477">
        <w:rPr>
          <w:i/>
          <w:iCs/>
          <w:szCs w:val="24"/>
          <w:lang w:val="en-GB"/>
        </w:rPr>
        <w:t>Philos. Trans. R. Soc. B Biol. Sci.</w:t>
      </w:r>
      <w:r w:rsidRPr="00AF0477">
        <w:rPr>
          <w:szCs w:val="24"/>
          <w:lang w:val="en-GB"/>
        </w:rPr>
        <w:t>, vol. 363, no. 1491, pp. 557–572, Aug. 2007, doi: 10.1098/rstb.2007.2170.</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[10]</w:t>
      </w:r>
      <w:r w:rsidRPr="00AF0477">
        <w:rPr>
          <w:szCs w:val="24"/>
          <w:lang w:val="en-GB"/>
        </w:rPr>
        <w:tab/>
        <w:t xml:space="preserve">S. Pandurangan, C. Workman, K. Nilsen, and S. Kumar, “Introduction to Marker-Assisted Selection in Wheat Breeding,” in </w:t>
      </w:r>
      <w:r w:rsidRPr="00AF0477">
        <w:rPr>
          <w:i/>
          <w:iCs/>
          <w:szCs w:val="24"/>
          <w:lang w:val="en-GB"/>
        </w:rPr>
        <w:t>Accelerated Breeding of Cereal Crops</w:t>
      </w:r>
      <w:r w:rsidRPr="00AF0477">
        <w:rPr>
          <w:szCs w:val="24"/>
          <w:lang w:val="en-GB"/>
        </w:rPr>
        <w:t>, A. Bilichak and J. D. Laurie, Eds., New York, NY: Springer US, 2022, pp. 77–117. doi: 10.1007/978-1-0716-1526-3_3.</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[11]</w:t>
      </w:r>
      <w:r w:rsidRPr="00AF0477">
        <w:rPr>
          <w:szCs w:val="24"/>
          <w:lang w:val="en-GB"/>
        </w:rPr>
        <w:tab/>
        <w:t xml:space="preserve">K. Chen, Y. Wang, R. Zhang, H. Zhang, and C. Gao, “CRISPR/Cas Genome Editing and Precision Plant Breeding in Agriculture,” </w:t>
      </w:r>
      <w:r w:rsidRPr="00AF0477">
        <w:rPr>
          <w:i/>
          <w:iCs/>
          <w:szCs w:val="24"/>
          <w:lang w:val="en-GB"/>
        </w:rPr>
        <w:t>Annu. Rev. Plant Biol.</w:t>
      </w:r>
      <w:r w:rsidRPr="00AF0477">
        <w:rPr>
          <w:szCs w:val="24"/>
          <w:lang w:val="en-GB"/>
        </w:rPr>
        <w:t>, vol. 70, no. Volume 70, 2019, pp. 667–697, Apr. 2019, doi: 10.1146/annurev-arplant-050718-100049.</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lastRenderedPageBreak/>
        <w:t>[12]</w:t>
      </w:r>
      <w:r w:rsidRPr="00AF0477">
        <w:rPr>
          <w:szCs w:val="24"/>
          <w:lang w:val="en-GB"/>
        </w:rPr>
        <w:tab/>
        <w:t xml:space="preserve">T. Gaj, C. A. Gersbach, and C. F. Barbas, “ZFN, TALEN, and CRISPR/Cas-based methods for genome engineering,” </w:t>
      </w:r>
      <w:r w:rsidRPr="00AF0477">
        <w:rPr>
          <w:i/>
          <w:iCs/>
          <w:szCs w:val="24"/>
          <w:lang w:val="en-GB"/>
        </w:rPr>
        <w:t>Trends Biotechnol.</w:t>
      </w:r>
      <w:r w:rsidRPr="00AF0477">
        <w:rPr>
          <w:szCs w:val="24"/>
          <w:lang w:val="en-GB"/>
        </w:rPr>
        <w:t>, vol. 31, no. 7, pp. 397–405, Jul. 2013, doi: 10.1016/j.tibtech.2013.04.004.</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[13]</w:t>
      </w:r>
      <w:r w:rsidRPr="00AF0477">
        <w:rPr>
          <w:szCs w:val="24"/>
          <w:lang w:val="en-GB"/>
        </w:rPr>
        <w:tab/>
        <w:t xml:space="preserve">Z. F. Fawzy and S. I. Shedeed, “Climate Smart Agriculture and Intelligent Irrigation System for Management of Water Resources in Arid and Semi-Arid Regions – A Review,” in </w:t>
      </w:r>
      <w:r w:rsidRPr="00AF0477">
        <w:rPr>
          <w:i/>
          <w:iCs/>
          <w:szCs w:val="24"/>
          <w:lang w:val="en-GB"/>
        </w:rPr>
        <w:t>Water, Flood Management and Water Security Under a Changing Climate: Proceedings from the 7th International Conference on Water and Flood Management</w:t>
      </w:r>
      <w:r w:rsidRPr="00AF0477">
        <w:rPr>
          <w:szCs w:val="24"/>
          <w:lang w:val="en-GB"/>
        </w:rPr>
        <w:t>, A. Haque and A. I. A. Chowdhury, Eds., Cham: Springer International Publishing, 2020, pp. 361–370. doi: 10.1007/978-3-030-47786-8_25.</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[14]</w:t>
      </w:r>
      <w:r w:rsidRPr="00AF0477">
        <w:rPr>
          <w:szCs w:val="24"/>
          <w:lang w:val="en-GB"/>
        </w:rPr>
        <w:tab/>
        <w:t>D. Gurjar, “Precision irrigation management: concepts and applications for higher use efficiency in field crops,” 2019, p. 286.</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[15]</w:t>
      </w:r>
      <w:r w:rsidRPr="00AF0477">
        <w:rPr>
          <w:szCs w:val="24"/>
          <w:lang w:val="en-GB"/>
        </w:rPr>
        <w:tab/>
        <w:t xml:space="preserve">J. Neupane and W. Guo, “Agronomic Basis and Strategies for Precision Water Management: A Review,” </w:t>
      </w:r>
      <w:r w:rsidRPr="00AF0477">
        <w:rPr>
          <w:i/>
          <w:iCs/>
          <w:szCs w:val="24"/>
          <w:lang w:val="en-GB"/>
        </w:rPr>
        <w:t>Agronomy</w:t>
      </w:r>
      <w:r w:rsidRPr="00AF0477">
        <w:rPr>
          <w:szCs w:val="24"/>
          <w:lang w:val="en-GB"/>
        </w:rPr>
        <w:t>, vol. 9, no. 2, Art. no. 2, Feb. 2019, doi: 10.3390/agronomy9020087.</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[16]</w:t>
      </w:r>
      <w:r w:rsidRPr="00AF0477">
        <w:rPr>
          <w:szCs w:val="24"/>
          <w:lang w:val="en-GB"/>
        </w:rPr>
        <w:tab/>
        <w:t xml:space="preserve">D. Bhavsar, B. Limbasia, Y. Mori, M. Imtiyazali Aglodiya, and M. Shah, “A comprehensive and systematic study in smart drip and sprinkler irrigation systems,” </w:t>
      </w:r>
      <w:r w:rsidRPr="00AF0477">
        <w:rPr>
          <w:i/>
          <w:iCs/>
          <w:szCs w:val="24"/>
          <w:lang w:val="en-GB"/>
        </w:rPr>
        <w:t>Smart Agric. Technol.</w:t>
      </w:r>
      <w:r w:rsidRPr="00AF0477">
        <w:rPr>
          <w:szCs w:val="24"/>
          <w:lang w:val="en-GB"/>
        </w:rPr>
        <w:t>, vol. 5, p. 100303, Oct. 2023, doi: 10.1016/j.atech.2023.100303.</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[17]</w:t>
      </w:r>
      <w:r w:rsidRPr="00AF0477">
        <w:rPr>
          <w:szCs w:val="24"/>
          <w:lang w:val="en-GB"/>
        </w:rPr>
        <w:tab/>
        <w:t>“Zhu et al. - 2018 - Review of intelligent sprinkler irrigation technol.pdf.” Accessed: May 28, 2024. [Online]. Available: https://pdfs.semanticscholar.org/020f/2b794db55686ce896c74fbb321a054be567c.pdf</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[18]</w:t>
      </w:r>
      <w:r w:rsidRPr="00AF0477">
        <w:rPr>
          <w:szCs w:val="24"/>
          <w:lang w:val="en-GB"/>
        </w:rPr>
        <w:tab/>
        <w:t xml:space="preserve">N. Sales, O. Remédios, and A. Arsenio, “Wireless sensor and actuator system for smart irrigation on the cloud,” in </w:t>
      </w:r>
      <w:r w:rsidRPr="00AF0477">
        <w:rPr>
          <w:i/>
          <w:iCs/>
          <w:szCs w:val="24"/>
          <w:lang w:val="en-GB"/>
        </w:rPr>
        <w:t>2015 IEEE 2nd World Forum on Internet of Things (WF-IoT)</w:t>
      </w:r>
      <w:r w:rsidRPr="00AF0477">
        <w:rPr>
          <w:szCs w:val="24"/>
          <w:lang w:val="en-GB"/>
        </w:rPr>
        <w:t>, Dec. 2015, pp. 693–698. doi: 10.1109/WF-IoT.2015.7389138.</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[19]</w:t>
      </w:r>
      <w:r w:rsidRPr="00AF0477">
        <w:rPr>
          <w:szCs w:val="24"/>
          <w:lang w:val="en-GB"/>
        </w:rPr>
        <w:tab/>
        <w:t xml:space="preserve">H. M. Al-Ghobari, F. S. Mohammad, and M. S. A. E. Marazky, “Assessment of smart irrigation controllers under subsurface and drip-irrigation systems for tomato yield in arid regions,” </w:t>
      </w:r>
      <w:r w:rsidRPr="00AF0477">
        <w:rPr>
          <w:i/>
          <w:iCs/>
          <w:szCs w:val="24"/>
          <w:lang w:val="en-GB"/>
        </w:rPr>
        <w:t>Crop Pasture Sci.</w:t>
      </w:r>
      <w:r w:rsidRPr="00AF0477">
        <w:rPr>
          <w:szCs w:val="24"/>
          <w:lang w:val="en-GB"/>
        </w:rPr>
        <w:t>, vol. 66, no. 10, pp. 1086–1095, Sep. 2015, doi: 10.1071/CP15065.</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[20]</w:t>
      </w:r>
      <w:r w:rsidRPr="00AF0477">
        <w:rPr>
          <w:szCs w:val="24"/>
          <w:lang w:val="en-GB"/>
        </w:rPr>
        <w:tab/>
        <w:t xml:space="preserve">G. Bitella, R. Rossi, R. Bochicchio, M. Perniola, and M. Amato, “A Novel Low-Cost Open-Hardware Platform for Monitoring Soil Water Content and Multiple Soil-Air-Vegetation Parameters,” </w:t>
      </w:r>
      <w:r w:rsidRPr="00AF0477">
        <w:rPr>
          <w:i/>
          <w:iCs/>
          <w:szCs w:val="24"/>
          <w:lang w:val="en-GB"/>
        </w:rPr>
        <w:t>Sensors</w:t>
      </w:r>
      <w:r w:rsidRPr="00AF0477">
        <w:rPr>
          <w:szCs w:val="24"/>
          <w:lang w:val="en-GB"/>
        </w:rPr>
        <w:t>, vol. 14, no. 10, Art. no. 10, Oct. 2014, doi: 10.3390/s141019639.</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[21]</w:t>
      </w:r>
      <w:r w:rsidRPr="00AF0477">
        <w:rPr>
          <w:szCs w:val="24"/>
          <w:lang w:val="en-GB"/>
        </w:rPr>
        <w:tab/>
        <w:t xml:space="preserve">L. García, L. Parra, J. M. Jimenez, J. Lloret, and P. Lorenz, “IoT-Based Smart Irrigation Systems: An Overview on the Recent Trends on Sensors and IoT Systems for Irrigation in Precision Agriculture,” </w:t>
      </w:r>
      <w:r w:rsidRPr="00AF0477">
        <w:rPr>
          <w:i/>
          <w:iCs/>
          <w:szCs w:val="24"/>
          <w:lang w:val="en-GB"/>
        </w:rPr>
        <w:t>Sensors</w:t>
      </w:r>
      <w:r w:rsidRPr="00AF0477">
        <w:rPr>
          <w:szCs w:val="24"/>
          <w:lang w:val="en-GB"/>
        </w:rPr>
        <w:t>, vol. 20, no. 4, Art. no. 4, Jan. 2020, doi: 10.3390/s20041042.</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[22]</w:t>
      </w:r>
      <w:r w:rsidRPr="00AF0477">
        <w:rPr>
          <w:szCs w:val="24"/>
          <w:lang w:val="en-GB"/>
        </w:rPr>
        <w:tab/>
        <w:t xml:space="preserve">A. Yari, C. Madramootoo, S. Woods, and V. Adamchuk, “Performance Evaluation of Constant Versus Variable Rate Irrigation: Variable Rate Irrigation,” </w:t>
      </w:r>
      <w:r w:rsidRPr="00AF0477">
        <w:rPr>
          <w:i/>
          <w:iCs/>
          <w:szCs w:val="24"/>
          <w:lang w:val="en-GB"/>
        </w:rPr>
        <w:t>Irrig. Drain.</w:t>
      </w:r>
      <w:r w:rsidRPr="00AF0477">
        <w:rPr>
          <w:szCs w:val="24"/>
          <w:lang w:val="en-GB"/>
        </w:rPr>
        <w:t>, vol. 66, Mar. 2017, doi: 10.1002/ird.2131.</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[23]</w:t>
      </w:r>
      <w:r w:rsidRPr="00AF0477">
        <w:rPr>
          <w:szCs w:val="24"/>
          <w:lang w:val="en-GB"/>
        </w:rPr>
        <w:tab/>
        <w:t>“Sensors | Free Full-Text | Smart System for Bicarbonate Control in Irrigation for Hydroponic Precision Farming.” Accessed: May 28, 2024. [Online]. Available: https://www.mdpi.com/1424-8220/18/5/1333</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[24]</w:t>
      </w:r>
      <w:r w:rsidRPr="00AF0477">
        <w:rPr>
          <w:szCs w:val="24"/>
          <w:lang w:val="en-GB"/>
        </w:rPr>
        <w:tab/>
        <w:t xml:space="preserve">B. Boman, S. Smith, and B. Tullos, “Control and Automation in Citrus Microirrigation Systems,” </w:t>
      </w:r>
      <w:r w:rsidRPr="00AF0477">
        <w:rPr>
          <w:i/>
          <w:iCs/>
          <w:szCs w:val="24"/>
          <w:lang w:val="en-GB"/>
        </w:rPr>
        <w:t>EDIS</w:t>
      </w:r>
      <w:r w:rsidRPr="00AF0477">
        <w:rPr>
          <w:szCs w:val="24"/>
          <w:lang w:val="en-GB"/>
        </w:rPr>
        <w:t>, vol. 2002, no. 1, Dec. 1969, doi: 10.32473/edis-ch194-2002.</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[25]</w:t>
      </w:r>
      <w:r w:rsidRPr="00AF0477">
        <w:rPr>
          <w:szCs w:val="24"/>
          <w:lang w:val="en-GB"/>
        </w:rPr>
        <w:tab/>
        <w:t xml:space="preserve">P. Waryszak, T. I. Lenz, M. R. Leishman, and P. O. Downey, “Herbicide effectiveness in controlling invasive plants under elevated CO2: Sufficient evidence to rethink weeds management,” </w:t>
      </w:r>
      <w:r w:rsidRPr="00AF0477">
        <w:rPr>
          <w:i/>
          <w:iCs/>
          <w:szCs w:val="24"/>
          <w:lang w:val="en-GB"/>
        </w:rPr>
        <w:t>J. Environ. Manage.</w:t>
      </w:r>
      <w:r w:rsidRPr="00AF0477">
        <w:rPr>
          <w:szCs w:val="24"/>
          <w:lang w:val="en-GB"/>
        </w:rPr>
        <w:t>, vol. 226, pp. 400–407, Nov. 2018, doi: 10.1016/j.jenvman.2018.08.050.</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[26]</w:t>
      </w:r>
      <w:r w:rsidRPr="00AF0477">
        <w:rPr>
          <w:szCs w:val="24"/>
          <w:lang w:val="en-GB"/>
        </w:rPr>
        <w:tab/>
        <w:t xml:space="preserve">B. A. Bradley, D. M. Blumenthal, D. S. Wilcove, and L. H. Ziska, “Predicting plant invasions in an era of global change,” </w:t>
      </w:r>
      <w:r w:rsidRPr="00AF0477">
        <w:rPr>
          <w:i/>
          <w:iCs/>
          <w:szCs w:val="24"/>
          <w:lang w:val="en-GB"/>
        </w:rPr>
        <w:t>Trends Ecol. Evol.</w:t>
      </w:r>
      <w:r w:rsidRPr="00AF0477">
        <w:rPr>
          <w:szCs w:val="24"/>
          <w:lang w:val="en-GB"/>
        </w:rPr>
        <w:t>, vol. 25, no. 5, pp. 310–318, May 2010, doi: 10.1016/j.tree.2009.12.003.</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[27]</w:t>
      </w:r>
      <w:r w:rsidRPr="00AF0477">
        <w:rPr>
          <w:szCs w:val="24"/>
          <w:lang w:val="en-GB"/>
        </w:rPr>
        <w:tab/>
        <w:t>“Indicators of climate change in agricultural systems | Climatic Change.” Accessed: May 28, 2024. [Online]. Available: https://link.springer.com/article/10.1007/s10584-018-2222-2</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[28]</w:t>
      </w:r>
      <w:r w:rsidRPr="00AF0477">
        <w:rPr>
          <w:szCs w:val="24"/>
          <w:lang w:val="en-GB"/>
        </w:rPr>
        <w:tab/>
        <w:t xml:space="preserve">A. Varanasi, P. V. V. Prasad, and M. Jugulam, “Chapter Three - Impact of Climate Change Factors on Weeds and Herbicide Efficacy,” in </w:t>
      </w:r>
      <w:r w:rsidRPr="00AF0477">
        <w:rPr>
          <w:i/>
          <w:iCs/>
          <w:szCs w:val="24"/>
          <w:lang w:val="en-GB"/>
        </w:rPr>
        <w:t>Advances in Agronomy</w:t>
      </w:r>
      <w:r w:rsidRPr="00AF0477">
        <w:rPr>
          <w:szCs w:val="24"/>
          <w:lang w:val="en-GB"/>
        </w:rPr>
        <w:t>, vol. 135, D. L. Sparks, Ed., in Advances in Agronomy, vol. 135. , Academic Press, 2016, pp. 107–146. doi: 10.1016/bs.agron.2015.09.002.</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[29]</w:t>
      </w:r>
      <w:r w:rsidRPr="00AF0477">
        <w:rPr>
          <w:szCs w:val="24"/>
          <w:lang w:val="en-GB"/>
        </w:rPr>
        <w:tab/>
        <w:t xml:space="preserve">N. G. Koleva and U. A. Schneider, “The impact of climate change on the external cost of pesticide applications in US agriculture,” </w:t>
      </w:r>
      <w:r w:rsidRPr="00AF0477">
        <w:rPr>
          <w:i/>
          <w:iCs/>
          <w:szCs w:val="24"/>
          <w:lang w:val="en-GB"/>
        </w:rPr>
        <w:t>Int. J. Agric. Sustain.</w:t>
      </w:r>
      <w:r w:rsidRPr="00AF0477">
        <w:rPr>
          <w:szCs w:val="24"/>
          <w:lang w:val="en-GB"/>
        </w:rPr>
        <w:t>, vol. 7, no. 3, pp. 203–216, Aug. 2009, doi: 10.3763/ijas.2009.0459.</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[30]</w:t>
      </w:r>
      <w:r w:rsidRPr="00AF0477">
        <w:rPr>
          <w:szCs w:val="24"/>
          <w:lang w:val="en-GB"/>
        </w:rPr>
        <w:tab/>
        <w:t xml:space="preserve">R. D. DeGreeff, A. V. Varanasi, J. A. Dille, D. E. Peterson, and M. Jugulam, “Influence of Plant Growth Stage and Temperature on Glyphosate Efficacy in Common Lambsquarters (Chenopodium album),” </w:t>
      </w:r>
      <w:r w:rsidRPr="00AF0477">
        <w:rPr>
          <w:i/>
          <w:iCs/>
          <w:szCs w:val="24"/>
          <w:lang w:val="en-GB"/>
        </w:rPr>
        <w:t>Weed Technol.</w:t>
      </w:r>
      <w:r w:rsidRPr="00AF0477">
        <w:rPr>
          <w:szCs w:val="24"/>
          <w:lang w:val="en-GB"/>
        </w:rPr>
        <w:t>, vol. 32, no. 4, pp. 448–453, Aug. 2018, doi: 10.1017/wet.2018.38.</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[31]</w:t>
      </w:r>
      <w:r w:rsidRPr="00AF0477">
        <w:rPr>
          <w:szCs w:val="24"/>
          <w:lang w:val="en-GB"/>
        </w:rPr>
        <w:tab/>
        <w:t xml:space="preserve">A. S. Godar, V. K. Varanasi, S. Nakka, P. V. V. Prasad, C. R. Thompson, and J. Mithila, “Physiological and Molecular Mechanisms of Differential Sensitivity of Palmer Amaranth (Amaranthus palmeri) to Mesotrione at Varying Growth Temperatures,” </w:t>
      </w:r>
      <w:r w:rsidR="007345A2" w:rsidRPr="00AF0477">
        <w:rPr>
          <w:i/>
          <w:iCs/>
          <w:szCs w:val="24"/>
          <w:lang w:val="en-GB"/>
        </w:rPr>
        <w:t>Plos One</w:t>
      </w:r>
      <w:r w:rsidRPr="00AF0477">
        <w:rPr>
          <w:szCs w:val="24"/>
          <w:lang w:val="en-GB"/>
        </w:rPr>
        <w:t>, vol. 10, no. 5, p. e0126731, May 2015, doi: 10.1371/journal.pone.0126731.</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[32]</w:t>
      </w:r>
      <w:r w:rsidRPr="00AF0477">
        <w:rPr>
          <w:szCs w:val="24"/>
          <w:lang w:val="en-GB"/>
        </w:rPr>
        <w:tab/>
        <w:t xml:space="preserve">J. Ou, C. R. Thompson, P. W. Stahlman, N. Bloedow, and M. Jugulam, “Reduced Translocation of Glyphosate and Dicamba in Combination Contributes to Poor Control of Kochia scoparia: Evidence of Herbicide Antagonism,” </w:t>
      </w:r>
      <w:r w:rsidRPr="00AF0477">
        <w:rPr>
          <w:i/>
          <w:iCs/>
          <w:szCs w:val="24"/>
          <w:lang w:val="en-GB"/>
        </w:rPr>
        <w:t>Sci. Rep.</w:t>
      </w:r>
      <w:r w:rsidRPr="00AF0477">
        <w:rPr>
          <w:szCs w:val="24"/>
          <w:lang w:val="en-GB"/>
        </w:rPr>
        <w:t>, vol. 8, no. 1, p. 5330, Mar. 2018, doi: 10.1038/s41598-018-23742-3.</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[33]</w:t>
      </w:r>
      <w:r w:rsidRPr="00AF0477">
        <w:rPr>
          <w:szCs w:val="24"/>
          <w:lang w:val="en-GB"/>
        </w:rPr>
        <w:tab/>
        <w:t xml:space="preserve">B. Baraibar, M. C. Hunter, M. E. Schipanski, A. Hamilton, and D. A. Mortensen, “Weed Suppression in Cover Crop Monocultures and Mixtures,” </w:t>
      </w:r>
      <w:r w:rsidRPr="00AF0477">
        <w:rPr>
          <w:i/>
          <w:iCs/>
          <w:szCs w:val="24"/>
          <w:lang w:val="en-GB"/>
        </w:rPr>
        <w:t>Weed Sci.</w:t>
      </w:r>
      <w:r w:rsidRPr="00AF0477">
        <w:rPr>
          <w:szCs w:val="24"/>
          <w:lang w:val="en-GB"/>
        </w:rPr>
        <w:t>, vol. 66, no. 1, pp. 121–133, Jan. 2018, doi: 10.1017/wsc.2017.59.</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lastRenderedPageBreak/>
        <w:t>[34]</w:t>
      </w:r>
      <w:r w:rsidRPr="00AF0477">
        <w:rPr>
          <w:szCs w:val="24"/>
          <w:lang w:val="en-GB"/>
        </w:rPr>
        <w:tab/>
        <w:t xml:space="preserve">A. Lawson, C. Cogger, A. Bary, and A.-M. Fortuna, “Influence of Seeding Ratio, Planting Date, and Termination Date on Rye-Hairy Vetch Cover Crop Mixture Performance under Organic Management,” </w:t>
      </w:r>
      <w:r w:rsidRPr="00AF0477">
        <w:rPr>
          <w:i/>
          <w:iCs/>
          <w:szCs w:val="24"/>
          <w:lang w:val="en-GB"/>
        </w:rPr>
        <w:t>PLOS ONE</w:t>
      </w:r>
      <w:r w:rsidRPr="00AF0477">
        <w:rPr>
          <w:szCs w:val="24"/>
          <w:lang w:val="en-GB"/>
        </w:rPr>
        <w:t>, vol. 10, no. 6, p. e0129597, Jun. 2015, doi: 10.1371/journal.pone.0129597.</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[35]</w:t>
      </w:r>
      <w:r w:rsidRPr="00AF0477">
        <w:rPr>
          <w:szCs w:val="24"/>
          <w:lang w:val="en-GB"/>
        </w:rPr>
        <w:tab/>
        <w:t xml:space="preserve">H. P. Singh, D. R. Batish, and R. K. Kohli, “Allelopathic Interactions and Allelochemicals: New Possibilities for Sustainable Weed Management,” </w:t>
      </w:r>
      <w:r w:rsidRPr="00AF0477">
        <w:rPr>
          <w:i/>
          <w:iCs/>
          <w:szCs w:val="24"/>
          <w:lang w:val="en-GB"/>
        </w:rPr>
        <w:t>Crit. Rev. Plant Sci.</w:t>
      </w:r>
      <w:r w:rsidRPr="00AF0477">
        <w:rPr>
          <w:szCs w:val="24"/>
          <w:lang w:val="en-GB"/>
        </w:rPr>
        <w:t>, vol. 22, no. 3–4, p. 239, 2003.</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[36]</w:t>
      </w:r>
      <w:r w:rsidRPr="00AF0477">
        <w:rPr>
          <w:szCs w:val="24"/>
          <w:lang w:val="en-GB"/>
        </w:rPr>
        <w:tab/>
        <w:t>“Cover crops and weed suppression in the U.S. Midwest: A meta‐analysis and modeling study - Nichols - 2020 - Agricultural &amp; Environmental Letters - Wiley Online Library.” Accessed: May 28, 2024. [Online]. Available: https://acsess.onlinelibrary.wiley.com/doi/full/10.1002/ael2.20022</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[37]</w:t>
      </w:r>
      <w:r w:rsidRPr="00AF0477">
        <w:rPr>
          <w:szCs w:val="24"/>
          <w:lang w:val="en-GB"/>
        </w:rPr>
        <w:tab/>
        <w:t xml:space="preserve">A. Franzluebbers and J. Stuedemann, “Crop and cattle responses to tillage systems for integrated crop-livestock production in the Southern Piedmont, USA,” </w:t>
      </w:r>
      <w:r w:rsidRPr="00AF0477">
        <w:rPr>
          <w:i/>
          <w:iCs/>
          <w:szCs w:val="24"/>
          <w:lang w:val="en-GB"/>
        </w:rPr>
        <w:t>Renew. Agric. Food Syst.</w:t>
      </w:r>
      <w:r w:rsidRPr="00AF0477">
        <w:rPr>
          <w:szCs w:val="24"/>
          <w:lang w:val="en-GB"/>
        </w:rPr>
        <w:t>, vol. 22, Sep. 2007, doi: 10.1017/S1742170507001706.</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[38]</w:t>
      </w:r>
      <w:r w:rsidRPr="00AF0477">
        <w:rPr>
          <w:szCs w:val="24"/>
          <w:lang w:val="en-GB"/>
        </w:rPr>
        <w:tab/>
        <w:t xml:space="preserve">H. Blanco‐Canqui </w:t>
      </w:r>
      <w:r w:rsidRPr="00AF0477">
        <w:rPr>
          <w:i/>
          <w:iCs/>
          <w:szCs w:val="24"/>
          <w:lang w:val="en-GB"/>
        </w:rPr>
        <w:t>et al.</w:t>
      </w:r>
      <w:r w:rsidRPr="00AF0477">
        <w:rPr>
          <w:szCs w:val="24"/>
          <w:lang w:val="en-GB"/>
        </w:rPr>
        <w:t xml:space="preserve">, “Cover Crops and Ecosystem Services: Insights from Studies in Temperate Soils,” </w:t>
      </w:r>
      <w:r w:rsidRPr="00AF0477">
        <w:rPr>
          <w:i/>
          <w:iCs/>
          <w:szCs w:val="24"/>
          <w:lang w:val="en-GB"/>
        </w:rPr>
        <w:t>Agron. J.</w:t>
      </w:r>
      <w:r w:rsidRPr="00AF0477">
        <w:rPr>
          <w:szCs w:val="24"/>
          <w:lang w:val="en-GB"/>
        </w:rPr>
        <w:t>, vol. 107, no. 6, pp. 2449–2474, Nov. 2015, doi: 10.2134/agronj15.0086.</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[39]</w:t>
      </w:r>
      <w:r w:rsidRPr="00AF0477">
        <w:rPr>
          <w:szCs w:val="24"/>
          <w:lang w:val="en-GB"/>
        </w:rPr>
        <w:tab/>
        <w:t>“Managing Spring Planted Cover Crops for Livestock Grazing under Dryland Conditions in the High Plains Region - 0.309,” Extension. Accessed: May 28, 2024. [Online]. Available: https://extension.colostate.edu/topic-areas/agriculture/managing-spring-planted-cover-crops-for-livestock-grazing-under-dryland-conditions-in-the-high-plains-region-0-309/</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[40]</w:t>
      </w:r>
      <w:r w:rsidRPr="00AF0477">
        <w:rPr>
          <w:szCs w:val="24"/>
          <w:lang w:val="en-GB"/>
        </w:rPr>
        <w:tab/>
        <w:t xml:space="preserve">G. Chen and R. Weil, “Penetration of cover crop roots through compacted soil,” </w:t>
      </w:r>
      <w:r w:rsidRPr="00AF0477">
        <w:rPr>
          <w:i/>
          <w:iCs/>
          <w:szCs w:val="24"/>
          <w:lang w:val="en-GB"/>
        </w:rPr>
        <w:t>Plant Soil</w:t>
      </w:r>
      <w:r w:rsidRPr="00AF0477">
        <w:rPr>
          <w:szCs w:val="24"/>
          <w:lang w:val="en-GB"/>
        </w:rPr>
        <w:t>, vol. 331, pp. 31–43, Jun. 2010, doi: 10.1007/s11104-009-0223-7.</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[41]</w:t>
      </w:r>
      <w:r w:rsidRPr="00AF0477">
        <w:rPr>
          <w:szCs w:val="24"/>
          <w:lang w:val="en-GB"/>
        </w:rPr>
        <w:tab/>
        <w:t xml:space="preserve">C. M. White </w:t>
      </w:r>
      <w:r w:rsidRPr="00AF0477">
        <w:rPr>
          <w:i/>
          <w:iCs/>
          <w:szCs w:val="24"/>
          <w:lang w:val="en-GB"/>
        </w:rPr>
        <w:t>et al.</w:t>
      </w:r>
      <w:r w:rsidRPr="00AF0477">
        <w:rPr>
          <w:szCs w:val="24"/>
          <w:lang w:val="en-GB"/>
        </w:rPr>
        <w:t xml:space="preserve">, “Managing the trade off between nitrogen supply and retention with cover crop mixtures,” </w:t>
      </w:r>
      <w:r w:rsidRPr="00AF0477">
        <w:rPr>
          <w:i/>
          <w:iCs/>
          <w:szCs w:val="24"/>
          <w:lang w:val="en-GB"/>
        </w:rPr>
        <w:t>Agric. Ecosyst. Environ.</w:t>
      </w:r>
      <w:r w:rsidRPr="00AF0477">
        <w:rPr>
          <w:szCs w:val="24"/>
          <w:lang w:val="en-GB"/>
        </w:rPr>
        <w:t>, vol. 237, pp. 121–133, Jan. 2017, doi: 10.1016/j.agee.2016.12.016.</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[42]</w:t>
      </w:r>
      <w:r w:rsidRPr="00AF0477">
        <w:rPr>
          <w:szCs w:val="24"/>
          <w:lang w:val="en-GB"/>
        </w:rPr>
        <w:tab/>
        <w:t xml:space="preserve">J. R. Teasdale and S. B. Mirsky, “Tillage and Planting Date Effects on Weed Dormancy, Emergence, and Early Growth in Organic Corn,” </w:t>
      </w:r>
      <w:r w:rsidRPr="00AF0477">
        <w:rPr>
          <w:i/>
          <w:iCs/>
          <w:szCs w:val="24"/>
          <w:lang w:val="en-GB"/>
        </w:rPr>
        <w:t>Weed Sci.</w:t>
      </w:r>
      <w:r w:rsidRPr="00AF0477">
        <w:rPr>
          <w:szCs w:val="24"/>
          <w:lang w:val="en-GB"/>
        </w:rPr>
        <w:t>, vol. 63, no. 2, pp. 477–490, Jun. 2015, doi: 10.1614/WS-D-14-00112.1.</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[43]</w:t>
      </w:r>
      <w:r w:rsidRPr="00AF0477">
        <w:rPr>
          <w:szCs w:val="24"/>
          <w:lang w:val="en-GB"/>
        </w:rPr>
        <w:tab/>
        <w:t>“Manipulation of Allelopathic Crops for Weed Control | SpringerLink.” Accessed: May 28, 2024. [Online]. Available: https://link.springer.com/book/10.1007/978-3-319-53186-1</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[44]</w:t>
      </w:r>
      <w:r w:rsidRPr="00AF0477">
        <w:rPr>
          <w:szCs w:val="24"/>
          <w:lang w:val="en-GB"/>
        </w:rPr>
        <w:tab/>
        <w:t xml:space="preserve">A. A. Bajwa, G. Mahajan, and B. S. Chauhan, “Nonconventional Weed Management Strategies for Modern Agriculture,” </w:t>
      </w:r>
      <w:r w:rsidRPr="00AF0477">
        <w:rPr>
          <w:i/>
          <w:iCs/>
          <w:szCs w:val="24"/>
          <w:lang w:val="en-GB"/>
        </w:rPr>
        <w:t>Weed Sci.</w:t>
      </w:r>
      <w:r w:rsidRPr="00AF0477">
        <w:rPr>
          <w:szCs w:val="24"/>
          <w:lang w:val="en-GB"/>
        </w:rPr>
        <w:t>, vol. 63, no. 4, pp. 723–747, Dec. 2015, doi: 10.1614/WS-D-15-00064.1.</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[45]</w:t>
      </w:r>
      <w:r w:rsidRPr="00AF0477">
        <w:rPr>
          <w:szCs w:val="24"/>
          <w:lang w:val="en-GB"/>
        </w:rPr>
        <w:tab/>
        <w:t xml:space="preserve">H. J. Beckie </w:t>
      </w:r>
      <w:r w:rsidRPr="00AF0477">
        <w:rPr>
          <w:i/>
          <w:iCs/>
          <w:szCs w:val="24"/>
          <w:lang w:val="en-GB"/>
        </w:rPr>
        <w:t>et al.</w:t>
      </w:r>
      <w:r w:rsidRPr="00AF0477">
        <w:rPr>
          <w:szCs w:val="24"/>
          <w:lang w:val="en-GB"/>
        </w:rPr>
        <w:t xml:space="preserve">, “A decade of herbicide-resistant crops in Canada,” </w:t>
      </w:r>
      <w:r w:rsidRPr="00AF0477">
        <w:rPr>
          <w:i/>
          <w:iCs/>
          <w:szCs w:val="24"/>
          <w:lang w:val="en-GB"/>
        </w:rPr>
        <w:t>Can. J. Plant Sci.</w:t>
      </w:r>
      <w:r w:rsidRPr="00AF0477">
        <w:rPr>
          <w:szCs w:val="24"/>
          <w:lang w:val="en-GB"/>
        </w:rPr>
        <w:t>, vol. 86, no. 4, pp. 1243–1264, Oct. 2006, doi: 10.4141/P05-193.</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[46]</w:t>
      </w:r>
      <w:r w:rsidRPr="00AF0477">
        <w:rPr>
          <w:szCs w:val="24"/>
          <w:lang w:val="en-GB"/>
        </w:rPr>
        <w:tab/>
        <w:t xml:space="preserve">S. O. Duke and S. B. Powles, “Glyphosate-Resistant Crops and Weeds : Now and in the Future,” </w:t>
      </w:r>
      <w:r w:rsidRPr="00AF0477">
        <w:rPr>
          <w:i/>
          <w:iCs/>
          <w:szCs w:val="24"/>
          <w:lang w:val="en-GB"/>
        </w:rPr>
        <w:t>Httpwwwagbioforummissourieduv12n34v12n34a10-Dukehtm</w:t>
      </w:r>
      <w:r w:rsidRPr="00AF0477">
        <w:rPr>
          <w:szCs w:val="24"/>
          <w:lang w:val="en-GB"/>
        </w:rPr>
        <w:t>, 2009, Accessed: May 29, 2024. [Online]. Available: https://mospace.umsystem.edu/xmlui/handle/10355/6923</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[47]</w:t>
      </w:r>
      <w:r w:rsidRPr="00AF0477">
        <w:rPr>
          <w:szCs w:val="24"/>
          <w:lang w:val="en-GB"/>
        </w:rPr>
        <w:tab/>
        <w:t xml:space="preserve">W. A. Givens </w:t>
      </w:r>
      <w:r w:rsidRPr="00AF0477">
        <w:rPr>
          <w:i/>
          <w:iCs/>
          <w:szCs w:val="24"/>
          <w:lang w:val="en-GB"/>
        </w:rPr>
        <w:t>et al.</w:t>
      </w:r>
      <w:r w:rsidRPr="00AF0477">
        <w:rPr>
          <w:szCs w:val="24"/>
          <w:lang w:val="en-GB"/>
        </w:rPr>
        <w:t xml:space="preserve">, “Survey of Tillage Trends Following the Adoption of Glyphosate-Resistant Crops,” </w:t>
      </w:r>
      <w:r w:rsidRPr="00AF0477">
        <w:rPr>
          <w:i/>
          <w:iCs/>
          <w:szCs w:val="24"/>
          <w:lang w:val="en-GB"/>
        </w:rPr>
        <w:t>Weed Technol.</w:t>
      </w:r>
      <w:r w:rsidRPr="00AF0477">
        <w:rPr>
          <w:szCs w:val="24"/>
          <w:lang w:val="en-GB"/>
        </w:rPr>
        <w:t>, vol. 23, no. 1, pp. 150–155, Mar. 2009, doi: 10.1614/WT-08-038.1.</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[48]</w:t>
      </w:r>
      <w:r w:rsidRPr="00AF0477">
        <w:rPr>
          <w:szCs w:val="24"/>
          <w:lang w:val="en-GB"/>
        </w:rPr>
        <w:tab/>
        <w:t xml:space="preserve">J. M. Peña, J. Torres-Sánchez, A. I. de Castro, M. Kelly, and F. López-Granados, “Weed Mapping in Early-Season Maize Fields Using Object-Based Analysis of Unmanned Aerial Vehicle (UAV) Images,” </w:t>
      </w:r>
      <w:r w:rsidRPr="00AF0477">
        <w:rPr>
          <w:i/>
          <w:iCs/>
          <w:szCs w:val="24"/>
          <w:lang w:val="en-GB"/>
        </w:rPr>
        <w:t>PLoS ONE</w:t>
      </w:r>
      <w:r w:rsidRPr="00AF0477">
        <w:rPr>
          <w:szCs w:val="24"/>
          <w:lang w:val="en-GB"/>
        </w:rPr>
        <w:t>, vol. 8, p. e77151, Oct. 2013, doi: 10.1371/journal.pone.0077151.</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[49]</w:t>
      </w:r>
      <w:r w:rsidRPr="00AF0477">
        <w:rPr>
          <w:szCs w:val="24"/>
          <w:lang w:val="en-GB"/>
        </w:rPr>
        <w:tab/>
        <w:t>K. Anderson and K. J. Gaston, “138 Lightweight unmanned aerial vehicles will”.</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[50]</w:t>
      </w:r>
      <w:r w:rsidRPr="00AF0477">
        <w:rPr>
          <w:szCs w:val="24"/>
          <w:lang w:val="en-GB"/>
        </w:rPr>
        <w:tab/>
        <w:t xml:space="preserve">C. Zhang and J. M. Kovacs, “The application of small unmanned aerial systems for precision agriculture: a review,” </w:t>
      </w:r>
      <w:r w:rsidRPr="00AF0477">
        <w:rPr>
          <w:i/>
          <w:iCs/>
          <w:szCs w:val="24"/>
          <w:lang w:val="en-GB"/>
        </w:rPr>
        <w:t>Precis. Agric.</w:t>
      </w:r>
      <w:r w:rsidRPr="00AF0477">
        <w:rPr>
          <w:szCs w:val="24"/>
          <w:lang w:val="en-GB"/>
        </w:rPr>
        <w:t>, vol. 13, no. 6, pp. 693–712, Jul. 2012, doi: 10.1007/s11119-012-9274-5.</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[51]</w:t>
      </w:r>
      <w:r w:rsidRPr="00AF0477">
        <w:rPr>
          <w:szCs w:val="24"/>
          <w:lang w:val="en-GB"/>
        </w:rPr>
        <w:tab/>
        <w:t xml:space="preserve">J. Torres-Sánchez, F. López-Granados, A. I. D. Castro, and J. M. Peña-Barragán, “Configuration and Specifications of an Unmanned Aerial Vehicle (UAV) for Early Site Specific Weed Management,” </w:t>
      </w:r>
      <w:r w:rsidRPr="00AF0477">
        <w:rPr>
          <w:i/>
          <w:iCs/>
          <w:szCs w:val="24"/>
          <w:lang w:val="en-GB"/>
        </w:rPr>
        <w:t>PLOS ONE</w:t>
      </w:r>
      <w:r w:rsidRPr="00AF0477">
        <w:rPr>
          <w:szCs w:val="24"/>
          <w:lang w:val="en-GB"/>
        </w:rPr>
        <w:t>, vol. 8, no. 3, p. e58210, Mar. 2013, doi: 10.1371/journal.pone.0058210.</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[52]</w:t>
      </w:r>
      <w:r w:rsidRPr="00AF0477">
        <w:rPr>
          <w:szCs w:val="24"/>
          <w:lang w:val="en-GB"/>
        </w:rPr>
        <w:tab/>
        <w:t xml:space="preserve">M. Gašparović, M. Zrinjski, Đ. Barković, and D. Radočaj, “An automatic method for weed mapping in oat fields based on UAV imagery,” </w:t>
      </w:r>
      <w:r w:rsidRPr="00AF0477">
        <w:rPr>
          <w:i/>
          <w:iCs/>
          <w:szCs w:val="24"/>
          <w:lang w:val="en-GB"/>
        </w:rPr>
        <w:t>Comput. Electron. Agric.</w:t>
      </w:r>
      <w:r w:rsidRPr="00AF0477">
        <w:rPr>
          <w:szCs w:val="24"/>
          <w:lang w:val="en-GB"/>
        </w:rPr>
        <w:t>, vol. 173, p. 105385, Jun. 2020, doi: 10.1016/j.compag.2020.105385.</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[53]</w:t>
      </w:r>
      <w:r w:rsidRPr="00AF0477">
        <w:rPr>
          <w:szCs w:val="24"/>
          <w:lang w:val="en-GB"/>
        </w:rPr>
        <w:tab/>
        <w:t xml:space="preserve">A. M. Smith and R. E. Blackshaw, “Weed–Crop Discrimination Using Remote Sensing: A Detached Leaf Experiment1,” </w:t>
      </w:r>
      <w:r w:rsidRPr="00AF0477">
        <w:rPr>
          <w:i/>
          <w:iCs/>
          <w:szCs w:val="24"/>
          <w:lang w:val="en-GB"/>
        </w:rPr>
        <w:t>Weed Technol.</w:t>
      </w:r>
      <w:r w:rsidRPr="00AF0477">
        <w:rPr>
          <w:szCs w:val="24"/>
          <w:lang w:val="en-GB"/>
        </w:rPr>
        <w:t>, vol. 17, no. 4, pp. 811–820, Oct. 2003, doi: 10.1614/WT02-179.</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[54]</w:t>
      </w:r>
      <w:r w:rsidRPr="00AF0477">
        <w:rPr>
          <w:szCs w:val="24"/>
          <w:lang w:val="en-GB"/>
        </w:rPr>
        <w:tab/>
        <w:t xml:space="preserve">M. H. M. Roslim </w:t>
      </w:r>
      <w:r w:rsidRPr="00AF0477">
        <w:rPr>
          <w:i/>
          <w:iCs/>
          <w:szCs w:val="24"/>
          <w:lang w:val="en-GB"/>
        </w:rPr>
        <w:t>et al.</w:t>
      </w:r>
      <w:r w:rsidRPr="00AF0477">
        <w:rPr>
          <w:szCs w:val="24"/>
          <w:lang w:val="en-GB"/>
        </w:rPr>
        <w:t xml:space="preserve">, “Using Remote Sensing and an Unmanned Aerial System for Weed Management in Agricultural Crops: A Review,” </w:t>
      </w:r>
      <w:r w:rsidRPr="00AF0477">
        <w:rPr>
          <w:i/>
          <w:iCs/>
          <w:szCs w:val="24"/>
          <w:lang w:val="en-GB"/>
        </w:rPr>
        <w:t>Agronomy</w:t>
      </w:r>
      <w:r w:rsidRPr="00AF0477">
        <w:rPr>
          <w:szCs w:val="24"/>
          <w:lang w:val="en-GB"/>
        </w:rPr>
        <w:t>, vol. 11, no. 9, Art. no. 9, Sep. 2021, doi: 10.3390/agronomy11091809.</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[55]</w:t>
      </w:r>
      <w:r w:rsidRPr="00AF0477">
        <w:rPr>
          <w:szCs w:val="24"/>
          <w:lang w:val="en-GB"/>
        </w:rPr>
        <w:tab/>
        <w:t xml:space="preserve">Q. Du, N.-B. Chang, C. Yang, and K. R. Srilakshmi, “Combination of multispectral remote sensing, variable rate technology and environmental modeling for citrus pest management,” </w:t>
      </w:r>
      <w:r w:rsidRPr="00AF0477">
        <w:rPr>
          <w:i/>
          <w:iCs/>
          <w:szCs w:val="24"/>
          <w:lang w:val="en-GB"/>
        </w:rPr>
        <w:t>J. Environ. Manage.</w:t>
      </w:r>
      <w:r w:rsidRPr="00AF0477">
        <w:rPr>
          <w:szCs w:val="24"/>
          <w:lang w:val="en-GB"/>
        </w:rPr>
        <w:t>, vol. 86, no. 1, pp. 14–26, Jan. 2008, doi: 10.1016/j.jenvman.2006.11.019.</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[56]</w:t>
      </w:r>
      <w:r w:rsidRPr="00AF0477">
        <w:rPr>
          <w:szCs w:val="24"/>
          <w:lang w:val="en-GB"/>
        </w:rPr>
        <w:tab/>
        <w:t xml:space="preserve">P. Kumar </w:t>
      </w:r>
      <w:r w:rsidRPr="00AF0477">
        <w:rPr>
          <w:i/>
          <w:iCs/>
          <w:szCs w:val="24"/>
          <w:lang w:val="en-GB"/>
        </w:rPr>
        <w:t>et al.</w:t>
      </w:r>
      <w:r w:rsidRPr="00AF0477">
        <w:rPr>
          <w:szCs w:val="24"/>
          <w:lang w:val="en-GB"/>
        </w:rPr>
        <w:t>, “Variability in arid soil characteristics,” 2009, pp. 78–112.</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[57]</w:t>
      </w:r>
      <w:r w:rsidRPr="00AF0477">
        <w:rPr>
          <w:szCs w:val="24"/>
          <w:lang w:val="en-GB"/>
        </w:rPr>
        <w:tab/>
        <w:t>K. Yadav and S. Sarkar, “Biofertilizers, Impact on Soil Fertility and Crop Productivity under Sustainable Agriculture,” Nov. 2018.</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lastRenderedPageBreak/>
        <w:t>[58]</w:t>
      </w:r>
      <w:r w:rsidRPr="00AF0477">
        <w:rPr>
          <w:szCs w:val="24"/>
          <w:lang w:val="en-GB"/>
        </w:rPr>
        <w:tab/>
        <w:t xml:space="preserve">N. Gruda, M. Bisbis, and J. Tanny, “Impacts of protected vegetable cultivation on climate change and adaptation strategies for cleaner production – A review,” </w:t>
      </w:r>
      <w:r w:rsidRPr="00AF0477">
        <w:rPr>
          <w:i/>
          <w:iCs/>
          <w:szCs w:val="24"/>
          <w:lang w:val="en-GB"/>
        </w:rPr>
        <w:t>J. Clean. Prod.</w:t>
      </w:r>
      <w:r w:rsidRPr="00AF0477">
        <w:rPr>
          <w:szCs w:val="24"/>
          <w:lang w:val="en-GB"/>
        </w:rPr>
        <w:t>, vol. 225, pp. 324–339, Jul. 2019, doi: 10.1016/j.jclepro.2019.03.295.</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[59]</w:t>
      </w:r>
      <w:r w:rsidRPr="00AF0477">
        <w:rPr>
          <w:szCs w:val="24"/>
          <w:lang w:val="en-GB"/>
        </w:rPr>
        <w:tab/>
        <w:t xml:space="preserve">K. Mehta, “Socio-Economic Impact of Protected Cultivation on Tomato Growers of Himachal Pradesh,” </w:t>
      </w:r>
      <w:r w:rsidRPr="00AF0477">
        <w:rPr>
          <w:i/>
          <w:iCs/>
          <w:szCs w:val="24"/>
          <w:lang w:val="en-GB"/>
        </w:rPr>
        <w:t>Econ. Aff.</w:t>
      </w:r>
      <w:r w:rsidRPr="00AF0477">
        <w:rPr>
          <w:szCs w:val="24"/>
          <w:lang w:val="en-GB"/>
        </w:rPr>
        <w:t>, vol. 65, Mar. 2020, doi: 10.30954/0424-2513.1.2020.1.</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[60]</w:t>
      </w:r>
      <w:r w:rsidRPr="00AF0477">
        <w:rPr>
          <w:szCs w:val="24"/>
          <w:lang w:val="en-GB"/>
        </w:rPr>
        <w:tab/>
        <w:t xml:space="preserve">P. Kumar, P. S. Khapte, A. Singh, and A. Saxena, “Optimization of Low-Tech Protected Structure and Irrigation Regime for Cucumber Production under Hot Arid Regions of India,” </w:t>
      </w:r>
      <w:r w:rsidRPr="00AF0477">
        <w:rPr>
          <w:i/>
          <w:iCs/>
          <w:szCs w:val="24"/>
          <w:lang w:val="en-GB"/>
        </w:rPr>
        <w:t>Plants</w:t>
      </w:r>
      <w:r w:rsidRPr="00AF0477">
        <w:rPr>
          <w:szCs w:val="24"/>
          <w:lang w:val="en-GB"/>
        </w:rPr>
        <w:t>, vol. 13, no. 1, Art. no. 1, Jan. 2024, doi: 10.3390/plants13010146.</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[61]</w:t>
      </w:r>
      <w:r w:rsidRPr="00AF0477">
        <w:rPr>
          <w:szCs w:val="24"/>
          <w:lang w:val="en-GB"/>
        </w:rPr>
        <w:tab/>
        <w:t xml:space="preserve">P. S. Khapte, P. Kumar, A. Saxena, and A. Singh, “Performance evaluation and character association studies in arid region greenhouse tomato hybrids,” </w:t>
      </w:r>
      <w:r w:rsidRPr="00AF0477">
        <w:rPr>
          <w:i/>
          <w:iCs/>
          <w:szCs w:val="24"/>
          <w:lang w:val="en-GB"/>
        </w:rPr>
        <w:t>Indian J. Hortic.</w:t>
      </w:r>
      <w:r w:rsidRPr="00AF0477">
        <w:rPr>
          <w:szCs w:val="24"/>
          <w:lang w:val="en-GB"/>
        </w:rPr>
        <w:t>, vol. 75, no. 03, Art. no. 03, Sep. 2018, doi: 10.5958/0974-0112.2018.00077.4.</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[62]</w:t>
      </w:r>
      <w:r w:rsidRPr="00AF0477">
        <w:rPr>
          <w:szCs w:val="24"/>
          <w:lang w:val="en-GB"/>
        </w:rPr>
        <w:tab/>
        <w:t xml:space="preserve">P. S. Khapte, P. Kumar, A. Singh, G. C. Wakchaure, A. Saxena, and L. Sabatino, “Integrative Effect of Protective Structures and Irrigation Levels on Tomato Performance in Indian Hot-Arid Region,” </w:t>
      </w:r>
      <w:r w:rsidRPr="00AF0477">
        <w:rPr>
          <w:i/>
          <w:iCs/>
          <w:szCs w:val="24"/>
          <w:lang w:val="en-GB"/>
        </w:rPr>
        <w:t>Plants</w:t>
      </w:r>
      <w:r w:rsidRPr="00AF0477">
        <w:rPr>
          <w:szCs w:val="24"/>
          <w:lang w:val="en-GB"/>
        </w:rPr>
        <w:t>, vol. 11, no. 20, p. 2743, Oct. 2022, doi: 10.3390/plants11202743.</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[63]</w:t>
      </w:r>
      <w:r w:rsidRPr="00AF0477">
        <w:rPr>
          <w:szCs w:val="24"/>
          <w:lang w:val="en-GB"/>
        </w:rPr>
        <w:tab/>
        <w:t xml:space="preserve">P. Pachiyappan </w:t>
      </w:r>
      <w:r w:rsidRPr="00AF0477">
        <w:rPr>
          <w:i/>
          <w:iCs/>
          <w:szCs w:val="24"/>
          <w:lang w:val="en-GB"/>
        </w:rPr>
        <w:t>et al.</w:t>
      </w:r>
      <w:r w:rsidRPr="00AF0477">
        <w:rPr>
          <w:szCs w:val="24"/>
          <w:lang w:val="en-GB"/>
        </w:rPr>
        <w:t xml:space="preserve">, “Protected Cultivation of Horticultural Crops as a Livelihood Opportunity in Western India: An Economic Assessment,” </w:t>
      </w:r>
      <w:r w:rsidRPr="00AF0477">
        <w:rPr>
          <w:i/>
          <w:iCs/>
          <w:szCs w:val="24"/>
          <w:lang w:val="en-GB"/>
        </w:rPr>
        <w:t>Sustainability</w:t>
      </w:r>
      <w:r w:rsidRPr="00AF0477">
        <w:rPr>
          <w:szCs w:val="24"/>
          <w:lang w:val="en-GB"/>
        </w:rPr>
        <w:t>, vol. 14, no. 12, Art. no. 12, Jan. 2022, doi: 10.3390/su14127430.</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[64]</w:t>
      </w:r>
      <w:r w:rsidRPr="00AF0477">
        <w:rPr>
          <w:szCs w:val="24"/>
          <w:lang w:val="en-GB"/>
        </w:rPr>
        <w:tab/>
        <w:t xml:space="preserve">C. Stanghellini and J. I. Montero, “Resource use efficiency in protected cultivation towards the greenhouse with zero emission,” in </w:t>
      </w:r>
      <w:r w:rsidRPr="00AF0477">
        <w:rPr>
          <w:i/>
          <w:iCs/>
          <w:szCs w:val="24"/>
          <w:lang w:val="en-GB"/>
        </w:rPr>
        <w:t>ISHS 28th Int. Horticultural Congress - Science and Horticulture for People - Abstracts Volume II (Symposia). Lisbon, Portugal, 22 - 27 August, 2010</w:t>
      </w:r>
      <w:r w:rsidRPr="00AF0477">
        <w:rPr>
          <w:szCs w:val="24"/>
          <w:lang w:val="en-GB"/>
        </w:rPr>
        <w:t>, ISHS, 2010, pp. 186–187. Accessed: May 29, 2024. [Online]. Available: https://research.wur.nl/en/publications/resource-use-efficiency-in-protected-cultivation-towards-the-gree-2</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[65]</w:t>
      </w:r>
      <w:r w:rsidRPr="00AF0477">
        <w:rPr>
          <w:szCs w:val="24"/>
          <w:lang w:val="en-GB"/>
        </w:rPr>
        <w:tab/>
        <w:t xml:space="preserve">P. Dixit, A. Singh, C. Tripathi, R. Singh, and P. Kumar, “A Review on Protected Cultivation of Vegetables: Opportunities and Challenges,” </w:t>
      </w:r>
      <w:r w:rsidRPr="00AF0477">
        <w:rPr>
          <w:i/>
          <w:iCs/>
          <w:szCs w:val="24"/>
          <w:lang w:val="en-GB"/>
        </w:rPr>
        <w:t>Int. J. Environ. Clim. Change</w:t>
      </w:r>
      <w:r w:rsidRPr="00AF0477">
        <w:rPr>
          <w:szCs w:val="24"/>
          <w:lang w:val="en-GB"/>
        </w:rPr>
        <w:t>, vol. 13, pp. 3371–3380, Nov. 2023, doi: 10.9734/ijecc/2023/v13i113511.</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[66]</w:t>
      </w:r>
      <w:r w:rsidRPr="00AF0477">
        <w:rPr>
          <w:szCs w:val="24"/>
          <w:lang w:val="en-GB"/>
        </w:rPr>
        <w:tab/>
        <w:t>R. Meena, P. Kalla, and B. Dhaka, “Constraints in adoption of protected cultivation technologies in semi-arid eastern plains zone of Rajasthan”.</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[67]</w:t>
      </w:r>
      <w:r w:rsidRPr="00AF0477">
        <w:rPr>
          <w:szCs w:val="24"/>
          <w:lang w:val="en-GB"/>
        </w:rPr>
        <w:tab/>
        <w:t xml:space="preserve">I. Prabhakar </w:t>
      </w:r>
      <w:r w:rsidRPr="00AF0477">
        <w:rPr>
          <w:i/>
          <w:iCs/>
          <w:szCs w:val="24"/>
          <w:lang w:val="en-GB"/>
        </w:rPr>
        <w:t>et al.</w:t>
      </w:r>
      <w:r w:rsidRPr="00AF0477">
        <w:rPr>
          <w:szCs w:val="24"/>
          <w:lang w:val="en-GB"/>
        </w:rPr>
        <w:t xml:space="preserve">, “Constraints in adoption and strategies to promote polyhouse technology among farmers: A multi-stakeholder and multi-dimensional study,” </w:t>
      </w:r>
      <w:r w:rsidRPr="00AF0477">
        <w:rPr>
          <w:i/>
          <w:iCs/>
          <w:szCs w:val="24"/>
          <w:lang w:val="en-GB"/>
        </w:rPr>
        <w:t>Not Available</w:t>
      </w:r>
      <w:r w:rsidRPr="00AF0477">
        <w:rPr>
          <w:szCs w:val="24"/>
          <w:lang w:val="en-GB"/>
        </w:rPr>
        <w:t>, Jan. 2017, Accessed: May 29, 2024. [Online]. Available: http://krishi.icar.gov.in/jspui/handle/123456789/14390</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[68]</w:t>
      </w:r>
      <w:r w:rsidRPr="00AF0477">
        <w:rPr>
          <w:szCs w:val="24"/>
          <w:lang w:val="en-GB"/>
        </w:rPr>
        <w:tab/>
        <w:t xml:space="preserve">M. Parmar </w:t>
      </w:r>
      <w:r w:rsidRPr="00AF0477">
        <w:rPr>
          <w:i/>
          <w:iCs/>
          <w:szCs w:val="24"/>
          <w:lang w:val="en-GB"/>
        </w:rPr>
        <w:t>et al.</w:t>
      </w:r>
      <w:r w:rsidRPr="00AF0477">
        <w:rPr>
          <w:szCs w:val="24"/>
          <w:lang w:val="en-GB"/>
        </w:rPr>
        <w:t xml:space="preserve">, </w:t>
      </w:r>
      <w:r w:rsidRPr="00AF0477">
        <w:rPr>
          <w:i/>
          <w:iCs/>
          <w:szCs w:val="24"/>
          <w:lang w:val="en-GB"/>
        </w:rPr>
        <w:t>Desertification and Land Degradation Atlas of India (Assessment and analysis of changes over 15 years based on remote sensing)</w:t>
      </w:r>
      <w:r w:rsidRPr="00AF0477">
        <w:rPr>
          <w:szCs w:val="24"/>
          <w:lang w:val="en-GB"/>
        </w:rPr>
        <w:t>. 2021.</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[69]</w:t>
      </w:r>
      <w:r w:rsidRPr="00AF0477">
        <w:rPr>
          <w:szCs w:val="24"/>
          <w:lang w:val="en-GB"/>
        </w:rPr>
        <w:tab/>
        <w:t>M. B. Abdullahi, A. A. Elnaggar, M. M. Omar, A. Murtala, M. Lawal, and A. A. Mosa, “</w:t>
      </w:r>
      <w:r w:rsidR="007345A2" w:rsidRPr="00AF0477">
        <w:rPr>
          <w:szCs w:val="24"/>
          <w:lang w:val="en-GB"/>
        </w:rPr>
        <w:t>Land degradation, causes, implications and sustainable management in arid and semi</w:t>
      </w:r>
      <w:r w:rsidR="007345A2">
        <w:rPr>
          <w:szCs w:val="24"/>
          <w:lang w:val="en-GB"/>
        </w:rPr>
        <w:t>-</w:t>
      </w:r>
      <w:r w:rsidR="007345A2" w:rsidRPr="00AF0477">
        <w:rPr>
          <w:szCs w:val="24"/>
          <w:lang w:val="en-GB"/>
        </w:rPr>
        <w:t>arid regions: a case study of Egypt</w:t>
      </w:r>
      <w:r w:rsidRPr="00AF0477">
        <w:rPr>
          <w:szCs w:val="24"/>
          <w:lang w:val="en-GB"/>
        </w:rPr>
        <w:t xml:space="preserve">,” </w:t>
      </w:r>
      <w:r w:rsidRPr="00AF0477">
        <w:rPr>
          <w:i/>
          <w:iCs/>
          <w:szCs w:val="24"/>
          <w:lang w:val="en-GB"/>
        </w:rPr>
        <w:t>Egypt. J. Soil Sci.</w:t>
      </w:r>
      <w:r w:rsidRPr="00AF0477">
        <w:rPr>
          <w:szCs w:val="24"/>
          <w:lang w:val="en-GB"/>
        </w:rPr>
        <w:t>, vol. 63, no. 4, pp. 659–676, Oct. 2023, doi: 10.21608/ejss.2023.230986.1647.</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[70]</w:t>
      </w:r>
      <w:r w:rsidRPr="00AF0477">
        <w:rPr>
          <w:szCs w:val="24"/>
          <w:lang w:val="en-GB"/>
        </w:rPr>
        <w:tab/>
        <w:t xml:space="preserve">A. Kumar, A. Panda, L. Srivastava, and V. Mishra, “Effect of conservation tillage on biological activity in soil and crop productivity under rainfed Vertisols of central India,” </w:t>
      </w:r>
      <w:r w:rsidRPr="00AF0477">
        <w:rPr>
          <w:i/>
          <w:iCs/>
          <w:szCs w:val="24"/>
          <w:lang w:val="en-GB"/>
        </w:rPr>
        <w:t>Int. J. Chem. Stud.</w:t>
      </w:r>
      <w:r w:rsidRPr="00AF0477">
        <w:rPr>
          <w:szCs w:val="24"/>
          <w:lang w:val="en-GB"/>
        </w:rPr>
        <w:t>.</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[71]</w:t>
      </w:r>
      <w:r w:rsidRPr="00AF0477">
        <w:rPr>
          <w:szCs w:val="24"/>
          <w:lang w:val="en-GB"/>
        </w:rPr>
        <w:tab/>
        <w:t xml:space="preserve">S. Tambe </w:t>
      </w:r>
      <w:r w:rsidRPr="00AF0477">
        <w:rPr>
          <w:i/>
          <w:iCs/>
          <w:szCs w:val="24"/>
          <w:lang w:val="en-GB"/>
        </w:rPr>
        <w:t>et al.</w:t>
      </w:r>
      <w:r w:rsidRPr="00AF0477">
        <w:rPr>
          <w:szCs w:val="24"/>
          <w:lang w:val="en-GB"/>
        </w:rPr>
        <w:t xml:space="preserve">, “Compensatory afforestation policy in India: an analysis using an ecorestoration lens,” </w:t>
      </w:r>
      <w:r w:rsidRPr="00AF0477">
        <w:rPr>
          <w:i/>
          <w:iCs/>
          <w:szCs w:val="24"/>
          <w:lang w:val="en-GB"/>
        </w:rPr>
        <w:t>Int. For. Rev.</w:t>
      </w:r>
      <w:r w:rsidRPr="00AF0477">
        <w:rPr>
          <w:szCs w:val="24"/>
          <w:lang w:val="en-GB"/>
        </w:rPr>
        <w:t>, vol. 24, no. 4, pp. 607–618, Dec. 2022, doi: 10.1505/146554822836282473.</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[72]</w:t>
      </w:r>
      <w:r w:rsidRPr="00AF0477">
        <w:rPr>
          <w:szCs w:val="24"/>
          <w:lang w:val="en-GB"/>
        </w:rPr>
        <w:tab/>
        <w:t xml:space="preserve">S. Murthy. R and J. Richard, “Windbreaks and Shelterbelts: Bio-Protectors for Soil and Wind Erosion,” </w:t>
      </w:r>
      <w:r w:rsidRPr="00AF0477">
        <w:rPr>
          <w:i/>
          <w:iCs/>
          <w:szCs w:val="24"/>
          <w:lang w:val="en-GB"/>
        </w:rPr>
        <w:t>SSRN Electron. J.</w:t>
      </w:r>
      <w:r w:rsidRPr="00AF0477">
        <w:rPr>
          <w:szCs w:val="24"/>
          <w:lang w:val="en-GB"/>
        </w:rPr>
        <w:t>, Jan. 2022, doi: 10.2139/ssrn.4216977.</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[73]</w:t>
      </w:r>
      <w:r w:rsidRPr="00AF0477">
        <w:rPr>
          <w:szCs w:val="24"/>
          <w:lang w:val="en-GB"/>
        </w:rPr>
        <w:tab/>
        <w:t xml:space="preserve">N. Masebo and M. Menamo, “A Review Paper on: The Role of Agroforestry for Rehabilitation of Degraded Soil,” </w:t>
      </w:r>
      <w:r w:rsidRPr="00AF0477">
        <w:rPr>
          <w:i/>
          <w:iCs/>
          <w:szCs w:val="24"/>
          <w:lang w:val="en-GB"/>
        </w:rPr>
        <w:t>J. Biol.</w:t>
      </w:r>
      <w:r w:rsidRPr="00AF0477">
        <w:rPr>
          <w:szCs w:val="24"/>
          <w:lang w:val="en-GB"/>
        </w:rPr>
        <w:t>, 2016.</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[74]</w:t>
      </w:r>
      <w:r w:rsidRPr="00AF0477">
        <w:rPr>
          <w:szCs w:val="24"/>
          <w:lang w:val="en-GB"/>
        </w:rPr>
        <w:tab/>
        <w:t xml:space="preserve">M. Ashraf, N. A. Akram,  null Mehboob-Ur-Rahman, and M. R. Foolad, “Marker-assisted selection in plant breeding for salinity tolerance,” </w:t>
      </w:r>
      <w:r w:rsidRPr="00AF0477">
        <w:rPr>
          <w:i/>
          <w:iCs/>
          <w:szCs w:val="24"/>
          <w:lang w:val="en-GB"/>
        </w:rPr>
        <w:t>Methods Mol. Biol. Clifton NJ</w:t>
      </w:r>
      <w:r w:rsidRPr="00AF0477">
        <w:rPr>
          <w:szCs w:val="24"/>
          <w:lang w:val="en-GB"/>
        </w:rPr>
        <w:t>, vol. 913, pp. 305–333, 2012, doi: 10.1007/978-1-61779-986-0_21.</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[75]</w:t>
      </w:r>
      <w:r w:rsidRPr="00AF0477">
        <w:rPr>
          <w:szCs w:val="24"/>
          <w:lang w:val="en-GB"/>
        </w:rPr>
        <w:tab/>
        <w:t>M. Kabi and S. K. Tripathy, “Smart Breeding,” Oct. 2023.</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[76]</w:t>
      </w:r>
      <w:r w:rsidRPr="00AF0477">
        <w:rPr>
          <w:szCs w:val="24"/>
          <w:lang w:val="en-GB"/>
        </w:rPr>
        <w:tab/>
        <w:t xml:space="preserve">G. De Mori and G. Cipriani, “Marker-Assisted Selection in Breeding for Fruit Trait Improvement: A Review,” </w:t>
      </w:r>
      <w:r w:rsidRPr="00AF0477">
        <w:rPr>
          <w:i/>
          <w:iCs/>
          <w:szCs w:val="24"/>
          <w:lang w:val="en-GB"/>
        </w:rPr>
        <w:t>Int. J. Mol. Sci.</w:t>
      </w:r>
      <w:r w:rsidRPr="00AF0477">
        <w:rPr>
          <w:szCs w:val="24"/>
          <w:lang w:val="en-GB"/>
        </w:rPr>
        <w:t>, vol. 24, no. 10, Art. no. 10, Jan. 2023, doi: 10.3390/ijms24108984.</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[77]</w:t>
      </w:r>
      <w:r w:rsidRPr="00AF0477">
        <w:rPr>
          <w:szCs w:val="24"/>
          <w:lang w:val="en-GB"/>
        </w:rPr>
        <w:tab/>
        <w:t xml:space="preserve">B. C. Y. Collard and D. J. Mackill, “Marker-assisted selection: an approach for precision plant breeding in the twenty-first century,” </w:t>
      </w:r>
      <w:r w:rsidRPr="00AF0477">
        <w:rPr>
          <w:i/>
          <w:iCs/>
          <w:szCs w:val="24"/>
          <w:lang w:val="en-GB"/>
        </w:rPr>
        <w:t>Philos. Trans. R. Soc. B Biol. Sci.</w:t>
      </w:r>
      <w:r w:rsidRPr="00AF0477">
        <w:rPr>
          <w:szCs w:val="24"/>
          <w:lang w:val="en-GB"/>
        </w:rPr>
        <w:t>, vol. 363, no. 1491, pp. 557–572, Feb. 2008, doi: 10.1098/rstb.2007.2170.</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[78]</w:t>
      </w:r>
      <w:r w:rsidRPr="00AF0477">
        <w:rPr>
          <w:szCs w:val="24"/>
          <w:lang w:val="en-GB"/>
        </w:rPr>
        <w:tab/>
        <w:t xml:space="preserve">F. Hospital, “Size of donor chromosome segments around introgressed loci and reduction of linkage drag in marker-assisted backcross programs.,” </w:t>
      </w:r>
      <w:r w:rsidRPr="00AF0477">
        <w:rPr>
          <w:i/>
          <w:iCs/>
          <w:szCs w:val="24"/>
          <w:lang w:val="en-GB"/>
        </w:rPr>
        <w:t>Genetics</w:t>
      </w:r>
      <w:r w:rsidRPr="00AF0477">
        <w:rPr>
          <w:szCs w:val="24"/>
          <w:lang w:val="en-GB"/>
        </w:rPr>
        <w:t>, vol. 158, no. 3, pp. 1363–1379, Jul. 2001.</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[79]</w:t>
      </w:r>
      <w:r w:rsidRPr="00AF0477">
        <w:rPr>
          <w:szCs w:val="24"/>
          <w:lang w:val="en-GB"/>
        </w:rPr>
        <w:tab/>
        <w:t xml:space="preserve">F. Hospital and A. Charcosset, “Marker-Assisted Introgression of Quantitative Trait Loci,” </w:t>
      </w:r>
      <w:r w:rsidRPr="00AF0477">
        <w:rPr>
          <w:i/>
          <w:iCs/>
          <w:szCs w:val="24"/>
          <w:lang w:val="en-GB"/>
        </w:rPr>
        <w:t>Genetics</w:t>
      </w:r>
      <w:r w:rsidRPr="00AF0477">
        <w:rPr>
          <w:szCs w:val="24"/>
          <w:lang w:val="en-GB"/>
        </w:rPr>
        <w:t>, vol. 147, no. 3, pp. 1469–1485, Nov. 1997.</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[80]</w:t>
      </w:r>
      <w:r w:rsidRPr="00AF0477">
        <w:rPr>
          <w:szCs w:val="24"/>
          <w:lang w:val="en-GB"/>
        </w:rPr>
        <w:tab/>
        <w:t xml:space="preserve">S. D. Tanksley, N. D. Young, A. H. Paterson, and M. W. Bonierbale, “RFLP Mapping in Plant Breeding: New Tools for an Old Science,” </w:t>
      </w:r>
      <w:r w:rsidRPr="00AF0477">
        <w:rPr>
          <w:i/>
          <w:iCs/>
          <w:szCs w:val="24"/>
          <w:lang w:val="en-GB"/>
        </w:rPr>
        <w:t>Bio/Technology</w:t>
      </w:r>
      <w:r w:rsidRPr="00AF0477">
        <w:rPr>
          <w:szCs w:val="24"/>
          <w:lang w:val="en-GB"/>
        </w:rPr>
        <w:t>, vol. 7, no. 3, pp. 257–264, Mar. 1989, doi: 10.1038/nbt0389-257.</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lastRenderedPageBreak/>
        <w:t>[81]</w:t>
      </w:r>
      <w:r w:rsidRPr="00AF0477">
        <w:rPr>
          <w:szCs w:val="24"/>
          <w:lang w:val="en-GB"/>
        </w:rPr>
        <w:tab/>
        <w:t xml:space="preserve">M. A. Haque </w:t>
      </w:r>
      <w:r w:rsidRPr="00AF0477">
        <w:rPr>
          <w:i/>
          <w:iCs/>
          <w:szCs w:val="24"/>
          <w:lang w:val="en-GB"/>
        </w:rPr>
        <w:t>et al.</w:t>
      </w:r>
      <w:r w:rsidRPr="00AF0477">
        <w:rPr>
          <w:szCs w:val="24"/>
          <w:lang w:val="en-GB"/>
        </w:rPr>
        <w:t xml:space="preserve">, “Recent Advances in Rice Varietal Development for Durable Resistance to Biotic and Abiotic Stresses through Marker-Assisted Gene Pyramiding,” </w:t>
      </w:r>
      <w:r w:rsidRPr="00AF0477">
        <w:rPr>
          <w:i/>
          <w:iCs/>
          <w:szCs w:val="24"/>
          <w:lang w:val="en-GB"/>
        </w:rPr>
        <w:t>Sustainability</w:t>
      </w:r>
      <w:r w:rsidRPr="00AF0477">
        <w:rPr>
          <w:szCs w:val="24"/>
          <w:lang w:val="en-GB"/>
        </w:rPr>
        <w:t>, vol. 13, no. 19, Art. no. 19, Jan. 2021, doi: 10.3390/su131910806.</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[82]</w:t>
      </w:r>
      <w:r w:rsidRPr="00AF0477">
        <w:rPr>
          <w:szCs w:val="24"/>
          <w:lang w:val="en-GB"/>
        </w:rPr>
        <w:tab/>
        <w:t xml:space="preserve">M. Jinek, K. Chylinski, I. Fonfara, M. Hauer, J. A. Doudna, and E. Charpentier, “A Programmable Dual-RNA–Guided DNA Endonuclease in Adaptive Bacterial Immunity,” </w:t>
      </w:r>
      <w:r w:rsidRPr="00AF0477">
        <w:rPr>
          <w:i/>
          <w:iCs/>
          <w:szCs w:val="24"/>
          <w:lang w:val="en-GB"/>
        </w:rPr>
        <w:t>Science</w:t>
      </w:r>
      <w:r w:rsidRPr="00AF0477">
        <w:rPr>
          <w:szCs w:val="24"/>
          <w:lang w:val="en-GB"/>
        </w:rPr>
        <w:t>, vol. 337, no. 6096, pp. 816–821, Aug. 2012, doi: 10.1126/science.1225829.</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[83]</w:t>
      </w:r>
      <w:r w:rsidRPr="00AF0477">
        <w:rPr>
          <w:szCs w:val="24"/>
          <w:lang w:val="en-GB"/>
        </w:rPr>
        <w:tab/>
        <w:t xml:space="preserve">F. Hille and E. Charpentier, “CRISPR-Cas: biology, mechanisms and relevance,” </w:t>
      </w:r>
      <w:r w:rsidRPr="00AF0477">
        <w:rPr>
          <w:i/>
          <w:iCs/>
          <w:szCs w:val="24"/>
          <w:lang w:val="en-GB"/>
        </w:rPr>
        <w:t>Philos. Trans. R. Soc. B Biol. Sci.</w:t>
      </w:r>
      <w:r w:rsidRPr="00AF0477">
        <w:rPr>
          <w:szCs w:val="24"/>
          <w:lang w:val="en-GB"/>
        </w:rPr>
        <w:t>, vol. 371, no. 1707, p. 20150496, Nov. 2016, doi: 10.1098/rstb.2015.0496.</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[84]</w:t>
      </w:r>
      <w:r w:rsidRPr="00AF0477">
        <w:rPr>
          <w:szCs w:val="24"/>
          <w:lang w:val="en-GB"/>
        </w:rPr>
        <w:tab/>
        <w:t xml:space="preserve">M. Porteus, “Genome Editing: A New Approach to Human Therapeutics,” </w:t>
      </w:r>
      <w:r w:rsidRPr="00AF0477">
        <w:rPr>
          <w:i/>
          <w:iCs/>
          <w:szCs w:val="24"/>
          <w:lang w:val="en-GB"/>
        </w:rPr>
        <w:t>Annu. Rev. Pharmacol. Toxicol.</w:t>
      </w:r>
      <w:r w:rsidRPr="00AF0477">
        <w:rPr>
          <w:szCs w:val="24"/>
          <w:lang w:val="en-GB"/>
        </w:rPr>
        <w:t>, vol. 56, no. 1, pp. 163–190, Jan. 2016, doi: 10.1146/annurev-pharmtox-010814-124454.</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[85]</w:t>
      </w:r>
      <w:r w:rsidRPr="00AF0477">
        <w:rPr>
          <w:szCs w:val="24"/>
          <w:lang w:val="en-GB"/>
        </w:rPr>
        <w:tab/>
        <w:t xml:space="preserve">Y. Mei, Y. Wang, H. Chen, Z. S. Sun, and X.-D. Ju, “Recent Progress in CRISPR/Cas9 Technology,” </w:t>
      </w:r>
      <w:r w:rsidRPr="00AF0477">
        <w:rPr>
          <w:i/>
          <w:iCs/>
          <w:szCs w:val="24"/>
          <w:lang w:val="en-GB"/>
        </w:rPr>
        <w:t>J. Genet. Genomics</w:t>
      </w:r>
      <w:r w:rsidRPr="00AF0477">
        <w:rPr>
          <w:szCs w:val="24"/>
          <w:lang w:val="en-GB"/>
        </w:rPr>
        <w:t>, vol. 43, no. 2, pp. 63–75, Feb. 2016, doi: 10.1016/j.jgg.2016.01.001.</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[86]</w:t>
      </w:r>
      <w:r w:rsidRPr="00AF0477">
        <w:rPr>
          <w:szCs w:val="24"/>
          <w:lang w:val="en-GB"/>
        </w:rPr>
        <w:tab/>
        <w:t xml:space="preserve">H. Nishimasu </w:t>
      </w:r>
      <w:r w:rsidRPr="00AF0477">
        <w:rPr>
          <w:i/>
          <w:iCs/>
          <w:szCs w:val="24"/>
          <w:lang w:val="en-GB"/>
        </w:rPr>
        <w:t>et al.</w:t>
      </w:r>
      <w:r w:rsidRPr="00AF0477">
        <w:rPr>
          <w:szCs w:val="24"/>
          <w:lang w:val="en-GB"/>
        </w:rPr>
        <w:t xml:space="preserve">, “Crystal structure of Cas9 in complex with guide RNA and target DNA,” </w:t>
      </w:r>
      <w:r w:rsidRPr="00AF0477">
        <w:rPr>
          <w:i/>
          <w:iCs/>
          <w:szCs w:val="24"/>
          <w:lang w:val="en-GB"/>
        </w:rPr>
        <w:t>Cell</w:t>
      </w:r>
      <w:r w:rsidRPr="00AF0477">
        <w:rPr>
          <w:szCs w:val="24"/>
          <w:lang w:val="en-GB"/>
        </w:rPr>
        <w:t>, vol. 156, no. 5, pp. 935–949, Feb. 2014, doi: 10.1016/j.cell.2014.02.001.</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[87]</w:t>
      </w:r>
      <w:r w:rsidRPr="00AF0477">
        <w:rPr>
          <w:szCs w:val="24"/>
          <w:lang w:val="en-GB"/>
        </w:rPr>
        <w:tab/>
        <w:t xml:space="preserve">M. Shao, T.-R. Xu, and C.-S. Chen, “The big bang of genome editing technology: development and application of the CRISPR/Cas9 system in disease animal models,” </w:t>
      </w:r>
      <w:r w:rsidRPr="00AF0477">
        <w:rPr>
          <w:i/>
          <w:iCs/>
          <w:szCs w:val="24"/>
          <w:lang w:val="en-GB"/>
        </w:rPr>
        <w:t>Dong Wu Xue Yan Jiu Zool. Res.</w:t>
      </w:r>
      <w:r w:rsidRPr="00AF0477">
        <w:rPr>
          <w:szCs w:val="24"/>
          <w:lang w:val="en-GB"/>
        </w:rPr>
        <w:t>, vol. 37, no. 4, pp. 191–204, Jul. 2016, doi: 10.13918/j.issn.2095-8137.2016.4.191.</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[88]</w:t>
      </w:r>
      <w:r w:rsidRPr="00AF0477">
        <w:rPr>
          <w:szCs w:val="24"/>
          <w:lang w:val="en-GB"/>
        </w:rPr>
        <w:tab/>
        <w:t xml:space="preserve">S. A. Ceasar, V. Rajan, S. V. Prykhozhij, J. N. Berman, and S. Ignacimuthu, “Insert, remove or replace: A highly advanced genome editing system using CRISPR/Cas9,” </w:t>
      </w:r>
      <w:r w:rsidRPr="00AF0477">
        <w:rPr>
          <w:i/>
          <w:iCs/>
          <w:szCs w:val="24"/>
          <w:lang w:val="en-GB"/>
        </w:rPr>
        <w:t>Biochim. Biophys. Acta BBA - Mol. Cell Res.</w:t>
      </w:r>
      <w:r w:rsidRPr="00AF0477">
        <w:rPr>
          <w:szCs w:val="24"/>
          <w:lang w:val="en-GB"/>
        </w:rPr>
        <w:t>, vol. 1863, no. 9, pp. 2333–2344, Sep. 2016, doi: 10.1016/j.bbamcr.2016.06.009.</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[89]</w:t>
      </w:r>
      <w:r w:rsidRPr="00AF0477">
        <w:rPr>
          <w:szCs w:val="24"/>
          <w:lang w:val="en-GB"/>
        </w:rPr>
        <w:tab/>
        <w:t xml:space="preserve">F. Jiang and J. A. Doudna, “CRISPR–Cas9 Structures and Mechanisms,” </w:t>
      </w:r>
      <w:r w:rsidRPr="00AF0477">
        <w:rPr>
          <w:i/>
          <w:iCs/>
          <w:szCs w:val="24"/>
          <w:lang w:val="en-GB"/>
        </w:rPr>
        <w:t>Annu. Rev. Biophys.</w:t>
      </w:r>
      <w:r w:rsidRPr="00AF0477">
        <w:rPr>
          <w:szCs w:val="24"/>
          <w:lang w:val="en-GB"/>
        </w:rPr>
        <w:t>, vol. 46, no. 1, pp. 505–529, May 2017, doi: 10.1146/annurev-biophys-062215-010822.</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[90]</w:t>
      </w:r>
      <w:r w:rsidRPr="00AF0477">
        <w:rPr>
          <w:szCs w:val="24"/>
          <w:lang w:val="en-GB"/>
        </w:rPr>
        <w:tab/>
        <w:t xml:space="preserve">M. Liu </w:t>
      </w:r>
      <w:r w:rsidRPr="00AF0477">
        <w:rPr>
          <w:i/>
          <w:iCs/>
          <w:szCs w:val="24"/>
          <w:lang w:val="en-GB"/>
        </w:rPr>
        <w:t>et al.</w:t>
      </w:r>
      <w:r w:rsidRPr="00AF0477">
        <w:rPr>
          <w:szCs w:val="24"/>
          <w:lang w:val="en-GB"/>
        </w:rPr>
        <w:t xml:space="preserve">, “Methodologies for Improving HDR Efficiency,” </w:t>
      </w:r>
      <w:r w:rsidRPr="00AF0477">
        <w:rPr>
          <w:i/>
          <w:iCs/>
          <w:szCs w:val="24"/>
          <w:lang w:val="en-GB"/>
        </w:rPr>
        <w:t>Front. Genet.</w:t>
      </w:r>
      <w:r w:rsidRPr="00AF0477">
        <w:rPr>
          <w:szCs w:val="24"/>
          <w:lang w:val="en-GB"/>
        </w:rPr>
        <w:t>, vol. 9, p. 691, Jan. 2019, doi: 10.3389/fgene.2018.00691.</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[91]</w:t>
      </w:r>
      <w:r w:rsidRPr="00AF0477">
        <w:rPr>
          <w:szCs w:val="24"/>
          <w:lang w:val="en-GB"/>
        </w:rPr>
        <w:tab/>
        <w:t xml:space="preserve">H. Yang </w:t>
      </w:r>
      <w:r w:rsidRPr="00AF0477">
        <w:rPr>
          <w:i/>
          <w:iCs/>
          <w:szCs w:val="24"/>
          <w:lang w:val="en-GB"/>
        </w:rPr>
        <w:t>et al.</w:t>
      </w:r>
      <w:r w:rsidRPr="00AF0477">
        <w:rPr>
          <w:szCs w:val="24"/>
          <w:lang w:val="en-GB"/>
        </w:rPr>
        <w:t xml:space="preserve">, “Methods Favoring Homology-Directed Repair Choice in Response to CRISPR/Cas9 Induced-Double Strand Breaks,” </w:t>
      </w:r>
      <w:r w:rsidRPr="00AF0477">
        <w:rPr>
          <w:i/>
          <w:iCs/>
          <w:szCs w:val="24"/>
          <w:lang w:val="en-GB"/>
        </w:rPr>
        <w:t>Int. J. Mol. Sci.</w:t>
      </w:r>
      <w:r w:rsidRPr="00AF0477">
        <w:rPr>
          <w:szCs w:val="24"/>
          <w:lang w:val="en-GB"/>
        </w:rPr>
        <w:t>, vol. 21, no. 18, p. 6461, Sep. 2020, doi: 10.3390/ijms21186461.</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[92]</w:t>
      </w:r>
      <w:r w:rsidRPr="00AF0477">
        <w:rPr>
          <w:szCs w:val="24"/>
          <w:lang w:val="en-GB"/>
        </w:rPr>
        <w:tab/>
        <w:t xml:space="preserve">M. Kumar </w:t>
      </w:r>
      <w:r w:rsidRPr="00AF0477">
        <w:rPr>
          <w:i/>
          <w:iCs/>
          <w:szCs w:val="24"/>
          <w:lang w:val="en-GB"/>
        </w:rPr>
        <w:t>et al.</w:t>
      </w:r>
      <w:r w:rsidRPr="00AF0477">
        <w:rPr>
          <w:szCs w:val="24"/>
          <w:lang w:val="en-GB"/>
        </w:rPr>
        <w:t xml:space="preserve">, “Application of CRISPR/Cas9-mediated gene editing for abiotic stress management in crop plants,” </w:t>
      </w:r>
      <w:r w:rsidRPr="00AF0477">
        <w:rPr>
          <w:i/>
          <w:iCs/>
          <w:szCs w:val="24"/>
          <w:lang w:val="en-GB"/>
        </w:rPr>
        <w:t>Front. Plant Sci.</w:t>
      </w:r>
      <w:r w:rsidRPr="00AF0477">
        <w:rPr>
          <w:szCs w:val="24"/>
          <w:lang w:val="en-GB"/>
        </w:rPr>
        <w:t>, vol. 14, p. 1157678, Apr. 2023, doi: 10.3389/fpls.2023.1157678.</w:t>
      </w:r>
    </w:p>
    <w:p w:rsidR="00047767" w:rsidRPr="004463CA" w:rsidRDefault="006F0754" w:rsidP="00AF0477">
      <w:pPr>
        <w:tabs>
          <w:tab w:val="left" w:pos="2235"/>
          <w:tab w:val="center" w:pos="4514"/>
        </w:tabs>
        <w:ind w:left="450" w:right="29" w:hanging="450"/>
        <w:jc w:val="both"/>
        <w:rPr>
          <w:rFonts w:eastAsia="MS Mincho"/>
          <w:sz w:val="16"/>
          <w:szCs w:val="16"/>
        </w:rPr>
      </w:pPr>
      <w:r w:rsidRPr="001E6398">
        <w:rPr>
          <w:rFonts w:eastAsia="MS Mincho"/>
          <w:sz w:val="16"/>
          <w:szCs w:val="16"/>
        </w:rPr>
        <w:fldChar w:fldCharType="end"/>
      </w:r>
    </w:p>
    <w:p w:rsidR="002C34F0" w:rsidRPr="004463CA" w:rsidRDefault="002C34F0" w:rsidP="001C0294">
      <w:pPr>
        <w:tabs>
          <w:tab w:val="left" w:pos="2235"/>
          <w:tab w:val="center" w:pos="4514"/>
        </w:tabs>
        <w:ind w:right="29"/>
        <w:jc w:val="both"/>
        <w:rPr>
          <w:rFonts w:eastAsia="MS Mincho"/>
          <w:sz w:val="16"/>
          <w:szCs w:val="16"/>
        </w:rPr>
      </w:pPr>
    </w:p>
    <w:p w:rsidR="00486B9B" w:rsidRDefault="00486B9B" w:rsidP="001C0294">
      <w:pPr>
        <w:tabs>
          <w:tab w:val="left" w:pos="2235"/>
          <w:tab w:val="center" w:pos="4514"/>
        </w:tabs>
        <w:ind w:right="29"/>
        <w:jc w:val="both"/>
        <w:rPr>
          <w:rFonts w:eastAsia="MS Mincho"/>
        </w:rPr>
      </w:pPr>
    </w:p>
    <w:p w:rsidR="006F0754" w:rsidRDefault="006F0754" w:rsidP="00D237BB">
      <w:pPr>
        <w:tabs>
          <w:tab w:val="left" w:pos="2235"/>
          <w:tab w:val="center" w:pos="4514"/>
        </w:tabs>
        <w:ind w:right="29"/>
        <w:jc w:val="both"/>
        <w:rPr>
          <w:rFonts w:eastAsia="MS Mincho"/>
        </w:rPr>
      </w:pPr>
    </w:p>
    <w:p w:rsidR="00AF0477" w:rsidRDefault="00AF0477" w:rsidP="00D237BB">
      <w:pPr>
        <w:tabs>
          <w:tab w:val="left" w:pos="2235"/>
          <w:tab w:val="center" w:pos="4514"/>
        </w:tabs>
        <w:ind w:right="29"/>
        <w:jc w:val="both"/>
        <w:rPr>
          <w:rFonts w:eastAsia="MS Mincho"/>
        </w:rPr>
      </w:pPr>
    </w:p>
    <w:p w:rsidR="00AF0477" w:rsidRDefault="00AF0477" w:rsidP="00D237BB">
      <w:pPr>
        <w:tabs>
          <w:tab w:val="left" w:pos="2235"/>
          <w:tab w:val="center" w:pos="4514"/>
        </w:tabs>
        <w:ind w:right="29"/>
        <w:jc w:val="both"/>
        <w:rPr>
          <w:rFonts w:eastAsia="MS Mincho"/>
        </w:rPr>
      </w:pPr>
    </w:p>
    <w:p w:rsidR="00AF0477" w:rsidRDefault="00AF0477" w:rsidP="00D237BB">
      <w:pPr>
        <w:tabs>
          <w:tab w:val="left" w:pos="2235"/>
          <w:tab w:val="center" w:pos="4514"/>
        </w:tabs>
        <w:ind w:right="29"/>
        <w:jc w:val="both"/>
        <w:rPr>
          <w:rFonts w:eastAsia="MS Mincho"/>
        </w:rPr>
      </w:pPr>
    </w:p>
    <w:p w:rsidR="00AF0477" w:rsidRDefault="00AF0477" w:rsidP="00D237BB">
      <w:pPr>
        <w:tabs>
          <w:tab w:val="left" w:pos="2235"/>
          <w:tab w:val="center" w:pos="4514"/>
        </w:tabs>
        <w:ind w:right="29"/>
        <w:jc w:val="both"/>
        <w:rPr>
          <w:rFonts w:eastAsia="MS Mincho"/>
        </w:rPr>
      </w:pPr>
    </w:p>
    <w:p w:rsidR="00AF0477" w:rsidRDefault="00AF0477" w:rsidP="00D237BB">
      <w:pPr>
        <w:tabs>
          <w:tab w:val="left" w:pos="2235"/>
          <w:tab w:val="center" w:pos="4514"/>
        </w:tabs>
        <w:ind w:right="29"/>
        <w:jc w:val="both"/>
        <w:rPr>
          <w:rFonts w:eastAsia="MS Mincho"/>
        </w:rPr>
      </w:pPr>
    </w:p>
    <w:p w:rsidR="00AF0477" w:rsidRDefault="00AF0477" w:rsidP="00D237BB">
      <w:pPr>
        <w:tabs>
          <w:tab w:val="left" w:pos="2235"/>
          <w:tab w:val="center" w:pos="4514"/>
        </w:tabs>
        <w:ind w:right="29"/>
        <w:jc w:val="both"/>
        <w:rPr>
          <w:rFonts w:eastAsia="MS Mincho"/>
        </w:rPr>
      </w:pPr>
    </w:p>
    <w:p w:rsidR="00AF0477" w:rsidRDefault="00AF0477" w:rsidP="00D237BB">
      <w:pPr>
        <w:tabs>
          <w:tab w:val="left" w:pos="2235"/>
          <w:tab w:val="center" w:pos="4514"/>
        </w:tabs>
        <w:ind w:right="29"/>
        <w:jc w:val="both"/>
        <w:rPr>
          <w:rFonts w:eastAsia="MS Mincho"/>
        </w:rPr>
      </w:pPr>
    </w:p>
    <w:p w:rsidR="00AF0477" w:rsidRDefault="00AF0477" w:rsidP="00D237BB">
      <w:pPr>
        <w:tabs>
          <w:tab w:val="left" w:pos="2235"/>
          <w:tab w:val="center" w:pos="4514"/>
        </w:tabs>
        <w:ind w:right="29"/>
        <w:jc w:val="both"/>
        <w:rPr>
          <w:rFonts w:eastAsia="MS Mincho"/>
        </w:rPr>
      </w:pPr>
    </w:p>
    <w:p w:rsidR="00AF0477" w:rsidRDefault="00AF0477" w:rsidP="00D237BB">
      <w:pPr>
        <w:tabs>
          <w:tab w:val="left" w:pos="2235"/>
          <w:tab w:val="center" w:pos="4514"/>
        </w:tabs>
        <w:ind w:right="29"/>
        <w:jc w:val="both"/>
        <w:rPr>
          <w:rFonts w:eastAsia="MS Mincho"/>
        </w:rPr>
      </w:pPr>
    </w:p>
    <w:p w:rsidR="00AF0477" w:rsidRDefault="00AF0477" w:rsidP="00D237BB">
      <w:pPr>
        <w:tabs>
          <w:tab w:val="left" w:pos="2235"/>
          <w:tab w:val="center" w:pos="4514"/>
        </w:tabs>
        <w:ind w:right="29"/>
        <w:jc w:val="both"/>
        <w:rPr>
          <w:rFonts w:eastAsia="MS Mincho"/>
        </w:rPr>
      </w:pPr>
    </w:p>
    <w:p w:rsidR="00AF0477" w:rsidRDefault="00AF0477" w:rsidP="00D237BB">
      <w:pPr>
        <w:tabs>
          <w:tab w:val="left" w:pos="2235"/>
          <w:tab w:val="center" w:pos="4514"/>
        </w:tabs>
        <w:ind w:right="29"/>
        <w:jc w:val="both"/>
        <w:rPr>
          <w:rFonts w:eastAsia="MS Mincho"/>
        </w:rPr>
      </w:pPr>
    </w:p>
    <w:p w:rsidR="0083004B" w:rsidRDefault="0083004B" w:rsidP="00D237BB">
      <w:pPr>
        <w:tabs>
          <w:tab w:val="left" w:pos="2235"/>
          <w:tab w:val="center" w:pos="4514"/>
        </w:tabs>
        <w:ind w:right="29"/>
        <w:jc w:val="both"/>
        <w:rPr>
          <w:rFonts w:eastAsia="MS Mincho"/>
        </w:rPr>
      </w:pPr>
    </w:p>
    <w:p w:rsidR="0083004B" w:rsidRDefault="0083004B" w:rsidP="00D237BB">
      <w:pPr>
        <w:tabs>
          <w:tab w:val="left" w:pos="2235"/>
          <w:tab w:val="center" w:pos="4514"/>
        </w:tabs>
        <w:ind w:right="29"/>
        <w:jc w:val="both"/>
        <w:rPr>
          <w:rFonts w:eastAsia="MS Mincho"/>
        </w:rPr>
      </w:pPr>
    </w:p>
    <w:p w:rsidR="0083004B" w:rsidRDefault="0083004B" w:rsidP="00D237BB">
      <w:pPr>
        <w:tabs>
          <w:tab w:val="left" w:pos="2235"/>
          <w:tab w:val="center" w:pos="4514"/>
        </w:tabs>
        <w:ind w:right="29"/>
        <w:jc w:val="both"/>
        <w:rPr>
          <w:rFonts w:eastAsia="MS Mincho"/>
        </w:rPr>
      </w:pPr>
    </w:p>
    <w:p w:rsidR="0083004B" w:rsidRDefault="0083004B" w:rsidP="00D237BB">
      <w:pPr>
        <w:tabs>
          <w:tab w:val="left" w:pos="2235"/>
          <w:tab w:val="center" w:pos="4514"/>
        </w:tabs>
        <w:ind w:right="29"/>
        <w:jc w:val="both"/>
        <w:rPr>
          <w:rFonts w:eastAsia="MS Mincho"/>
        </w:rPr>
      </w:pPr>
    </w:p>
    <w:p w:rsidR="0083004B" w:rsidRDefault="0083004B" w:rsidP="00D237BB">
      <w:pPr>
        <w:tabs>
          <w:tab w:val="left" w:pos="2235"/>
          <w:tab w:val="center" w:pos="4514"/>
        </w:tabs>
        <w:ind w:right="29"/>
        <w:jc w:val="both"/>
        <w:rPr>
          <w:rFonts w:eastAsia="MS Mincho"/>
        </w:rPr>
      </w:pPr>
    </w:p>
    <w:p w:rsidR="0083004B" w:rsidRDefault="0083004B" w:rsidP="00D237BB">
      <w:pPr>
        <w:tabs>
          <w:tab w:val="left" w:pos="2235"/>
          <w:tab w:val="center" w:pos="4514"/>
        </w:tabs>
        <w:ind w:right="29"/>
        <w:jc w:val="both"/>
        <w:rPr>
          <w:rFonts w:eastAsia="MS Mincho"/>
        </w:rPr>
      </w:pPr>
    </w:p>
    <w:p w:rsidR="00AF0477" w:rsidRDefault="00AF0477" w:rsidP="00D237BB">
      <w:pPr>
        <w:tabs>
          <w:tab w:val="left" w:pos="2235"/>
          <w:tab w:val="center" w:pos="4514"/>
        </w:tabs>
        <w:ind w:right="29"/>
        <w:jc w:val="both"/>
        <w:rPr>
          <w:rFonts w:eastAsia="MS Mincho"/>
        </w:rPr>
      </w:pPr>
    </w:p>
    <w:p w:rsidR="00AF0477" w:rsidRDefault="00AF0477" w:rsidP="00D237BB">
      <w:pPr>
        <w:tabs>
          <w:tab w:val="left" w:pos="2235"/>
          <w:tab w:val="center" w:pos="4514"/>
        </w:tabs>
        <w:ind w:right="29"/>
        <w:jc w:val="both"/>
        <w:rPr>
          <w:rFonts w:eastAsia="MS Mincho"/>
        </w:rPr>
      </w:pPr>
    </w:p>
    <w:p w:rsidR="00D8288F" w:rsidRDefault="00D8288F" w:rsidP="00D237BB">
      <w:pPr>
        <w:tabs>
          <w:tab w:val="left" w:pos="2235"/>
          <w:tab w:val="center" w:pos="4514"/>
        </w:tabs>
        <w:ind w:right="29"/>
        <w:jc w:val="both"/>
        <w:rPr>
          <w:rFonts w:eastAsia="MS Mincho"/>
        </w:rPr>
      </w:pPr>
    </w:p>
    <w:p w:rsidR="00D8288F" w:rsidRDefault="00D8288F" w:rsidP="00D237BB">
      <w:pPr>
        <w:tabs>
          <w:tab w:val="left" w:pos="2235"/>
          <w:tab w:val="center" w:pos="4514"/>
        </w:tabs>
        <w:ind w:right="29"/>
        <w:jc w:val="both"/>
        <w:rPr>
          <w:rFonts w:eastAsia="MS Mincho"/>
        </w:rPr>
      </w:pPr>
    </w:p>
    <w:p w:rsidR="00D8288F" w:rsidRDefault="00D8288F" w:rsidP="00D237BB">
      <w:pPr>
        <w:tabs>
          <w:tab w:val="left" w:pos="2235"/>
          <w:tab w:val="center" w:pos="4514"/>
        </w:tabs>
        <w:ind w:right="29"/>
        <w:jc w:val="both"/>
        <w:rPr>
          <w:rFonts w:eastAsia="MS Mincho"/>
        </w:rPr>
      </w:pPr>
    </w:p>
    <w:p w:rsidR="00D8288F" w:rsidRDefault="00D8288F" w:rsidP="00D237BB">
      <w:pPr>
        <w:tabs>
          <w:tab w:val="left" w:pos="2235"/>
          <w:tab w:val="center" w:pos="4514"/>
        </w:tabs>
        <w:ind w:right="29"/>
        <w:jc w:val="both"/>
        <w:rPr>
          <w:rFonts w:eastAsia="MS Mincho"/>
        </w:rPr>
      </w:pPr>
    </w:p>
    <w:p w:rsidR="00D8288F" w:rsidRDefault="00D8288F" w:rsidP="00D237BB">
      <w:pPr>
        <w:tabs>
          <w:tab w:val="left" w:pos="2235"/>
          <w:tab w:val="center" w:pos="4514"/>
        </w:tabs>
        <w:ind w:right="29"/>
        <w:jc w:val="both"/>
        <w:rPr>
          <w:rFonts w:eastAsia="MS Mincho"/>
        </w:rPr>
      </w:pPr>
    </w:p>
    <w:p w:rsidR="00D8288F" w:rsidRDefault="00D8288F" w:rsidP="00D237BB">
      <w:pPr>
        <w:tabs>
          <w:tab w:val="left" w:pos="2235"/>
          <w:tab w:val="center" w:pos="4514"/>
        </w:tabs>
        <w:ind w:right="29"/>
        <w:jc w:val="both"/>
        <w:rPr>
          <w:rFonts w:eastAsia="MS Mincho"/>
        </w:rPr>
      </w:pPr>
    </w:p>
    <w:p w:rsidR="00D8087E" w:rsidRDefault="00D8087E" w:rsidP="00D237BB">
      <w:pPr>
        <w:tabs>
          <w:tab w:val="left" w:pos="2235"/>
          <w:tab w:val="center" w:pos="4514"/>
        </w:tabs>
        <w:ind w:right="29"/>
        <w:jc w:val="both"/>
        <w:rPr>
          <w:rFonts w:eastAsia="MS Mincho"/>
        </w:rPr>
      </w:pPr>
    </w:p>
    <w:p w:rsidR="00D8087E" w:rsidRDefault="00D8087E" w:rsidP="00D237BB">
      <w:pPr>
        <w:tabs>
          <w:tab w:val="left" w:pos="2235"/>
          <w:tab w:val="center" w:pos="4514"/>
        </w:tabs>
        <w:ind w:right="29"/>
        <w:jc w:val="both"/>
        <w:rPr>
          <w:rFonts w:eastAsia="MS Mincho"/>
        </w:rPr>
      </w:pPr>
      <w:r w:rsidRPr="00D8087E">
        <w:rPr>
          <w:rFonts w:eastAsia="MS Mincho"/>
          <w:noProof/>
        </w:rPr>
        <w:lastRenderedPageBreak/>
        <w:drawing>
          <wp:inline distT="0" distB="0" distL="0" distR="0" wp14:anchorId="097ACF55" wp14:editId="18F05B1C">
            <wp:extent cx="5733415" cy="3225165"/>
            <wp:effectExtent l="0" t="0" r="0" b="635"/>
            <wp:docPr id="1641723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723468" name=""/>
                    <pic:cNvPicPr/>
                  </pic:nvPicPr>
                  <pic:blipFill>
                    <a:blip r:embed="rId8"/>
                    <a:stretch>
                      <a:fillRect/>
                    </a:stretch>
                  </pic:blipFill>
                  <pic:spPr>
                    <a:xfrm>
                      <a:off x="0" y="0"/>
                      <a:ext cx="5733415" cy="3225165"/>
                    </a:xfrm>
                    <a:prstGeom prst="rect">
                      <a:avLst/>
                    </a:prstGeom>
                  </pic:spPr>
                </pic:pic>
              </a:graphicData>
            </a:graphic>
          </wp:inline>
        </w:drawing>
      </w:r>
    </w:p>
    <w:p w:rsidR="00097037" w:rsidRPr="000B5B2F" w:rsidRDefault="00097037" w:rsidP="00097037">
      <w:pPr>
        <w:pStyle w:val="figurecaption"/>
        <w:numPr>
          <w:ilvl w:val="0"/>
          <w:numId w:val="0"/>
        </w:numPr>
        <w:spacing w:before="0" w:after="0"/>
        <w:jc w:val="center"/>
        <w:rPr>
          <w:rFonts w:eastAsia="MS Mincho"/>
          <w:b/>
          <w:sz w:val="20"/>
          <w:szCs w:val="20"/>
        </w:rPr>
      </w:pPr>
      <w:r w:rsidRPr="000B5B2F">
        <w:rPr>
          <w:rFonts w:eastAsia="MS Mincho"/>
          <w:b/>
          <w:sz w:val="20"/>
          <w:szCs w:val="20"/>
        </w:rPr>
        <w:t xml:space="preserve">Figure 1: </w:t>
      </w:r>
      <w:r>
        <w:rPr>
          <w:rFonts w:eastAsia="MS Mincho"/>
          <w:b/>
          <w:sz w:val="20"/>
          <w:szCs w:val="20"/>
        </w:rPr>
        <w:t>An overview of different components of the smart irrigation model</w:t>
      </w:r>
      <w:r w:rsidRPr="000B5B2F">
        <w:rPr>
          <w:rFonts w:eastAsia="MS Mincho"/>
          <w:b/>
          <w:sz w:val="20"/>
          <w:szCs w:val="20"/>
        </w:rPr>
        <w:t>.</w:t>
      </w:r>
    </w:p>
    <w:p w:rsidR="00097037" w:rsidRDefault="00097037" w:rsidP="00D237BB">
      <w:pPr>
        <w:tabs>
          <w:tab w:val="left" w:pos="2235"/>
          <w:tab w:val="center" w:pos="4514"/>
        </w:tabs>
        <w:ind w:right="29"/>
        <w:jc w:val="both"/>
        <w:rPr>
          <w:rFonts w:eastAsia="MS Mincho"/>
        </w:rPr>
      </w:pPr>
    </w:p>
    <w:p w:rsidR="006062D4" w:rsidRDefault="00216385" w:rsidP="00D237BB">
      <w:pPr>
        <w:tabs>
          <w:tab w:val="left" w:pos="2235"/>
          <w:tab w:val="center" w:pos="4514"/>
        </w:tabs>
        <w:ind w:right="29"/>
        <w:jc w:val="both"/>
        <w:rPr>
          <w:rFonts w:eastAsia="MS Mincho"/>
        </w:rPr>
      </w:pPr>
      <w:r w:rsidRPr="00216385">
        <w:rPr>
          <w:rFonts w:eastAsia="MS Mincho"/>
          <w:noProof/>
        </w:rPr>
        <w:drawing>
          <wp:inline distT="0" distB="0" distL="0" distR="0" wp14:anchorId="5348A4CE" wp14:editId="05DF49E5">
            <wp:extent cx="5733415" cy="4300220"/>
            <wp:effectExtent l="0" t="0" r="0" b="5080"/>
            <wp:docPr id="90341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41570" name=""/>
                    <pic:cNvPicPr/>
                  </pic:nvPicPr>
                  <pic:blipFill>
                    <a:blip r:embed="rId9"/>
                    <a:stretch>
                      <a:fillRect/>
                    </a:stretch>
                  </pic:blipFill>
                  <pic:spPr>
                    <a:xfrm>
                      <a:off x="0" y="0"/>
                      <a:ext cx="5733415" cy="4300220"/>
                    </a:xfrm>
                    <a:prstGeom prst="rect">
                      <a:avLst/>
                    </a:prstGeom>
                  </pic:spPr>
                </pic:pic>
              </a:graphicData>
            </a:graphic>
          </wp:inline>
        </w:drawing>
      </w:r>
    </w:p>
    <w:p w:rsidR="00216385" w:rsidRDefault="00216385" w:rsidP="00216385">
      <w:pPr>
        <w:tabs>
          <w:tab w:val="left" w:pos="2235"/>
          <w:tab w:val="center" w:pos="4514"/>
        </w:tabs>
        <w:ind w:right="29"/>
        <w:rPr>
          <w:rFonts w:eastAsia="MS Mincho"/>
          <w:b/>
        </w:rPr>
      </w:pPr>
      <w:r w:rsidRPr="000B5B2F">
        <w:rPr>
          <w:rFonts w:eastAsia="MS Mincho"/>
          <w:b/>
        </w:rPr>
        <w:t xml:space="preserve">Figure </w:t>
      </w:r>
      <w:r>
        <w:rPr>
          <w:rFonts w:eastAsia="MS Mincho"/>
          <w:b/>
        </w:rPr>
        <w:t>2</w:t>
      </w:r>
      <w:r w:rsidRPr="000B5B2F">
        <w:rPr>
          <w:rFonts w:eastAsia="MS Mincho"/>
          <w:b/>
        </w:rPr>
        <w:t>:</w:t>
      </w:r>
      <w:r>
        <w:rPr>
          <w:rFonts w:eastAsia="MS Mincho"/>
          <w:b/>
        </w:rPr>
        <w:t xml:space="preserve"> Site-specific weed management using Remote Sensing (RS) and UAVs.</w:t>
      </w:r>
    </w:p>
    <w:p w:rsidR="00524344" w:rsidRDefault="00524344" w:rsidP="00216385">
      <w:pPr>
        <w:tabs>
          <w:tab w:val="left" w:pos="2235"/>
          <w:tab w:val="center" w:pos="4514"/>
        </w:tabs>
        <w:ind w:right="29"/>
        <w:rPr>
          <w:rFonts w:eastAsia="MS Mincho"/>
          <w:b/>
        </w:rPr>
      </w:pPr>
    </w:p>
    <w:p w:rsidR="00524344" w:rsidRDefault="00524344" w:rsidP="00524344">
      <w:pPr>
        <w:keepNext/>
        <w:jc w:val="both"/>
      </w:pPr>
      <w:r>
        <w:rPr>
          <w:noProof/>
          <w:lang w:eastAsia="en-IN"/>
        </w:rPr>
        <w:lastRenderedPageBreak/>
        <w:drawing>
          <wp:inline distT="0" distB="0" distL="0" distR="0" wp14:anchorId="1FD23744" wp14:editId="5E9EFDD3">
            <wp:extent cx="5879037" cy="33070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tretch>
                      <a:fillRect/>
                    </a:stretch>
                  </pic:blipFill>
                  <pic:spPr>
                    <a:xfrm>
                      <a:off x="0" y="0"/>
                      <a:ext cx="5907774" cy="3323245"/>
                    </a:xfrm>
                    <a:prstGeom prst="rect">
                      <a:avLst/>
                    </a:prstGeom>
                  </pic:spPr>
                </pic:pic>
              </a:graphicData>
            </a:graphic>
          </wp:inline>
        </w:drawing>
      </w:r>
    </w:p>
    <w:p w:rsidR="00D8288F" w:rsidRDefault="00D8288F" w:rsidP="00D8288F">
      <w:pPr>
        <w:tabs>
          <w:tab w:val="left" w:pos="2235"/>
          <w:tab w:val="center" w:pos="4514"/>
        </w:tabs>
        <w:ind w:right="29"/>
        <w:rPr>
          <w:rFonts w:eastAsia="MS Mincho"/>
          <w:b/>
        </w:rPr>
      </w:pPr>
      <w:r w:rsidRPr="000B5B2F">
        <w:rPr>
          <w:rFonts w:eastAsia="MS Mincho"/>
          <w:b/>
        </w:rPr>
        <w:t xml:space="preserve">Figure </w:t>
      </w:r>
      <w:r>
        <w:rPr>
          <w:rFonts w:eastAsia="MS Mincho"/>
          <w:b/>
        </w:rPr>
        <w:t>3</w:t>
      </w:r>
      <w:r w:rsidRPr="000B5B2F">
        <w:rPr>
          <w:rFonts w:eastAsia="MS Mincho"/>
          <w:b/>
        </w:rPr>
        <w:t>:</w:t>
      </w:r>
      <w:r>
        <w:rPr>
          <w:rFonts w:eastAsia="MS Mincho"/>
          <w:b/>
        </w:rPr>
        <w:t xml:space="preserve"> Applications of Marker Assisted Selection (AMS).</w:t>
      </w:r>
    </w:p>
    <w:p w:rsidR="005D23E6" w:rsidRDefault="005D23E6" w:rsidP="00D8288F">
      <w:pPr>
        <w:tabs>
          <w:tab w:val="left" w:pos="2235"/>
          <w:tab w:val="center" w:pos="4514"/>
        </w:tabs>
        <w:ind w:right="29"/>
        <w:rPr>
          <w:rFonts w:eastAsia="MS Mincho"/>
          <w:b/>
        </w:rPr>
      </w:pPr>
    </w:p>
    <w:p w:rsidR="005D23E6" w:rsidRDefault="005D23E6" w:rsidP="00D8288F">
      <w:pPr>
        <w:tabs>
          <w:tab w:val="left" w:pos="2235"/>
          <w:tab w:val="center" w:pos="4514"/>
        </w:tabs>
        <w:ind w:right="29"/>
        <w:rPr>
          <w:rFonts w:eastAsia="MS Mincho"/>
          <w:b/>
        </w:rPr>
      </w:pPr>
    </w:p>
    <w:p w:rsidR="00D8288F" w:rsidRDefault="00D8288F" w:rsidP="00D8288F">
      <w:pPr>
        <w:tabs>
          <w:tab w:val="left" w:pos="2235"/>
          <w:tab w:val="center" w:pos="4514"/>
        </w:tabs>
        <w:ind w:right="29"/>
        <w:rPr>
          <w:rFonts w:eastAsia="MS Mincho"/>
          <w:b/>
        </w:rPr>
      </w:pPr>
    </w:p>
    <w:p w:rsidR="00D8288F" w:rsidRDefault="00D8288F" w:rsidP="00D8288F">
      <w:pPr>
        <w:tabs>
          <w:tab w:val="left" w:pos="2235"/>
          <w:tab w:val="center" w:pos="4514"/>
        </w:tabs>
        <w:ind w:right="29"/>
        <w:rPr>
          <w:rFonts w:eastAsia="MS Mincho"/>
          <w:b/>
        </w:rPr>
      </w:pPr>
    </w:p>
    <w:p w:rsidR="00524344" w:rsidRDefault="00524344" w:rsidP="00524344">
      <w:pPr>
        <w:keepNext/>
        <w:ind w:firstLine="90"/>
        <w:jc w:val="both"/>
      </w:pPr>
      <w:r>
        <w:rPr>
          <w:noProof/>
          <w:lang w:val="en-IN"/>
        </w:rPr>
        <w:drawing>
          <wp:inline distT="0" distB="0" distL="0" distR="0" wp14:anchorId="63F001C4" wp14:editId="0980B225">
            <wp:extent cx="5733415" cy="346416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5748522" cy="3473297"/>
                    </a:xfrm>
                    <a:prstGeom prst="rect">
                      <a:avLst/>
                    </a:prstGeom>
                  </pic:spPr>
                </pic:pic>
              </a:graphicData>
            </a:graphic>
          </wp:inline>
        </w:drawing>
      </w:r>
    </w:p>
    <w:p w:rsidR="00D8288F" w:rsidRDefault="00D8288F" w:rsidP="00D8288F">
      <w:pPr>
        <w:tabs>
          <w:tab w:val="left" w:pos="2235"/>
          <w:tab w:val="center" w:pos="4514"/>
        </w:tabs>
        <w:ind w:right="29"/>
        <w:rPr>
          <w:rFonts w:eastAsia="MS Mincho"/>
          <w:b/>
        </w:rPr>
      </w:pPr>
      <w:r w:rsidRPr="000B5B2F">
        <w:rPr>
          <w:rFonts w:eastAsia="MS Mincho"/>
          <w:b/>
        </w:rPr>
        <w:t xml:space="preserve">Figure </w:t>
      </w:r>
      <w:r>
        <w:rPr>
          <w:rFonts w:eastAsia="MS Mincho"/>
          <w:b/>
        </w:rPr>
        <w:t>4</w:t>
      </w:r>
      <w:r w:rsidRPr="000B5B2F">
        <w:rPr>
          <w:rFonts w:eastAsia="MS Mincho"/>
          <w:b/>
        </w:rPr>
        <w:t>:</w:t>
      </w:r>
      <w:r>
        <w:rPr>
          <w:rFonts w:eastAsia="MS Mincho"/>
          <w:b/>
        </w:rPr>
        <w:t xml:space="preserve"> </w:t>
      </w:r>
      <w:r w:rsidRPr="00D8288F">
        <w:rPr>
          <w:rFonts w:eastAsia="MS Mincho"/>
          <w:b/>
        </w:rPr>
        <w:t>Mechanism of CRISPR Cas9</w:t>
      </w:r>
      <w:r>
        <w:rPr>
          <w:rFonts w:eastAsia="MS Mincho"/>
          <w:b/>
        </w:rPr>
        <w:t>.</w:t>
      </w:r>
    </w:p>
    <w:p w:rsidR="00524344" w:rsidRDefault="00524344" w:rsidP="00216385">
      <w:pPr>
        <w:tabs>
          <w:tab w:val="left" w:pos="2235"/>
          <w:tab w:val="center" w:pos="4514"/>
        </w:tabs>
        <w:ind w:right="29"/>
        <w:rPr>
          <w:rFonts w:eastAsia="MS Mincho"/>
        </w:rPr>
      </w:pPr>
    </w:p>
    <w:sectPr w:rsidR="00524344"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C1BA5" w:rsidRDefault="00AC1BA5" w:rsidP="001E64C4">
      <w:r>
        <w:separator/>
      </w:r>
    </w:p>
  </w:endnote>
  <w:endnote w:type="continuationSeparator" w:id="0">
    <w:p w:rsidR="00AC1BA5" w:rsidRDefault="00AC1BA5"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1"/>
    <w:family w:val="roman"/>
    <w:pitch w:val="variable"/>
    <w:sig w:usb0="0000A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64C4" w:rsidRPr="00012DED" w:rsidRDefault="005974A7"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C1BA5" w:rsidRDefault="00AC1BA5" w:rsidP="001E64C4">
      <w:r>
        <w:separator/>
      </w:r>
    </w:p>
  </w:footnote>
  <w:footnote w:type="continuationSeparator" w:id="0">
    <w:p w:rsidR="00AC1BA5" w:rsidRDefault="00AC1BA5" w:rsidP="001E64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0139F"/>
    <w:multiLevelType w:val="hybridMultilevel"/>
    <w:tmpl w:val="351A8BF6"/>
    <w:lvl w:ilvl="0" w:tplc="0E8C8C9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1B034C"/>
    <w:multiLevelType w:val="hybridMultilevel"/>
    <w:tmpl w:val="41A27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EA4555"/>
    <w:multiLevelType w:val="hybridMultilevel"/>
    <w:tmpl w:val="0CE04932"/>
    <w:lvl w:ilvl="0" w:tplc="4009000F">
      <w:start w:val="1"/>
      <w:numFmt w:val="decimal"/>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4"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2F7A2AC2"/>
    <w:multiLevelType w:val="hybridMultilevel"/>
    <w:tmpl w:val="078CFF5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324A7195"/>
    <w:multiLevelType w:val="hybridMultilevel"/>
    <w:tmpl w:val="0190614C"/>
    <w:lvl w:ilvl="0" w:tplc="08090013">
      <w:start w:val="1"/>
      <w:numFmt w:val="upp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C8640E"/>
    <w:multiLevelType w:val="hybridMultilevel"/>
    <w:tmpl w:val="21B6A25C"/>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1" w15:restartNumberingAfterBreak="0">
    <w:nsid w:val="3C106DB9"/>
    <w:multiLevelType w:val="hybridMultilevel"/>
    <w:tmpl w:val="D01C6AFA"/>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CB70786"/>
    <w:multiLevelType w:val="hybridMultilevel"/>
    <w:tmpl w:val="85B62D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D5B1989"/>
    <w:multiLevelType w:val="hybridMultilevel"/>
    <w:tmpl w:val="B07047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FAF53DA"/>
    <w:multiLevelType w:val="hybridMultilevel"/>
    <w:tmpl w:val="025487D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6" w15:restartNumberingAfterBreak="0">
    <w:nsid w:val="44215801"/>
    <w:multiLevelType w:val="hybridMultilevel"/>
    <w:tmpl w:val="DFC2D494"/>
    <w:lvl w:ilvl="0" w:tplc="001EFB2C">
      <w:start w:val="1"/>
      <w:numFmt w:val="none"/>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084E8C"/>
    <w:multiLevelType w:val="hybridMultilevel"/>
    <w:tmpl w:val="2CA0548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8" w15:restartNumberingAfterBreak="0">
    <w:nsid w:val="480652CF"/>
    <w:multiLevelType w:val="hybridMultilevel"/>
    <w:tmpl w:val="2A6E15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0" w15:restartNumberingAfterBreak="0">
    <w:nsid w:val="5AD90192"/>
    <w:multiLevelType w:val="hybridMultilevel"/>
    <w:tmpl w:val="142C424C"/>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3" w15:restartNumberingAfterBreak="0">
    <w:nsid w:val="6D00745C"/>
    <w:multiLevelType w:val="hybridMultilevel"/>
    <w:tmpl w:val="6E1EE12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D9E1FE5"/>
    <w:multiLevelType w:val="hybridMultilevel"/>
    <w:tmpl w:val="B212F9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DE12ADA"/>
    <w:multiLevelType w:val="hybridMultilevel"/>
    <w:tmpl w:val="0CE04932"/>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6" w15:restartNumberingAfterBreak="0">
    <w:nsid w:val="79016979"/>
    <w:multiLevelType w:val="hybridMultilevel"/>
    <w:tmpl w:val="BB007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16cid:durableId="849635514">
    <w:abstractNumId w:val="8"/>
  </w:num>
  <w:num w:numId="2" w16cid:durableId="1916282453">
    <w:abstractNumId w:val="21"/>
  </w:num>
  <w:num w:numId="3" w16cid:durableId="1463187256">
    <w:abstractNumId w:val="5"/>
  </w:num>
  <w:num w:numId="4" w16cid:durableId="845901326">
    <w:abstractNumId w:val="15"/>
  </w:num>
  <w:num w:numId="5" w16cid:durableId="646596805">
    <w:abstractNumId w:val="15"/>
  </w:num>
  <w:num w:numId="6" w16cid:durableId="541020008">
    <w:abstractNumId w:val="15"/>
  </w:num>
  <w:num w:numId="7" w16cid:durableId="2121803786">
    <w:abstractNumId w:val="15"/>
  </w:num>
  <w:num w:numId="8" w16cid:durableId="353262977">
    <w:abstractNumId w:val="19"/>
  </w:num>
  <w:num w:numId="9" w16cid:durableId="1180704556">
    <w:abstractNumId w:val="22"/>
  </w:num>
  <w:num w:numId="10" w16cid:durableId="62216173">
    <w:abstractNumId w:val="10"/>
  </w:num>
  <w:num w:numId="11" w16cid:durableId="932862636">
    <w:abstractNumId w:val="4"/>
  </w:num>
  <w:num w:numId="12" w16cid:durableId="390811484">
    <w:abstractNumId w:val="27"/>
  </w:num>
  <w:num w:numId="13" w16cid:durableId="1519006824">
    <w:abstractNumId w:val="2"/>
  </w:num>
  <w:num w:numId="14" w16cid:durableId="412362840">
    <w:abstractNumId w:val="1"/>
  </w:num>
  <w:num w:numId="15" w16cid:durableId="1223101016">
    <w:abstractNumId w:val="26"/>
  </w:num>
  <w:num w:numId="16" w16cid:durableId="2048410217">
    <w:abstractNumId w:val="3"/>
  </w:num>
  <w:num w:numId="17" w16cid:durableId="129565872">
    <w:abstractNumId w:val="0"/>
  </w:num>
  <w:num w:numId="18" w16cid:durableId="582450108">
    <w:abstractNumId w:val="7"/>
  </w:num>
  <w:num w:numId="19" w16cid:durableId="1925727347">
    <w:abstractNumId w:val="13"/>
  </w:num>
  <w:num w:numId="20" w16cid:durableId="666591820">
    <w:abstractNumId w:val="12"/>
  </w:num>
  <w:num w:numId="21" w16cid:durableId="7083346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53786554">
    <w:abstractNumId w:val="23"/>
  </w:num>
  <w:num w:numId="23" w16cid:durableId="940986331">
    <w:abstractNumId w:val="14"/>
  </w:num>
  <w:num w:numId="24" w16cid:durableId="744912063">
    <w:abstractNumId w:val="9"/>
  </w:num>
  <w:num w:numId="25" w16cid:durableId="1794597129">
    <w:abstractNumId w:val="24"/>
  </w:num>
  <w:num w:numId="26" w16cid:durableId="397093952">
    <w:abstractNumId w:val="25"/>
  </w:num>
  <w:num w:numId="27" w16cid:durableId="1053502648">
    <w:abstractNumId w:val="16"/>
  </w:num>
  <w:num w:numId="28" w16cid:durableId="1617175996">
    <w:abstractNumId w:val="20"/>
  </w:num>
  <w:num w:numId="29" w16cid:durableId="505092495">
    <w:abstractNumId w:val="6"/>
  </w:num>
  <w:num w:numId="30" w16cid:durableId="1424959305">
    <w:abstractNumId w:val="18"/>
  </w:num>
  <w:num w:numId="31" w16cid:durableId="3913455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9A6"/>
    <w:rsid w:val="000026B6"/>
    <w:rsid w:val="00012DED"/>
    <w:rsid w:val="000149A9"/>
    <w:rsid w:val="000177FB"/>
    <w:rsid w:val="00033FB4"/>
    <w:rsid w:val="00036715"/>
    <w:rsid w:val="00040B37"/>
    <w:rsid w:val="00041E9B"/>
    <w:rsid w:val="0004390D"/>
    <w:rsid w:val="00044DCB"/>
    <w:rsid w:val="00047767"/>
    <w:rsid w:val="0005016F"/>
    <w:rsid w:val="00063BF3"/>
    <w:rsid w:val="00070FAB"/>
    <w:rsid w:val="00091439"/>
    <w:rsid w:val="00097037"/>
    <w:rsid w:val="000B2E7C"/>
    <w:rsid w:val="000B4641"/>
    <w:rsid w:val="000B5B2F"/>
    <w:rsid w:val="000D5355"/>
    <w:rsid w:val="000D5CBE"/>
    <w:rsid w:val="000D6924"/>
    <w:rsid w:val="000D69C1"/>
    <w:rsid w:val="000E1AF9"/>
    <w:rsid w:val="000F0818"/>
    <w:rsid w:val="000F456A"/>
    <w:rsid w:val="00100A05"/>
    <w:rsid w:val="0010110A"/>
    <w:rsid w:val="00103AB6"/>
    <w:rsid w:val="0010711E"/>
    <w:rsid w:val="00121CDD"/>
    <w:rsid w:val="001227DC"/>
    <w:rsid w:val="00125E34"/>
    <w:rsid w:val="00127EDD"/>
    <w:rsid w:val="001403F0"/>
    <w:rsid w:val="00143104"/>
    <w:rsid w:val="0016103C"/>
    <w:rsid w:val="00176E89"/>
    <w:rsid w:val="0018330F"/>
    <w:rsid w:val="0018715C"/>
    <w:rsid w:val="0019506F"/>
    <w:rsid w:val="00196441"/>
    <w:rsid w:val="001C0294"/>
    <w:rsid w:val="001C47CA"/>
    <w:rsid w:val="001D2353"/>
    <w:rsid w:val="001D4508"/>
    <w:rsid w:val="001E48C1"/>
    <w:rsid w:val="001E6398"/>
    <w:rsid w:val="001E64C4"/>
    <w:rsid w:val="00205688"/>
    <w:rsid w:val="00216385"/>
    <w:rsid w:val="002165A6"/>
    <w:rsid w:val="00237505"/>
    <w:rsid w:val="00240391"/>
    <w:rsid w:val="00254309"/>
    <w:rsid w:val="00276735"/>
    <w:rsid w:val="00280068"/>
    <w:rsid w:val="00284C20"/>
    <w:rsid w:val="002864A3"/>
    <w:rsid w:val="00292EF9"/>
    <w:rsid w:val="00293A56"/>
    <w:rsid w:val="00296792"/>
    <w:rsid w:val="00297316"/>
    <w:rsid w:val="002A718C"/>
    <w:rsid w:val="002B3562"/>
    <w:rsid w:val="002B3B81"/>
    <w:rsid w:val="002C1EB7"/>
    <w:rsid w:val="002C34F0"/>
    <w:rsid w:val="002C5985"/>
    <w:rsid w:val="002D49CD"/>
    <w:rsid w:val="002E1666"/>
    <w:rsid w:val="002E17E9"/>
    <w:rsid w:val="002E7BE8"/>
    <w:rsid w:val="00326BEB"/>
    <w:rsid w:val="0035691A"/>
    <w:rsid w:val="00367A9D"/>
    <w:rsid w:val="00390F41"/>
    <w:rsid w:val="00394E51"/>
    <w:rsid w:val="0039564E"/>
    <w:rsid w:val="003A47B5"/>
    <w:rsid w:val="003A59A6"/>
    <w:rsid w:val="003A6FF5"/>
    <w:rsid w:val="003B3F65"/>
    <w:rsid w:val="003F2770"/>
    <w:rsid w:val="003F4088"/>
    <w:rsid w:val="00402841"/>
    <w:rsid w:val="00402C25"/>
    <w:rsid w:val="004059FE"/>
    <w:rsid w:val="004124A8"/>
    <w:rsid w:val="004126BC"/>
    <w:rsid w:val="0041282C"/>
    <w:rsid w:val="004171C7"/>
    <w:rsid w:val="00422F9E"/>
    <w:rsid w:val="00430355"/>
    <w:rsid w:val="004445B3"/>
    <w:rsid w:val="004463CA"/>
    <w:rsid w:val="004562BA"/>
    <w:rsid w:val="0046220E"/>
    <w:rsid w:val="00466548"/>
    <w:rsid w:val="00484E12"/>
    <w:rsid w:val="00486B9B"/>
    <w:rsid w:val="004A6653"/>
    <w:rsid w:val="004C04C8"/>
    <w:rsid w:val="004C3DF5"/>
    <w:rsid w:val="004E0B04"/>
    <w:rsid w:val="004E7372"/>
    <w:rsid w:val="004F1F11"/>
    <w:rsid w:val="0050196E"/>
    <w:rsid w:val="005130B8"/>
    <w:rsid w:val="00523F82"/>
    <w:rsid w:val="00524344"/>
    <w:rsid w:val="00525FAE"/>
    <w:rsid w:val="00530820"/>
    <w:rsid w:val="0055046B"/>
    <w:rsid w:val="00550B48"/>
    <w:rsid w:val="00552F05"/>
    <w:rsid w:val="005619CD"/>
    <w:rsid w:val="00574F50"/>
    <w:rsid w:val="005818F8"/>
    <w:rsid w:val="005872B2"/>
    <w:rsid w:val="005957E3"/>
    <w:rsid w:val="005974A7"/>
    <w:rsid w:val="005A605F"/>
    <w:rsid w:val="005B520E"/>
    <w:rsid w:val="005B535B"/>
    <w:rsid w:val="005C1954"/>
    <w:rsid w:val="005D23E6"/>
    <w:rsid w:val="005D3146"/>
    <w:rsid w:val="005D3716"/>
    <w:rsid w:val="005D4EFC"/>
    <w:rsid w:val="005D69AF"/>
    <w:rsid w:val="005F10BD"/>
    <w:rsid w:val="005F2C6F"/>
    <w:rsid w:val="005F3022"/>
    <w:rsid w:val="005F5BCA"/>
    <w:rsid w:val="005F77C4"/>
    <w:rsid w:val="00602392"/>
    <w:rsid w:val="006062D4"/>
    <w:rsid w:val="006108A4"/>
    <w:rsid w:val="006109E9"/>
    <w:rsid w:val="006122E9"/>
    <w:rsid w:val="006247DA"/>
    <w:rsid w:val="00627F34"/>
    <w:rsid w:val="00640022"/>
    <w:rsid w:val="00643147"/>
    <w:rsid w:val="00650E72"/>
    <w:rsid w:val="006558B7"/>
    <w:rsid w:val="00655A28"/>
    <w:rsid w:val="00655E3D"/>
    <w:rsid w:val="00656CA9"/>
    <w:rsid w:val="006611A9"/>
    <w:rsid w:val="00662ACA"/>
    <w:rsid w:val="00672AA3"/>
    <w:rsid w:val="00680460"/>
    <w:rsid w:val="00682084"/>
    <w:rsid w:val="0069740E"/>
    <w:rsid w:val="006A153E"/>
    <w:rsid w:val="006B2438"/>
    <w:rsid w:val="006B577B"/>
    <w:rsid w:val="006C4648"/>
    <w:rsid w:val="006D6A0E"/>
    <w:rsid w:val="006F0754"/>
    <w:rsid w:val="0070334B"/>
    <w:rsid w:val="00705409"/>
    <w:rsid w:val="007110C2"/>
    <w:rsid w:val="00715361"/>
    <w:rsid w:val="0071746C"/>
    <w:rsid w:val="0072064C"/>
    <w:rsid w:val="00725127"/>
    <w:rsid w:val="007345A2"/>
    <w:rsid w:val="007442B3"/>
    <w:rsid w:val="007467D9"/>
    <w:rsid w:val="007507E8"/>
    <w:rsid w:val="00753F7B"/>
    <w:rsid w:val="0075591B"/>
    <w:rsid w:val="007633D0"/>
    <w:rsid w:val="007679B4"/>
    <w:rsid w:val="00767BF4"/>
    <w:rsid w:val="007734CC"/>
    <w:rsid w:val="00787C5A"/>
    <w:rsid w:val="00790C81"/>
    <w:rsid w:val="007919DE"/>
    <w:rsid w:val="007A47EB"/>
    <w:rsid w:val="007C0308"/>
    <w:rsid w:val="007E09AE"/>
    <w:rsid w:val="007F00F0"/>
    <w:rsid w:val="008014D2"/>
    <w:rsid w:val="008054BC"/>
    <w:rsid w:val="00823839"/>
    <w:rsid w:val="0083004B"/>
    <w:rsid w:val="008609CA"/>
    <w:rsid w:val="00870FDD"/>
    <w:rsid w:val="00887CE6"/>
    <w:rsid w:val="008937AC"/>
    <w:rsid w:val="008A55B5"/>
    <w:rsid w:val="008A75C8"/>
    <w:rsid w:val="008B5270"/>
    <w:rsid w:val="00905E6F"/>
    <w:rsid w:val="009217B3"/>
    <w:rsid w:val="00924FB9"/>
    <w:rsid w:val="0092568F"/>
    <w:rsid w:val="009445EB"/>
    <w:rsid w:val="00952A0E"/>
    <w:rsid w:val="00954F63"/>
    <w:rsid w:val="009717AA"/>
    <w:rsid w:val="00971C04"/>
    <w:rsid w:val="0097508D"/>
    <w:rsid w:val="0098794E"/>
    <w:rsid w:val="0099177F"/>
    <w:rsid w:val="009A1096"/>
    <w:rsid w:val="009C0A80"/>
    <w:rsid w:val="009C25D6"/>
    <w:rsid w:val="009C5673"/>
    <w:rsid w:val="009D170D"/>
    <w:rsid w:val="009E6BA4"/>
    <w:rsid w:val="009F46FD"/>
    <w:rsid w:val="00A236A0"/>
    <w:rsid w:val="00A4481E"/>
    <w:rsid w:val="00A47427"/>
    <w:rsid w:val="00A510F7"/>
    <w:rsid w:val="00A51439"/>
    <w:rsid w:val="00A574AF"/>
    <w:rsid w:val="00A710CF"/>
    <w:rsid w:val="00A72FD4"/>
    <w:rsid w:val="00A73654"/>
    <w:rsid w:val="00A77B6B"/>
    <w:rsid w:val="00A857AA"/>
    <w:rsid w:val="00AA0700"/>
    <w:rsid w:val="00AB68AD"/>
    <w:rsid w:val="00AC1BA5"/>
    <w:rsid w:val="00AC6519"/>
    <w:rsid w:val="00AD19F7"/>
    <w:rsid w:val="00AD601F"/>
    <w:rsid w:val="00AF0477"/>
    <w:rsid w:val="00B0160B"/>
    <w:rsid w:val="00B11C6F"/>
    <w:rsid w:val="00B20C8E"/>
    <w:rsid w:val="00B348A7"/>
    <w:rsid w:val="00B62E35"/>
    <w:rsid w:val="00B6761F"/>
    <w:rsid w:val="00B720FB"/>
    <w:rsid w:val="00B90020"/>
    <w:rsid w:val="00B92CA8"/>
    <w:rsid w:val="00BA206A"/>
    <w:rsid w:val="00BC2627"/>
    <w:rsid w:val="00BE79E4"/>
    <w:rsid w:val="00C011D4"/>
    <w:rsid w:val="00C0280F"/>
    <w:rsid w:val="00C03C15"/>
    <w:rsid w:val="00C05F7C"/>
    <w:rsid w:val="00C11240"/>
    <w:rsid w:val="00C3417D"/>
    <w:rsid w:val="00C4777D"/>
    <w:rsid w:val="00C607FB"/>
    <w:rsid w:val="00C703F9"/>
    <w:rsid w:val="00C92845"/>
    <w:rsid w:val="00CA0223"/>
    <w:rsid w:val="00CA5DDF"/>
    <w:rsid w:val="00CB0271"/>
    <w:rsid w:val="00CB2F75"/>
    <w:rsid w:val="00CB66E6"/>
    <w:rsid w:val="00CC10FE"/>
    <w:rsid w:val="00CD7F6F"/>
    <w:rsid w:val="00CE484B"/>
    <w:rsid w:val="00CF25D6"/>
    <w:rsid w:val="00CF4135"/>
    <w:rsid w:val="00D01167"/>
    <w:rsid w:val="00D143F7"/>
    <w:rsid w:val="00D237BB"/>
    <w:rsid w:val="00D23848"/>
    <w:rsid w:val="00D55BB7"/>
    <w:rsid w:val="00D571BF"/>
    <w:rsid w:val="00D6227A"/>
    <w:rsid w:val="00D7550C"/>
    <w:rsid w:val="00D8087E"/>
    <w:rsid w:val="00D8288F"/>
    <w:rsid w:val="00D9156D"/>
    <w:rsid w:val="00DA6D85"/>
    <w:rsid w:val="00DB3EE0"/>
    <w:rsid w:val="00DB42A0"/>
    <w:rsid w:val="00DE1DB6"/>
    <w:rsid w:val="00DE2589"/>
    <w:rsid w:val="00DE3843"/>
    <w:rsid w:val="00DF1E83"/>
    <w:rsid w:val="00DF5FD1"/>
    <w:rsid w:val="00E01F94"/>
    <w:rsid w:val="00E11872"/>
    <w:rsid w:val="00E24A18"/>
    <w:rsid w:val="00E91219"/>
    <w:rsid w:val="00E91F8E"/>
    <w:rsid w:val="00E924ED"/>
    <w:rsid w:val="00E97E42"/>
    <w:rsid w:val="00EA506F"/>
    <w:rsid w:val="00EA53DF"/>
    <w:rsid w:val="00EA5ED7"/>
    <w:rsid w:val="00EB4748"/>
    <w:rsid w:val="00EB5FAC"/>
    <w:rsid w:val="00EB7B29"/>
    <w:rsid w:val="00EC0948"/>
    <w:rsid w:val="00EC1202"/>
    <w:rsid w:val="00EC6857"/>
    <w:rsid w:val="00ED0399"/>
    <w:rsid w:val="00ED3E7E"/>
    <w:rsid w:val="00ED58AA"/>
    <w:rsid w:val="00ED7958"/>
    <w:rsid w:val="00EE1D80"/>
    <w:rsid w:val="00EE1F25"/>
    <w:rsid w:val="00EE4362"/>
    <w:rsid w:val="00EE6A07"/>
    <w:rsid w:val="00EF18D7"/>
    <w:rsid w:val="00EF1E8A"/>
    <w:rsid w:val="00EF3A1A"/>
    <w:rsid w:val="00F03373"/>
    <w:rsid w:val="00F12286"/>
    <w:rsid w:val="00F179C2"/>
    <w:rsid w:val="00F23229"/>
    <w:rsid w:val="00F26C37"/>
    <w:rsid w:val="00F37983"/>
    <w:rsid w:val="00F403A9"/>
    <w:rsid w:val="00F45D76"/>
    <w:rsid w:val="00F531E1"/>
    <w:rsid w:val="00F771FE"/>
    <w:rsid w:val="00F86A2D"/>
    <w:rsid w:val="00F93DC1"/>
    <w:rsid w:val="00FA3271"/>
    <w:rsid w:val="00FA413B"/>
    <w:rsid w:val="00FA5537"/>
    <w:rsid w:val="00FA7465"/>
    <w:rsid w:val="00FA7699"/>
    <w:rsid w:val="00FB0705"/>
    <w:rsid w:val="00FB727A"/>
    <w:rsid w:val="00FD5DF1"/>
    <w:rsid w:val="00FE1AA9"/>
    <w:rsid w:val="00FE2DDA"/>
    <w:rsid w:val="00FF16D3"/>
    <w:rsid w:val="00FF2A32"/>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377275"/>
  <w15:docId w15:val="{B15A5690-6EA3-064A-838F-FB473680B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paragraph" w:styleId="ListParagraph">
    <w:name w:val="List Paragraph"/>
    <w:basedOn w:val="Normal"/>
    <w:uiPriority w:val="34"/>
    <w:qFormat/>
    <w:rsid w:val="004A6653"/>
    <w:pPr>
      <w:ind w:left="720"/>
      <w:contextualSpacing/>
    </w:pPr>
  </w:style>
  <w:style w:type="paragraph" w:styleId="Bibliography">
    <w:name w:val="Bibliography"/>
    <w:basedOn w:val="Normal"/>
    <w:next w:val="Normal"/>
    <w:uiPriority w:val="37"/>
    <w:unhideWhenUsed/>
    <w:rsid w:val="00550B48"/>
    <w:pPr>
      <w:tabs>
        <w:tab w:val="left" w:pos="380"/>
        <w:tab w:val="left" w:pos="500"/>
      </w:tabs>
      <w:ind w:left="504" w:hanging="504"/>
    </w:pPr>
  </w:style>
  <w:style w:type="paragraph" w:styleId="Caption">
    <w:name w:val="caption"/>
    <w:basedOn w:val="Normal"/>
    <w:next w:val="Normal"/>
    <w:uiPriority w:val="35"/>
    <w:unhideWhenUsed/>
    <w:qFormat/>
    <w:rsid w:val="00524344"/>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AF0477"/>
    <w:rPr>
      <w:color w:val="605E5C"/>
      <w:shd w:val="clear" w:color="auto" w:fill="E1DFDD"/>
    </w:rPr>
  </w:style>
  <w:style w:type="character" w:customStyle="1" w:styleId="apple-converted-space">
    <w:name w:val="apple-converted-space"/>
    <w:basedOn w:val="DefaultParagraphFont"/>
    <w:rsid w:val="00D238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166075">
      <w:bodyDiv w:val="1"/>
      <w:marLeft w:val="0"/>
      <w:marRight w:val="0"/>
      <w:marTop w:val="0"/>
      <w:marBottom w:val="0"/>
      <w:divBdr>
        <w:top w:val="none" w:sz="0" w:space="0" w:color="auto"/>
        <w:left w:val="none" w:sz="0" w:space="0" w:color="auto"/>
        <w:bottom w:val="none" w:sz="0" w:space="0" w:color="auto"/>
        <w:right w:val="none" w:sz="0" w:space="0" w:color="auto"/>
      </w:divBdr>
    </w:div>
    <w:div w:id="408039798">
      <w:bodyDiv w:val="1"/>
      <w:marLeft w:val="0"/>
      <w:marRight w:val="0"/>
      <w:marTop w:val="0"/>
      <w:marBottom w:val="0"/>
      <w:divBdr>
        <w:top w:val="none" w:sz="0" w:space="0" w:color="auto"/>
        <w:left w:val="none" w:sz="0" w:space="0" w:color="auto"/>
        <w:bottom w:val="none" w:sz="0" w:space="0" w:color="auto"/>
        <w:right w:val="none" w:sz="0" w:space="0" w:color="auto"/>
      </w:divBdr>
    </w:div>
    <w:div w:id="421218833">
      <w:bodyDiv w:val="1"/>
      <w:marLeft w:val="0"/>
      <w:marRight w:val="0"/>
      <w:marTop w:val="0"/>
      <w:marBottom w:val="0"/>
      <w:divBdr>
        <w:top w:val="none" w:sz="0" w:space="0" w:color="auto"/>
        <w:left w:val="none" w:sz="0" w:space="0" w:color="auto"/>
        <w:bottom w:val="none" w:sz="0" w:space="0" w:color="auto"/>
        <w:right w:val="none" w:sz="0" w:space="0" w:color="auto"/>
      </w:divBdr>
    </w:div>
    <w:div w:id="491406500">
      <w:bodyDiv w:val="1"/>
      <w:marLeft w:val="0"/>
      <w:marRight w:val="0"/>
      <w:marTop w:val="0"/>
      <w:marBottom w:val="0"/>
      <w:divBdr>
        <w:top w:val="none" w:sz="0" w:space="0" w:color="auto"/>
        <w:left w:val="none" w:sz="0" w:space="0" w:color="auto"/>
        <w:bottom w:val="none" w:sz="0" w:space="0" w:color="auto"/>
        <w:right w:val="none" w:sz="0" w:space="0" w:color="auto"/>
      </w:divBdr>
      <w:divsChild>
        <w:div w:id="542517728">
          <w:marLeft w:val="0"/>
          <w:marRight w:val="0"/>
          <w:marTop w:val="0"/>
          <w:marBottom w:val="0"/>
          <w:divBdr>
            <w:top w:val="none" w:sz="0" w:space="0" w:color="auto"/>
            <w:left w:val="none" w:sz="0" w:space="0" w:color="auto"/>
            <w:bottom w:val="none" w:sz="0" w:space="0" w:color="auto"/>
            <w:right w:val="none" w:sz="0" w:space="0" w:color="auto"/>
          </w:divBdr>
          <w:divsChild>
            <w:div w:id="1390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225958">
      <w:bodyDiv w:val="1"/>
      <w:marLeft w:val="0"/>
      <w:marRight w:val="0"/>
      <w:marTop w:val="0"/>
      <w:marBottom w:val="0"/>
      <w:divBdr>
        <w:top w:val="none" w:sz="0" w:space="0" w:color="auto"/>
        <w:left w:val="none" w:sz="0" w:space="0" w:color="auto"/>
        <w:bottom w:val="none" w:sz="0" w:space="0" w:color="auto"/>
        <w:right w:val="none" w:sz="0" w:space="0" w:color="auto"/>
      </w:divBdr>
      <w:divsChild>
        <w:div w:id="29035698">
          <w:marLeft w:val="0"/>
          <w:marRight w:val="0"/>
          <w:marTop w:val="0"/>
          <w:marBottom w:val="0"/>
          <w:divBdr>
            <w:top w:val="none" w:sz="0" w:space="0" w:color="auto"/>
            <w:left w:val="none" w:sz="0" w:space="0" w:color="auto"/>
            <w:bottom w:val="none" w:sz="0" w:space="0" w:color="auto"/>
            <w:right w:val="none" w:sz="0" w:space="0" w:color="auto"/>
          </w:divBdr>
          <w:divsChild>
            <w:div w:id="267809970">
              <w:marLeft w:val="0"/>
              <w:marRight w:val="0"/>
              <w:marTop w:val="0"/>
              <w:marBottom w:val="0"/>
              <w:divBdr>
                <w:top w:val="none" w:sz="0" w:space="0" w:color="auto"/>
                <w:left w:val="none" w:sz="0" w:space="0" w:color="auto"/>
                <w:bottom w:val="none" w:sz="0" w:space="0" w:color="auto"/>
                <w:right w:val="none" w:sz="0" w:space="0" w:color="auto"/>
              </w:divBdr>
              <w:divsChild>
                <w:div w:id="569731884">
                  <w:marLeft w:val="0"/>
                  <w:marRight w:val="0"/>
                  <w:marTop w:val="0"/>
                  <w:marBottom w:val="0"/>
                  <w:divBdr>
                    <w:top w:val="none" w:sz="0" w:space="0" w:color="auto"/>
                    <w:left w:val="none" w:sz="0" w:space="0" w:color="auto"/>
                    <w:bottom w:val="none" w:sz="0" w:space="0" w:color="auto"/>
                    <w:right w:val="none" w:sz="0" w:space="0" w:color="auto"/>
                  </w:divBdr>
                  <w:divsChild>
                    <w:div w:id="153591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388971">
      <w:bodyDiv w:val="1"/>
      <w:marLeft w:val="0"/>
      <w:marRight w:val="0"/>
      <w:marTop w:val="0"/>
      <w:marBottom w:val="0"/>
      <w:divBdr>
        <w:top w:val="none" w:sz="0" w:space="0" w:color="auto"/>
        <w:left w:val="none" w:sz="0" w:space="0" w:color="auto"/>
        <w:bottom w:val="none" w:sz="0" w:space="0" w:color="auto"/>
        <w:right w:val="none" w:sz="0" w:space="0" w:color="auto"/>
      </w:divBdr>
    </w:div>
    <w:div w:id="950745847">
      <w:bodyDiv w:val="1"/>
      <w:marLeft w:val="0"/>
      <w:marRight w:val="0"/>
      <w:marTop w:val="0"/>
      <w:marBottom w:val="0"/>
      <w:divBdr>
        <w:top w:val="none" w:sz="0" w:space="0" w:color="auto"/>
        <w:left w:val="none" w:sz="0" w:space="0" w:color="auto"/>
        <w:bottom w:val="none" w:sz="0" w:space="0" w:color="auto"/>
        <w:right w:val="none" w:sz="0" w:space="0" w:color="auto"/>
      </w:divBdr>
    </w:div>
    <w:div w:id="1460567644">
      <w:bodyDiv w:val="1"/>
      <w:marLeft w:val="0"/>
      <w:marRight w:val="0"/>
      <w:marTop w:val="0"/>
      <w:marBottom w:val="0"/>
      <w:divBdr>
        <w:top w:val="none" w:sz="0" w:space="0" w:color="auto"/>
        <w:left w:val="none" w:sz="0" w:space="0" w:color="auto"/>
        <w:bottom w:val="none" w:sz="0" w:space="0" w:color="auto"/>
        <w:right w:val="none" w:sz="0" w:space="0" w:color="auto"/>
      </w:divBdr>
    </w:div>
    <w:div w:id="1483885269">
      <w:bodyDiv w:val="1"/>
      <w:marLeft w:val="0"/>
      <w:marRight w:val="0"/>
      <w:marTop w:val="0"/>
      <w:marBottom w:val="0"/>
      <w:divBdr>
        <w:top w:val="none" w:sz="0" w:space="0" w:color="auto"/>
        <w:left w:val="none" w:sz="0" w:space="0" w:color="auto"/>
        <w:bottom w:val="none" w:sz="0" w:space="0" w:color="auto"/>
        <w:right w:val="none" w:sz="0" w:space="0" w:color="auto"/>
      </w:divBdr>
      <w:divsChild>
        <w:div w:id="1847792433">
          <w:marLeft w:val="0"/>
          <w:marRight w:val="0"/>
          <w:marTop w:val="0"/>
          <w:marBottom w:val="0"/>
          <w:divBdr>
            <w:top w:val="none" w:sz="0" w:space="0" w:color="auto"/>
            <w:left w:val="none" w:sz="0" w:space="0" w:color="auto"/>
            <w:bottom w:val="none" w:sz="0" w:space="0" w:color="auto"/>
            <w:right w:val="none" w:sz="0" w:space="0" w:color="auto"/>
          </w:divBdr>
          <w:divsChild>
            <w:div w:id="2071070443">
              <w:marLeft w:val="0"/>
              <w:marRight w:val="0"/>
              <w:marTop w:val="0"/>
              <w:marBottom w:val="0"/>
              <w:divBdr>
                <w:top w:val="none" w:sz="0" w:space="0" w:color="auto"/>
                <w:left w:val="none" w:sz="0" w:space="0" w:color="auto"/>
                <w:bottom w:val="none" w:sz="0" w:space="0" w:color="auto"/>
                <w:right w:val="none" w:sz="0" w:space="0" w:color="auto"/>
              </w:divBdr>
              <w:divsChild>
                <w:div w:id="38032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19220">
      <w:bodyDiv w:val="1"/>
      <w:marLeft w:val="0"/>
      <w:marRight w:val="0"/>
      <w:marTop w:val="0"/>
      <w:marBottom w:val="0"/>
      <w:divBdr>
        <w:top w:val="none" w:sz="0" w:space="0" w:color="auto"/>
        <w:left w:val="none" w:sz="0" w:space="0" w:color="auto"/>
        <w:bottom w:val="none" w:sz="0" w:space="0" w:color="auto"/>
        <w:right w:val="none" w:sz="0" w:space="0" w:color="auto"/>
      </w:divBdr>
      <w:divsChild>
        <w:div w:id="2062363800">
          <w:marLeft w:val="0"/>
          <w:marRight w:val="0"/>
          <w:marTop w:val="0"/>
          <w:marBottom w:val="0"/>
          <w:divBdr>
            <w:top w:val="none" w:sz="0" w:space="0" w:color="auto"/>
            <w:left w:val="none" w:sz="0" w:space="0" w:color="auto"/>
            <w:bottom w:val="none" w:sz="0" w:space="0" w:color="auto"/>
            <w:right w:val="none" w:sz="0" w:space="0" w:color="auto"/>
          </w:divBdr>
          <w:divsChild>
            <w:div w:id="746877093">
              <w:marLeft w:val="0"/>
              <w:marRight w:val="0"/>
              <w:marTop w:val="0"/>
              <w:marBottom w:val="0"/>
              <w:divBdr>
                <w:top w:val="none" w:sz="0" w:space="0" w:color="auto"/>
                <w:left w:val="none" w:sz="0" w:space="0" w:color="auto"/>
                <w:bottom w:val="none" w:sz="0" w:space="0" w:color="auto"/>
                <w:right w:val="none" w:sz="0" w:space="0" w:color="auto"/>
              </w:divBdr>
            </w:div>
            <w:div w:id="633298198">
              <w:marLeft w:val="0"/>
              <w:marRight w:val="0"/>
              <w:marTop w:val="0"/>
              <w:marBottom w:val="0"/>
              <w:divBdr>
                <w:top w:val="none" w:sz="0" w:space="0" w:color="auto"/>
                <w:left w:val="none" w:sz="0" w:space="0" w:color="auto"/>
                <w:bottom w:val="none" w:sz="0" w:space="0" w:color="auto"/>
                <w:right w:val="none" w:sz="0" w:space="0" w:color="auto"/>
              </w:divBdr>
            </w:div>
            <w:div w:id="988366496">
              <w:marLeft w:val="0"/>
              <w:marRight w:val="0"/>
              <w:marTop w:val="0"/>
              <w:marBottom w:val="0"/>
              <w:divBdr>
                <w:top w:val="none" w:sz="0" w:space="0" w:color="auto"/>
                <w:left w:val="none" w:sz="0" w:space="0" w:color="auto"/>
                <w:bottom w:val="none" w:sz="0" w:space="0" w:color="auto"/>
                <w:right w:val="none" w:sz="0" w:space="0" w:color="auto"/>
              </w:divBdr>
            </w:div>
            <w:div w:id="21411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325">
      <w:bodyDiv w:val="1"/>
      <w:marLeft w:val="0"/>
      <w:marRight w:val="0"/>
      <w:marTop w:val="0"/>
      <w:marBottom w:val="0"/>
      <w:divBdr>
        <w:top w:val="none" w:sz="0" w:space="0" w:color="auto"/>
        <w:left w:val="none" w:sz="0" w:space="0" w:color="auto"/>
        <w:bottom w:val="none" w:sz="0" w:space="0" w:color="auto"/>
        <w:right w:val="none" w:sz="0" w:space="0" w:color="auto"/>
      </w:divBdr>
    </w:div>
    <w:div w:id="1774939483">
      <w:bodyDiv w:val="1"/>
      <w:marLeft w:val="0"/>
      <w:marRight w:val="0"/>
      <w:marTop w:val="0"/>
      <w:marBottom w:val="0"/>
      <w:divBdr>
        <w:top w:val="none" w:sz="0" w:space="0" w:color="auto"/>
        <w:left w:val="none" w:sz="0" w:space="0" w:color="auto"/>
        <w:bottom w:val="none" w:sz="0" w:space="0" w:color="auto"/>
        <w:right w:val="none" w:sz="0" w:space="0" w:color="auto"/>
      </w:divBdr>
      <w:divsChild>
        <w:div w:id="1899895823">
          <w:marLeft w:val="0"/>
          <w:marRight w:val="0"/>
          <w:marTop w:val="0"/>
          <w:marBottom w:val="0"/>
          <w:divBdr>
            <w:top w:val="none" w:sz="0" w:space="0" w:color="auto"/>
            <w:left w:val="none" w:sz="0" w:space="0" w:color="auto"/>
            <w:bottom w:val="none" w:sz="0" w:space="0" w:color="auto"/>
            <w:right w:val="none" w:sz="0" w:space="0" w:color="auto"/>
          </w:divBdr>
          <w:divsChild>
            <w:div w:id="1997146929">
              <w:marLeft w:val="0"/>
              <w:marRight w:val="0"/>
              <w:marTop w:val="0"/>
              <w:marBottom w:val="0"/>
              <w:divBdr>
                <w:top w:val="none" w:sz="0" w:space="0" w:color="auto"/>
                <w:left w:val="none" w:sz="0" w:space="0" w:color="auto"/>
                <w:bottom w:val="none" w:sz="0" w:space="0" w:color="auto"/>
                <w:right w:val="none" w:sz="0" w:space="0" w:color="auto"/>
              </w:divBdr>
              <w:divsChild>
                <w:div w:id="77328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89835">
      <w:bodyDiv w:val="1"/>
      <w:marLeft w:val="0"/>
      <w:marRight w:val="0"/>
      <w:marTop w:val="0"/>
      <w:marBottom w:val="0"/>
      <w:divBdr>
        <w:top w:val="none" w:sz="0" w:space="0" w:color="auto"/>
        <w:left w:val="none" w:sz="0" w:space="0" w:color="auto"/>
        <w:bottom w:val="none" w:sz="0" w:space="0" w:color="auto"/>
        <w:right w:val="none" w:sz="0" w:space="0" w:color="auto"/>
      </w:divBdr>
    </w:div>
    <w:div w:id="209997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B2811EA7-5B63-F847-A218-EB5D2D5DCBDC}">
  <we:reference id="wa200005502" version="1.0.0.9" store="en-GB" storeType="OMEX"/>
  <we:alternateReferences>
    <we:reference id="WA200005502" version="1.0.0.9" store="" storeType="OMEX"/>
  </we:alternateReferences>
  <we:properties>
    <we:property name="docId" value="&quot;YXbch_gwvDPRCpqz0DLI0&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8470FB63-1EBC-334D-837D-687F8378DB13}">
  <we:reference id="wa200000368" version="1.0.0.0" store="en-GB" storeType="OMEX"/>
  <we:alternateReferences>
    <we:reference id="wa200000368" version="1.0.0.0" store="wa200000368"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615</TotalTime>
  <Pages>15</Pages>
  <Words>41979</Words>
  <Characters>239284</Characters>
  <Application>Microsoft Office Word</Application>
  <DocSecurity>0</DocSecurity>
  <Lines>1994</Lines>
  <Paragraphs>561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280702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Keshav Khobre</cp:lastModifiedBy>
  <cp:revision>172</cp:revision>
  <cp:lastPrinted>2014-07-26T15:11:00Z</cp:lastPrinted>
  <dcterms:created xsi:type="dcterms:W3CDTF">2024-05-29T11:07:00Z</dcterms:created>
  <dcterms:modified xsi:type="dcterms:W3CDTF">2024-07-17T10:59:00Z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id="tkNNqo55"/&gt;&lt;style id="http://www.zotero.org/styles/ieee" locale="en-US"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