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684" w:rsidRPr="006502A1" w:rsidRDefault="00461F91" w:rsidP="006502A1">
      <w:pPr>
        <w:pStyle w:val="Abstract"/>
        <w:spacing w:before="240"/>
        <w:jc w:val="center"/>
        <w:rPr>
          <w:rFonts w:eastAsia="MS Mincho"/>
          <w:iCs/>
          <w:sz w:val="28"/>
          <w:szCs w:val="24"/>
        </w:rPr>
      </w:pPr>
      <w:r w:rsidRPr="006502A1">
        <w:rPr>
          <w:rFonts w:eastAsia="MS Mincho"/>
          <w:iCs/>
          <w:sz w:val="28"/>
          <w:szCs w:val="24"/>
        </w:rPr>
        <w:t xml:space="preserve">Ceria Based Electrolyte Materials for Advanced Solid Oxide Fuel Cell </w:t>
      </w:r>
      <w:r w:rsidR="006502A1">
        <w:rPr>
          <w:rFonts w:eastAsia="MS Mincho"/>
          <w:iCs/>
          <w:sz w:val="28"/>
          <w:szCs w:val="24"/>
        </w:rPr>
        <w:t xml:space="preserve">(SOFC) </w:t>
      </w:r>
      <w:r w:rsidRPr="006502A1">
        <w:rPr>
          <w:rFonts w:eastAsia="MS Mincho"/>
          <w:iCs/>
          <w:sz w:val="28"/>
          <w:szCs w:val="24"/>
        </w:rPr>
        <w:t>Applications</w:t>
      </w:r>
    </w:p>
    <w:p w:rsidR="00EB6684" w:rsidRDefault="00EA76D3" w:rsidP="006502A1">
      <w:pPr>
        <w:spacing w:line="480" w:lineRule="auto"/>
        <w:jc w:val="center"/>
      </w:pPr>
      <w:proofErr w:type="spellStart"/>
      <w:r>
        <w:t>Kasarapu</w:t>
      </w:r>
      <w:proofErr w:type="spellEnd"/>
      <w:r>
        <w:t xml:space="preserve"> </w:t>
      </w:r>
      <w:proofErr w:type="spellStart"/>
      <w:r>
        <w:t>Venkataramana</w:t>
      </w:r>
      <w:r w:rsidRPr="00EA76D3">
        <w:rPr>
          <w:vertAlign w:val="superscript"/>
        </w:rPr>
        <w:t>a</w:t>
      </w:r>
      <w:proofErr w:type="spellEnd"/>
      <w:r>
        <w:rPr>
          <w:vertAlign w:val="superscript"/>
        </w:rPr>
        <w:t>,*</w:t>
      </w:r>
      <w:r>
        <w:t xml:space="preserve">, </w:t>
      </w:r>
      <w:proofErr w:type="spellStart"/>
      <w:r>
        <w:t>Chittimadula</w:t>
      </w:r>
      <w:proofErr w:type="spellEnd"/>
      <w:r>
        <w:t xml:space="preserve"> </w:t>
      </w:r>
      <w:proofErr w:type="spellStart"/>
      <w:r>
        <w:t>Madhuri</w:t>
      </w:r>
      <w:r w:rsidRPr="00EA76D3">
        <w:rPr>
          <w:vertAlign w:val="superscript"/>
        </w:rPr>
        <w:t>b</w:t>
      </w:r>
      <w:proofErr w:type="spellEnd"/>
    </w:p>
    <w:p w:rsidR="006502A1" w:rsidRDefault="006502A1" w:rsidP="006502A1">
      <w:pPr>
        <w:overflowPunct w:val="0"/>
        <w:autoSpaceDE w:val="0"/>
        <w:autoSpaceDN w:val="0"/>
        <w:adjustRightInd w:val="0"/>
        <w:spacing w:line="480" w:lineRule="auto"/>
        <w:jc w:val="center"/>
      </w:pPr>
      <w:proofErr w:type="spellStart"/>
      <w:proofErr w:type="gramStart"/>
      <w:r w:rsidRPr="00A76E4B">
        <w:rPr>
          <w:vertAlign w:val="superscript"/>
        </w:rPr>
        <w:t>a</w:t>
      </w:r>
      <w:r w:rsidRPr="00A76E4B">
        <w:t>Department</w:t>
      </w:r>
      <w:proofErr w:type="spellEnd"/>
      <w:proofErr w:type="gramEnd"/>
      <w:r w:rsidRPr="00A76E4B">
        <w:t xml:space="preserve"> of Physics (AS &amp; H), </w:t>
      </w:r>
      <w:proofErr w:type="spellStart"/>
      <w:r>
        <w:t>Maturi</w:t>
      </w:r>
      <w:proofErr w:type="spellEnd"/>
      <w:r>
        <w:t xml:space="preserve"> </w:t>
      </w:r>
      <w:proofErr w:type="spellStart"/>
      <w:r>
        <w:t>Venkata</w:t>
      </w:r>
      <w:proofErr w:type="spellEnd"/>
      <w:r>
        <w:t xml:space="preserve"> </w:t>
      </w:r>
      <w:proofErr w:type="spellStart"/>
      <w:r>
        <w:t>Subba</w:t>
      </w:r>
      <w:proofErr w:type="spellEnd"/>
      <w:r>
        <w:t xml:space="preserve"> Rao (</w:t>
      </w:r>
      <w:r w:rsidRPr="00A76E4B">
        <w:t>MVSR</w:t>
      </w:r>
      <w:r>
        <w:t>)</w:t>
      </w:r>
      <w:r w:rsidRPr="00A76E4B">
        <w:t xml:space="preserve"> Engineering College, Hyderabad 501510, India</w:t>
      </w:r>
    </w:p>
    <w:p w:rsidR="006502A1" w:rsidRPr="00A76E4B" w:rsidRDefault="006502A1" w:rsidP="006502A1">
      <w:pPr>
        <w:overflowPunct w:val="0"/>
        <w:autoSpaceDE w:val="0"/>
        <w:autoSpaceDN w:val="0"/>
        <w:adjustRightInd w:val="0"/>
        <w:spacing w:line="480" w:lineRule="auto"/>
        <w:jc w:val="center"/>
      </w:pPr>
      <w:proofErr w:type="spellStart"/>
      <w:proofErr w:type="gramStart"/>
      <w:r w:rsidRPr="00A76E4B">
        <w:rPr>
          <w:vertAlign w:val="superscript"/>
        </w:rPr>
        <w:t>b</w:t>
      </w:r>
      <w:r w:rsidRPr="00A76E4B">
        <w:t>Department</w:t>
      </w:r>
      <w:proofErr w:type="spellEnd"/>
      <w:proofErr w:type="gramEnd"/>
      <w:r w:rsidRPr="00A76E4B">
        <w:t xml:space="preserve"> of Physics, Osmania University, Hyderabad 500007, Telangana, India</w:t>
      </w:r>
    </w:p>
    <w:p w:rsidR="006502A1" w:rsidRPr="00A76E4B" w:rsidRDefault="006502A1" w:rsidP="006502A1">
      <w:pPr>
        <w:autoSpaceDE w:val="0"/>
        <w:autoSpaceDN w:val="0"/>
        <w:adjustRightInd w:val="0"/>
        <w:spacing w:line="480" w:lineRule="auto"/>
        <w:jc w:val="center"/>
      </w:pPr>
      <w:r w:rsidRPr="00A76E4B">
        <w:rPr>
          <w:vertAlign w:val="superscript"/>
        </w:rPr>
        <w:t>*</w:t>
      </w:r>
      <w:r w:rsidRPr="00A76E4B">
        <w:t xml:space="preserve">Corresponding author mail id: </w:t>
      </w:r>
      <w:hyperlink r:id="rId9" w:history="1">
        <w:r w:rsidRPr="00A76E4B">
          <w:rPr>
            <w:rStyle w:val="Hyperlink"/>
          </w:rPr>
          <w:t>kvrgoud56@gmail.com</w:t>
        </w:r>
      </w:hyperlink>
      <w:r w:rsidRPr="00A76E4B">
        <w:rPr>
          <w:rStyle w:val="Hyperlink"/>
        </w:rPr>
        <w:t>, kvramana_sh@mvsrec.edu.in</w:t>
      </w:r>
    </w:p>
    <w:p w:rsidR="00EB6684" w:rsidRDefault="00EB6684" w:rsidP="00EA76D3">
      <w:pPr>
        <w:pStyle w:val="Abstract"/>
        <w:rPr>
          <w:rFonts w:eastAsia="MS Mincho"/>
          <w:iCs/>
          <w:sz w:val="24"/>
          <w:szCs w:val="24"/>
        </w:rPr>
      </w:pPr>
    </w:p>
    <w:p w:rsidR="00121704" w:rsidRDefault="00121704" w:rsidP="006502A1">
      <w:pPr>
        <w:pStyle w:val="Abstract"/>
        <w:tabs>
          <w:tab w:val="left" w:pos="1841"/>
        </w:tabs>
        <w:rPr>
          <w:rFonts w:eastAsia="MS Mincho"/>
          <w:iCs/>
          <w:sz w:val="24"/>
          <w:szCs w:val="24"/>
        </w:rPr>
      </w:pPr>
      <w:r>
        <w:rPr>
          <w:rFonts w:eastAsia="MS Mincho"/>
          <w:iCs/>
          <w:sz w:val="24"/>
          <w:szCs w:val="24"/>
        </w:rPr>
        <w:t>Abstract</w:t>
      </w:r>
    </w:p>
    <w:p w:rsidR="00121704" w:rsidRPr="006467D4" w:rsidRDefault="005E5AFF" w:rsidP="006467D4">
      <w:pPr>
        <w:spacing w:line="360" w:lineRule="auto"/>
        <w:ind w:firstLine="720"/>
        <w:jc w:val="both"/>
      </w:pPr>
      <w:r>
        <w:t xml:space="preserve">For the last few decades, alternative and sustainable energy sources </w:t>
      </w:r>
      <w:r w:rsidR="00297F9F">
        <w:t xml:space="preserve">have been approached </w:t>
      </w:r>
      <w:r>
        <w:t>which deplete the environmenta</w:t>
      </w:r>
      <w:r w:rsidR="00297F9F">
        <w:t xml:space="preserve">l-issues and provides the clean </w:t>
      </w:r>
      <w:r>
        <w:t>energy</w:t>
      </w:r>
      <w:r w:rsidR="00297F9F">
        <w:t xml:space="preserve"> conversion towards world energy demands</w:t>
      </w:r>
      <w:r>
        <w:t>.</w:t>
      </w:r>
      <w:r w:rsidR="00D04190">
        <w:t xml:space="preserve"> Fuel cells which convert chemical (Fuel) energy directly into electrical energy (electricity) via electro-chemical reaction mechanism are more advantageous when compared with the other conventional energy conversion technologies.  </w:t>
      </w:r>
      <w:r w:rsidR="00D04190">
        <w:rPr>
          <w:szCs w:val="20"/>
        </w:rPr>
        <w:t xml:space="preserve">Among the various available fuel cells, </w:t>
      </w:r>
      <w:r w:rsidR="00D04190">
        <w:t xml:space="preserve">Solid oxide fuel cell (SOFC) </w:t>
      </w:r>
      <w:r w:rsidR="00D04190">
        <w:rPr>
          <w:szCs w:val="20"/>
        </w:rPr>
        <w:t xml:space="preserve">has proven as most promising, efficient, </w:t>
      </w:r>
      <w:r w:rsidR="00D04190">
        <w:t xml:space="preserve">eco-friendly </w:t>
      </w:r>
      <w:r w:rsidR="00D04190">
        <w:rPr>
          <w:szCs w:val="20"/>
        </w:rPr>
        <w:t>energy conversion device</w:t>
      </w:r>
      <w:r w:rsidR="00D04190">
        <w:t xml:space="preserve"> due to its longer life time, variety choice of fuels and less environmental impact. </w:t>
      </w:r>
      <w:r w:rsidR="000560D2">
        <w:t>T</w:t>
      </w:r>
      <w:r w:rsidR="000560D2" w:rsidRPr="004068C3">
        <w:t xml:space="preserve">he </w:t>
      </w:r>
      <w:r w:rsidR="00412530">
        <w:t>f</w:t>
      </w:r>
      <w:r w:rsidR="000560D2" w:rsidRPr="004068C3">
        <w:t>undamentals</w:t>
      </w:r>
      <w:r w:rsidR="00412530">
        <w:t xml:space="preserve"> of fuel cell technologies, background, working </w:t>
      </w:r>
      <w:r w:rsidR="000560D2">
        <w:t>mechanism,</w:t>
      </w:r>
      <w:r w:rsidR="00412530">
        <w:t xml:space="preserve"> </w:t>
      </w:r>
      <w:r w:rsidR="000560D2">
        <w:t xml:space="preserve">different components of </w:t>
      </w:r>
      <w:r w:rsidR="00412530">
        <w:t>SOFC</w:t>
      </w:r>
      <w:r w:rsidR="000560D2">
        <w:t xml:space="preserve">, </w:t>
      </w:r>
      <w:r w:rsidR="000560D2" w:rsidRPr="002B4F22">
        <w:t>brief</w:t>
      </w:r>
      <w:r w:rsidR="000560D2">
        <w:t xml:space="preserve"> note on traditional materials, </w:t>
      </w:r>
      <w:r w:rsidR="00412530">
        <w:t xml:space="preserve">and </w:t>
      </w:r>
      <w:r w:rsidR="000560D2">
        <w:t xml:space="preserve">development of novel materials for the advanced </w:t>
      </w:r>
      <w:r w:rsidR="00412530">
        <w:t>SOFC were addressed</w:t>
      </w:r>
      <w:r>
        <w:t>.</w:t>
      </w:r>
      <w:r w:rsidR="000560D2">
        <w:t xml:space="preserve"> </w:t>
      </w:r>
      <w:r w:rsidR="003E24E8">
        <w:t>Work</w:t>
      </w:r>
      <w:r w:rsidR="008C0FCE">
        <w:t>ing</w:t>
      </w:r>
      <w:r w:rsidR="003E24E8">
        <w:t>/operating</w:t>
      </w:r>
      <w:r w:rsidR="008C0FCE">
        <w:t xml:space="preserve"> </w:t>
      </w:r>
      <w:r w:rsidR="005D1E7B">
        <w:t>temperature plays</w:t>
      </w:r>
      <w:r w:rsidR="003E24E8">
        <w:t xml:space="preserve"> a key role in the</w:t>
      </w:r>
      <w:r w:rsidR="005D1E7B">
        <w:t xml:space="preserve"> development of SOFC because high operating temperature</w:t>
      </w:r>
      <w:r w:rsidR="003E24E8">
        <w:t xml:space="preserve"> curbs </w:t>
      </w:r>
      <w:r w:rsidR="00810532">
        <w:t xml:space="preserve">the </w:t>
      </w:r>
      <w:r w:rsidR="003E24E8" w:rsidRPr="00121704">
        <w:t>commercialization</w:t>
      </w:r>
      <w:r w:rsidR="003E24E8">
        <w:t>. Enormous</w:t>
      </w:r>
      <w:r w:rsidR="00121704" w:rsidRPr="00121704">
        <w:t xml:space="preserve"> efforts</w:t>
      </w:r>
      <w:r w:rsidR="00121704">
        <w:t xml:space="preserve"> </w:t>
      </w:r>
      <w:r w:rsidR="003E24E8">
        <w:t>have been done in</w:t>
      </w:r>
      <w:r w:rsidR="00121704" w:rsidRPr="00121704">
        <w:t xml:space="preserve"> reduc</w:t>
      </w:r>
      <w:r w:rsidR="003E24E8">
        <w:t>ing the operat</w:t>
      </w:r>
      <w:r w:rsidR="00121704" w:rsidRPr="00121704">
        <w:t>ing temperature</w:t>
      </w:r>
      <w:r w:rsidR="003E24E8">
        <w:t xml:space="preserve"> by introducing various doped /co-doped /triple-doped ceria based materials</w:t>
      </w:r>
      <w:r w:rsidR="00121704" w:rsidRPr="00121704">
        <w:t xml:space="preserve"> </w:t>
      </w:r>
      <w:r w:rsidR="003E24E8">
        <w:t xml:space="preserve">with enhanced electrical properties </w:t>
      </w:r>
      <w:r w:rsidR="00121704" w:rsidRPr="00121704">
        <w:t xml:space="preserve">which led to </w:t>
      </w:r>
      <w:r w:rsidR="003E24E8">
        <w:t xml:space="preserve">the </w:t>
      </w:r>
      <w:r w:rsidR="00121704" w:rsidRPr="00121704">
        <w:t xml:space="preserve">development of </w:t>
      </w:r>
      <w:r w:rsidR="003E24E8">
        <w:t>intermediate temperature SOFCs</w:t>
      </w:r>
      <w:r w:rsidR="00121704">
        <w:t xml:space="preserve">. </w:t>
      </w:r>
      <w:r w:rsidR="00412530">
        <w:t xml:space="preserve">On the way of reducing the operating temperature, R&amp;D introduced a composite approach using doped ceria and alkali carbonates which pave a way for the development of low </w:t>
      </w:r>
      <w:r w:rsidR="006467D4">
        <w:t xml:space="preserve">operating </w:t>
      </w:r>
      <w:r w:rsidR="00412530">
        <w:t>temperature SOFC.</w:t>
      </w:r>
      <w:r w:rsidR="006467D4">
        <w:t xml:space="preserve"> </w:t>
      </w:r>
      <w:r w:rsidR="00412530">
        <w:t xml:space="preserve">The recent developments regarding ceria-carbonate composites </w:t>
      </w:r>
      <w:r w:rsidR="00412530" w:rsidRPr="00121704">
        <w:t xml:space="preserve">with emphasis on the ionic conductivity </w:t>
      </w:r>
      <w:r w:rsidR="00412530">
        <w:t>have been discussed towards the electrolytes for advanced SOFC applications at relatively lower temperatures.</w:t>
      </w:r>
    </w:p>
    <w:p w:rsidR="00EB6684" w:rsidRDefault="006502A1" w:rsidP="006467D4">
      <w:pPr>
        <w:pStyle w:val="Abstract"/>
        <w:tabs>
          <w:tab w:val="left" w:pos="1841"/>
        </w:tabs>
        <w:spacing w:before="240" w:line="360" w:lineRule="auto"/>
        <w:rPr>
          <w:rFonts w:eastAsia="MS Mincho"/>
          <w:iCs/>
          <w:sz w:val="24"/>
          <w:szCs w:val="24"/>
        </w:rPr>
      </w:pPr>
      <w:r>
        <w:rPr>
          <w:rFonts w:eastAsia="MS Mincho"/>
          <w:iCs/>
          <w:sz w:val="24"/>
          <w:szCs w:val="24"/>
        </w:rPr>
        <w:lastRenderedPageBreak/>
        <w:t>Introduction</w:t>
      </w:r>
    </w:p>
    <w:p w:rsidR="00EB6684" w:rsidRDefault="00461F91">
      <w:pPr>
        <w:autoSpaceDE w:val="0"/>
        <w:autoSpaceDN w:val="0"/>
        <w:adjustRightInd w:val="0"/>
        <w:spacing w:line="360" w:lineRule="auto"/>
        <w:ind w:firstLine="720"/>
        <w:jc w:val="both"/>
      </w:pPr>
      <w:r>
        <w:t>The energy-requirement in the world has been increased rapidly with the fast-growing population of the world. According to international energy outlook-2009, it is expected to increase fifty percent by 2030. The fossil fuels are the main source for the energy-requirement and maximum of required energy is produced from the combustion of coal, petroleum and natural gases. Regrettably, these combustions lead to the emission of unwanted hazardous gasses causing global-warming due to the pollution of environment [1–5]. In this case of interest, the world demands the alternative and sustainable energy sources which deplete the environmental-issues and provides the clean-energy. The fuel energy, solar energy and wind energy sources etc. have been addressed as alternative(s) to those conventional sources. Among the alternative energy sources, the reliable energy source is fuel energy i.e. Hydrogen energy. An Electro-chemical energy-conversion device is required to avail the alternative energy using a source of hydrogen as fuel energy, known as fuel cell [3–8].</w:t>
      </w:r>
    </w:p>
    <w:p w:rsidR="00EB6684" w:rsidRDefault="00461F91">
      <w:pPr>
        <w:autoSpaceDE w:val="0"/>
        <w:autoSpaceDN w:val="0"/>
        <w:adjustRightInd w:val="0"/>
        <w:spacing w:line="360" w:lineRule="auto"/>
        <w:ind w:firstLine="720"/>
        <w:jc w:val="both"/>
      </w:pPr>
      <w:r>
        <w:t>The scientist named H Davy demonstrated the concept of the fuel cell in 1801. He observed the electricity when small amount of water added to the some alkali compounds [9]. The physicist as well as chemist named W R Grove invented the fuel cell in 1839 and demonstrated practically by naming it as gas-voltaic-battery. W R Grove was used two electrodes dipped in acidic medium and he observed the flow of current takes place between the electrodes when they were in contact with the hydrogen and oxygen [10]. In 1889, the scientists named C Langer and L Mond developed this invention and named it as Fuel Cell [11]. In 1905, Haber filed the first patent on the solid electrolyte based fuel cells [12]. Later the term Fuel Cell is defined as an electro-chemical energy conversion device. One of the vital sources for the fuel energy is hydrogen gas. In general, a fuel cell is an identical to that of a battery; both are having three modules namely cathode, anode and the electrolyte. The principle of operation is also same as that of a battery, in which the fuel and the oxygen (air) have been electro-chemically combined and generates electricity. However, a battery needs recharge as it is consumes internally stored fuel where as a Fuel cell need not to be recharged because in fuel cell, the fuel energy (fuel and oxidants) supplied externally. As long as with the supply of fuel energy it can work continuously and generates electricity, thus it can convert chemical (Fuel) energy directly into electrical energy (electricity) via electro-chemical reaction mechanism [13–17]. The block diagram of f</w:t>
      </w:r>
      <w:r w:rsidR="006502A1">
        <w:t xml:space="preserve">uel cell represented as a Fig. </w:t>
      </w:r>
      <w:r>
        <w:t>1.</w:t>
      </w:r>
    </w:p>
    <w:p w:rsidR="00EB6684" w:rsidRDefault="00EB6684">
      <w:pPr>
        <w:autoSpaceDE w:val="0"/>
        <w:autoSpaceDN w:val="0"/>
        <w:adjustRightInd w:val="0"/>
        <w:spacing w:line="360" w:lineRule="auto"/>
        <w:ind w:firstLine="720"/>
        <w:jc w:val="both"/>
      </w:pPr>
    </w:p>
    <w:p w:rsidR="00EB6684" w:rsidRDefault="00461F91">
      <w:pPr>
        <w:autoSpaceDE w:val="0"/>
        <w:autoSpaceDN w:val="0"/>
        <w:adjustRightInd w:val="0"/>
        <w:spacing w:line="360" w:lineRule="auto"/>
        <w:ind w:firstLine="720"/>
        <w:jc w:val="both"/>
      </w:pPr>
      <w:r>
        <w:t xml:space="preserve">             </w:t>
      </w:r>
      <w:r w:rsidR="0043573C">
        <w:pict>
          <v:group id="1031" o:spid="_x0000_s1026" style="width:281.55pt;height:123.35pt;mso-wrap-distance-left:0;mso-wrap-distance-right:0;mso-position-horizontal-relative:char;mso-position-vertical-relative:line" coordorigin="5603,6699" coordsize="5631,2467">
            <v:rect id="1032" o:spid="_x0000_s1031" style="position:absolute;left:7522;top:6699;width:1985;height:987;visibility:visible;mso-position-horizontal-relative:text;mso-position-vertical-relative:text;mso-width-relative:page;mso-height-relative:page" fillcolor="#b2a1c7" strokecolor="#b2a1c7" strokeweight="1pt">
              <v:fill color2="#e5dfec" angle="-45" focus="-50%" type="gradient"/>
              <v:shadow on="t" type="perspective" color="#3f3151" opacity=".5" offset="1pt" offset2="-3pt,-2pt"/>
              <v:textbox>
                <w:txbxContent>
                  <w:p w:rsidR="00121704" w:rsidRDefault="00121704">
                    <w:pPr>
                      <w:spacing w:before="240"/>
                      <w:rPr>
                        <w:b/>
                        <w:color w:val="FF0000"/>
                        <w:sz w:val="28"/>
                      </w:rPr>
                    </w:pPr>
                    <w:r>
                      <w:rPr>
                        <w:b/>
                        <w:color w:val="FF0000"/>
                        <w:sz w:val="28"/>
                      </w:rPr>
                      <w:t xml:space="preserve"> FUEL CELL</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4" o:spid="_x0000_s1030" type="#_x0000_t13" style="position:absolute;left:5603;top:6813;width:1892;height:765;visibility:visible;mso-position-horizontal-relative:text;mso-position-vertical-relative:text;mso-width-relative:page;mso-height-relative:page" adj="16205" fillcolor="#4bacc6" strokecolor="#f2f2f2" strokeweight="3pt">
              <v:shadow type="perspective" color="#205867" opacity=".5" offset="1pt" offset2="-1pt,-2pt"/>
              <v:textbox>
                <w:txbxContent>
                  <w:p w:rsidR="00121704" w:rsidRDefault="00121704">
                    <w:pPr>
                      <w:rPr>
                        <w:b/>
                        <w:color w:val="C00000"/>
                        <w:sz w:val="22"/>
                      </w:rPr>
                    </w:pPr>
                    <w:r>
                      <w:rPr>
                        <w:b/>
                        <w:color w:val="C00000"/>
                        <w:sz w:val="22"/>
                      </w:rPr>
                      <w:t>HYDROGEN</w:t>
                    </w:r>
                  </w:p>
                </w:txbxContent>
              </v:textbox>
            </v:shape>
            <v:shape id="1035" o:spid="_x0000_s1029" type="#_x0000_t13" style="position:absolute;left:9551;top:6813;width:1683;height:765;rotation:-180;visibility:visible;mso-position-horizontal-relative:text;mso-position-vertical-relative:text;mso-width-relative:page;mso-height-relative:page" fillcolor="#4bacc6" strokecolor="#f2f2f2" strokeweight="3pt">
              <v:shadow type="perspective" color="#205867" opacity=".5" offset="1pt" offset2="-1pt,-2pt"/>
              <v:textbox>
                <w:txbxContent>
                  <w:p w:rsidR="00121704" w:rsidRDefault="00121704">
                    <w:pPr>
                      <w:rPr>
                        <w:b/>
                        <w:color w:val="C00000"/>
                      </w:rPr>
                    </w:pPr>
                    <w:r>
                      <w:rPr>
                        <w:b/>
                        <w:color w:val="C00000"/>
                      </w:rPr>
                      <w:t>OXYGEN</w:t>
                    </w:r>
                  </w:p>
                </w:txbxContent>
              </v:textbox>
            </v:shape>
            <v:shape id="1036" o:spid="_x0000_s1028" type="#_x0000_t13" style="position:absolute;left:8298;top:7756;width:428;height:359;rotation:90;visibility:visible;mso-position-horizontal-relative:text;mso-position-vertical-relative:text;mso-width-relative:page;mso-height-relative:page" adj="16205" fillcolor="#95b3d7" strokecolor="#4f81bd" strokeweight="1pt">
              <v:fill color2="#4f81bd" focus="50%" type="gradient"/>
              <v:shadow type="perspective" color="#243f60" offset="1pt" offset2="-3pt,-2pt"/>
            </v:shape>
            <v:rect id="1037" o:spid="_x0000_s1027" style="position:absolute;left:7590;top:8169;width:1880;height:997;visibility:visible;mso-position-horizontal-relative:text;mso-position-vertical-relative:text;mso-width-relative:page;mso-height-relative:page" fillcolor="#92cddc" strokecolor="#92cddc" strokeweight="1pt">
              <v:fill color2="#daeef3" angle="-45" focus="-50%" type="gradient"/>
              <v:shadow type="perspective" color="#205867" opacity=".5" offset="1pt" offset2="-3pt,-2pt"/>
              <v:textbox>
                <w:txbxContent>
                  <w:p w:rsidR="00121704" w:rsidRDefault="00121704">
                    <w:pPr>
                      <w:jc w:val="center"/>
                      <w:rPr>
                        <w:b/>
                        <w:color w:val="FF0000"/>
                        <w:sz w:val="22"/>
                      </w:rPr>
                    </w:pPr>
                    <w:r>
                      <w:rPr>
                        <w:b/>
                        <w:color w:val="FF0000"/>
                        <w:sz w:val="22"/>
                      </w:rPr>
                      <w:t>ELECTRICITY</w:t>
                    </w:r>
                  </w:p>
                  <w:p w:rsidR="00121704" w:rsidRDefault="00121704">
                    <w:pPr>
                      <w:jc w:val="center"/>
                      <w:rPr>
                        <w:b/>
                        <w:color w:val="984806"/>
                        <w:sz w:val="22"/>
                      </w:rPr>
                    </w:pPr>
                    <w:r>
                      <w:rPr>
                        <w:b/>
                        <w:color w:val="984806"/>
                        <w:sz w:val="22"/>
                      </w:rPr>
                      <w:t>HEAT</w:t>
                    </w:r>
                  </w:p>
                  <w:p w:rsidR="00121704" w:rsidRDefault="00121704">
                    <w:pPr>
                      <w:jc w:val="center"/>
                      <w:rPr>
                        <w:b/>
                        <w:color w:val="006600"/>
                        <w:sz w:val="22"/>
                      </w:rPr>
                    </w:pPr>
                    <w:r>
                      <w:rPr>
                        <w:b/>
                        <w:color w:val="006600"/>
                        <w:sz w:val="22"/>
                      </w:rPr>
                      <w:t>WATER</w:t>
                    </w:r>
                  </w:p>
                </w:txbxContent>
              </v:textbox>
            </v:rect>
            <w10:wrap type="none"/>
            <w10:anchorlock/>
          </v:group>
        </w:pict>
      </w:r>
    </w:p>
    <w:p w:rsidR="00EB6684" w:rsidRDefault="00461F91">
      <w:pPr>
        <w:autoSpaceDE w:val="0"/>
        <w:autoSpaceDN w:val="0"/>
        <w:adjustRightInd w:val="0"/>
        <w:spacing w:line="360" w:lineRule="auto"/>
        <w:jc w:val="center"/>
      </w:pPr>
      <w:r>
        <w:rPr>
          <w:b/>
        </w:rPr>
        <w:t>Fig.1 Fuel Cell block diagram</w:t>
      </w:r>
    </w:p>
    <w:p w:rsidR="00EB6684" w:rsidRDefault="00461F91">
      <w:pPr>
        <w:autoSpaceDE w:val="0"/>
        <w:autoSpaceDN w:val="0"/>
        <w:adjustRightInd w:val="0"/>
        <w:spacing w:before="240" w:after="240" w:line="360" w:lineRule="auto"/>
        <w:jc w:val="both"/>
        <w:rPr>
          <w:b/>
        </w:rPr>
      </w:pPr>
      <w:r>
        <w:rPr>
          <w:b/>
        </w:rPr>
        <w:t>Design and Working mechanism of a Fuel Cell</w:t>
      </w:r>
      <w:r w:rsidR="00BD08DD">
        <w:rPr>
          <w:b/>
        </w:rPr>
        <w:t>:</w:t>
      </w:r>
    </w:p>
    <w:p w:rsidR="00EB6684" w:rsidRDefault="00461F91">
      <w:pPr>
        <w:autoSpaceDE w:val="0"/>
        <w:autoSpaceDN w:val="0"/>
        <w:adjustRightInd w:val="0"/>
        <w:spacing w:line="360" w:lineRule="auto"/>
        <w:jc w:val="both"/>
      </w:pPr>
      <w:r>
        <w:rPr>
          <w:rStyle w:val="fontstyle01"/>
        </w:rPr>
        <w:t>Designing a fuel cell is vary from very simple to complex and is depending upon the application and desired efficiency. The schematic-diagram of a characteristic fuel cell consists of three modules namely a porous anode, cathode and el</w:t>
      </w:r>
      <w:r w:rsidR="006502A1">
        <w:rPr>
          <w:rStyle w:val="fontstyle01"/>
        </w:rPr>
        <w:t xml:space="preserve">ectrolyte as shown in the Fig. </w:t>
      </w:r>
      <w:r>
        <w:rPr>
          <w:rStyle w:val="fontstyle01"/>
        </w:rPr>
        <w:t xml:space="preserve">2.  The hydrogen as a basic fuel and the oxygen as oxidant are used in the fuel cell and supplied to the electrodes known as anode and cathode respectively. The anode and cathodes are separated by the electrolyte. Initially, hydrogen fed to a porous anode, oxygen fed to the cathode and </w:t>
      </w:r>
      <w:r>
        <w:t>are electro-chemically combined through the electrolyte and generates electricity. Heat and water are produced in addition to that of electricity and this cycle repeats.</w:t>
      </w:r>
    </w:p>
    <w:p w:rsidR="00EB6684" w:rsidRDefault="00461F91">
      <w:pPr>
        <w:autoSpaceDE w:val="0"/>
        <w:autoSpaceDN w:val="0"/>
        <w:adjustRightInd w:val="0"/>
        <w:spacing w:line="360" w:lineRule="auto"/>
        <w:jc w:val="center"/>
      </w:pPr>
      <w:r>
        <w:rPr>
          <w:b/>
          <w:noProof/>
        </w:rPr>
        <w:drawing>
          <wp:inline distT="0" distB="0" distL="0" distR="0">
            <wp:extent cx="2937164" cy="2953484"/>
            <wp:effectExtent l="0" t="0" r="0" b="0"/>
            <wp:docPr id="1039" name="Picture 373" descr="C:\Users\Madhuri\Desktop\image of Fuel cell\Fuel cell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pic:nvPicPr>
                  <pic:blipFill>
                    <a:blip r:embed="rId10" cstate="print"/>
                    <a:srcRect/>
                    <a:stretch/>
                  </pic:blipFill>
                  <pic:spPr>
                    <a:xfrm>
                      <a:off x="0" y="0"/>
                      <a:ext cx="2937164" cy="2953484"/>
                    </a:xfrm>
                    <a:prstGeom prst="rect">
                      <a:avLst/>
                    </a:prstGeom>
                    <a:ln>
                      <a:noFill/>
                    </a:ln>
                  </pic:spPr>
                </pic:pic>
              </a:graphicData>
            </a:graphic>
          </wp:inline>
        </w:drawing>
      </w:r>
    </w:p>
    <w:p w:rsidR="00EB6684" w:rsidRDefault="00461F91">
      <w:pPr>
        <w:autoSpaceDE w:val="0"/>
        <w:autoSpaceDN w:val="0"/>
        <w:adjustRightInd w:val="0"/>
        <w:spacing w:line="360" w:lineRule="auto"/>
        <w:jc w:val="center"/>
        <w:rPr>
          <w:b/>
        </w:rPr>
      </w:pPr>
      <w:r>
        <w:rPr>
          <w:b/>
        </w:rPr>
        <w:t>Fig.2 Schematic-diagram of Fuel Cell</w:t>
      </w:r>
    </w:p>
    <w:p w:rsidR="00EB6684" w:rsidRDefault="00461F91">
      <w:pPr>
        <w:autoSpaceDE w:val="0"/>
        <w:autoSpaceDN w:val="0"/>
        <w:adjustRightInd w:val="0"/>
        <w:spacing w:line="360" w:lineRule="auto"/>
        <w:jc w:val="both"/>
      </w:pPr>
      <w:r>
        <w:lastRenderedPageBreak/>
        <w:t xml:space="preserve">The energy-conversion can be done via following chemical-reactions in a fuel cell and are shown below: </w:t>
      </w:r>
    </w:p>
    <w:p w:rsidR="00EB6684" w:rsidRDefault="00461F91">
      <w:pPr>
        <w:autoSpaceDE w:val="0"/>
        <w:autoSpaceDN w:val="0"/>
        <w:adjustRightInd w:val="0"/>
        <w:spacing w:line="360" w:lineRule="auto"/>
        <w:jc w:val="both"/>
      </w:pPr>
      <w:r>
        <w:t>Chemical energy of a fuel = Electrical energy + Heat energy+ Water.</w:t>
      </w:r>
    </w:p>
    <w:p w:rsidR="00EB6684" w:rsidRDefault="00461F91">
      <w:pPr>
        <w:spacing w:line="360" w:lineRule="auto"/>
        <w:jc w:val="both"/>
      </w:pPr>
      <w:r>
        <w:t>At the side of Anode: H</w:t>
      </w:r>
      <w:r>
        <w:rPr>
          <w:vertAlign w:val="subscript"/>
        </w:rPr>
        <w:t>2</w:t>
      </w:r>
      <w:r>
        <w:t xml:space="preserve"> </w:t>
      </w:r>
      <w:r>
        <w:rPr>
          <w:rFonts w:ascii="CambriaMath" w:hAnsi="CambriaMath"/>
          <w:color w:val="000000"/>
          <w:sz w:val="26"/>
          <w:szCs w:val="26"/>
        </w:rPr>
        <w:t>→</w:t>
      </w:r>
      <w:r>
        <w:t xml:space="preserve"> 2H</w:t>
      </w:r>
      <w:r>
        <w:rPr>
          <w:vertAlign w:val="superscript"/>
        </w:rPr>
        <w:t>+</w:t>
      </w:r>
      <w:r>
        <w:t xml:space="preserve"> + 2e</w:t>
      </w:r>
      <w:r>
        <w:rPr>
          <w:vertAlign w:val="superscript"/>
        </w:rPr>
        <w:t>–</w:t>
      </w:r>
      <w:r>
        <w:t xml:space="preserve"> </w:t>
      </w:r>
    </w:p>
    <w:p w:rsidR="00EB6684" w:rsidRDefault="00461F91">
      <w:pPr>
        <w:autoSpaceDE w:val="0"/>
        <w:autoSpaceDN w:val="0"/>
        <w:adjustRightInd w:val="0"/>
        <w:spacing w:line="360" w:lineRule="auto"/>
      </w:pPr>
      <w:r>
        <w:t>At the side of Cathode: 1/2O</w:t>
      </w:r>
      <w:r>
        <w:rPr>
          <w:vertAlign w:val="subscript"/>
        </w:rPr>
        <w:t>2</w:t>
      </w:r>
      <w:r>
        <w:t xml:space="preserve"> + 2H</w:t>
      </w:r>
      <w:r>
        <w:rPr>
          <w:vertAlign w:val="superscript"/>
        </w:rPr>
        <w:t>+</w:t>
      </w:r>
      <w:r>
        <w:t xml:space="preserve"> + 2e</w:t>
      </w:r>
      <w:r>
        <w:rPr>
          <w:vertAlign w:val="superscript"/>
        </w:rPr>
        <w:t>–</w:t>
      </w:r>
      <w:r>
        <w:t xml:space="preserve"> </w:t>
      </w:r>
      <w:r>
        <w:rPr>
          <w:rFonts w:ascii="CambriaMath" w:hAnsi="CambriaMath"/>
          <w:color w:val="000000"/>
          <w:sz w:val="26"/>
          <w:szCs w:val="26"/>
        </w:rPr>
        <w:t>→ H</w:t>
      </w:r>
      <w:r>
        <w:rPr>
          <w:rFonts w:ascii="CambriaMath" w:hAnsi="CambriaMath"/>
          <w:color w:val="000000"/>
          <w:sz w:val="26"/>
          <w:szCs w:val="26"/>
          <w:vertAlign w:val="subscript"/>
        </w:rPr>
        <w:t>2</w:t>
      </w:r>
      <w:r>
        <w:rPr>
          <w:rFonts w:ascii="CambriaMath" w:hAnsi="CambriaMath"/>
          <w:color w:val="000000"/>
          <w:sz w:val="26"/>
          <w:szCs w:val="26"/>
        </w:rPr>
        <w:t>O</w:t>
      </w:r>
      <w:r>
        <w:t xml:space="preserve"> </w:t>
      </w:r>
    </w:p>
    <w:p w:rsidR="00EB6684" w:rsidRDefault="00461F91">
      <w:pPr>
        <w:autoSpaceDE w:val="0"/>
        <w:autoSpaceDN w:val="0"/>
        <w:adjustRightInd w:val="0"/>
        <w:spacing w:line="360" w:lineRule="auto"/>
      </w:pPr>
      <w:r>
        <w:t>Overall net reaction: H</w:t>
      </w:r>
      <w:r>
        <w:rPr>
          <w:vertAlign w:val="subscript"/>
        </w:rPr>
        <w:t>2</w:t>
      </w:r>
      <w:r>
        <w:t xml:space="preserve"> + 1/2O</w:t>
      </w:r>
      <w:r>
        <w:rPr>
          <w:vertAlign w:val="subscript"/>
        </w:rPr>
        <w:t>2</w:t>
      </w:r>
      <w:r>
        <w:t xml:space="preserve"> </w:t>
      </w:r>
      <w:r>
        <w:rPr>
          <w:rFonts w:ascii="CambriaMath" w:hAnsi="CambriaMath"/>
          <w:color w:val="000000"/>
          <w:sz w:val="26"/>
          <w:szCs w:val="26"/>
        </w:rPr>
        <w:t xml:space="preserve">→ </w:t>
      </w:r>
      <w:r>
        <w:t>H</w:t>
      </w:r>
      <w:r>
        <w:rPr>
          <w:vertAlign w:val="subscript"/>
        </w:rPr>
        <w:t>2</w:t>
      </w:r>
      <w:r>
        <w:t>O</w:t>
      </w:r>
    </w:p>
    <w:p w:rsidR="006502A1" w:rsidRDefault="00461F91" w:rsidP="006502A1">
      <w:pPr>
        <w:autoSpaceDE w:val="0"/>
        <w:autoSpaceDN w:val="0"/>
        <w:adjustRightInd w:val="0"/>
        <w:spacing w:before="240" w:after="240" w:line="360" w:lineRule="auto"/>
        <w:jc w:val="both"/>
        <w:rPr>
          <w:b/>
        </w:rPr>
      </w:pPr>
      <w:r>
        <w:rPr>
          <w:b/>
        </w:rPr>
        <w:t xml:space="preserve">Advantages </w:t>
      </w:r>
      <w:r w:rsidR="006502A1">
        <w:rPr>
          <w:b/>
        </w:rPr>
        <w:t>and applications of a Fuel Cell:</w:t>
      </w:r>
    </w:p>
    <w:p w:rsidR="00EB6684" w:rsidRDefault="00461F91">
      <w:pPr>
        <w:autoSpaceDE w:val="0"/>
        <w:autoSpaceDN w:val="0"/>
        <w:adjustRightInd w:val="0"/>
        <w:spacing w:before="240" w:after="240" w:line="360" w:lineRule="auto"/>
        <w:jc w:val="both"/>
      </w:pPr>
      <w:r>
        <w:t xml:space="preserve">Fuel Cell(s) are more advantageous when compared with the conventional power-sources like combustion engines and batteries etc.  In comparison with the conventional combustion engines, the fuel cell(s) are most efficient ones, can show low environmental impact as they have low chemical and thermal emissions. Hydrogen gas is most important fuel for the fuel cell; however fuel cells can have the ability to use wide range of fuels. Fuel cells can operate noiselessly, so they can use as a stationary power sources in residential or hospital areas. In combustion mechanism, burning the fossil fuel leads to the environmental-pollution where as in case of a fuel cell the environmental damage is reduced and it releases only heat and water as residual products in addition to the electricity. Durability of a fuel cell is high when compared to the batteries. No recharge is required for the fuel cell to produce electricity. Fuel cell uses a hydrogen gas as fuel energy to produce clean electricity since it does not require the oil or gasoline. Fuel cell(s) can have the ability of high energy conversion efficiency with reduced noise, thermal and environmental pollutions. Fuel cell has low maintenance cost and the performance is very high.  Design of a fuel cell is simple (modular design) and can work on various fuel(s). </w:t>
      </w:r>
    </w:p>
    <w:p w:rsidR="00EB6684" w:rsidRDefault="00461F91" w:rsidP="006502A1">
      <w:pPr>
        <w:autoSpaceDE w:val="0"/>
        <w:autoSpaceDN w:val="0"/>
        <w:adjustRightInd w:val="0"/>
        <w:spacing w:before="240" w:after="240" w:line="360" w:lineRule="auto"/>
        <w:ind w:firstLine="720"/>
        <w:jc w:val="both"/>
      </w:pPr>
      <w:r>
        <w:t xml:space="preserve">Fuel cells have many vital applications in the industrial, residential and commercial fields. Fuel cells can be used in automotive fields, stationary power units, isolated houses, telecom tower–backup units, portable applications such as mobiles, laptops, notebook computers, etc. The co-generation of heat as well as electricity by the fuel cell is well suited for residential applications. Fuel cells can be used as a power sources for remote locations (such as spacecraft’s, space shuttle, large parks, weather stations, and research stations). Fuel cells are also useful in transportation applications (such as electric vehicles) as well as few military applications [6, 17 and 18]. </w:t>
      </w:r>
    </w:p>
    <w:p w:rsidR="00EB6684" w:rsidRDefault="00461F91">
      <w:pPr>
        <w:autoSpaceDE w:val="0"/>
        <w:autoSpaceDN w:val="0"/>
        <w:adjustRightInd w:val="0"/>
        <w:spacing w:before="240" w:after="240" w:line="360" w:lineRule="auto"/>
        <w:jc w:val="both"/>
        <w:rPr>
          <w:b/>
        </w:rPr>
      </w:pPr>
      <w:r>
        <w:rPr>
          <w:b/>
        </w:rPr>
        <w:lastRenderedPageBreak/>
        <w:t>Categories of Fuel Cell</w:t>
      </w:r>
      <w:r w:rsidR="00BD08DD">
        <w:rPr>
          <w:b/>
        </w:rPr>
        <w:t>:</w:t>
      </w:r>
    </w:p>
    <w:p w:rsidR="00EB6684" w:rsidRDefault="00461F91">
      <w:pPr>
        <w:autoSpaceDE w:val="0"/>
        <w:autoSpaceDN w:val="0"/>
        <w:adjustRightInd w:val="0"/>
        <w:spacing w:before="240" w:after="240" w:line="360" w:lineRule="auto"/>
        <w:jc w:val="both"/>
      </w:pPr>
      <w:r>
        <w:t xml:space="preserve">Principle of working of all types of fuel cells is similar. However, the fuel cell is later categorized by the type of electrolyte used and the operating temperature range. Among various categories of fuel cells, some may have the low-operating temperature and other may have high-operating temperatures. Certain operating temperature range is suitable for a particular electrolyte material; so the electrolyte material can play a vital role in the classifications of fuel cells. Therefore, depends upon type of the electrolyte used in the fuel cell that can able to classify as certain category [6, 17–19]. </w:t>
      </w:r>
    </w:p>
    <w:p w:rsidR="00EB6684" w:rsidRDefault="00461F91">
      <w:pPr>
        <w:autoSpaceDE w:val="0"/>
        <w:autoSpaceDN w:val="0"/>
        <w:adjustRightInd w:val="0"/>
        <w:spacing w:before="240" w:after="240" w:line="360" w:lineRule="auto"/>
        <w:jc w:val="both"/>
      </w:pPr>
      <w:r>
        <w:t>The following fuel cells are categorized based on the type of an electrolyte.</w:t>
      </w:r>
    </w:p>
    <w:p w:rsidR="00EB6684" w:rsidRDefault="00461F91">
      <w:pPr>
        <w:pStyle w:val="ListParagraph"/>
        <w:numPr>
          <w:ilvl w:val="0"/>
          <w:numId w:val="1"/>
        </w:numPr>
        <w:autoSpaceDE w:val="0"/>
        <w:autoSpaceDN w:val="0"/>
        <w:adjustRightInd w:val="0"/>
        <w:spacing w:before="240" w:after="240" w:line="360" w:lineRule="auto"/>
        <w:ind w:left="360"/>
        <w:jc w:val="both"/>
      </w:pPr>
      <w:r>
        <w:rPr>
          <w:rFonts w:ascii="Times New Roman" w:hAnsi="Times New Roman" w:cs="Times New Roman"/>
          <w:sz w:val="24"/>
        </w:rPr>
        <w:t>Polymer Electrolyte Membrane Fuel Cell (PEMFC)</w:t>
      </w:r>
    </w:p>
    <w:p w:rsidR="00EB6684" w:rsidRDefault="00461F91">
      <w:pPr>
        <w:pStyle w:val="ListParagraph"/>
        <w:numPr>
          <w:ilvl w:val="0"/>
          <w:numId w:val="1"/>
        </w:numPr>
        <w:autoSpaceDE w:val="0"/>
        <w:autoSpaceDN w:val="0"/>
        <w:adjustRightInd w:val="0"/>
        <w:spacing w:before="240" w:after="240" w:line="360" w:lineRule="auto"/>
        <w:ind w:left="360"/>
        <w:jc w:val="both"/>
      </w:pPr>
      <w:r>
        <w:rPr>
          <w:rFonts w:ascii="Times New Roman" w:hAnsi="Times New Roman" w:cs="Times New Roman"/>
          <w:sz w:val="24"/>
        </w:rPr>
        <w:t>Alkaline Fuel Cell (AFC)</w:t>
      </w:r>
    </w:p>
    <w:p w:rsidR="00EB6684" w:rsidRDefault="00461F91">
      <w:pPr>
        <w:pStyle w:val="ListParagraph"/>
        <w:numPr>
          <w:ilvl w:val="0"/>
          <w:numId w:val="1"/>
        </w:numPr>
        <w:autoSpaceDE w:val="0"/>
        <w:autoSpaceDN w:val="0"/>
        <w:adjustRightInd w:val="0"/>
        <w:spacing w:before="240" w:after="240" w:line="360" w:lineRule="auto"/>
        <w:ind w:left="360"/>
        <w:jc w:val="both"/>
      </w:pPr>
      <w:r>
        <w:rPr>
          <w:rFonts w:ascii="Times New Roman" w:hAnsi="Times New Roman" w:cs="Times New Roman"/>
          <w:sz w:val="24"/>
        </w:rPr>
        <w:t>Phosphoric Acid Fuel Cell (PAFC)</w:t>
      </w:r>
    </w:p>
    <w:p w:rsidR="00EB6684" w:rsidRDefault="00461F91">
      <w:pPr>
        <w:pStyle w:val="ListParagraph"/>
        <w:numPr>
          <w:ilvl w:val="0"/>
          <w:numId w:val="1"/>
        </w:numPr>
        <w:autoSpaceDE w:val="0"/>
        <w:autoSpaceDN w:val="0"/>
        <w:adjustRightInd w:val="0"/>
        <w:spacing w:before="240" w:after="240" w:line="360" w:lineRule="auto"/>
        <w:ind w:left="360"/>
        <w:jc w:val="both"/>
      </w:pPr>
      <w:r>
        <w:rPr>
          <w:rFonts w:ascii="Times New Roman" w:hAnsi="Times New Roman" w:cs="Times New Roman"/>
          <w:sz w:val="24"/>
        </w:rPr>
        <w:t>Molten Carbonate Fuel Cell (MCFC)</w:t>
      </w:r>
    </w:p>
    <w:p w:rsidR="00EB6684" w:rsidRDefault="00461F91">
      <w:pPr>
        <w:pStyle w:val="ListParagraph"/>
        <w:numPr>
          <w:ilvl w:val="0"/>
          <w:numId w:val="1"/>
        </w:numPr>
        <w:autoSpaceDE w:val="0"/>
        <w:autoSpaceDN w:val="0"/>
        <w:adjustRightInd w:val="0"/>
        <w:spacing w:before="240" w:after="240" w:line="360" w:lineRule="auto"/>
        <w:ind w:left="360"/>
        <w:jc w:val="both"/>
      </w:pPr>
      <w:r>
        <w:rPr>
          <w:rFonts w:ascii="Times New Roman" w:hAnsi="Times New Roman" w:cs="Times New Roman"/>
          <w:sz w:val="24"/>
        </w:rPr>
        <w:t>Solid Oxide Fuel Cell (SOFC)</w:t>
      </w:r>
    </w:p>
    <w:p w:rsidR="00EB6684" w:rsidRDefault="00461F91">
      <w:pPr>
        <w:autoSpaceDE w:val="0"/>
        <w:autoSpaceDN w:val="0"/>
        <w:adjustRightInd w:val="0"/>
        <w:spacing w:before="240" w:after="240" w:line="360" w:lineRule="auto"/>
        <w:jc w:val="both"/>
      </w:pPr>
      <w:r>
        <w:t>Among these fuel cell technologies, the high-operating temperature range fuel cells are SOFC and MCFC and the low-operating temperature range fuel cells are PAFC, AFC and PEMFC. The brief explanation of above said fuel cells are as follows:</w:t>
      </w:r>
    </w:p>
    <w:p w:rsidR="00EB6684" w:rsidRDefault="00461F91">
      <w:pPr>
        <w:autoSpaceDE w:val="0"/>
        <w:autoSpaceDN w:val="0"/>
        <w:adjustRightInd w:val="0"/>
        <w:spacing w:before="240" w:after="240" w:line="360" w:lineRule="auto"/>
        <w:jc w:val="both"/>
        <w:rPr>
          <w:b/>
        </w:rPr>
      </w:pPr>
      <w:r>
        <w:rPr>
          <w:b/>
        </w:rPr>
        <w:t>Polymer Electrolyte Membrane Fuel Cell (PEMFC)</w:t>
      </w:r>
      <w:r w:rsidR="00BD08DD">
        <w:rPr>
          <w:b/>
        </w:rPr>
        <w:t>:</w:t>
      </w:r>
      <w:r>
        <w:rPr>
          <w:b/>
        </w:rPr>
        <w:t xml:space="preserve"> </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Type of electrolyte used: Ion exchange membranes</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Example of electrolyte: Nafion (Polymer type)</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Operating Temperature: 50 to &lt;100 °C</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Fuel: Hydrogen, Methanol</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Oxidant: O</w:t>
      </w:r>
      <w:r>
        <w:rPr>
          <w:rFonts w:ascii="Times New Roman" w:hAnsi="Times New Roman" w:cs="Times New Roman"/>
          <w:sz w:val="24"/>
          <w:vertAlign w:val="subscript"/>
        </w:rPr>
        <w:t>2</w:t>
      </w:r>
      <w:r>
        <w:rPr>
          <w:rFonts w:ascii="Times New Roman" w:hAnsi="Times New Roman" w:cs="Times New Roman"/>
          <w:sz w:val="24"/>
        </w:rPr>
        <w:t>/Air</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Efficiency: 35 to &lt;60 %</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Ion to be conducts via electrolyte: H</w:t>
      </w:r>
      <w:r>
        <w:rPr>
          <w:rFonts w:ascii="Times New Roman" w:hAnsi="Times New Roman" w:cs="Times New Roman"/>
          <w:sz w:val="24"/>
          <w:vertAlign w:val="superscript"/>
        </w:rPr>
        <w:t>+</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Advantage(s): Quick start up, reduced corrosion due to membrane electrolyte and low temperature </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Disadvantage(s): high purity fuel, expensive catalysts</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lastRenderedPageBreak/>
        <w:t>Application(s): Stationary, transportation and portable electronic devices</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Chemical reaction(s): </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Anode: 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2H</w:t>
      </w:r>
      <w:r>
        <w:rPr>
          <w:rFonts w:ascii="Times New Roman" w:hAnsi="Times New Roman" w:cs="Times New Roman"/>
          <w:sz w:val="24"/>
          <w:szCs w:val="24"/>
          <w:vertAlign w:val="superscript"/>
        </w:rPr>
        <w:t>+</w:t>
      </w:r>
      <w:r>
        <w:rPr>
          <w:rFonts w:ascii="Times New Roman" w:hAnsi="Times New Roman" w:cs="Times New Roman"/>
          <w:sz w:val="24"/>
          <w:szCs w:val="24"/>
        </w:rPr>
        <w:t xml:space="preserve">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rsidR="00EB6684" w:rsidRDefault="00461F91">
      <w:pPr>
        <w:pStyle w:val="ListParagraph"/>
        <w:numPr>
          <w:ilvl w:val="0"/>
          <w:numId w:val="32"/>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Cathode: 1/2O</w:t>
      </w:r>
      <w:r>
        <w:rPr>
          <w:rFonts w:ascii="Times New Roman" w:hAnsi="Times New Roman" w:cs="Times New Roman"/>
          <w:sz w:val="24"/>
          <w:szCs w:val="24"/>
          <w:vertAlign w:val="subscript"/>
        </w:rPr>
        <w:t>2</w:t>
      </w:r>
      <w:r>
        <w:rPr>
          <w:rFonts w:ascii="Times New Roman" w:hAnsi="Times New Roman" w:cs="Times New Roman"/>
          <w:sz w:val="24"/>
          <w:szCs w:val="24"/>
        </w:rPr>
        <w:t xml:space="preserve"> + 2H</w:t>
      </w:r>
      <w:r>
        <w:rPr>
          <w:rFonts w:ascii="Times New Roman" w:hAnsi="Times New Roman" w:cs="Times New Roman"/>
          <w:sz w:val="24"/>
          <w:szCs w:val="24"/>
          <w:vertAlign w:val="superscript"/>
        </w:rPr>
        <w:t>+</w:t>
      </w:r>
      <w:r>
        <w:rPr>
          <w:rFonts w:ascii="Times New Roman" w:hAnsi="Times New Roman" w:cs="Times New Roman"/>
          <w:sz w:val="24"/>
          <w:szCs w:val="24"/>
        </w:rPr>
        <w:t xml:space="preserve">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color w:val="000000"/>
          <w:sz w:val="24"/>
          <w:szCs w:val="24"/>
        </w:rPr>
        <w:t>→ 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Pr>
          <w:rFonts w:ascii="Times New Roman" w:hAnsi="Times New Roman" w:cs="Times New Roman"/>
          <w:sz w:val="24"/>
          <w:szCs w:val="24"/>
        </w:rPr>
        <w:t xml:space="preserve"> </w:t>
      </w:r>
    </w:p>
    <w:p w:rsidR="00EB6684" w:rsidRDefault="00461F91">
      <w:pPr>
        <w:autoSpaceDE w:val="0"/>
        <w:autoSpaceDN w:val="0"/>
        <w:adjustRightInd w:val="0"/>
        <w:spacing w:before="240" w:after="240" w:line="360" w:lineRule="auto"/>
        <w:jc w:val="both"/>
        <w:rPr>
          <w:b/>
        </w:rPr>
      </w:pPr>
      <w:r>
        <w:rPr>
          <w:b/>
        </w:rPr>
        <w:t>Alkaline Fuel Cell (AFC)</w:t>
      </w:r>
      <w:r w:rsidR="00BD08DD">
        <w:rPr>
          <w:b/>
        </w:rPr>
        <w:t>:</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Type of electrolyte used: Mobilized or immobilized alkaline hydroxide</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Example of electrolyte: NaOH, KOH</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Operating Temperature: 50 to 150 °C</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Fuel: Hydrogen, Methanol</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Oxidant: O</w:t>
      </w:r>
      <w:r>
        <w:rPr>
          <w:rFonts w:ascii="Times New Roman" w:hAnsi="Times New Roman" w:cs="Times New Roman"/>
          <w:sz w:val="24"/>
          <w:vertAlign w:val="subscript"/>
        </w:rPr>
        <w:t>2</w:t>
      </w:r>
      <w:r>
        <w:rPr>
          <w:rFonts w:ascii="Times New Roman" w:hAnsi="Times New Roman" w:cs="Times New Roman"/>
          <w:sz w:val="24"/>
        </w:rPr>
        <w:t>/Air</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Efficiency: 60 %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Ion to be conducts via electrolyte: OH</w:t>
      </w:r>
      <w:r>
        <w:rPr>
          <w:rFonts w:ascii="Times New Roman" w:hAnsi="Times New Roman" w:cs="Times New Roman"/>
          <w:sz w:val="24"/>
          <w:vertAlign w:val="superscript"/>
        </w:rPr>
        <w:t>–</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Advantage(s): Fast cathode reaction in alkaline media, low temperature, low cost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Disadvantage(s): Design problem, electrolyte management and sensitive to CO</w:t>
      </w:r>
      <w:r>
        <w:rPr>
          <w:rFonts w:ascii="Times New Roman" w:hAnsi="Times New Roman" w:cs="Times New Roman"/>
          <w:sz w:val="24"/>
          <w:vertAlign w:val="subscript"/>
        </w:rPr>
        <w:t>2</w:t>
      </w:r>
      <w:r>
        <w:rPr>
          <w:rFonts w:ascii="Times New Roman" w:hAnsi="Times New Roman" w:cs="Times New Roman"/>
          <w:sz w:val="24"/>
        </w:rPr>
        <w:t xml:space="preserve"> in fuel &amp; air</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Application(s): Stationary, military, transportation and portable electronic devices</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Chemical reaction(s):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Anode: H</w:t>
      </w:r>
      <w:r>
        <w:rPr>
          <w:rFonts w:ascii="Times New Roman" w:hAnsi="Times New Roman" w:cs="Times New Roman"/>
          <w:sz w:val="24"/>
          <w:szCs w:val="24"/>
          <w:vertAlign w:val="subscript"/>
        </w:rPr>
        <w:t xml:space="preserve">2 </w:t>
      </w:r>
      <w:r>
        <w:rPr>
          <w:rFonts w:ascii="Times New Roman" w:hAnsi="Times New Roman" w:cs="Times New Roman"/>
          <w:sz w:val="24"/>
          <w:szCs w:val="24"/>
        </w:rPr>
        <w:t>+ 2OH</w:t>
      </w:r>
      <w:r>
        <w:rPr>
          <w:rFonts w:ascii="Times New Roman" w:hAnsi="Times New Roman" w:cs="Times New Roman"/>
          <w:sz w:val="24"/>
          <w:szCs w:val="24"/>
          <w:vertAlign w:val="superscript"/>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2H</w:t>
      </w:r>
      <w:r>
        <w:rPr>
          <w:rFonts w:ascii="Times New Roman" w:hAnsi="Times New Roman" w:cs="Times New Roman"/>
          <w:sz w:val="24"/>
          <w:szCs w:val="24"/>
          <w:vertAlign w:val="subscript"/>
        </w:rPr>
        <w:t>2</w:t>
      </w:r>
      <w:r>
        <w:rPr>
          <w:rFonts w:ascii="Times New Roman" w:hAnsi="Times New Roman" w:cs="Times New Roman"/>
          <w:sz w:val="24"/>
          <w:szCs w:val="24"/>
        </w:rPr>
        <w:t>O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Cathode: 1/2O</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color w:val="000000"/>
          <w:sz w:val="24"/>
          <w:szCs w:val="24"/>
        </w:rPr>
        <w:t>→ 2OH</w:t>
      </w:r>
      <w:r>
        <w:rPr>
          <w:rFonts w:ascii="Times New Roman" w:hAnsi="Times New Roman" w:cs="Times New Roman"/>
          <w:color w:val="000000"/>
          <w:sz w:val="24"/>
          <w:szCs w:val="24"/>
          <w:vertAlign w:val="superscript"/>
        </w:rPr>
        <w:t>–</w:t>
      </w:r>
      <w:r>
        <w:rPr>
          <w:rFonts w:ascii="Times New Roman" w:hAnsi="Times New Roman" w:cs="Times New Roman"/>
          <w:sz w:val="24"/>
          <w:szCs w:val="24"/>
        </w:rPr>
        <w:t xml:space="preserve"> </w:t>
      </w:r>
    </w:p>
    <w:p w:rsidR="00EB6684" w:rsidRDefault="00461F91">
      <w:pPr>
        <w:autoSpaceDE w:val="0"/>
        <w:autoSpaceDN w:val="0"/>
        <w:adjustRightInd w:val="0"/>
        <w:spacing w:before="240" w:after="240" w:line="360" w:lineRule="auto"/>
        <w:ind w:left="360" w:hanging="360"/>
        <w:jc w:val="both"/>
        <w:rPr>
          <w:b/>
        </w:rPr>
      </w:pPr>
      <w:r>
        <w:rPr>
          <w:b/>
        </w:rPr>
        <w:t xml:space="preserve"> Phosphoric Acid Fuel Cell (PAFC)</w:t>
      </w:r>
      <w:r w:rsidR="00BD08DD">
        <w:rPr>
          <w:b/>
        </w:rPr>
        <w:t>:</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Type of electrolyte used: Immobilized liquid Phosphoric acid</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Example of electrolyte: H</w:t>
      </w:r>
      <w:r>
        <w:rPr>
          <w:rFonts w:ascii="Times New Roman" w:hAnsi="Times New Roman" w:cs="Times New Roman"/>
          <w:sz w:val="24"/>
          <w:vertAlign w:val="subscript"/>
        </w:rPr>
        <w:t>3</w:t>
      </w:r>
      <w:r>
        <w:rPr>
          <w:rFonts w:ascii="Times New Roman" w:hAnsi="Times New Roman" w:cs="Times New Roman"/>
          <w:sz w:val="24"/>
        </w:rPr>
        <w:t>PO</w:t>
      </w:r>
      <w:r>
        <w:rPr>
          <w:rFonts w:ascii="Times New Roman" w:hAnsi="Times New Roman" w:cs="Times New Roman"/>
          <w:sz w:val="24"/>
          <w:vertAlign w:val="subscript"/>
        </w:rPr>
        <w:t>4</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Operating Temperature: 150 to 200 °C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Fuel: Hydrogen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Oxidant: O</w:t>
      </w:r>
      <w:r>
        <w:rPr>
          <w:rFonts w:ascii="Times New Roman" w:hAnsi="Times New Roman" w:cs="Times New Roman"/>
          <w:sz w:val="24"/>
          <w:vertAlign w:val="subscript"/>
        </w:rPr>
        <w:t>2</w:t>
      </w:r>
      <w:r>
        <w:rPr>
          <w:rFonts w:ascii="Times New Roman" w:hAnsi="Times New Roman" w:cs="Times New Roman"/>
          <w:sz w:val="24"/>
        </w:rPr>
        <w:t>/Air</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Efficiency: 40 %</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Ion to be conducts via electrolyte: H</w:t>
      </w:r>
      <w:r>
        <w:rPr>
          <w:rFonts w:ascii="Times New Roman" w:hAnsi="Times New Roman" w:cs="Times New Roman"/>
          <w:sz w:val="24"/>
          <w:vertAlign w:val="superscript"/>
        </w:rPr>
        <w:t>+</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Advantage(s): Increased tolerance to fuels and enables CHP</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Disadvantage(s): Structural design problem, long start up time and Pt catalyst</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lastRenderedPageBreak/>
        <w:t>Application(s): Transportation, stationary power generators with output up to 400kW.</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rPr>
        <w:t>Chemical reaction(s):</w:t>
      </w:r>
      <w:r>
        <w:rPr>
          <w:rFonts w:ascii="Times New Roman" w:hAnsi="Times New Roman" w:cs="Times New Roman"/>
          <w:sz w:val="24"/>
          <w:szCs w:val="24"/>
        </w:rPr>
        <w:t xml:space="preserve"> </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Anode: H</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2H</w:t>
      </w:r>
      <w:r>
        <w:rPr>
          <w:rFonts w:ascii="Times New Roman" w:hAnsi="Times New Roman" w:cs="Times New Roman"/>
          <w:sz w:val="24"/>
          <w:szCs w:val="24"/>
          <w:vertAlign w:val="superscript"/>
        </w:rPr>
        <w:t>+</w:t>
      </w:r>
      <w:r>
        <w:rPr>
          <w:rFonts w:ascii="Times New Roman" w:hAnsi="Times New Roman" w:cs="Times New Roman"/>
          <w:sz w:val="24"/>
          <w:szCs w:val="24"/>
        </w:rPr>
        <w:t xml:space="preserve">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rsidR="00EB6684" w:rsidRDefault="00461F91">
      <w:pPr>
        <w:pStyle w:val="ListParagraph"/>
        <w:numPr>
          <w:ilvl w:val="0"/>
          <w:numId w:val="34"/>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Cathode: 1/2O</w:t>
      </w:r>
      <w:r>
        <w:rPr>
          <w:rFonts w:ascii="Times New Roman" w:hAnsi="Times New Roman" w:cs="Times New Roman"/>
          <w:sz w:val="24"/>
          <w:szCs w:val="24"/>
          <w:vertAlign w:val="subscript"/>
        </w:rPr>
        <w:t>2</w:t>
      </w:r>
      <w:r>
        <w:rPr>
          <w:rFonts w:ascii="Times New Roman" w:hAnsi="Times New Roman" w:cs="Times New Roman"/>
          <w:sz w:val="24"/>
          <w:szCs w:val="24"/>
        </w:rPr>
        <w:t xml:space="preserve"> + 2H</w:t>
      </w:r>
      <w:r>
        <w:rPr>
          <w:rFonts w:ascii="Times New Roman" w:hAnsi="Times New Roman" w:cs="Times New Roman"/>
          <w:sz w:val="24"/>
          <w:szCs w:val="24"/>
          <w:vertAlign w:val="superscript"/>
        </w:rPr>
        <w:t>+</w:t>
      </w:r>
      <w:r>
        <w:rPr>
          <w:rFonts w:ascii="Times New Roman" w:hAnsi="Times New Roman" w:cs="Times New Roman"/>
          <w:sz w:val="24"/>
          <w:szCs w:val="24"/>
        </w:rPr>
        <w:t xml:space="preserve">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color w:val="000000"/>
          <w:sz w:val="24"/>
          <w:szCs w:val="24"/>
        </w:rPr>
        <w:t>→ H</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O</w:t>
      </w:r>
      <w:r>
        <w:rPr>
          <w:rFonts w:ascii="Times New Roman" w:hAnsi="Times New Roman" w:cs="Times New Roman"/>
          <w:sz w:val="24"/>
          <w:szCs w:val="24"/>
        </w:rPr>
        <w:t xml:space="preserve"> </w:t>
      </w:r>
    </w:p>
    <w:p w:rsidR="00EB6684" w:rsidRDefault="00461F91">
      <w:pPr>
        <w:autoSpaceDE w:val="0"/>
        <w:autoSpaceDN w:val="0"/>
        <w:adjustRightInd w:val="0"/>
        <w:spacing w:before="240" w:after="240" w:line="360" w:lineRule="auto"/>
        <w:jc w:val="both"/>
        <w:rPr>
          <w:b/>
        </w:rPr>
      </w:pPr>
      <w:r>
        <w:rPr>
          <w:b/>
        </w:rPr>
        <w:t xml:space="preserve"> Molten Carbonate Fuel Cell (MCFC)</w:t>
      </w:r>
      <w:r w:rsidR="00BD08DD">
        <w:rPr>
          <w:b/>
        </w:rPr>
        <w:t>:</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Type of electrolyte used: Immobilized liquid molten carbonate</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Example of electrolyte: Molten K</w:t>
      </w:r>
      <w:r>
        <w:rPr>
          <w:rFonts w:ascii="Times New Roman" w:hAnsi="Times New Roman" w:cs="Times New Roman"/>
          <w:sz w:val="24"/>
          <w:vertAlign w:val="subscript"/>
        </w:rPr>
        <w:t>2</w:t>
      </w:r>
      <w:r>
        <w:rPr>
          <w:rFonts w:ascii="Times New Roman" w:hAnsi="Times New Roman" w:cs="Times New Roman"/>
          <w:sz w:val="24"/>
        </w:rPr>
        <w:t>CO</w:t>
      </w:r>
      <w:r>
        <w:rPr>
          <w:rFonts w:ascii="Times New Roman" w:hAnsi="Times New Roman" w:cs="Times New Roman"/>
          <w:sz w:val="24"/>
          <w:vertAlign w:val="subscript"/>
        </w:rPr>
        <w:t>3</w:t>
      </w:r>
      <w:r>
        <w:rPr>
          <w:rFonts w:ascii="Times New Roman" w:hAnsi="Times New Roman" w:cs="Times New Roman"/>
          <w:sz w:val="24"/>
        </w:rPr>
        <w:t>, Li</w:t>
      </w:r>
      <w:r>
        <w:rPr>
          <w:rFonts w:ascii="Times New Roman" w:hAnsi="Times New Roman" w:cs="Times New Roman"/>
          <w:sz w:val="24"/>
          <w:vertAlign w:val="subscript"/>
        </w:rPr>
        <w:t>2</w:t>
      </w:r>
      <w:r>
        <w:rPr>
          <w:rFonts w:ascii="Times New Roman" w:hAnsi="Times New Roman" w:cs="Times New Roman"/>
          <w:sz w:val="24"/>
        </w:rPr>
        <w:t>CO</w:t>
      </w:r>
      <w:r>
        <w:rPr>
          <w:rFonts w:ascii="Times New Roman" w:hAnsi="Times New Roman" w:cs="Times New Roman"/>
          <w:sz w:val="24"/>
          <w:vertAlign w:val="subscript"/>
        </w:rPr>
        <w:t>3</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Operating Temperature: 600 to 700 °C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Fuel: Hydrogen, Natural gas, carbon monoxide, Propane</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Oxidant: O</w:t>
      </w:r>
      <w:r>
        <w:rPr>
          <w:rFonts w:ascii="Times New Roman" w:hAnsi="Times New Roman" w:cs="Times New Roman"/>
          <w:sz w:val="24"/>
          <w:vertAlign w:val="subscript"/>
        </w:rPr>
        <w:t>2</w:t>
      </w:r>
      <w:r>
        <w:rPr>
          <w:rFonts w:ascii="Times New Roman" w:hAnsi="Times New Roman" w:cs="Times New Roman"/>
          <w:sz w:val="24"/>
        </w:rPr>
        <w:t>/ CO</w:t>
      </w:r>
      <w:r>
        <w:rPr>
          <w:rFonts w:ascii="Times New Roman" w:hAnsi="Times New Roman" w:cs="Times New Roman"/>
          <w:sz w:val="24"/>
          <w:vertAlign w:val="subscript"/>
        </w:rPr>
        <w:t>2</w:t>
      </w:r>
      <w:r>
        <w:rPr>
          <w:rFonts w:ascii="Times New Roman" w:hAnsi="Times New Roman" w:cs="Times New Roman"/>
          <w:sz w:val="24"/>
        </w:rPr>
        <w:t>/Air</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Efficiency: 50 %</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Ion to be conducts via electrolyte: CO</w:t>
      </w:r>
      <w:r>
        <w:rPr>
          <w:rFonts w:ascii="Times New Roman" w:hAnsi="Times New Roman" w:cs="Times New Roman"/>
          <w:sz w:val="24"/>
          <w:vertAlign w:val="subscript"/>
        </w:rPr>
        <w:t>3</w:t>
      </w:r>
      <w:r>
        <w:rPr>
          <w:rFonts w:ascii="Times New Roman" w:hAnsi="Times New Roman" w:cs="Times New Roman"/>
          <w:sz w:val="24"/>
          <w:vertAlign w:val="superscript"/>
        </w:rPr>
        <w:t>2–</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Advantage(s): Fuel flexibility, variety of catalysts and enables CHP due to high temperature</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Disadvantage(s): High temperature corrosion of the cell parts, long start up time.</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Application(s): Distributed power generation</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rPr>
        <w:t>Chemical reaction(s):</w:t>
      </w:r>
      <w:r>
        <w:rPr>
          <w:rFonts w:ascii="Times New Roman" w:hAnsi="Times New Roman" w:cs="Times New Roman"/>
          <w:sz w:val="24"/>
          <w:szCs w:val="24"/>
        </w:rPr>
        <w:t xml:space="preserve"> </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Anode: H</w:t>
      </w:r>
      <w:r>
        <w:rPr>
          <w:rFonts w:ascii="Times New Roman" w:hAnsi="Times New Roman" w:cs="Times New Roman"/>
          <w:sz w:val="24"/>
          <w:szCs w:val="24"/>
          <w:vertAlign w:val="subscript"/>
        </w:rPr>
        <w:t>2</w:t>
      </w:r>
      <w:r>
        <w:rPr>
          <w:rFonts w:ascii="Times New Roman" w:hAnsi="Times New Roman" w:cs="Times New Roman"/>
          <w:sz w:val="24"/>
          <w:szCs w:val="24"/>
        </w:rPr>
        <w:t xml:space="preserve"> + 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 xml:space="preserve">2– </w:t>
      </w:r>
      <w:r>
        <w:rPr>
          <w:rFonts w:ascii="Times New Roman" w:hAnsi="Times New Roman" w:cs="Times New Roman"/>
          <w:color w:val="000000"/>
          <w:sz w:val="24"/>
          <w:szCs w:val="24"/>
        </w:rPr>
        <w:t>→</w: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O + CO</w:t>
      </w:r>
      <w:r>
        <w:rPr>
          <w:rFonts w:ascii="Times New Roman" w:hAnsi="Times New Roman" w:cs="Times New Roman"/>
          <w:sz w:val="24"/>
          <w:szCs w:val="24"/>
          <w:vertAlign w:val="subscript"/>
        </w:rPr>
        <w:t>2</w:t>
      </w:r>
      <w:r>
        <w:rPr>
          <w:rFonts w:ascii="Times New Roman" w:hAnsi="Times New Roman" w:cs="Times New Roman"/>
          <w:sz w:val="24"/>
          <w:szCs w:val="24"/>
        </w:rPr>
        <w:t xml:space="preserve">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rsidR="00EB6684" w:rsidRDefault="00461F91">
      <w:pPr>
        <w:pStyle w:val="ListParagraph"/>
        <w:numPr>
          <w:ilvl w:val="0"/>
          <w:numId w:val="35"/>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szCs w:val="24"/>
        </w:rPr>
        <w:t>At the side of Cathode: 1/2O</w:t>
      </w:r>
      <w:r>
        <w:rPr>
          <w:rFonts w:ascii="Times New Roman" w:hAnsi="Times New Roman" w:cs="Times New Roman"/>
          <w:sz w:val="24"/>
          <w:szCs w:val="24"/>
          <w:vertAlign w:val="subscript"/>
        </w:rPr>
        <w:t>2</w:t>
      </w:r>
      <w:r>
        <w:rPr>
          <w:rFonts w:ascii="Times New Roman" w:hAnsi="Times New Roman" w:cs="Times New Roman"/>
          <w:sz w:val="24"/>
          <w:szCs w:val="24"/>
        </w:rPr>
        <w:t xml:space="preserve"> + CO</w:t>
      </w:r>
      <w:r>
        <w:rPr>
          <w:rFonts w:ascii="Times New Roman" w:hAnsi="Times New Roman" w:cs="Times New Roman"/>
          <w:sz w:val="24"/>
          <w:szCs w:val="24"/>
          <w:vertAlign w:val="subscript"/>
        </w:rPr>
        <w:t>2</w:t>
      </w:r>
      <w:r>
        <w:rPr>
          <w:rFonts w:ascii="Times New Roman" w:hAnsi="Times New Roman" w:cs="Times New Roman"/>
          <w:sz w:val="24"/>
          <w:szCs w:val="24"/>
        </w:rPr>
        <w:t xml:space="preserve">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2–</w:t>
      </w:r>
    </w:p>
    <w:p w:rsidR="00EB6684" w:rsidRDefault="00461F91">
      <w:pPr>
        <w:autoSpaceDE w:val="0"/>
        <w:autoSpaceDN w:val="0"/>
        <w:adjustRightInd w:val="0"/>
        <w:spacing w:before="240" w:after="240" w:line="360" w:lineRule="auto"/>
        <w:jc w:val="both"/>
        <w:rPr>
          <w:b/>
        </w:rPr>
      </w:pPr>
      <w:r>
        <w:rPr>
          <w:b/>
        </w:rPr>
        <w:t xml:space="preserve"> Solid Oxide Fuel Cell (SOFC)</w:t>
      </w:r>
      <w:r w:rsidR="00BD08DD">
        <w:rPr>
          <w:b/>
        </w:rPr>
        <w:t>:</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Type of electrolyte used: Solid/ Ceramics</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Example of electrolyte: (Solid form) Yttria Stabilized Zirconia or Doped ceria</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 xml:space="preserve">Operating Temperature: 600 to 1000 °C </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Fuel: Hydrogen, CO, Natural gas, Propane</w:t>
      </w:r>
    </w:p>
    <w:p w:rsidR="00EB6684" w:rsidRDefault="00461F91">
      <w:pPr>
        <w:pStyle w:val="ListParagraph"/>
        <w:numPr>
          <w:ilvl w:val="0"/>
          <w:numId w:val="33"/>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Oxidant: O</w:t>
      </w:r>
      <w:r>
        <w:rPr>
          <w:rFonts w:ascii="Times New Roman" w:hAnsi="Times New Roman" w:cs="Times New Roman"/>
          <w:sz w:val="24"/>
          <w:vertAlign w:val="subscript"/>
        </w:rPr>
        <w:t>2</w:t>
      </w:r>
      <w:r>
        <w:rPr>
          <w:rFonts w:ascii="Times New Roman" w:hAnsi="Times New Roman" w:cs="Times New Roman"/>
          <w:sz w:val="24"/>
        </w:rPr>
        <w:t>/Air</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Efficiency: &gt;60 %</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Ion to be conducts via electrolyte: O</w:t>
      </w:r>
      <w:r>
        <w:rPr>
          <w:rFonts w:ascii="Times New Roman" w:hAnsi="Times New Roman" w:cs="Times New Roman"/>
          <w:sz w:val="24"/>
          <w:vertAlign w:val="superscript"/>
        </w:rPr>
        <w:t>2–</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lastRenderedPageBreak/>
        <w:t>Advantage(s): High efficiency, modularity, fuel flexibility, avoids expensive catalysts, suitable CHP/ CHHP, hybrid/GT cycle, cogeneration and potential for internal reformation of hydrocarbons.</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Disadvantage(s): Corrosion of the cell parts at high temperatures, lengthy start up time.</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rPr>
        <w:t>Application(s): Distributed and stationary power generation to auxiliary power units in vehicles</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rPr>
        <w:t>Chemical reaction(s):</w:t>
      </w:r>
      <w:r>
        <w:rPr>
          <w:rFonts w:ascii="Times New Roman" w:hAnsi="Times New Roman" w:cs="Times New Roman"/>
          <w:sz w:val="24"/>
          <w:szCs w:val="24"/>
        </w:rPr>
        <w:t xml:space="preserve"> </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szCs w:val="24"/>
        </w:rPr>
      </w:pPr>
      <w:r>
        <w:rPr>
          <w:rFonts w:ascii="Times New Roman" w:hAnsi="Times New Roman" w:cs="Times New Roman"/>
          <w:sz w:val="24"/>
          <w:szCs w:val="24"/>
        </w:rPr>
        <w:t>At the side of Anode: H</w:t>
      </w:r>
      <w:r>
        <w:rPr>
          <w:rFonts w:ascii="Times New Roman" w:hAnsi="Times New Roman" w:cs="Times New Roman"/>
          <w:sz w:val="24"/>
          <w:szCs w:val="24"/>
          <w:vertAlign w:val="subscript"/>
        </w:rPr>
        <w:t>2</w:t>
      </w:r>
      <w:r>
        <w:rPr>
          <w:rFonts w:ascii="Times New Roman" w:hAnsi="Times New Roman" w:cs="Times New Roman"/>
          <w:sz w:val="24"/>
          <w:szCs w:val="24"/>
        </w:rPr>
        <w:t xml:space="preserve"> + O</w:t>
      </w:r>
      <w:r>
        <w:rPr>
          <w:rFonts w:ascii="Times New Roman" w:hAnsi="Times New Roman" w:cs="Times New Roman"/>
          <w:sz w:val="24"/>
          <w:szCs w:val="24"/>
          <w:vertAlign w:val="superscript"/>
        </w:rPr>
        <w:t>2–</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O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p>
    <w:p w:rsidR="00EB6684" w:rsidRDefault="00461F91">
      <w:pPr>
        <w:pStyle w:val="ListParagraph"/>
        <w:numPr>
          <w:ilvl w:val="0"/>
          <w:numId w:val="36"/>
        </w:numPr>
        <w:autoSpaceDE w:val="0"/>
        <w:autoSpaceDN w:val="0"/>
        <w:adjustRightInd w:val="0"/>
        <w:spacing w:before="240" w:after="240" w:line="360" w:lineRule="auto"/>
        <w:ind w:left="720"/>
        <w:jc w:val="both"/>
        <w:rPr>
          <w:rFonts w:ascii="Times New Roman" w:hAnsi="Times New Roman" w:cs="Times New Roman"/>
          <w:sz w:val="24"/>
        </w:rPr>
      </w:pPr>
      <w:r>
        <w:rPr>
          <w:rFonts w:ascii="Times New Roman" w:hAnsi="Times New Roman" w:cs="Times New Roman"/>
          <w:sz w:val="24"/>
          <w:szCs w:val="24"/>
        </w:rPr>
        <w:t>At the side of Cathode: 1/2O</w:t>
      </w:r>
      <w:r>
        <w:rPr>
          <w:rFonts w:ascii="Times New Roman" w:hAnsi="Times New Roman" w:cs="Times New Roman"/>
          <w:sz w:val="24"/>
          <w:szCs w:val="24"/>
          <w:vertAlign w:val="subscript"/>
        </w:rPr>
        <w:t>2</w:t>
      </w:r>
      <w:r>
        <w:rPr>
          <w:rFonts w:ascii="Times New Roman" w:hAnsi="Times New Roman" w:cs="Times New Roman"/>
          <w:sz w:val="24"/>
          <w:szCs w:val="24"/>
        </w:rPr>
        <w:t xml:space="preserve"> + 2e</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sz w:val="24"/>
          <w:szCs w:val="24"/>
        </w:rPr>
        <w:t>O</w:t>
      </w:r>
      <w:r>
        <w:rPr>
          <w:rFonts w:ascii="Times New Roman" w:hAnsi="Times New Roman" w:cs="Times New Roman"/>
          <w:sz w:val="24"/>
          <w:szCs w:val="24"/>
          <w:vertAlign w:val="superscript"/>
        </w:rPr>
        <w:t>2–</w:t>
      </w:r>
    </w:p>
    <w:p w:rsidR="00EB6684" w:rsidRDefault="00461F91">
      <w:pPr>
        <w:autoSpaceDE w:val="0"/>
        <w:autoSpaceDN w:val="0"/>
        <w:adjustRightInd w:val="0"/>
        <w:spacing w:line="360" w:lineRule="auto"/>
        <w:ind w:firstLine="720"/>
        <w:jc w:val="both"/>
        <w:rPr>
          <w:szCs w:val="20"/>
        </w:rPr>
      </w:pPr>
      <w:r>
        <w:rPr>
          <w:szCs w:val="20"/>
        </w:rPr>
        <w:t xml:space="preserve">Among the fore mentioned fuel cells, SOFC has proven as most promising and efficient electrochemical energy conversion device. SOFC technology has a great interest due to its clean electrical energy production from chemical energy and in the process of conversion only heat and water produced as derivatives. </w:t>
      </w:r>
      <w:r>
        <w:t xml:space="preserve">Solid oxide fuel cell (SOFC) is an environmentally-friendly </w:t>
      </w:r>
      <w:r>
        <w:rPr>
          <w:szCs w:val="20"/>
        </w:rPr>
        <w:t>energy conversion device</w:t>
      </w:r>
      <w:r>
        <w:t xml:space="preserve"> due to its longer life time, choice of a fuel and less environmental impact. In addition to this, SOFC uses a solid electrolyte which can minimize the corrosion problems when compared to MCFC and eliminates the water management issue when compared to PEMFC. Apart from the advantages, the SOFC has important applications such as distributed power generation, stationary power generation to auxiliary power units in vehicles, remote power generation and uninterruptable power supplies. This makes the SOFC </w:t>
      </w:r>
      <w:r>
        <w:rPr>
          <w:szCs w:val="20"/>
        </w:rPr>
        <w:t xml:space="preserve">as a most efficient and favorable electro-chemical energy conversion device [4, 6, 17–19]. </w:t>
      </w:r>
    </w:p>
    <w:p w:rsidR="00BD08DD" w:rsidRDefault="00461F91" w:rsidP="00BD08DD">
      <w:pPr>
        <w:autoSpaceDE w:val="0"/>
        <w:autoSpaceDN w:val="0"/>
        <w:adjustRightInd w:val="0"/>
        <w:spacing w:before="240" w:after="240" w:line="360" w:lineRule="auto"/>
        <w:jc w:val="both"/>
        <w:rPr>
          <w:b/>
        </w:rPr>
      </w:pPr>
      <w:r>
        <w:rPr>
          <w:b/>
        </w:rPr>
        <w:t xml:space="preserve">Design and Working mechanism of </w:t>
      </w:r>
      <w:r w:rsidR="00BD08DD">
        <w:rPr>
          <w:b/>
        </w:rPr>
        <w:t>Solid Oxide Fuel Cell (SOFC):</w:t>
      </w:r>
    </w:p>
    <w:p w:rsidR="00EB6684" w:rsidRDefault="00461F91">
      <w:pPr>
        <w:autoSpaceDE w:val="0"/>
        <w:autoSpaceDN w:val="0"/>
        <w:adjustRightInd w:val="0"/>
        <w:spacing w:line="360" w:lineRule="auto"/>
        <w:jc w:val="both"/>
      </w:pPr>
      <w:r>
        <w:t>SOFC is one of the important fuel cell types, which is emerged as an efficient electro-chemical energy conversion technology over other categories of fuel cells [17–20]. In 1937, the SOFC was demonstrated and developed first by Bauer and Pries [21]. SOFC is mainly comprises of three parts, out of which two electrodes (cathode and anode) connected by a dense solid electrolyte.  SOFC can be constructed in planar form called as planar SOFC and tubular form called as tubular SOFC. The working mechanism of</w:t>
      </w:r>
      <w:r w:rsidR="006502A1">
        <w:t xml:space="preserve"> SOFC is straightforward. Fig. </w:t>
      </w:r>
      <w:r>
        <w:t xml:space="preserve">3 depicts the schematic-diagram of simple SOFC design. In a typical SOFC, oxygen is supplied to cathode side and fuel i.e. hydrogen is supplied to anode side. The reduction of oxygen atoms to oxygen </w:t>
      </w:r>
      <w:r>
        <w:lastRenderedPageBreak/>
        <w:t>ions takes place by the electrons (1/2O</w:t>
      </w:r>
      <w:r>
        <w:rPr>
          <w:vertAlign w:val="subscript"/>
        </w:rPr>
        <w:t>2</w:t>
      </w:r>
      <w:r>
        <w:t xml:space="preserve"> + 2e</w:t>
      </w:r>
      <w:r>
        <w:rPr>
          <w:vertAlign w:val="superscript"/>
        </w:rPr>
        <w:t>–</w:t>
      </w:r>
      <w:r>
        <w:t xml:space="preserve"> </w:t>
      </w:r>
      <w:r>
        <w:rPr>
          <w:color w:val="000000"/>
        </w:rPr>
        <w:t xml:space="preserve">→ </w:t>
      </w:r>
      <w:r>
        <w:t>O</w:t>
      </w:r>
      <w:r>
        <w:rPr>
          <w:vertAlign w:val="superscript"/>
        </w:rPr>
        <w:t>2–</w:t>
      </w:r>
      <w:r>
        <w:t>). The resultant oxygen ions (O</w:t>
      </w:r>
      <w:r>
        <w:rPr>
          <w:vertAlign w:val="superscript"/>
        </w:rPr>
        <w:t>2–</w:t>
      </w:r>
      <w:r>
        <w:t>) diffused via solid electrolyte towards the porous anode. Hydrogen fuel is then supplied at the porous anode. The reaction between the hydrogen and diffused oxygen ions gives off electrons to the external circuit (H</w:t>
      </w:r>
      <w:r>
        <w:rPr>
          <w:vertAlign w:val="subscript"/>
        </w:rPr>
        <w:t>2</w:t>
      </w:r>
      <w:r>
        <w:t xml:space="preserve"> + O</w:t>
      </w:r>
      <w:r>
        <w:rPr>
          <w:vertAlign w:val="superscript"/>
        </w:rPr>
        <w:t>2–</w:t>
      </w:r>
      <w:r>
        <w:rPr>
          <w:color w:val="000000"/>
        </w:rPr>
        <w:t xml:space="preserve"> →</w:t>
      </w:r>
      <w:r>
        <w:t xml:space="preserve"> H</w:t>
      </w:r>
      <w:r>
        <w:rPr>
          <w:vertAlign w:val="subscript"/>
        </w:rPr>
        <w:t>2</w:t>
      </w:r>
      <w:r>
        <w:t>O + 2e</w:t>
      </w:r>
      <w:r>
        <w:rPr>
          <w:vertAlign w:val="superscript"/>
        </w:rPr>
        <w:t>–</w:t>
      </w:r>
      <w:r>
        <w:t xml:space="preserve">). </w:t>
      </w:r>
    </w:p>
    <w:p w:rsidR="00EB6684" w:rsidRDefault="00461F91">
      <w:pPr>
        <w:autoSpaceDE w:val="0"/>
        <w:autoSpaceDN w:val="0"/>
        <w:adjustRightInd w:val="0"/>
        <w:spacing w:before="240" w:after="240" w:line="360" w:lineRule="auto"/>
        <w:jc w:val="center"/>
      </w:pPr>
      <w:r>
        <w:rPr>
          <w:noProof/>
        </w:rPr>
        <w:drawing>
          <wp:inline distT="0" distB="0" distL="0" distR="0">
            <wp:extent cx="3652239" cy="3144982"/>
            <wp:effectExtent l="0" t="0" r="0" b="0"/>
            <wp:docPr id="1040" name="Picture 3" descr="C:\Users\Madhuri\Desktop\image of Fuel cell\SOFC 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1" cstate="print"/>
                    <a:srcRect/>
                    <a:stretch/>
                  </pic:blipFill>
                  <pic:spPr>
                    <a:xfrm>
                      <a:off x="0" y="0"/>
                      <a:ext cx="3652239" cy="3144982"/>
                    </a:xfrm>
                    <a:prstGeom prst="rect">
                      <a:avLst/>
                    </a:prstGeom>
                    <a:ln>
                      <a:noFill/>
                    </a:ln>
                  </pic:spPr>
                </pic:pic>
              </a:graphicData>
            </a:graphic>
          </wp:inline>
        </w:drawing>
      </w:r>
    </w:p>
    <w:p w:rsidR="00EB6684" w:rsidRDefault="00461F91">
      <w:pPr>
        <w:autoSpaceDE w:val="0"/>
        <w:autoSpaceDN w:val="0"/>
        <w:adjustRightInd w:val="0"/>
        <w:spacing w:line="360" w:lineRule="auto"/>
        <w:jc w:val="center"/>
        <w:rPr>
          <w:b/>
        </w:rPr>
      </w:pPr>
      <w:r>
        <w:t xml:space="preserve"> </w:t>
      </w:r>
      <w:r>
        <w:rPr>
          <w:b/>
        </w:rPr>
        <w:t>Fig.3 Schematic-diagram of simple SOFC design</w:t>
      </w:r>
    </w:p>
    <w:p w:rsidR="00EB6684" w:rsidRDefault="00461F91">
      <w:pPr>
        <w:autoSpaceDE w:val="0"/>
        <w:autoSpaceDN w:val="0"/>
        <w:adjustRightInd w:val="0"/>
        <w:spacing w:line="360" w:lineRule="auto"/>
        <w:jc w:val="both"/>
      </w:pPr>
      <w:r>
        <w:t>The hydrogen and diffused oxygen ions are electro-chemically combined through the electrolyte to generate electricity. Therefore, it can efficiently convert the fuel-chemical energy to clean electrical energy besides it releases water and heat and this cycle repeats [6].</w:t>
      </w:r>
    </w:p>
    <w:p w:rsidR="00EB6684" w:rsidRDefault="00461F91">
      <w:pPr>
        <w:autoSpaceDE w:val="0"/>
        <w:autoSpaceDN w:val="0"/>
        <w:adjustRightInd w:val="0"/>
        <w:spacing w:before="240" w:after="240" w:line="360" w:lineRule="auto"/>
        <w:jc w:val="both"/>
        <w:rPr>
          <w:b/>
        </w:rPr>
      </w:pPr>
      <w:r>
        <w:rPr>
          <w:b/>
        </w:rPr>
        <w:t>Anode</w:t>
      </w:r>
      <w:r w:rsidR="00BD08DD">
        <w:rPr>
          <w:b/>
        </w:rPr>
        <w:t>:</w:t>
      </w:r>
    </w:p>
    <w:p w:rsidR="00EB6684" w:rsidRDefault="00461F91">
      <w:pPr>
        <w:autoSpaceDE w:val="0"/>
        <w:autoSpaceDN w:val="0"/>
        <w:adjustRightInd w:val="0"/>
        <w:spacing w:line="360" w:lineRule="auto"/>
        <w:jc w:val="both"/>
      </w:pPr>
      <w:r>
        <w:t>Important role of this component is to access the fuel and electro-oxidize the hydrogen fuel via chemical reaction and subtraction of product. Therefore, the material to be withstanding as a good anode and to achieve this role, the material must possess the following properties.</w:t>
      </w:r>
    </w:p>
    <w:p w:rsidR="00EB6684" w:rsidRDefault="00461F91">
      <w:pPr>
        <w:pStyle w:val="ListParagraph"/>
        <w:numPr>
          <w:ilvl w:val="0"/>
          <w:numId w:val="1"/>
        </w:numPr>
        <w:autoSpaceDE w:val="0"/>
        <w:autoSpaceDN w:val="0"/>
        <w:adjustRightInd w:val="0"/>
        <w:spacing w:line="360" w:lineRule="auto"/>
        <w:ind w:left="360"/>
        <w:jc w:val="both"/>
      </w:pPr>
      <w:r>
        <w:rPr>
          <w:rFonts w:ascii="Times New Roman" w:hAnsi="Times New Roman" w:cs="Times New Roman"/>
          <w:sz w:val="24"/>
          <w:szCs w:val="24"/>
        </w:rPr>
        <w:t>High porosity for the fast diffusion of fuel through it</w:t>
      </w:r>
    </w:p>
    <w:p w:rsidR="00EB6684" w:rsidRDefault="00461F91">
      <w:pPr>
        <w:pStyle w:val="ListParagraph"/>
        <w:numPr>
          <w:ilvl w:val="0"/>
          <w:numId w:val="1"/>
        </w:numPr>
        <w:autoSpaceDE w:val="0"/>
        <w:autoSpaceDN w:val="0"/>
        <w:adjustRightInd w:val="0"/>
        <w:spacing w:line="360" w:lineRule="auto"/>
        <w:ind w:left="360"/>
        <w:jc w:val="both"/>
      </w:pPr>
      <w:r>
        <w:rPr>
          <w:rFonts w:ascii="Times New Roman" w:hAnsi="Times New Roman" w:cs="Times New Roman"/>
          <w:sz w:val="24"/>
          <w:szCs w:val="24"/>
        </w:rPr>
        <w:t>High electronic-conductivity</w:t>
      </w:r>
    </w:p>
    <w:p w:rsidR="00EB6684" w:rsidRDefault="00461F91">
      <w:pPr>
        <w:pStyle w:val="ListParagraph"/>
        <w:numPr>
          <w:ilvl w:val="0"/>
          <w:numId w:val="1"/>
        </w:numPr>
        <w:autoSpaceDE w:val="0"/>
        <w:autoSpaceDN w:val="0"/>
        <w:adjustRightInd w:val="0"/>
        <w:spacing w:line="360" w:lineRule="auto"/>
        <w:ind w:left="360"/>
        <w:jc w:val="both"/>
      </w:pPr>
      <w:r>
        <w:rPr>
          <w:rFonts w:ascii="Times New Roman" w:hAnsi="Times New Roman" w:cs="Times New Roman"/>
          <w:sz w:val="24"/>
          <w:szCs w:val="24"/>
        </w:rPr>
        <w:t>Sufficient ionic-conductivity</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Chemical stability in fuel and oxidizing environment and operating conditions</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Enough catalytic activity to oxidize the hydrogen </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Matched coefficient of thermal expansion (CTE) with adjacent SOFC components</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Physical, chemical and mechanical compatibility with adjacent components</w:t>
      </w:r>
    </w:p>
    <w:p w:rsidR="00EB6684" w:rsidRDefault="00461F91">
      <w:pPr>
        <w:pStyle w:val="ListParagraph"/>
        <w:numPr>
          <w:ilvl w:val="0"/>
          <w:numId w:val="1"/>
        </w:numPr>
        <w:autoSpaceDE w:val="0"/>
        <w:autoSpaceDN w:val="0"/>
        <w:adjustRightInd w:val="0"/>
        <w:spacing w:line="360" w:lineRule="auto"/>
        <w:ind w:left="360"/>
        <w:jc w:val="both"/>
      </w:pPr>
      <w:r>
        <w:rPr>
          <w:rFonts w:ascii="Times New Roman" w:hAnsi="Times New Roman" w:cs="Times New Roman"/>
          <w:sz w:val="24"/>
          <w:szCs w:val="24"/>
        </w:rPr>
        <w:t>Lower cost</w:t>
      </w:r>
    </w:p>
    <w:p w:rsidR="00EB6684" w:rsidRDefault="00461F91">
      <w:pPr>
        <w:autoSpaceDE w:val="0"/>
        <w:autoSpaceDN w:val="0"/>
        <w:adjustRightInd w:val="0"/>
        <w:spacing w:before="240" w:after="240" w:line="360" w:lineRule="auto"/>
        <w:jc w:val="both"/>
      </w:pPr>
      <w:r>
        <w:t>These above mentioned properties confines the choice of anode materials. The most important materials in the choice of anode materials are nickel and the noble-metals. One of the vital anode materials for the SOFC is consists of nickel due to its low cost with feasible properties over noble-metals. However, this material is not used as anode material due to the high value of CTE when compared to solid electrolyte lead to thermal mismatch between the components. In addition to this, Nickel is not stable at high temperatures over oxidation in air. To minimize the problem associated with this, research &amp; development has suggested the several perovskites and also composite material such as SrMo</w:t>
      </w:r>
      <w:r>
        <w:rPr>
          <w:vertAlign w:val="subscript"/>
        </w:rPr>
        <w:t>0.9</w:t>
      </w:r>
      <w:r>
        <w:t>Fe</w:t>
      </w:r>
      <w:r>
        <w:rPr>
          <w:vertAlign w:val="subscript"/>
        </w:rPr>
        <w:t>0.1</w:t>
      </w:r>
      <w:r>
        <w:t>O</w:t>
      </w:r>
      <w:r>
        <w:rPr>
          <w:vertAlign w:val="subscript"/>
        </w:rPr>
        <w:t>3-δ</w:t>
      </w:r>
      <w:r>
        <w:t>, Ba</w:t>
      </w:r>
      <w:r>
        <w:rPr>
          <w:vertAlign w:val="subscript"/>
        </w:rPr>
        <w:t>0·6</w:t>
      </w:r>
      <w:r>
        <w:t>Sr</w:t>
      </w:r>
      <w:r>
        <w:rPr>
          <w:vertAlign w:val="subscript"/>
        </w:rPr>
        <w:t>0·4</w:t>
      </w:r>
      <w:r>
        <w:t>Co</w:t>
      </w:r>
      <w:r>
        <w:rPr>
          <w:vertAlign w:val="subscript"/>
        </w:rPr>
        <w:t>0·8</w:t>
      </w:r>
      <w:r>
        <w:t>Fe</w:t>
      </w:r>
      <w:r>
        <w:rPr>
          <w:vertAlign w:val="subscript"/>
        </w:rPr>
        <w:t>0·2</w:t>
      </w:r>
      <w:r>
        <w:t>O</w:t>
      </w:r>
      <w:r>
        <w:rPr>
          <w:vertAlign w:val="subscript"/>
        </w:rPr>
        <w:t>3</w:t>
      </w:r>
      <w:r>
        <w:t>, and Nickel–Doped Ceria which can offer above said desired properties [22–25]. Furthermore, the composite anodes such as (LaSr)(TiFe)O</w:t>
      </w:r>
      <w:r>
        <w:rPr>
          <w:vertAlign w:val="subscript"/>
        </w:rPr>
        <w:t>3</w:t>
      </w:r>
      <w:r>
        <w:t>–Ceria, Ni</w:t>
      </w:r>
      <w:r>
        <w:rPr>
          <w:vertAlign w:val="subscript"/>
        </w:rPr>
        <w:t>0.6</w:t>
      </w:r>
      <w:r>
        <w:t>Zn</w:t>
      </w:r>
      <w:r>
        <w:rPr>
          <w:vertAlign w:val="subscript"/>
        </w:rPr>
        <w:t>0.4</w:t>
      </w:r>
      <w:r>
        <w:t>O</w:t>
      </w:r>
      <w:r>
        <w:rPr>
          <w:vertAlign w:val="subscript"/>
        </w:rPr>
        <w:t>2-ẟ</w:t>
      </w:r>
      <w:r>
        <w:t>–GDC, Ni/SrTi</w:t>
      </w:r>
      <w:r>
        <w:rPr>
          <w:vertAlign w:val="subscript"/>
        </w:rPr>
        <w:t>1-x</w:t>
      </w:r>
      <w:r>
        <w:t>Cr</w:t>
      </w:r>
      <w:r>
        <w:rPr>
          <w:vertAlign w:val="subscript"/>
        </w:rPr>
        <w:t>x</w:t>
      </w:r>
      <w:r>
        <w:t>O</w:t>
      </w:r>
      <w:r>
        <w:rPr>
          <w:vertAlign w:val="subscript"/>
        </w:rPr>
        <w:t>3</w:t>
      </w:r>
      <w:r>
        <w:t xml:space="preserve"> as well as some layered perovskite anodes like Y- and Al- substituted SrVO</w:t>
      </w:r>
      <w:r>
        <w:rPr>
          <w:vertAlign w:val="subscript"/>
        </w:rPr>
        <w:t>3</w:t>
      </w:r>
      <w:r>
        <w:t>, etc. have been developed as a novel materials which offering desired properties [26–29].</w:t>
      </w:r>
    </w:p>
    <w:p w:rsidR="00EB6684" w:rsidRDefault="00461F91">
      <w:pPr>
        <w:autoSpaceDE w:val="0"/>
        <w:autoSpaceDN w:val="0"/>
        <w:adjustRightInd w:val="0"/>
        <w:spacing w:before="240" w:after="240" w:line="360" w:lineRule="auto"/>
        <w:jc w:val="both"/>
        <w:rPr>
          <w:b/>
        </w:rPr>
      </w:pPr>
      <w:r>
        <w:rPr>
          <w:b/>
        </w:rPr>
        <w:t>Cathode</w:t>
      </w:r>
      <w:r w:rsidR="00BD08DD">
        <w:rPr>
          <w:b/>
        </w:rPr>
        <w:t>:</w:t>
      </w:r>
    </w:p>
    <w:p w:rsidR="00EB6684" w:rsidRDefault="00461F91">
      <w:pPr>
        <w:autoSpaceDE w:val="0"/>
        <w:autoSpaceDN w:val="0"/>
        <w:adjustRightInd w:val="0"/>
        <w:spacing w:line="360" w:lineRule="auto"/>
        <w:jc w:val="both"/>
      </w:pPr>
      <w:r>
        <w:t>Important role of this component is to access the oxygen and reduction of molecular form of the oxygen to oxygen ions via chemical reaction and transports these reduced oxygen ions to the solid electrolyte. Therefore, the material to be withstanding as a good cathode and to achieve this role, the material must possess the following properties.</w:t>
      </w:r>
    </w:p>
    <w:p w:rsidR="00EB6684" w:rsidRDefault="00461F91">
      <w:pPr>
        <w:pStyle w:val="ListParagraph"/>
        <w:numPr>
          <w:ilvl w:val="0"/>
          <w:numId w:val="1"/>
        </w:numPr>
        <w:autoSpaceDE w:val="0"/>
        <w:autoSpaceDN w:val="0"/>
        <w:adjustRightInd w:val="0"/>
        <w:spacing w:line="360" w:lineRule="auto"/>
        <w:ind w:left="360"/>
        <w:jc w:val="both"/>
      </w:pPr>
      <w:r>
        <w:rPr>
          <w:rFonts w:ascii="Times New Roman" w:hAnsi="Times New Roman" w:cs="Times New Roman"/>
          <w:sz w:val="24"/>
          <w:szCs w:val="24"/>
        </w:rPr>
        <w:t>Sufficient mixed (electronic–ionic) conductivity</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Chemical stability in oxygen environment and operating conditions</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Enough catalytic activity in the reduction of oxygen </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Matched coefficient of thermal expansion (CTE) with adjacent SOFC components</w:t>
      </w:r>
    </w:p>
    <w:p w:rsidR="00EB6684" w:rsidRDefault="00461F91">
      <w:pPr>
        <w:pStyle w:val="ListParagraph"/>
        <w:numPr>
          <w:ilvl w:val="0"/>
          <w:numId w:val="1"/>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Physical, chemical and mechanical compatibility with adjacent components</w:t>
      </w:r>
    </w:p>
    <w:p w:rsidR="00EB6684" w:rsidRDefault="00461F91">
      <w:pPr>
        <w:pStyle w:val="ListParagraph"/>
        <w:numPr>
          <w:ilvl w:val="0"/>
          <w:numId w:val="1"/>
        </w:numPr>
        <w:autoSpaceDE w:val="0"/>
        <w:autoSpaceDN w:val="0"/>
        <w:adjustRightInd w:val="0"/>
        <w:spacing w:line="360" w:lineRule="auto"/>
        <w:ind w:left="360"/>
        <w:jc w:val="both"/>
      </w:pPr>
      <w:r>
        <w:rPr>
          <w:rFonts w:ascii="Times New Roman" w:hAnsi="Times New Roman" w:cs="Times New Roman"/>
          <w:sz w:val="24"/>
          <w:szCs w:val="24"/>
        </w:rPr>
        <w:t>Lower cost</w:t>
      </w:r>
    </w:p>
    <w:p w:rsidR="00EB6684" w:rsidRDefault="00461F91">
      <w:pPr>
        <w:autoSpaceDE w:val="0"/>
        <w:autoSpaceDN w:val="0"/>
        <w:adjustRightInd w:val="0"/>
        <w:spacing w:before="240" w:after="240" w:line="360" w:lineRule="auto"/>
        <w:jc w:val="both"/>
      </w:pPr>
      <w:r>
        <w:t>These mentioned properties confines the choice of cathode materials. The most important materials in the choice of cathode materials are the manganese and cobalt based perovskites. The materials such as perovskite structured Lanthanum Cobaltite (LaCoO</w:t>
      </w:r>
      <w:r>
        <w:rPr>
          <w:vertAlign w:val="subscript"/>
        </w:rPr>
        <w:t>3</w:t>
      </w:r>
      <w:r>
        <w:t xml:space="preserve">) and Lanthanum </w:t>
      </w:r>
      <w:r>
        <w:lastRenderedPageBreak/>
        <w:t>Manganite (LaMnO</w:t>
      </w:r>
      <w:r>
        <w:rPr>
          <w:vertAlign w:val="subscript"/>
        </w:rPr>
        <w:t>3</w:t>
      </w:r>
      <w:r>
        <w:t>) are the most commonly used cathode materials. Numerous research was done on novel materials to enhance the said properties such as (LaSr)(CoFe)O</w:t>
      </w:r>
      <w:r>
        <w:rPr>
          <w:vertAlign w:val="subscript"/>
        </w:rPr>
        <w:t>3</w:t>
      </w:r>
      <w:r>
        <w:t>, (BaSr)(CoFe)O</w:t>
      </w:r>
      <w:r>
        <w:rPr>
          <w:vertAlign w:val="subscript"/>
        </w:rPr>
        <w:t>3</w:t>
      </w:r>
      <w:r>
        <w:t>, (SmSr)(CoFe)O</w:t>
      </w:r>
      <w:r>
        <w:rPr>
          <w:vertAlign w:val="subscript"/>
        </w:rPr>
        <w:t>3</w:t>
      </w:r>
      <w:r>
        <w:t xml:space="preserve">, </w:t>
      </w:r>
      <w:r>
        <w:rPr>
          <w:rFonts w:eastAsia="Calibri"/>
          <w:color w:val="000000"/>
        </w:rPr>
        <w:t>Sr</w:t>
      </w:r>
      <w:r>
        <w:rPr>
          <w:rFonts w:eastAsia="Calibri"/>
          <w:color w:val="000000"/>
          <w:vertAlign w:val="subscript"/>
        </w:rPr>
        <w:t>2.7</w:t>
      </w:r>
      <w:r>
        <w:rPr>
          <w:rFonts w:eastAsia="Calibri"/>
          <w:color w:val="000000"/>
        </w:rPr>
        <w:t>Nd</w:t>
      </w:r>
      <w:r>
        <w:rPr>
          <w:rFonts w:eastAsia="Calibri"/>
          <w:color w:val="000000"/>
          <w:vertAlign w:val="subscript"/>
        </w:rPr>
        <w:t>0.3</w:t>
      </w:r>
      <w:r>
        <w:rPr>
          <w:rFonts w:eastAsia="Calibri"/>
          <w:color w:val="000000"/>
        </w:rPr>
        <w:t>Fe</w:t>
      </w:r>
      <w:r>
        <w:rPr>
          <w:rFonts w:eastAsia="Calibri"/>
          <w:color w:val="000000"/>
          <w:vertAlign w:val="subscript"/>
        </w:rPr>
        <w:t>2</w:t>
      </w:r>
      <w:r>
        <w:rPr>
          <w:rFonts w:eastAsia="Calibri"/>
          <w:color w:val="000000"/>
        </w:rPr>
        <w:t>O</w:t>
      </w:r>
      <w:r>
        <w:rPr>
          <w:rFonts w:eastAsia="Calibri"/>
          <w:color w:val="000000"/>
          <w:vertAlign w:val="subscript"/>
        </w:rPr>
        <w:t>7-ẟ</w:t>
      </w:r>
      <w:r>
        <w:t xml:space="preserve">, </w:t>
      </w:r>
      <w:r>
        <w:rPr>
          <w:rFonts w:eastAsia="Calibri"/>
          <w:color w:val="000000"/>
        </w:rPr>
        <w:t>Sr</w:t>
      </w:r>
      <w:r>
        <w:rPr>
          <w:rFonts w:eastAsia="Calibri"/>
          <w:color w:val="000000"/>
          <w:vertAlign w:val="subscript"/>
        </w:rPr>
        <w:t>2.4</w:t>
      </w:r>
      <w:r>
        <w:rPr>
          <w:rFonts w:eastAsia="Calibri"/>
          <w:color w:val="000000"/>
        </w:rPr>
        <w:t>Ca</w:t>
      </w:r>
      <w:r>
        <w:rPr>
          <w:rFonts w:eastAsia="Calibri"/>
          <w:color w:val="000000"/>
          <w:vertAlign w:val="subscript"/>
        </w:rPr>
        <w:t>0.3</w:t>
      </w:r>
      <w:r>
        <w:rPr>
          <w:rFonts w:eastAsia="Calibri"/>
          <w:color w:val="000000"/>
        </w:rPr>
        <w:t>Nd</w:t>
      </w:r>
      <w:r>
        <w:rPr>
          <w:rFonts w:eastAsia="Calibri"/>
          <w:color w:val="000000"/>
          <w:vertAlign w:val="subscript"/>
        </w:rPr>
        <w:t>0.3</w:t>
      </w:r>
      <w:r>
        <w:rPr>
          <w:rFonts w:eastAsia="Calibri"/>
          <w:color w:val="000000"/>
        </w:rPr>
        <w:t>Fe</w:t>
      </w:r>
      <w:r>
        <w:rPr>
          <w:rFonts w:eastAsia="Calibri"/>
          <w:color w:val="000000"/>
          <w:vertAlign w:val="subscript"/>
        </w:rPr>
        <w:t>1.4</w:t>
      </w:r>
      <w:r>
        <w:rPr>
          <w:rFonts w:eastAsia="Calibri"/>
          <w:color w:val="000000"/>
        </w:rPr>
        <w:t>Co</w:t>
      </w:r>
      <w:r>
        <w:rPr>
          <w:rFonts w:eastAsia="Calibri"/>
          <w:color w:val="000000"/>
          <w:vertAlign w:val="subscript"/>
        </w:rPr>
        <w:t>0.6</w:t>
      </w:r>
      <w:r>
        <w:rPr>
          <w:rFonts w:eastAsia="Calibri"/>
          <w:color w:val="000000"/>
        </w:rPr>
        <w:t>O</w:t>
      </w:r>
      <w:r>
        <w:rPr>
          <w:rFonts w:eastAsia="Calibri"/>
          <w:color w:val="000000"/>
          <w:vertAlign w:val="subscript"/>
        </w:rPr>
        <w:t>7-ẟ</w:t>
      </w:r>
      <w:r>
        <w:t xml:space="preserve">, </w:t>
      </w:r>
      <w:r>
        <w:rPr>
          <w:rFonts w:eastAsia="Calibri"/>
          <w:color w:val="000000"/>
        </w:rPr>
        <w:t>Sr</w:t>
      </w:r>
      <w:r>
        <w:rPr>
          <w:rFonts w:eastAsia="Calibri"/>
          <w:color w:val="000000"/>
          <w:vertAlign w:val="subscript"/>
        </w:rPr>
        <w:t>2.4</w:t>
      </w:r>
      <w:r>
        <w:rPr>
          <w:rFonts w:eastAsia="Calibri"/>
          <w:color w:val="000000"/>
        </w:rPr>
        <w:t>Ca</w:t>
      </w:r>
      <w:r>
        <w:rPr>
          <w:rFonts w:eastAsia="Calibri"/>
          <w:color w:val="000000"/>
          <w:vertAlign w:val="subscript"/>
        </w:rPr>
        <w:t>0.3</w:t>
      </w:r>
      <w:r>
        <w:rPr>
          <w:rFonts w:eastAsia="Calibri"/>
          <w:color w:val="000000"/>
        </w:rPr>
        <w:t>Nd</w:t>
      </w:r>
      <w:r>
        <w:rPr>
          <w:rFonts w:eastAsia="Calibri"/>
          <w:color w:val="000000"/>
          <w:vertAlign w:val="subscript"/>
        </w:rPr>
        <w:t>0.3</w:t>
      </w:r>
      <w:r>
        <w:rPr>
          <w:rFonts w:eastAsia="Calibri"/>
          <w:color w:val="000000"/>
        </w:rPr>
        <w:t>Fe</w:t>
      </w:r>
      <w:r>
        <w:rPr>
          <w:rFonts w:eastAsia="Calibri"/>
          <w:color w:val="000000"/>
          <w:vertAlign w:val="subscript"/>
        </w:rPr>
        <w:t>1.4</w:t>
      </w:r>
      <w:r>
        <w:rPr>
          <w:rFonts w:eastAsia="Calibri"/>
          <w:color w:val="000000"/>
        </w:rPr>
        <w:t>Co</w:t>
      </w:r>
      <w:r>
        <w:rPr>
          <w:rFonts w:eastAsia="Calibri"/>
          <w:color w:val="000000"/>
          <w:vertAlign w:val="subscript"/>
        </w:rPr>
        <w:t>0.6</w:t>
      </w:r>
      <w:r>
        <w:rPr>
          <w:rFonts w:eastAsia="Calibri"/>
          <w:color w:val="000000"/>
        </w:rPr>
        <w:t>O</w:t>
      </w:r>
      <w:r>
        <w:rPr>
          <w:rFonts w:eastAsia="Calibri"/>
          <w:color w:val="000000"/>
          <w:vertAlign w:val="subscript"/>
        </w:rPr>
        <w:t>7-ẟ</w:t>
      </w:r>
      <w:r>
        <w:t xml:space="preserve"> etc. Later, the number of investigations was made to explore new cathode materials such as </w:t>
      </w:r>
      <w:r>
        <w:rPr>
          <w:rFonts w:eastAsia="Calibri"/>
          <w:color w:val="000000"/>
        </w:rPr>
        <w:t>Sm</w:t>
      </w:r>
      <w:r>
        <w:rPr>
          <w:rFonts w:eastAsia="Calibri"/>
          <w:color w:val="000000"/>
          <w:vertAlign w:val="subscript"/>
        </w:rPr>
        <w:t>0.75</w:t>
      </w:r>
      <w:r>
        <w:rPr>
          <w:rFonts w:eastAsia="Calibri"/>
          <w:color w:val="000000"/>
        </w:rPr>
        <w:t>Sr</w:t>
      </w:r>
      <w:r>
        <w:rPr>
          <w:rFonts w:eastAsia="Calibri"/>
          <w:color w:val="000000"/>
          <w:vertAlign w:val="subscript"/>
        </w:rPr>
        <w:t>0.25</w:t>
      </w:r>
      <w:r>
        <w:rPr>
          <w:rFonts w:eastAsia="Calibri"/>
          <w:color w:val="000000"/>
        </w:rPr>
        <w:t>Mn</w:t>
      </w:r>
      <w:r>
        <w:rPr>
          <w:rFonts w:eastAsia="Calibri"/>
          <w:color w:val="000000"/>
          <w:vertAlign w:val="subscript"/>
        </w:rPr>
        <w:t>0.25</w:t>
      </w:r>
      <w:r>
        <w:rPr>
          <w:rFonts w:eastAsia="Calibri"/>
          <w:color w:val="000000"/>
        </w:rPr>
        <w:t>Co</w:t>
      </w:r>
      <w:r>
        <w:rPr>
          <w:rFonts w:eastAsia="Calibri"/>
          <w:color w:val="000000"/>
          <w:vertAlign w:val="subscript"/>
        </w:rPr>
        <w:t>0.75</w:t>
      </w:r>
      <w:r>
        <w:rPr>
          <w:rFonts w:eastAsia="Calibri"/>
          <w:color w:val="000000"/>
        </w:rPr>
        <w:t>O</w:t>
      </w:r>
      <w:r>
        <w:rPr>
          <w:rFonts w:eastAsia="Calibri"/>
          <w:color w:val="000000"/>
          <w:vertAlign w:val="subscript"/>
        </w:rPr>
        <w:t>2.8</w:t>
      </w:r>
      <w:r>
        <w:t xml:space="preserve">, </w:t>
      </w:r>
      <w:r>
        <w:rPr>
          <w:rFonts w:eastAsia="Calibri"/>
        </w:rPr>
        <w:t>PrBa</w:t>
      </w:r>
      <w:r>
        <w:rPr>
          <w:rFonts w:eastAsia="Calibri"/>
          <w:vertAlign w:val="subscript"/>
        </w:rPr>
        <w:t>0.5</w:t>
      </w:r>
      <w:r>
        <w:rPr>
          <w:rFonts w:eastAsia="Calibri"/>
        </w:rPr>
        <w:t>Sr</w:t>
      </w:r>
      <w:r>
        <w:rPr>
          <w:rFonts w:eastAsia="Calibri"/>
          <w:vertAlign w:val="subscript"/>
        </w:rPr>
        <w:t>0.5</w:t>
      </w:r>
      <w:r>
        <w:rPr>
          <w:rFonts w:eastAsia="Calibri"/>
        </w:rPr>
        <w:t>Cu</w:t>
      </w:r>
      <w:r>
        <w:rPr>
          <w:rFonts w:eastAsia="Calibri"/>
          <w:vertAlign w:val="subscript"/>
        </w:rPr>
        <w:t>2</w:t>
      </w:r>
      <w:r>
        <w:rPr>
          <w:rFonts w:eastAsia="Calibri"/>
        </w:rPr>
        <w:t>O</w:t>
      </w:r>
      <w:r>
        <w:rPr>
          <w:rFonts w:eastAsia="Calibri"/>
          <w:vertAlign w:val="subscript"/>
        </w:rPr>
        <w:t>5+ẟ</w:t>
      </w:r>
      <w:r>
        <w:t xml:space="preserve">, </w:t>
      </w:r>
      <w:r>
        <w:rPr>
          <w:rFonts w:eastAsia="Calibri"/>
        </w:rPr>
        <w:t>Bi</w:t>
      </w:r>
      <w:r>
        <w:rPr>
          <w:rFonts w:eastAsia="Calibri"/>
          <w:vertAlign w:val="subscript"/>
        </w:rPr>
        <w:t>0·5</w:t>
      </w:r>
      <w:r>
        <w:rPr>
          <w:rFonts w:eastAsia="Calibri"/>
        </w:rPr>
        <w:t>Ba</w:t>
      </w:r>
      <w:r>
        <w:rPr>
          <w:rFonts w:eastAsia="Calibri"/>
          <w:vertAlign w:val="subscript"/>
        </w:rPr>
        <w:t>0·5</w:t>
      </w:r>
      <w:r>
        <w:rPr>
          <w:rFonts w:eastAsia="Calibri"/>
        </w:rPr>
        <w:t>FeO</w:t>
      </w:r>
      <w:r>
        <w:rPr>
          <w:rFonts w:eastAsia="Calibri"/>
          <w:vertAlign w:val="subscript"/>
        </w:rPr>
        <w:t>3-ẟ</w:t>
      </w:r>
      <w:r>
        <w:t xml:space="preserve"> and other materials based on double perovskite as well as layered structured materials. Furthermore, to minimize the problem associated with the thermal expansion compatibility, the research &amp; development has suggested that the composite materials can be suitable as a novel cathode material for operating conditions in SOFC. The composite cathodes made up of two different materials such as (BaSr)(CoNb)O</w:t>
      </w:r>
      <w:r>
        <w:rPr>
          <w:vertAlign w:val="subscript"/>
        </w:rPr>
        <w:t>3</w:t>
      </w:r>
      <w:r>
        <w:t>–GDC and</w:t>
      </w:r>
      <w:r>
        <w:rPr>
          <w:sz w:val="32"/>
        </w:rPr>
        <w:t xml:space="preserve"> </w:t>
      </w:r>
      <w:r>
        <w:t>(</w:t>
      </w:r>
      <w:r>
        <w:rPr>
          <w:color w:val="000000"/>
          <w:szCs w:val="20"/>
        </w:rPr>
        <w:t>LaSr)(CoSb)O</w:t>
      </w:r>
      <w:r>
        <w:rPr>
          <w:color w:val="000000"/>
          <w:szCs w:val="20"/>
          <w:vertAlign w:val="subscript"/>
        </w:rPr>
        <w:t>3-</w:t>
      </w:r>
      <w:r>
        <w:rPr>
          <w:iCs/>
          <w:color w:val="000000"/>
          <w:szCs w:val="20"/>
          <w:vertAlign w:val="subscript"/>
        </w:rPr>
        <w:t>δ</w:t>
      </w:r>
      <w:r>
        <w:t xml:space="preserve">–SDC, LSCF–GDC, etc. have been developed as a novel materials which offering desired properties [30–37]. </w:t>
      </w:r>
    </w:p>
    <w:p w:rsidR="00EB6684" w:rsidRDefault="00461F91">
      <w:pPr>
        <w:autoSpaceDE w:val="0"/>
        <w:autoSpaceDN w:val="0"/>
        <w:adjustRightInd w:val="0"/>
        <w:spacing w:before="240" w:after="240" w:line="360" w:lineRule="auto"/>
        <w:jc w:val="both"/>
        <w:rPr>
          <w:b/>
        </w:rPr>
      </w:pPr>
      <w:r>
        <w:rPr>
          <w:b/>
        </w:rPr>
        <w:t>Solid electrolyte</w:t>
      </w:r>
      <w:r w:rsidR="00BD08DD">
        <w:rPr>
          <w:b/>
        </w:rPr>
        <w:t>:</w:t>
      </w:r>
    </w:p>
    <w:p w:rsidR="00EB6684" w:rsidRDefault="00461F91">
      <w:pPr>
        <w:autoSpaceDE w:val="0"/>
        <w:autoSpaceDN w:val="0"/>
        <w:adjustRightInd w:val="0"/>
        <w:spacing w:line="360" w:lineRule="auto"/>
        <w:jc w:val="both"/>
        <w:rPr>
          <w:sz w:val="32"/>
        </w:rPr>
      </w:pPr>
      <w:r>
        <w:t xml:space="preserve">The vital component of SOFC is solid electrolyte, which plays an important role in providing the ionic conduction </w:t>
      </w:r>
      <w:r>
        <w:rPr>
          <w:szCs w:val="20"/>
        </w:rPr>
        <w:t xml:space="preserve">i.e. </w:t>
      </w:r>
      <w:r>
        <w:t xml:space="preserve">migration of oxygen ions from </w:t>
      </w:r>
      <w:r>
        <w:rPr>
          <w:szCs w:val="20"/>
        </w:rPr>
        <w:t>cathode to anode</w:t>
      </w:r>
      <w:r>
        <w:t xml:space="preserve"> for SOFC applications. Therefore, the material to be withstanding as a good solid electrolyte and to achieve this role, the material must possess the following properties.</w:t>
      </w:r>
    </w:p>
    <w:p w:rsidR="00EB6684" w:rsidRDefault="00461F91">
      <w:pPr>
        <w:pStyle w:val="ListParagraph"/>
        <w:numPr>
          <w:ilvl w:val="0"/>
          <w:numId w:val="15"/>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Highest oxygen ion (O</w:t>
      </w:r>
      <w:r>
        <w:rPr>
          <w:rFonts w:ascii="Times New Roman" w:hAnsi="Times New Roman" w:cs="Times New Roman"/>
          <w:sz w:val="24"/>
          <w:szCs w:val="24"/>
          <w:vertAlign w:val="superscript"/>
        </w:rPr>
        <w:t>2–</w:t>
      </w:r>
      <w:r>
        <w:rPr>
          <w:rFonts w:ascii="Times New Roman" w:hAnsi="Times New Roman" w:cs="Times New Roman"/>
          <w:sz w:val="24"/>
          <w:szCs w:val="24"/>
        </w:rPr>
        <w:t xml:space="preserve">) conductivity </w:t>
      </w:r>
    </w:p>
    <w:p w:rsidR="00EB6684" w:rsidRDefault="00461F91">
      <w:pPr>
        <w:pStyle w:val="ListParagraph"/>
        <w:numPr>
          <w:ilvl w:val="0"/>
          <w:numId w:val="15"/>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Negligible electronic (e</w:t>
      </w:r>
      <w:r>
        <w:rPr>
          <w:rFonts w:ascii="Times New Roman" w:hAnsi="Times New Roman" w:cs="Times New Roman"/>
          <w:sz w:val="24"/>
          <w:szCs w:val="24"/>
          <w:vertAlign w:val="superscript"/>
        </w:rPr>
        <w:t>–</w:t>
      </w:r>
      <w:r>
        <w:rPr>
          <w:rFonts w:ascii="Times New Roman" w:hAnsi="Times New Roman" w:cs="Times New Roman"/>
          <w:sz w:val="24"/>
          <w:szCs w:val="24"/>
        </w:rPr>
        <w:t>) conductivity</w:t>
      </w:r>
    </w:p>
    <w:p w:rsidR="00EB6684" w:rsidRDefault="00461F91">
      <w:pPr>
        <w:pStyle w:val="ListParagraph"/>
        <w:numPr>
          <w:ilvl w:val="0"/>
          <w:numId w:val="15"/>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High density </w:t>
      </w:r>
    </w:p>
    <w:p w:rsidR="00EB6684" w:rsidRDefault="00461F91">
      <w:pPr>
        <w:pStyle w:val="ListParagraph"/>
        <w:numPr>
          <w:ilvl w:val="0"/>
          <w:numId w:val="15"/>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Chemical stability in different oxygen partial pressures and operating conditions</w:t>
      </w:r>
    </w:p>
    <w:p w:rsidR="00EB6684" w:rsidRDefault="00461F91">
      <w:pPr>
        <w:pStyle w:val="ListParagraph"/>
        <w:numPr>
          <w:ilvl w:val="0"/>
          <w:numId w:val="15"/>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Similar thermal expansion coefficient (TEC) with adjacent electrode components</w:t>
      </w:r>
    </w:p>
    <w:p w:rsidR="00EB6684" w:rsidRDefault="00461F91">
      <w:pPr>
        <w:pStyle w:val="ListParagraph"/>
        <w:numPr>
          <w:ilvl w:val="0"/>
          <w:numId w:val="15"/>
        </w:numPr>
        <w:autoSpaceDE w:val="0"/>
        <w:autoSpaceDN w:val="0"/>
        <w:adjustRightInd w:val="0"/>
        <w:spacing w:line="360" w:lineRule="auto"/>
        <w:ind w:left="360"/>
        <w:rPr>
          <w:rFonts w:ascii="Times New Roman" w:hAnsi="Times New Roman" w:cs="Times New Roman"/>
          <w:sz w:val="24"/>
          <w:szCs w:val="24"/>
        </w:rPr>
      </w:pPr>
      <w:r>
        <w:rPr>
          <w:rFonts w:ascii="Times New Roman" w:hAnsi="Times New Roman" w:cs="Times New Roman"/>
          <w:sz w:val="24"/>
          <w:szCs w:val="24"/>
        </w:rPr>
        <w:t>Physical, chemical and mechanical compatibility with adjacent components</w:t>
      </w:r>
    </w:p>
    <w:p w:rsidR="00EB6684" w:rsidRDefault="00461F91">
      <w:pPr>
        <w:pStyle w:val="ListParagraph"/>
        <w:numPr>
          <w:ilvl w:val="0"/>
          <w:numId w:val="15"/>
        </w:numPr>
        <w:autoSpaceDE w:val="0"/>
        <w:autoSpaceDN w:val="0"/>
        <w:adjustRightInd w:val="0"/>
        <w:spacing w:line="360" w:lineRule="auto"/>
        <w:ind w:left="360"/>
        <w:jc w:val="both"/>
      </w:pPr>
      <w:r>
        <w:rPr>
          <w:rFonts w:ascii="Times New Roman" w:hAnsi="Times New Roman" w:cs="Times New Roman"/>
          <w:sz w:val="24"/>
          <w:szCs w:val="24"/>
        </w:rPr>
        <w:t>Lower cost</w:t>
      </w:r>
    </w:p>
    <w:p w:rsidR="00EB6684" w:rsidRDefault="00461F91">
      <w:pPr>
        <w:autoSpaceDE w:val="0"/>
        <w:autoSpaceDN w:val="0"/>
        <w:adjustRightInd w:val="0"/>
        <w:spacing w:before="240" w:after="240" w:line="360" w:lineRule="auto"/>
        <w:jc w:val="both"/>
      </w:pPr>
      <w:r>
        <w:t>These fore mentioned properties confines the choice of solid electrolyte materials. The electrolyte material’s highest ionic conduction property influences the SOFC performance. Stabilized zirconia (such as Yttria stabilized zirconia / Scandia stabilized zirconia) and ceria (i.e. CeO</w:t>
      </w:r>
      <w:r>
        <w:rPr>
          <w:vertAlign w:val="subscript"/>
        </w:rPr>
        <w:t>2</w:t>
      </w:r>
      <w:r>
        <w:t xml:space="preserve">) have been used as typical solid electrolyte materials for SOFC [4, 17–20]. Traditional stabilized zirconia is the principal solid-electrolyte, due to its high ion conductivity at higher operating temperatures (~1000°C) of SOFC. Unfortunately, the usage of stabilized zirconia as </w:t>
      </w:r>
      <w:r>
        <w:lastRenderedPageBreak/>
        <w:t xml:space="preserve">electrolyte at these higher temperatures cause some drawbacks such as material (physical and /or chemical) degradation due to unfavorable reactions between the neighboring cell parts. This further leads to the degradation, thermal mismatch, and also short circuit in SOFC which in turn reduces the life time. In view of this, enormous research work is focused on novel electrolytes to get rid of complications in developing the SOFC [4, 17, 20, 38–40]. In order to decrease the operating temperature and to protect the SOFC from the fore mentioned drawbacks, researchers concentrated on ceria as a novel solid electrolyte material over stabilized zirconia. </w:t>
      </w:r>
    </w:p>
    <w:p w:rsidR="00EB6684" w:rsidRDefault="00461F91">
      <w:pPr>
        <w:autoSpaceDE w:val="0"/>
        <w:autoSpaceDN w:val="0"/>
        <w:adjustRightInd w:val="0"/>
        <w:spacing w:before="240" w:after="240" w:line="360" w:lineRule="auto"/>
        <w:ind w:firstLine="720"/>
        <w:jc w:val="both"/>
      </w:pPr>
      <w:r>
        <w:t xml:space="preserve">The performance of electrolyte materials plays a key part in defining the operating temperature and categorization of SOFC like High Temperature-SOFC (~1000°C), Intermediate Temperature-SOFC (600°C–800°C), and Lower Temperature/ advanced-SOFC (&lt;600°C). The enhancement in performance at relatively lower operating temperature is prerequisite for optimized electrolyte towards the advanced SOFC applications. </w:t>
      </w:r>
    </w:p>
    <w:p w:rsidR="00EB6684" w:rsidRDefault="00461F91">
      <w:pPr>
        <w:autoSpaceDE w:val="0"/>
        <w:autoSpaceDN w:val="0"/>
        <w:adjustRightInd w:val="0"/>
        <w:spacing w:before="240" w:after="240" w:line="360" w:lineRule="auto"/>
        <w:jc w:val="both"/>
        <w:rPr>
          <w:b/>
        </w:rPr>
      </w:pPr>
      <w:r>
        <w:rPr>
          <w:b/>
        </w:rPr>
        <w:t>Doped/co-doped Ceria Electrolytes for IT-SOFCs</w:t>
      </w:r>
      <w:r w:rsidR="00BD08DD">
        <w:rPr>
          <w:b/>
        </w:rPr>
        <w:t>:</w:t>
      </w:r>
    </w:p>
    <w:p w:rsidR="00EB6684" w:rsidRDefault="00461F91">
      <w:pPr>
        <w:autoSpaceDE w:val="0"/>
        <w:autoSpaceDN w:val="0"/>
        <w:adjustRightInd w:val="0"/>
        <w:spacing w:line="360" w:lineRule="auto"/>
        <w:ind w:firstLine="720"/>
        <w:jc w:val="both"/>
      </w:pPr>
      <w:r>
        <w:t>The intermediate temperature solid oxide fuel cell (IT-SOFC) is a breakthrough towards the development of SOFC. Ceria as a solid electrolyte has been extensively studied due to its high ionic conductivity when compared to zirconia at comparatively lower temperatures. In addition to this, ceria has a relatively same thermal expansion coefficient at when compared to stabilized zirconia [38–40]. Un-doped ceria i.e. Pure CeO</w:t>
      </w:r>
      <w:r>
        <w:rPr>
          <w:vertAlign w:val="subscript"/>
        </w:rPr>
        <w:t>2</w:t>
      </w:r>
      <w:r>
        <w:t xml:space="preserve"> is a poor conductor and requires structural changes that creates considerable oxygen vacancies to improve the ionic conductivity. In view of this, studies suggested that the fractional replacement of Ce ions with trivalent ions such as Sm, Gd, Pr, Y, La, Gd and Nd could generates concentration of oxygen vacancies </w:t>
      </w:r>
      <w:r w:rsidR="005D6FF8">
        <w:t xml:space="preserve">in the </w:t>
      </w:r>
      <w:r>
        <w:t xml:space="preserve">lattice of ceria which in turn lead to the high ionic conductivity of doped ceria when compared to pure ceria. </w:t>
      </w:r>
    </w:p>
    <w:p w:rsidR="00EB6684" w:rsidRDefault="00EB6684">
      <w:pPr>
        <w:autoSpaceDE w:val="0"/>
        <w:autoSpaceDN w:val="0"/>
        <w:adjustRightInd w:val="0"/>
        <w:spacing w:line="360" w:lineRule="auto"/>
        <w:ind w:firstLine="720"/>
        <w:jc w:val="both"/>
      </w:pPr>
    </w:p>
    <w:p w:rsidR="00EB6684" w:rsidRDefault="00461F91">
      <w:pPr>
        <w:autoSpaceDE w:val="0"/>
        <w:autoSpaceDN w:val="0"/>
        <w:adjustRightInd w:val="0"/>
        <w:spacing w:line="360" w:lineRule="auto"/>
        <w:ind w:firstLine="720"/>
        <w:jc w:val="both"/>
      </w:pPr>
      <w:r>
        <w:t xml:space="preserve">The local defect structures created by dopants, concentration of oxygen vacancies will affect the electrical properties of doped ceria. The superior total ionic conductivity of doped ceria when compared to un doped ceria pave a way for the development of novel electrolyte towards SOFC. Several rare earth and alkaline earth elements like La, Nd, Sm, Gd, Y, Yb, Dy, Er, Eu, Ho, Ca, Sr, Ba and Mg etc., have been approached towards the optimization of dopants for ceria </w:t>
      </w:r>
      <w:r>
        <w:lastRenderedPageBreak/>
        <w:t>to enhance the electrical properties. So far, enormous doping efforts have been made on ceria and reported the enhanced electrical properties of doped ceria for the intermediate temperature SOFC applications [38–43].</w:t>
      </w:r>
    </w:p>
    <w:p w:rsidR="00EB6684" w:rsidRDefault="00461F91">
      <w:pPr>
        <w:autoSpaceDE w:val="0"/>
        <w:autoSpaceDN w:val="0"/>
        <w:adjustRightInd w:val="0"/>
        <w:spacing w:line="360" w:lineRule="auto"/>
        <w:jc w:val="both"/>
      </w:pPr>
      <w:r>
        <w:t>However, the ionic conductivity in single doped ceria electrolyte materials is dominated by the electronic conductivity which lead to the short circuit of SOFC. So, R&amp;D focused on the co-doping approach in ceria. Researchers have been extensively investigated various co-doped ceria system of materials and suggested the optimized solid electrolytes such as Ce</w:t>
      </w:r>
      <w:r>
        <w:rPr>
          <w:vertAlign w:val="subscript"/>
        </w:rPr>
        <w:t>0.85</w:t>
      </w:r>
      <w:r>
        <w:t>La</w:t>
      </w:r>
      <w:r>
        <w:rPr>
          <w:vertAlign w:val="subscript"/>
        </w:rPr>
        <w:t>0.075</w:t>
      </w:r>
      <w:r>
        <w:t>Sm</w:t>
      </w:r>
      <w:r>
        <w:rPr>
          <w:vertAlign w:val="subscript"/>
        </w:rPr>
        <w:t>0.075</w:t>
      </w:r>
      <w:r>
        <w:t>O</w:t>
      </w:r>
      <w:r>
        <w:rPr>
          <w:vertAlign w:val="subscript"/>
        </w:rPr>
        <w:t>2−δ</w:t>
      </w:r>
      <w:r>
        <w:t xml:space="preserve"> [44], Ce</w:t>
      </w:r>
      <w:r>
        <w:rPr>
          <w:vertAlign w:val="subscript"/>
        </w:rPr>
        <w:t>0.8</w:t>
      </w:r>
      <w:r>
        <w:t>Sm</w:t>
      </w:r>
      <w:r>
        <w:rPr>
          <w:vertAlign w:val="subscript"/>
        </w:rPr>
        <w:t>0.12</w:t>
      </w:r>
      <w:r>
        <w:t>Pr</w:t>
      </w:r>
      <w:r>
        <w:rPr>
          <w:vertAlign w:val="subscript"/>
        </w:rPr>
        <w:t>0.08</w:t>
      </w:r>
      <w:r>
        <w:t>O</w:t>
      </w:r>
      <w:r>
        <w:rPr>
          <w:vertAlign w:val="subscript"/>
        </w:rPr>
        <w:t>2–ẟ</w:t>
      </w:r>
      <w:r>
        <w:t xml:space="preserve"> [45], CeO</w:t>
      </w:r>
      <w:r>
        <w:rPr>
          <w:vertAlign w:val="subscript"/>
        </w:rPr>
        <w:t>2</w:t>
      </w:r>
      <w:r>
        <w:t>-8Gd</w:t>
      </w:r>
      <w:r>
        <w:rPr>
          <w:vertAlign w:val="subscript"/>
        </w:rPr>
        <w:t>2</w:t>
      </w:r>
      <w:r>
        <w:t>O</w:t>
      </w:r>
      <w:r>
        <w:rPr>
          <w:vertAlign w:val="subscript"/>
        </w:rPr>
        <w:t>3</w:t>
      </w:r>
      <w:r>
        <w:t>-2Nd</w:t>
      </w:r>
      <w:r>
        <w:rPr>
          <w:vertAlign w:val="subscript"/>
        </w:rPr>
        <w:t>2</w:t>
      </w:r>
      <w:r>
        <w:t>O</w:t>
      </w:r>
      <w:r>
        <w:rPr>
          <w:vertAlign w:val="subscript"/>
        </w:rPr>
        <w:t>3</w:t>
      </w:r>
      <w:r>
        <w:t xml:space="preserve"> [46], Ce</w:t>
      </w:r>
      <w:r>
        <w:rPr>
          <w:vertAlign w:val="subscript"/>
        </w:rPr>
        <w:t>0.8</w:t>
      </w:r>
      <w:r>
        <w:t>Er</w:t>
      </w:r>
      <w:r>
        <w:rPr>
          <w:vertAlign w:val="subscript"/>
        </w:rPr>
        <w:t>0.18</w:t>
      </w:r>
      <w:r>
        <w:t>La</w:t>
      </w:r>
      <w:r>
        <w:rPr>
          <w:vertAlign w:val="subscript"/>
        </w:rPr>
        <w:t>0.02</w:t>
      </w:r>
      <w:r>
        <w:t>O</w:t>
      </w:r>
      <w:r>
        <w:rPr>
          <w:vertAlign w:val="subscript"/>
        </w:rPr>
        <w:t>1.9</w:t>
      </w:r>
      <w:r>
        <w:t xml:space="preserve"> [47], Ce</w:t>
      </w:r>
      <w:r>
        <w:rPr>
          <w:vertAlign w:val="subscript"/>
        </w:rPr>
        <w:t>0.8</w:t>
      </w:r>
      <w:r>
        <w:t>Nd</w:t>
      </w:r>
      <w:r>
        <w:rPr>
          <w:vertAlign w:val="subscript"/>
        </w:rPr>
        <w:t>0.18</w:t>
      </w:r>
      <w:r>
        <w:t>Ca</w:t>
      </w:r>
      <w:r>
        <w:rPr>
          <w:vertAlign w:val="subscript"/>
        </w:rPr>
        <w:t>0.02</w:t>
      </w:r>
      <w:r>
        <w:t>O</w:t>
      </w:r>
      <w:r>
        <w:rPr>
          <w:vertAlign w:val="subscript"/>
        </w:rPr>
        <w:t>1.89</w:t>
      </w:r>
      <w:r>
        <w:t xml:space="preserve"> [48], Ce</w:t>
      </w:r>
      <w:r>
        <w:rPr>
          <w:vertAlign w:val="subscript"/>
        </w:rPr>
        <w:t>0.83</w:t>
      </w:r>
      <w:r>
        <w:t>Dy</w:t>
      </w:r>
      <w:r>
        <w:rPr>
          <w:vertAlign w:val="subscript"/>
        </w:rPr>
        <w:t>0.14</w:t>
      </w:r>
      <w:r>
        <w:t>Ca</w:t>
      </w:r>
      <w:r>
        <w:rPr>
          <w:vertAlign w:val="subscript"/>
        </w:rPr>
        <w:t>0.03</w:t>
      </w:r>
      <w:r>
        <w:t>O</w:t>
      </w:r>
      <w:r>
        <w:rPr>
          <w:vertAlign w:val="subscript"/>
        </w:rPr>
        <w:t>1.90</w:t>
      </w:r>
      <w:r>
        <w:t xml:space="preserve"> [49], Ce</w:t>
      </w:r>
      <w:r>
        <w:rPr>
          <w:vertAlign w:val="subscript"/>
        </w:rPr>
        <w:t>0.8</w:t>
      </w:r>
      <w:r>
        <w:t>Sm</w:t>
      </w:r>
      <w:r>
        <w:rPr>
          <w:vertAlign w:val="subscript"/>
        </w:rPr>
        <w:t>0.1</w:t>
      </w:r>
      <w:r>
        <w:t>Ca</w:t>
      </w:r>
      <w:r>
        <w:rPr>
          <w:vertAlign w:val="subscript"/>
        </w:rPr>
        <w:t>0.1</w:t>
      </w:r>
      <w:r>
        <w:t>O</w:t>
      </w:r>
      <w:r>
        <w:rPr>
          <w:vertAlign w:val="subscript"/>
        </w:rPr>
        <w:t>2–ẟ</w:t>
      </w:r>
      <w:r>
        <w:t xml:space="preserve"> [50], Ce</w:t>
      </w:r>
      <w:r>
        <w:rPr>
          <w:vertAlign w:val="subscript"/>
        </w:rPr>
        <w:t>0.80</w:t>
      </w:r>
      <w:r>
        <w:t>Pr</w:t>
      </w:r>
      <w:r>
        <w:rPr>
          <w:vertAlign w:val="subscript"/>
        </w:rPr>
        <w:t>0.10</w:t>
      </w:r>
      <w:r>
        <w:t>La</w:t>
      </w:r>
      <w:r>
        <w:rPr>
          <w:vertAlign w:val="subscript"/>
        </w:rPr>
        <w:t>0.10</w:t>
      </w:r>
      <w:r>
        <w:t>O</w:t>
      </w:r>
      <w:r>
        <w:rPr>
          <w:vertAlign w:val="subscript"/>
        </w:rPr>
        <w:t>2–ẟ</w:t>
      </w:r>
      <w:r>
        <w:t xml:space="preserve"> [51], Ce</w:t>
      </w:r>
      <w:r>
        <w:rPr>
          <w:vertAlign w:val="subscript"/>
        </w:rPr>
        <w:t>0.85</w:t>
      </w:r>
      <w:r>
        <w:t>La</w:t>
      </w:r>
      <w:r>
        <w:rPr>
          <w:vertAlign w:val="subscript"/>
        </w:rPr>
        <w:t>0.10</w:t>
      </w:r>
      <w:r>
        <w:t>Sr</w:t>
      </w:r>
      <w:r>
        <w:rPr>
          <w:vertAlign w:val="subscript"/>
        </w:rPr>
        <w:t>0.05</w:t>
      </w:r>
      <w:r>
        <w:t>O</w:t>
      </w:r>
      <w:r>
        <w:rPr>
          <w:vertAlign w:val="subscript"/>
        </w:rPr>
        <w:t>2–ẟ</w:t>
      </w:r>
      <w:r>
        <w:t xml:space="preserve"> [52] and Nd</w:t>
      </w:r>
      <w:r>
        <w:rPr>
          <w:vertAlign w:val="subscript"/>
        </w:rPr>
        <w:t>0.20</w:t>
      </w:r>
      <w:r>
        <w:t>Gd</w:t>
      </w:r>
      <w:r>
        <w:rPr>
          <w:vertAlign w:val="subscript"/>
        </w:rPr>
        <w:t>0.05</w:t>
      </w:r>
      <w:r>
        <w:t>Ce</w:t>
      </w:r>
      <w:r>
        <w:rPr>
          <w:vertAlign w:val="subscript"/>
        </w:rPr>
        <w:t>0.75</w:t>
      </w:r>
      <w:r>
        <w:t>O</w:t>
      </w:r>
      <w:r>
        <w:rPr>
          <w:vertAlign w:val="subscript"/>
        </w:rPr>
        <w:t>1.90–x/2</w:t>
      </w:r>
      <w:r>
        <w:t xml:space="preserve"> [53] etc.  whose electrical properties are superior than single doped ceria.</w:t>
      </w:r>
    </w:p>
    <w:p w:rsidR="00EB6684" w:rsidRDefault="00461F91">
      <w:pPr>
        <w:autoSpaceDE w:val="0"/>
        <w:autoSpaceDN w:val="0"/>
        <w:adjustRightInd w:val="0"/>
        <w:spacing w:line="360" w:lineRule="auto"/>
        <w:jc w:val="both"/>
      </w:pPr>
      <w:r>
        <w:t xml:space="preserve">            Further improvement of structural, thermal and electrical properties of ceria, recently, triple/multi-doping concept has been approached to develop a new ceria based electrolyte. Several triple doped ceria systems were investigated and succeeded in reporting the enhanced performance of optimized electrolytes like Ce</w:t>
      </w:r>
      <w:r>
        <w:rPr>
          <w:vertAlign w:val="subscript"/>
        </w:rPr>
        <w:t>0.7</w:t>
      </w:r>
      <w:r>
        <w:t>Pr</w:t>
      </w:r>
      <w:r>
        <w:rPr>
          <w:vertAlign w:val="subscript"/>
        </w:rPr>
        <w:t>0.15</w:t>
      </w:r>
      <w:r>
        <w:t>Sm</w:t>
      </w:r>
      <w:r>
        <w:rPr>
          <w:vertAlign w:val="subscript"/>
        </w:rPr>
        <w:t>0.07</w:t>
      </w:r>
      <w:r>
        <w:t>Eu</w:t>
      </w:r>
      <w:r>
        <w:rPr>
          <w:vertAlign w:val="subscript"/>
        </w:rPr>
        <w:t>0.07</w:t>
      </w:r>
      <w:r>
        <w:t>O</w:t>
      </w:r>
      <w:r>
        <w:rPr>
          <w:vertAlign w:val="subscript"/>
        </w:rPr>
        <w:t>2</w:t>
      </w:r>
      <w:r>
        <w:t xml:space="preserve"> [54], (La</w:t>
      </w:r>
      <w:r>
        <w:rPr>
          <w:vertAlign w:val="subscript"/>
        </w:rPr>
        <w:t>0.77</w:t>
      </w:r>
      <w:r>
        <w:t>Sr</w:t>
      </w:r>
      <w:r>
        <w:rPr>
          <w:vertAlign w:val="subscript"/>
        </w:rPr>
        <w:t>0.2</w:t>
      </w:r>
      <w:r>
        <w:t>Ca</w:t>
      </w:r>
      <w:r>
        <w:rPr>
          <w:vertAlign w:val="subscript"/>
        </w:rPr>
        <w:t>0.03</w:t>
      </w:r>
      <w:r>
        <w:t>)</w:t>
      </w:r>
      <w:r>
        <w:rPr>
          <w:vertAlign w:val="subscript"/>
        </w:rPr>
        <w:t>0.15</w:t>
      </w:r>
      <w:r>
        <w:t>Ce</w:t>
      </w:r>
      <w:r>
        <w:rPr>
          <w:vertAlign w:val="subscript"/>
        </w:rPr>
        <w:t>0.85</w:t>
      </w:r>
      <w:r>
        <w:t>O</w:t>
      </w:r>
      <w:r>
        <w:rPr>
          <w:vertAlign w:val="subscript"/>
        </w:rPr>
        <w:t xml:space="preserve">1.908 </w:t>
      </w:r>
      <w:r>
        <w:t>[48] and Ce</w:t>
      </w:r>
      <w:r>
        <w:rPr>
          <w:vertAlign w:val="subscript"/>
        </w:rPr>
        <w:t>0.8</w:t>
      </w:r>
      <w:r>
        <w:t>Sm</w:t>
      </w:r>
      <w:r>
        <w:rPr>
          <w:vertAlign w:val="subscript"/>
        </w:rPr>
        <w:t>0.1</w:t>
      </w:r>
      <w:r>
        <w:t>Ca</w:t>
      </w:r>
      <w:r>
        <w:rPr>
          <w:vertAlign w:val="subscript"/>
        </w:rPr>
        <w:t>0.05</w:t>
      </w:r>
      <w:r>
        <w:t>Gd</w:t>
      </w:r>
      <w:r>
        <w:rPr>
          <w:vertAlign w:val="subscript"/>
        </w:rPr>
        <w:t>0.05</w:t>
      </w:r>
      <w:r>
        <w:t>O</w:t>
      </w:r>
      <w:r>
        <w:rPr>
          <w:vertAlign w:val="subscript"/>
        </w:rPr>
        <w:t xml:space="preserve">2–ẟ </w:t>
      </w:r>
      <w:r>
        <w:t xml:space="preserve">[55] etc. </w:t>
      </w:r>
    </w:p>
    <w:p w:rsidR="00EB6684" w:rsidRDefault="00461F91">
      <w:pPr>
        <w:spacing w:before="240" w:after="240" w:line="360" w:lineRule="auto"/>
        <w:ind w:firstLine="720"/>
        <w:jc w:val="both"/>
        <w:rPr>
          <w:color w:val="FF0000"/>
        </w:rPr>
      </w:pPr>
      <w:r>
        <w:t>On the other hand, to enhance the electrical properties of ceria, previous studies proposed the density-functional theory (DFT) based on which the choice of dopants have been made. According to these studies, Promethium is an ideal dopant for ceria because in Pm</w:t>
      </w:r>
      <w:r>
        <w:rPr>
          <w:vertAlign w:val="superscript"/>
        </w:rPr>
        <w:t>3+</w:t>
      </w:r>
      <w:r>
        <w:t xml:space="preserve"> no site is preferred for occupation of vacancies (due to the balanced elastic and electronic interactions between the dopants and vacancies). So, the creation of oxygen vacancies without traps lead to the enhanced ionic conductivity of ceria [56]. However, Pm</w:t>
      </w:r>
      <w:r>
        <w:rPr>
          <w:vertAlign w:val="superscript"/>
        </w:rPr>
        <w:t>3+</w:t>
      </w:r>
      <w:r>
        <w:t xml:space="preserve"> is a radioactive-element and can not used as dopant in ceria. In view of this, studies suggested the choice of dopants whose average atomic number and ionic-radius nearer to Pm</w:t>
      </w:r>
      <w:r>
        <w:rPr>
          <w:vertAlign w:val="superscript"/>
        </w:rPr>
        <w:t>3+</w:t>
      </w:r>
      <w:r>
        <w:t xml:space="preserve"> or lie in between Pm (61) and Sm (62) [43, 56]. To improve the ionic conductivity of ceria, this concept has been approached for the choice of dopnats the dopants and succeeded in getting enhanced properties of doped ceria materials such as CeO</w:t>
      </w:r>
      <w:r>
        <w:rPr>
          <w:vertAlign w:val="subscript"/>
        </w:rPr>
        <w:t>2</w:t>
      </w:r>
      <w:r>
        <w:t>–8Gd</w:t>
      </w:r>
      <w:r>
        <w:rPr>
          <w:vertAlign w:val="subscript"/>
        </w:rPr>
        <w:t>2</w:t>
      </w:r>
      <w:r>
        <w:t>O</w:t>
      </w:r>
      <w:r>
        <w:rPr>
          <w:vertAlign w:val="subscript"/>
        </w:rPr>
        <w:t>3</w:t>
      </w:r>
      <w:r>
        <w:t>–2Nd</w:t>
      </w:r>
      <w:r>
        <w:rPr>
          <w:vertAlign w:val="subscript"/>
        </w:rPr>
        <w:t>2</w:t>
      </w:r>
      <w:r>
        <w:t>O</w:t>
      </w:r>
      <w:r>
        <w:rPr>
          <w:vertAlign w:val="subscript"/>
        </w:rPr>
        <w:t>3</w:t>
      </w:r>
      <w:r>
        <w:t xml:space="preserve"> [46], Ce</w:t>
      </w:r>
      <w:r>
        <w:rPr>
          <w:vertAlign w:val="subscript"/>
        </w:rPr>
        <w:t>0.84</w:t>
      </w:r>
      <w:r>
        <w:t>Gd</w:t>
      </w:r>
      <w:r>
        <w:rPr>
          <w:vertAlign w:val="subscript"/>
        </w:rPr>
        <w:t>0.08</w:t>
      </w:r>
      <w:r>
        <w:t>Pr</w:t>
      </w:r>
      <w:r>
        <w:rPr>
          <w:vertAlign w:val="subscript"/>
        </w:rPr>
        <w:t>0.08</w:t>
      </w:r>
      <w:r>
        <w:t>O</w:t>
      </w:r>
      <w:r>
        <w:rPr>
          <w:vertAlign w:val="subscript"/>
        </w:rPr>
        <w:t>2</w:t>
      </w:r>
      <w:r>
        <w:t xml:space="preserve"> [57], Ce</w:t>
      </w:r>
      <w:r>
        <w:rPr>
          <w:vertAlign w:val="subscript"/>
        </w:rPr>
        <w:t>0.85</w:t>
      </w:r>
      <w:r>
        <w:t>Sm</w:t>
      </w:r>
      <w:r>
        <w:rPr>
          <w:vertAlign w:val="subscript"/>
        </w:rPr>
        <w:t>0.1</w:t>
      </w:r>
      <w:r>
        <w:t>Nd</w:t>
      </w:r>
      <w:r>
        <w:rPr>
          <w:vertAlign w:val="subscript"/>
        </w:rPr>
        <w:t>0.05</w:t>
      </w:r>
      <w:r>
        <w:t>O</w:t>
      </w:r>
      <w:r>
        <w:rPr>
          <w:vertAlign w:val="subscript"/>
        </w:rPr>
        <w:t>2-δ</w:t>
      </w:r>
      <w:r>
        <w:t xml:space="preserve"> [58] and Ce</w:t>
      </w:r>
      <w:r>
        <w:rPr>
          <w:vertAlign w:val="subscript"/>
        </w:rPr>
        <w:t>0.7</w:t>
      </w:r>
      <w:r>
        <w:t>Pr</w:t>
      </w:r>
      <w:r>
        <w:rPr>
          <w:vertAlign w:val="subscript"/>
        </w:rPr>
        <w:t>0.15</w:t>
      </w:r>
      <w:r>
        <w:t>Sm</w:t>
      </w:r>
      <w:r>
        <w:rPr>
          <w:vertAlign w:val="subscript"/>
        </w:rPr>
        <w:t>0.07</w:t>
      </w:r>
      <w:r>
        <w:t>Eu</w:t>
      </w:r>
      <w:r>
        <w:rPr>
          <w:vertAlign w:val="subscript"/>
        </w:rPr>
        <w:t>0.07</w:t>
      </w:r>
      <w:r>
        <w:t>O</w:t>
      </w:r>
      <w:r>
        <w:rPr>
          <w:vertAlign w:val="subscript"/>
        </w:rPr>
        <w:t>2</w:t>
      </w:r>
      <w:r>
        <w:t xml:space="preserve"> [54] etc.</w:t>
      </w:r>
    </w:p>
    <w:p w:rsidR="006D5B22" w:rsidRDefault="006D5B22">
      <w:pPr>
        <w:autoSpaceDE w:val="0"/>
        <w:autoSpaceDN w:val="0"/>
        <w:adjustRightInd w:val="0"/>
        <w:spacing w:before="240" w:after="240" w:line="360" w:lineRule="auto"/>
        <w:jc w:val="both"/>
        <w:rPr>
          <w:b/>
        </w:rPr>
      </w:pPr>
    </w:p>
    <w:p w:rsidR="00EB6684" w:rsidRDefault="00461F91">
      <w:pPr>
        <w:autoSpaceDE w:val="0"/>
        <w:autoSpaceDN w:val="0"/>
        <w:adjustRightInd w:val="0"/>
        <w:spacing w:before="240" w:after="240" w:line="360" w:lineRule="auto"/>
        <w:jc w:val="both"/>
        <w:rPr>
          <w:b/>
        </w:rPr>
      </w:pPr>
      <w:r>
        <w:rPr>
          <w:b/>
        </w:rPr>
        <w:lastRenderedPageBreak/>
        <w:t>Ceria based composite Electrolytes for LT-SOFCs</w:t>
      </w:r>
      <w:r w:rsidR="00BD08DD">
        <w:rPr>
          <w:b/>
        </w:rPr>
        <w:t>:</w:t>
      </w:r>
    </w:p>
    <w:p w:rsidR="00EB6684" w:rsidRDefault="00461F91">
      <w:pPr>
        <w:spacing w:before="240" w:after="240" w:line="360" w:lineRule="auto"/>
        <w:ind w:firstLine="720"/>
        <w:jc w:val="both"/>
      </w:pPr>
      <w:r>
        <w:t>The operating temparature is a crucial aspect in SOFC community i.e. reducing the operating temparature from intermediate to lower is prerequisite as intermediate temperature i.e. &gt;600°C results in expensive interconnectors, element compositional changes, poor performance, insufficient ionic conductivity, and costly fabrication etc which leads to a barrier for commercialization of SOFC. On the other hand, decrease in operating temperature results in increased internal resistance of cell and decreased ionic conductivity of electrolyte, which reduces the SOFC performance. In view of this, to sustain SOFC commercially, the electrolyte should possess high value of total-ionic-conductivity at relatively low operating temperature. So, the creation of density of oxygen vacancies without traps to maximize the total-ionic-conductivity of electrolyte is prerequisite towards the commercialization of SOFC at relatively low operating temperatures (i.e., below 600°C) [59–62].</w:t>
      </w:r>
    </w:p>
    <w:p w:rsidR="00EB6684" w:rsidRDefault="00461F91">
      <w:pPr>
        <w:spacing w:before="240" w:after="240" w:line="360" w:lineRule="auto"/>
        <w:ind w:firstLine="720"/>
        <w:jc w:val="both"/>
      </w:pPr>
      <w:r>
        <w:t>In this context, R&amp;D approached the composite materials in developing the novel solid-electrolyte with a working temperature of below 600°C for the low temperature–SOFC (LT–SOFC) applications. Especially ceria - carbonate composite materials have been extensively studied and revealed that these materials can facilitates the enhanced total</w:t>
      </w:r>
      <w:r w:rsidR="00BD08DD">
        <w:t xml:space="preserve"> ionic conductivity towards the</w:t>
      </w:r>
      <w:r>
        <w:t xml:space="preserve"> advanced SOFC applications within the temperature below 600°C.</w:t>
      </w:r>
      <w:r w:rsidR="000440F8">
        <w:t xml:space="preserve"> </w:t>
      </w:r>
      <w:r>
        <w:t xml:space="preserve">In ceria - carbonate composite facilities multiple ion conductivity i.e. in addition to the oxygen ion conductivity, carbonate content (sodium/ potassium/ lithium carbonates) offers protonic as well as carbonate ions conductivity together enhance the total ionic conductivity of composite electrolyte. The ceria - carbonate composite approach pave a way for the development of advanced SOFCs [60–64]. </w:t>
      </w:r>
    </w:p>
    <w:p w:rsidR="00EB6684" w:rsidRDefault="00461F91">
      <w:pPr>
        <w:spacing w:before="240" w:after="240" w:line="360" w:lineRule="auto"/>
        <w:jc w:val="both"/>
        <w:rPr>
          <w:b/>
        </w:rPr>
      </w:pPr>
      <w:r>
        <w:rPr>
          <w:b/>
        </w:rPr>
        <w:t>Reaction mechanism and conductivity in ceria - carbonate composite electrolytes</w:t>
      </w:r>
      <w:r w:rsidR="00BD08DD">
        <w:rPr>
          <w:b/>
        </w:rPr>
        <w:t>:</w:t>
      </w:r>
    </w:p>
    <w:p w:rsidR="00EB6684" w:rsidRDefault="00461F91">
      <w:pPr>
        <w:spacing w:line="360" w:lineRule="auto"/>
        <w:jc w:val="both"/>
      </w:pPr>
      <w:r>
        <w:t>The reaction mechanism of molten carbonate fuel cell is combined with the SOFC makes the superficial conduction in the proposed low temperature-SOFC / advanced SOFC. The combined reactions in advanced SOFC with proposed ceria - carbonate composite electrolyte as follows [65 and 66]</w:t>
      </w:r>
    </w:p>
    <w:p w:rsidR="00EB6684" w:rsidRDefault="00461F91">
      <w:pPr>
        <w:spacing w:line="360" w:lineRule="auto"/>
        <w:jc w:val="both"/>
      </w:pPr>
      <w:r>
        <w:t xml:space="preserve">Anode side: </w:t>
      </w:r>
    </w:p>
    <w:p w:rsidR="00EB6684" w:rsidRDefault="00461F91">
      <w:pPr>
        <w:spacing w:line="360" w:lineRule="auto"/>
        <w:jc w:val="both"/>
      </w:pPr>
      <w:r>
        <w:t>(1) H</w:t>
      </w:r>
      <w:r>
        <w:rPr>
          <w:vertAlign w:val="subscript"/>
        </w:rPr>
        <w:t>2</w:t>
      </w:r>
      <w:r>
        <w:t xml:space="preserve"> + CO</w:t>
      </w:r>
      <w:r>
        <w:rPr>
          <w:vertAlign w:val="subscript"/>
        </w:rPr>
        <w:t>3</w:t>
      </w:r>
      <w:r>
        <w:rPr>
          <w:vertAlign w:val="superscript"/>
        </w:rPr>
        <w:t>2−</w:t>
      </w:r>
      <w:r>
        <w:t> → H</w:t>
      </w:r>
      <w:r>
        <w:rPr>
          <w:vertAlign w:val="subscript"/>
        </w:rPr>
        <w:t>2</w:t>
      </w:r>
      <w:r>
        <w:t>O + CO</w:t>
      </w:r>
      <w:r>
        <w:rPr>
          <w:vertAlign w:val="subscript"/>
        </w:rPr>
        <w:t>2</w:t>
      </w:r>
      <w:r>
        <w:t xml:space="preserve"> + 2e</w:t>
      </w:r>
      <w:r>
        <w:rPr>
          <w:vertAlign w:val="superscript"/>
        </w:rPr>
        <w:t>−</w:t>
      </w:r>
      <w:r>
        <w:t xml:space="preserve"> </w:t>
      </w:r>
    </w:p>
    <w:p w:rsidR="00EB6684" w:rsidRDefault="00461F91">
      <w:pPr>
        <w:spacing w:line="360" w:lineRule="auto"/>
        <w:jc w:val="both"/>
      </w:pPr>
      <w:r>
        <w:lastRenderedPageBreak/>
        <w:t>(2) H</w:t>
      </w:r>
      <w:r>
        <w:rPr>
          <w:vertAlign w:val="subscript"/>
        </w:rPr>
        <w:t>2</w:t>
      </w:r>
      <w:r>
        <w:t xml:space="preserve"> + O</w:t>
      </w:r>
      <w:r>
        <w:rPr>
          <w:vertAlign w:val="superscript"/>
        </w:rPr>
        <w:t>2–</w:t>
      </w:r>
      <w:r>
        <w:t xml:space="preserve"> → H</w:t>
      </w:r>
      <w:r>
        <w:rPr>
          <w:vertAlign w:val="subscript"/>
        </w:rPr>
        <w:t>2</w:t>
      </w:r>
      <w:r>
        <w:t>O + 2e</w:t>
      </w:r>
      <w:r>
        <w:rPr>
          <w:vertAlign w:val="superscript"/>
        </w:rPr>
        <w:t>−</w:t>
      </w:r>
    </w:p>
    <w:p w:rsidR="00EB6684" w:rsidRDefault="00461F91">
      <w:pPr>
        <w:spacing w:line="360" w:lineRule="auto"/>
        <w:jc w:val="both"/>
      </w:pPr>
      <w:r>
        <w:t>(3) H</w:t>
      </w:r>
      <w:r>
        <w:rPr>
          <w:vertAlign w:val="subscript"/>
        </w:rPr>
        <w:t>2</w:t>
      </w:r>
      <w:r>
        <w:t xml:space="preserve"> → 2H</w:t>
      </w:r>
      <w:r>
        <w:rPr>
          <w:vertAlign w:val="superscript"/>
        </w:rPr>
        <w:t>+</w:t>
      </w:r>
      <w:r>
        <w:t xml:space="preserve"> + 2e</w:t>
      </w:r>
      <w:r>
        <w:rPr>
          <w:vertAlign w:val="superscript"/>
        </w:rPr>
        <w:t>−</w:t>
      </w:r>
    </w:p>
    <w:p w:rsidR="00EB6684" w:rsidRDefault="00461F91">
      <w:pPr>
        <w:spacing w:line="360" w:lineRule="auto"/>
        <w:jc w:val="both"/>
      </w:pPr>
      <w:r>
        <w:t>Cathode side:</w:t>
      </w:r>
    </w:p>
    <w:p w:rsidR="00EB6684" w:rsidRDefault="00461F91">
      <w:pPr>
        <w:spacing w:line="360" w:lineRule="auto"/>
        <w:jc w:val="both"/>
      </w:pPr>
      <w:r>
        <w:t>(1) ½O</w:t>
      </w:r>
      <w:r>
        <w:rPr>
          <w:vertAlign w:val="subscript"/>
        </w:rPr>
        <w:t>2</w:t>
      </w:r>
      <w:r>
        <w:t xml:space="preserve"> + CO</w:t>
      </w:r>
      <w:r>
        <w:rPr>
          <w:vertAlign w:val="subscript"/>
        </w:rPr>
        <w:t>2</w:t>
      </w:r>
      <w:r>
        <w:t xml:space="preserve"> + 2e</w:t>
      </w:r>
      <w:r>
        <w:rPr>
          <w:vertAlign w:val="superscript"/>
        </w:rPr>
        <w:t>−</w:t>
      </w:r>
      <w:r>
        <w:t> → CO</w:t>
      </w:r>
      <w:r>
        <w:rPr>
          <w:vertAlign w:val="subscript"/>
        </w:rPr>
        <w:t>3</w:t>
      </w:r>
      <w:r>
        <w:rPr>
          <w:vertAlign w:val="superscript"/>
        </w:rPr>
        <w:t>2−</w:t>
      </w:r>
      <w:r>
        <w:t xml:space="preserve"> </w:t>
      </w:r>
    </w:p>
    <w:p w:rsidR="00EB6684" w:rsidRDefault="00461F91">
      <w:pPr>
        <w:spacing w:line="360" w:lineRule="auto"/>
        <w:jc w:val="both"/>
        <w:rPr>
          <w:vertAlign w:val="superscript"/>
        </w:rPr>
      </w:pPr>
      <w:r>
        <w:t>(2) ½O</w:t>
      </w:r>
      <w:r>
        <w:rPr>
          <w:vertAlign w:val="subscript"/>
        </w:rPr>
        <w:t>2</w:t>
      </w:r>
      <w:r>
        <w:t xml:space="preserve"> + 2e</w:t>
      </w:r>
      <w:r>
        <w:rPr>
          <w:vertAlign w:val="superscript"/>
        </w:rPr>
        <w:t>–</w:t>
      </w:r>
      <w:r>
        <w:t xml:space="preserve"> → O</w:t>
      </w:r>
      <w:r>
        <w:rPr>
          <w:vertAlign w:val="superscript"/>
        </w:rPr>
        <w:t>2–</w:t>
      </w:r>
    </w:p>
    <w:p w:rsidR="00EB6684" w:rsidRDefault="00461F91">
      <w:pPr>
        <w:spacing w:line="360" w:lineRule="auto"/>
        <w:jc w:val="both"/>
      </w:pPr>
      <w:r>
        <w:t>(3) ½O</w:t>
      </w:r>
      <w:r>
        <w:rPr>
          <w:vertAlign w:val="subscript"/>
        </w:rPr>
        <w:t>2</w:t>
      </w:r>
      <w:r>
        <w:t xml:space="preserve"> + 2H</w:t>
      </w:r>
      <w:r>
        <w:rPr>
          <w:vertAlign w:val="superscript"/>
        </w:rPr>
        <w:t>+</w:t>
      </w:r>
      <w:r>
        <w:t xml:space="preserve"> + 2e</w:t>
      </w:r>
      <w:r>
        <w:rPr>
          <w:vertAlign w:val="superscript"/>
        </w:rPr>
        <w:t>–</w:t>
      </w:r>
      <w:r>
        <w:t xml:space="preserve"> → H</w:t>
      </w:r>
      <w:r>
        <w:rPr>
          <w:vertAlign w:val="subscript"/>
        </w:rPr>
        <w:t>2</w:t>
      </w:r>
      <w:r>
        <w:t>O</w:t>
      </w:r>
    </w:p>
    <w:p w:rsidR="00EB6684" w:rsidRDefault="00461F91">
      <w:pPr>
        <w:spacing w:line="360" w:lineRule="auto"/>
        <w:jc w:val="both"/>
      </w:pPr>
      <w:r>
        <w:t xml:space="preserve">Overall reaction:   </w:t>
      </w:r>
    </w:p>
    <w:p w:rsidR="00EB6684" w:rsidRDefault="00461F91">
      <w:pPr>
        <w:spacing w:line="360" w:lineRule="auto"/>
        <w:jc w:val="both"/>
      </w:pPr>
      <w:r>
        <w:t>(1) H</w:t>
      </w:r>
      <w:r>
        <w:rPr>
          <w:vertAlign w:val="subscript"/>
        </w:rPr>
        <w:t>2</w:t>
      </w:r>
      <w:r>
        <w:t xml:space="preserve"> + ½O</w:t>
      </w:r>
      <w:r>
        <w:rPr>
          <w:vertAlign w:val="subscript"/>
        </w:rPr>
        <w:t xml:space="preserve">2 </w:t>
      </w:r>
      <w:r>
        <w:t>→ H</w:t>
      </w:r>
      <w:r>
        <w:rPr>
          <w:vertAlign w:val="subscript"/>
        </w:rPr>
        <w:t>2</w:t>
      </w:r>
      <w:r>
        <w:t>O</w:t>
      </w:r>
    </w:p>
    <w:p w:rsidR="00EB6684" w:rsidRDefault="00EB6684">
      <w:pPr>
        <w:spacing w:line="360" w:lineRule="auto"/>
        <w:ind w:firstLine="720"/>
        <w:jc w:val="both"/>
      </w:pPr>
    </w:p>
    <w:p w:rsidR="00EB6684" w:rsidRDefault="00461F91">
      <w:pPr>
        <w:spacing w:line="360" w:lineRule="auto"/>
        <w:ind w:firstLine="720"/>
        <w:jc w:val="both"/>
      </w:pPr>
      <w:r>
        <w:t>The above reactions in advanced SOFC indicates that the diffusion of H</w:t>
      </w:r>
      <w:r>
        <w:rPr>
          <w:vertAlign w:val="superscript"/>
        </w:rPr>
        <w:t>+</w:t>
      </w:r>
      <w:r>
        <w:t xml:space="preserve"> ions and CO</w:t>
      </w:r>
      <w:r>
        <w:rPr>
          <w:vertAlign w:val="subscript"/>
        </w:rPr>
        <w:t>3</w:t>
      </w:r>
      <w:r>
        <w:rPr>
          <w:vertAlign w:val="superscript"/>
        </w:rPr>
        <w:t>2–</w:t>
      </w:r>
      <w:r>
        <w:t xml:space="preserve"> ions takes place in addition to that of O</w:t>
      </w:r>
      <w:r>
        <w:rPr>
          <w:vertAlign w:val="superscript"/>
        </w:rPr>
        <w:t>2–</w:t>
      </w:r>
      <w:r>
        <w:t xml:space="preserve"> ions diffusion. In this multiple ion diffusion, the  CO</w:t>
      </w:r>
      <w:r>
        <w:rPr>
          <w:vertAlign w:val="subscript"/>
        </w:rPr>
        <w:t>3</w:t>
      </w:r>
      <w:r>
        <w:rPr>
          <w:vertAlign w:val="superscript"/>
        </w:rPr>
        <w:t>2–</w:t>
      </w:r>
      <w:r>
        <w:t xml:space="preserve"> ion contribution is negligible due to the small amount of CO</w:t>
      </w:r>
      <w:r>
        <w:rPr>
          <w:vertAlign w:val="subscript"/>
        </w:rPr>
        <w:t>2</w:t>
      </w:r>
      <w:r>
        <w:t xml:space="preserve"> in air. So, the total ionic conductivity is mostly contributed by H</w:t>
      </w:r>
      <w:r>
        <w:rPr>
          <w:vertAlign w:val="superscript"/>
        </w:rPr>
        <w:t>+</w:t>
      </w:r>
      <w:r>
        <w:t xml:space="preserve"> ions diffusi</w:t>
      </w:r>
      <w:r w:rsidR="00BD08DD">
        <w:t xml:space="preserve">on through carbonate phase and </w:t>
      </w:r>
      <w:r>
        <w:t>O</w:t>
      </w:r>
      <w:r>
        <w:rPr>
          <w:vertAlign w:val="superscript"/>
        </w:rPr>
        <w:t>2–</w:t>
      </w:r>
      <w:r>
        <w:t xml:space="preserve"> ions diffusion through doped ceria phase</w:t>
      </w:r>
      <w:r w:rsidR="00FC41BE">
        <w:t xml:space="preserve"> as represented in the Fig.4</w:t>
      </w:r>
      <w:r>
        <w:t xml:space="preserve"> [65]. </w:t>
      </w:r>
    </w:p>
    <w:p w:rsidR="00EB6684" w:rsidRDefault="00461F91">
      <w:pPr>
        <w:spacing w:line="360" w:lineRule="auto"/>
        <w:ind w:firstLine="720"/>
        <w:jc w:val="both"/>
      </w:pPr>
      <w:r>
        <w:t>The softening of carbonates below the melting temperature, create an extra interfacial space for the transportation of ions i.e. ion conducting paths by connecting the carbonate as well as c</w:t>
      </w:r>
      <w:r w:rsidR="005D6FF8">
        <w:t xml:space="preserve">eria phases which leads to the </w:t>
      </w:r>
      <w:r>
        <w:t>enhanced total ionic conductivity in doped ceria - carbonate composite. The soft carbonate phase can act as a glue among the two phases in composite to get a dense microstructure and to minimize the interfacial polarization losses. In this way the enhanced electrical properties of ceria - carbonate composites makes its suitability for the  advanced SOFC applications [62, 65, and 66].</w:t>
      </w:r>
    </w:p>
    <w:p w:rsidR="00EB6684" w:rsidRDefault="00461F91">
      <w:pPr>
        <w:spacing w:line="360" w:lineRule="auto"/>
        <w:jc w:val="center"/>
      </w:pPr>
      <w:r>
        <w:rPr>
          <w:noProof/>
        </w:rPr>
        <w:lastRenderedPageBreak/>
        <w:drawing>
          <wp:inline distT="0" distB="0" distL="0" distR="0">
            <wp:extent cx="3800818" cy="2743200"/>
            <wp:effectExtent l="0" t="0" r="0" b="0"/>
            <wp:docPr id="104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3800818" cy="2743200"/>
                    </a:xfrm>
                    <a:prstGeom prst="rect">
                      <a:avLst/>
                    </a:prstGeom>
                    <a:ln>
                      <a:noFill/>
                    </a:ln>
                  </pic:spPr>
                </pic:pic>
              </a:graphicData>
            </a:graphic>
          </wp:inline>
        </w:drawing>
      </w:r>
    </w:p>
    <w:p w:rsidR="00EB6684" w:rsidRDefault="00461F91">
      <w:pPr>
        <w:spacing w:line="360" w:lineRule="auto"/>
        <w:ind w:firstLine="720"/>
        <w:jc w:val="center"/>
        <w:rPr>
          <w:sz w:val="44"/>
        </w:rPr>
      </w:pPr>
      <w:proofErr w:type="gramStart"/>
      <w:r>
        <w:rPr>
          <w:b/>
          <w:bCs/>
          <w:szCs w:val="14"/>
        </w:rPr>
        <w:t xml:space="preserve">Fig.4 </w:t>
      </w:r>
      <w:r w:rsidR="00855667">
        <w:rPr>
          <w:szCs w:val="14"/>
        </w:rPr>
        <w:t>Schematic</w:t>
      </w:r>
      <w:r>
        <w:rPr>
          <w:szCs w:val="14"/>
        </w:rPr>
        <w:t xml:space="preserve"> ioni</w:t>
      </w:r>
      <w:r w:rsidR="00855667">
        <w:rPr>
          <w:szCs w:val="14"/>
        </w:rPr>
        <w:t xml:space="preserve">c conduction mechanism in doped ceria–carbonate </w:t>
      </w:r>
      <w:r>
        <w:rPr>
          <w:szCs w:val="14"/>
        </w:rPr>
        <w:t>composite electrolyte [62].</w:t>
      </w:r>
      <w:proofErr w:type="gramEnd"/>
    </w:p>
    <w:p w:rsidR="00D232E4" w:rsidRDefault="00381B39">
      <w:pPr>
        <w:spacing w:before="240" w:after="240" w:line="360" w:lineRule="auto"/>
        <w:ind w:firstLine="720"/>
        <w:jc w:val="both"/>
      </w:pPr>
      <w:r>
        <w:t>Noteworthy</w:t>
      </w:r>
      <w:r w:rsidR="00461F91">
        <w:t xml:space="preserve"> research </w:t>
      </w:r>
      <w:r w:rsidR="0014237C">
        <w:t xml:space="preserve">has been carried </w:t>
      </w:r>
      <w:r w:rsidR="00461F91">
        <w:t xml:space="preserve">with the choice of doped ceria materials and the carbonates </w:t>
      </w:r>
      <w:r w:rsidR="0014237C">
        <w:t xml:space="preserve">to develop a novel doped ceria-carbonate composite electrolyte </w:t>
      </w:r>
      <w:r w:rsidR="00461F91">
        <w:t xml:space="preserve">such as </w:t>
      </w:r>
      <w:r w:rsidR="0014237C">
        <w:t>SDC-</w:t>
      </w:r>
      <w:r w:rsidR="00461F91">
        <w:t>Na</w:t>
      </w:r>
      <w:r w:rsidR="00461F91">
        <w:rPr>
          <w:vertAlign w:val="subscript"/>
        </w:rPr>
        <w:t>2</w:t>
      </w:r>
      <w:r w:rsidR="00461F91">
        <w:t>CO</w:t>
      </w:r>
      <w:r w:rsidR="00461F91">
        <w:rPr>
          <w:vertAlign w:val="subscript"/>
        </w:rPr>
        <w:t>3</w:t>
      </w:r>
      <w:r w:rsidR="00461F91">
        <w:t>, S</w:t>
      </w:r>
      <w:r w:rsidR="0014237C">
        <w:t>DC-</w:t>
      </w:r>
      <w:r w:rsidR="00461F91">
        <w:t>K</w:t>
      </w:r>
      <w:r w:rsidR="00461F91">
        <w:rPr>
          <w:vertAlign w:val="subscript"/>
        </w:rPr>
        <w:t>2</w:t>
      </w:r>
      <w:r w:rsidR="00461F91">
        <w:t>CO</w:t>
      </w:r>
      <w:r w:rsidR="00461F91">
        <w:rPr>
          <w:vertAlign w:val="subscript"/>
        </w:rPr>
        <w:t>3</w:t>
      </w:r>
      <w:r w:rsidR="0014237C">
        <w:t>, SDC-</w:t>
      </w:r>
      <w:r w:rsidR="00461F91">
        <w:t>Li</w:t>
      </w:r>
      <w:r w:rsidR="00461F91">
        <w:rPr>
          <w:vertAlign w:val="subscript"/>
        </w:rPr>
        <w:t>2</w:t>
      </w:r>
      <w:r w:rsidR="00461F91">
        <w:t>CO</w:t>
      </w:r>
      <w:r w:rsidR="00461F91">
        <w:rPr>
          <w:vertAlign w:val="subscript"/>
        </w:rPr>
        <w:t>3</w:t>
      </w:r>
      <w:r w:rsidR="0014237C">
        <w:t>, SDC-</w:t>
      </w:r>
      <w:r w:rsidR="00461F91">
        <w:t>(Na/K)</w:t>
      </w:r>
      <w:r w:rsidR="00461F91">
        <w:rPr>
          <w:vertAlign w:val="subscript"/>
        </w:rPr>
        <w:t>2</w:t>
      </w:r>
      <w:r w:rsidR="00461F91">
        <w:t>CO</w:t>
      </w:r>
      <w:r w:rsidR="00461F91">
        <w:rPr>
          <w:vertAlign w:val="subscript"/>
        </w:rPr>
        <w:t>3</w:t>
      </w:r>
      <w:r w:rsidR="0014237C">
        <w:t>, SDC-</w:t>
      </w:r>
      <w:r w:rsidR="00461F91">
        <w:t>(Li/Na)</w:t>
      </w:r>
      <w:r w:rsidR="00461F91">
        <w:rPr>
          <w:vertAlign w:val="subscript"/>
        </w:rPr>
        <w:t>2</w:t>
      </w:r>
      <w:r w:rsidR="00461F91">
        <w:t>CO</w:t>
      </w:r>
      <w:r w:rsidR="00461F91">
        <w:rPr>
          <w:vertAlign w:val="subscript"/>
        </w:rPr>
        <w:t>3</w:t>
      </w:r>
      <w:r w:rsidR="0014237C">
        <w:t>, SDC-</w:t>
      </w:r>
      <w:r w:rsidR="00461F91">
        <w:t>(Li/K)</w:t>
      </w:r>
      <w:r w:rsidR="00461F91">
        <w:rPr>
          <w:vertAlign w:val="subscript"/>
        </w:rPr>
        <w:t>2</w:t>
      </w:r>
      <w:r w:rsidR="00461F91">
        <w:t>CO</w:t>
      </w:r>
      <w:r w:rsidR="00461F91">
        <w:rPr>
          <w:vertAlign w:val="subscript"/>
        </w:rPr>
        <w:t>3</w:t>
      </w:r>
      <w:r w:rsidR="0014237C">
        <w:t>, SDC-</w:t>
      </w:r>
      <w:r w:rsidR="00461F91">
        <w:t>(Li/Na/K)</w:t>
      </w:r>
      <w:r w:rsidR="00461F91">
        <w:rPr>
          <w:vertAlign w:val="subscript"/>
        </w:rPr>
        <w:t>2</w:t>
      </w:r>
      <w:r w:rsidR="00461F91">
        <w:t>CO</w:t>
      </w:r>
      <w:r w:rsidR="00461F91">
        <w:rPr>
          <w:vertAlign w:val="subscript"/>
        </w:rPr>
        <w:t>3</w:t>
      </w:r>
      <w:r w:rsidR="00461F91">
        <w:t>,</w:t>
      </w:r>
      <w:r w:rsidR="0014237C">
        <w:t xml:space="preserve"> Ce</w:t>
      </w:r>
      <w:r w:rsidR="0014237C">
        <w:rPr>
          <w:vertAlign w:val="subscript"/>
        </w:rPr>
        <w:t>0.90</w:t>
      </w:r>
      <w:r w:rsidR="0014237C">
        <w:t>Eu</w:t>
      </w:r>
      <w:r w:rsidR="0014237C">
        <w:rPr>
          <w:vertAlign w:val="subscript"/>
        </w:rPr>
        <w:t>0.10</w:t>
      </w:r>
      <w:r w:rsidR="0014237C">
        <w:t>O</w:t>
      </w:r>
      <w:r w:rsidR="0014237C">
        <w:rPr>
          <w:vertAlign w:val="subscript"/>
        </w:rPr>
        <w:t>2-δ</w:t>
      </w:r>
      <w:r w:rsidR="0014237C">
        <w:t>-(Li/Na)</w:t>
      </w:r>
      <w:r w:rsidR="0014237C">
        <w:rPr>
          <w:vertAlign w:val="subscript"/>
        </w:rPr>
        <w:t>2</w:t>
      </w:r>
      <w:r w:rsidR="0014237C">
        <w:t>CO</w:t>
      </w:r>
      <w:r w:rsidR="0014237C">
        <w:rPr>
          <w:vertAlign w:val="subscript"/>
        </w:rPr>
        <w:t>3</w:t>
      </w:r>
      <w:r w:rsidR="0014237C">
        <w:t>,</w:t>
      </w:r>
      <w:r w:rsidR="00461F91">
        <w:t xml:space="preserve"> Ce</w:t>
      </w:r>
      <w:r w:rsidR="00461F91">
        <w:rPr>
          <w:vertAlign w:val="subscript"/>
        </w:rPr>
        <w:t>0.85</w:t>
      </w:r>
      <w:r w:rsidR="00461F91">
        <w:t>Er</w:t>
      </w:r>
      <w:r w:rsidR="00461F91">
        <w:rPr>
          <w:vertAlign w:val="subscript"/>
        </w:rPr>
        <w:t>0.15</w:t>
      </w:r>
      <w:r w:rsidR="00461F91">
        <w:t>O</w:t>
      </w:r>
      <w:r w:rsidR="00461F91">
        <w:rPr>
          <w:vertAlign w:val="subscript"/>
        </w:rPr>
        <w:t>2-δ</w:t>
      </w:r>
      <w:r w:rsidR="0014237C">
        <w:t>-</w:t>
      </w:r>
      <w:r w:rsidR="00461F91">
        <w:t>(Li/Na/K)</w:t>
      </w:r>
      <w:r w:rsidR="00461F91">
        <w:rPr>
          <w:vertAlign w:val="subscript"/>
        </w:rPr>
        <w:t>2</w:t>
      </w:r>
      <w:r w:rsidR="00461F91">
        <w:t>CO</w:t>
      </w:r>
      <w:r w:rsidR="00461F91">
        <w:rPr>
          <w:vertAlign w:val="subscript"/>
        </w:rPr>
        <w:t>3</w:t>
      </w:r>
      <w:r w:rsidR="00461F91">
        <w:t>, Ce</w:t>
      </w:r>
      <w:r w:rsidR="00461F91">
        <w:rPr>
          <w:vertAlign w:val="subscript"/>
        </w:rPr>
        <w:t>0.85</w:t>
      </w:r>
      <w:r w:rsidR="00461F91">
        <w:t>La</w:t>
      </w:r>
      <w:r w:rsidR="00461F91">
        <w:rPr>
          <w:vertAlign w:val="subscript"/>
        </w:rPr>
        <w:t>0.15</w:t>
      </w:r>
      <w:r w:rsidR="00461F91">
        <w:t>O</w:t>
      </w:r>
      <w:r w:rsidR="00461F91">
        <w:rPr>
          <w:vertAlign w:val="subscript"/>
        </w:rPr>
        <w:t>2-δ</w:t>
      </w:r>
      <w:r w:rsidR="0014237C">
        <w:t>-</w:t>
      </w:r>
      <w:r w:rsidR="00461F91">
        <w:t>(Li/Na/K)</w:t>
      </w:r>
      <w:r w:rsidR="00461F91">
        <w:rPr>
          <w:vertAlign w:val="subscript"/>
        </w:rPr>
        <w:t>2</w:t>
      </w:r>
      <w:r w:rsidR="00461F91">
        <w:t>CO</w:t>
      </w:r>
      <w:r w:rsidR="00461F91">
        <w:rPr>
          <w:vertAlign w:val="subscript"/>
        </w:rPr>
        <w:t>3</w:t>
      </w:r>
      <w:r w:rsidR="00461F91">
        <w:t>, Ce</w:t>
      </w:r>
      <w:r w:rsidR="00461F91">
        <w:rPr>
          <w:vertAlign w:val="subscript"/>
        </w:rPr>
        <w:t>0.95</w:t>
      </w:r>
      <w:r w:rsidR="00461F91">
        <w:t>Sr</w:t>
      </w:r>
      <w:r w:rsidR="00461F91">
        <w:rPr>
          <w:vertAlign w:val="subscript"/>
        </w:rPr>
        <w:t>0.05</w:t>
      </w:r>
      <w:r w:rsidR="00461F91">
        <w:t>O</w:t>
      </w:r>
      <w:r w:rsidR="00461F91">
        <w:rPr>
          <w:vertAlign w:val="subscript"/>
        </w:rPr>
        <w:t>2-δ</w:t>
      </w:r>
      <w:r w:rsidR="0014237C">
        <w:t>-</w:t>
      </w:r>
      <w:r w:rsidR="00461F91">
        <w:t>(Li/Na/K)</w:t>
      </w:r>
      <w:r w:rsidR="00461F91">
        <w:rPr>
          <w:vertAlign w:val="subscript"/>
        </w:rPr>
        <w:t>2</w:t>
      </w:r>
      <w:r w:rsidR="00461F91">
        <w:t>CO</w:t>
      </w:r>
      <w:r w:rsidR="00461F91">
        <w:rPr>
          <w:vertAlign w:val="subscript"/>
        </w:rPr>
        <w:t>3</w:t>
      </w:r>
      <w:r w:rsidR="00461F91">
        <w:t>, Ce</w:t>
      </w:r>
      <w:r w:rsidR="00461F91">
        <w:rPr>
          <w:vertAlign w:val="subscript"/>
        </w:rPr>
        <w:t>0.85</w:t>
      </w:r>
      <w:r w:rsidR="00461F91">
        <w:t>Sm</w:t>
      </w:r>
      <w:r w:rsidR="00461F91">
        <w:rPr>
          <w:vertAlign w:val="subscript"/>
        </w:rPr>
        <w:t>0.15</w:t>
      </w:r>
      <w:r w:rsidR="00461F91">
        <w:t>O</w:t>
      </w:r>
      <w:r w:rsidR="00461F91">
        <w:rPr>
          <w:vertAlign w:val="subscript"/>
        </w:rPr>
        <w:t>2-δ</w:t>
      </w:r>
      <w:r w:rsidR="0014237C">
        <w:t>-</w:t>
      </w:r>
      <w:r w:rsidR="00461F91">
        <w:t>(Li/Na/K)</w:t>
      </w:r>
      <w:r w:rsidR="00461F91">
        <w:rPr>
          <w:vertAlign w:val="subscript"/>
        </w:rPr>
        <w:t>2</w:t>
      </w:r>
      <w:r w:rsidR="00461F91">
        <w:t>CO</w:t>
      </w:r>
      <w:r w:rsidR="00461F91">
        <w:rPr>
          <w:vertAlign w:val="subscript"/>
        </w:rPr>
        <w:t>3</w:t>
      </w:r>
      <w:r w:rsidR="0014237C">
        <w:t>, GDC-</w:t>
      </w:r>
      <w:r w:rsidR="00461F91">
        <w:t>Na</w:t>
      </w:r>
      <w:r w:rsidR="00461F91">
        <w:rPr>
          <w:vertAlign w:val="subscript"/>
        </w:rPr>
        <w:t>2</w:t>
      </w:r>
      <w:r w:rsidR="00461F91">
        <w:t>CO</w:t>
      </w:r>
      <w:r w:rsidR="00461F91">
        <w:rPr>
          <w:vertAlign w:val="subscript"/>
        </w:rPr>
        <w:t>3</w:t>
      </w:r>
      <w:r w:rsidR="0014237C">
        <w:t>, GDC-</w:t>
      </w:r>
      <w:r w:rsidR="00461F91">
        <w:t>K</w:t>
      </w:r>
      <w:r w:rsidR="00461F91">
        <w:rPr>
          <w:vertAlign w:val="subscript"/>
        </w:rPr>
        <w:t>2</w:t>
      </w:r>
      <w:r w:rsidR="00461F91">
        <w:t>CO</w:t>
      </w:r>
      <w:r w:rsidR="00461F91">
        <w:rPr>
          <w:vertAlign w:val="subscript"/>
        </w:rPr>
        <w:t>3</w:t>
      </w:r>
      <w:r w:rsidR="0014237C">
        <w:t>, GDC-</w:t>
      </w:r>
      <w:r w:rsidR="00461F91">
        <w:t>Li</w:t>
      </w:r>
      <w:r w:rsidR="00461F91">
        <w:rPr>
          <w:vertAlign w:val="subscript"/>
        </w:rPr>
        <w:t>2</w:t>
      </w:r>
      <w:r w:rsidR="00461F91">
        <w:t>CO</w:t>
      </w:r>
      <w:r w:rsidR="00461F91">
        <w:rPr>
          <w:vertAlign w:val="subscript"/>
        </w:rPr>
        <w:t>3</w:t>
      </w:r>
      <w:r w:rsidR="00461F91">
        <w:t>, GDC</w:t>
      </w:r>
      <w:r w:rsidR="0014237C">
        <w:t>-</w:t>
      </w:r>
      <w:r w:rsidR="00461F91">
        <w:t>Sr</w:t>
      </w:r>
      <w:r w:rsidR="00461F91">
        <w:rPr>
          <w:vertAlign w:val="subscript"/>
        </w:rPr>
        <w:t>2</w:t>
      </w:r>
      <w:r w:rsidR="00461F91">
        <w:t>CO</w:t>
      </w:r>
      <w:r w:rsidR="00461F91">
        <w:rPr>
          <w:vertAlign w:val="subscript"/>
        </w:rPr>
        <w:t>3</w:t>
      </w:r>
      <w:r w:rsidR="0014237C">
        <w:t>, GDC-</w:t>
      </w:r>
      <w:r w:rsidR="00461F91">
        <w:t>(Na/K)</w:t>
      </w:r>
      <w:r w:rsidR="00461F91">
        <w:rPr>
          <w:vertAlign w:val="subscript"/>
        </w:rPr>
        <w:t>2</w:t>
      </w:r>
      <w:r w:rsidR="00461F91">
        <w:t>CO</w:t>
      </w:r>
      <w:r w:rsidR="00461F91">
        <w:rPr>
          <w:vertAlign w:val="subscript"/>
        </w:rPr>
        <w:t>3</w:t>
      </w:r>
      <w:r w:rsidR="0014237C">
        <w:t>, GDC-</w:t>
      </w:r>
      <w:r w:rsidR="00461F91">
        <w:t>(Na/</w:t>
      </w:r>
      <w:proofErr w:type="spellStart"/>
      <w:r w:rsidR="00461F91">
        <w:t>Sr</w:t>
      </w:r>
      <w:proofErr w:type="spellEnd"/>
      <w:r w:rsidR="00461F91">
        <w:t>)</w:t>
      </w:r>
      <w:r w:rsidR="00461F91">
        <w:rPr>
          <w:vertAlign w:val="subscript"/>
        </w:rPr>
        <w:t>2</w:t>
      </w:r>
      <w:r w:rsidR="00461F91">
        <w:t>CO</w:t>
      </w:r>
      <w:r w:rsidR="00461F91">
        <w:rPr>
          <w:vertAlign w:val="subscript"/>
        </w:rPr>
        <w:t>3</w:t>
      </w:r>
      <w:r w:rsidR="0014237C">
        <w:t>, GDC-</w:t>
      </w:r>
      <w:r w:rsidR="00461F91">
        <w:t>(Li/Na)</w:t>
      </w:r>
      <w:r w:rsidR="00461F91">
        <w:rPr>
          <w:vertAlign w:val="subscript"/>
        </w:rPr>
        <w:t>2</w:t>
      </w:r>
      <w:r w:rsidR="00461F91">
        <w:t>CO</w:t>
      </w:r>
      <w:r w:rsidR="00461F91">
        <w:rPr>
          <w:vertAlign w:val="subscript"/>
        </w:rPr>
        <w:t>3</w:t>
      </w:r>
      <w:r w:rsidR="0014237C">
        <w:t>, GDC-</w:t>
      </w:r>
      <w:r w:rsidR="00461F91">
        <w:t>(Li/K)</w:t>
      </w:r>
      <w:r w:rsidR="00461F91">
        <w:rPr>
          <w:vertAlign w:val="subscript"/>
        </w:rPr>
        <w:t>2</w:t>
      </w:r>
      <w:r w:rsidR="00461F91">
        <w:t>CO</w:t>
      </w:r>
      <w:r w:rsidR="00461F91">
        <w:rPr>
          <w:vertAlign w:val="subscript"/>
        </w:rPr>
        <w:t>3</w:t>
      </w:r>
      <w:r w:rsidR="0014237C">
        <w:t xml:space="preserve"> and GDC-</w:t>
      </w:r>
      <w:r w:rsidR="00461F91">
        <w:t>(Li/Na/K)</w:t>
      </w:r>
      <w:r w:rsidR="00461F91">
        <w:rPr>
          <w:vertAlign w:val="subscript"/>
        </w:rPr>
        <w:t>2</w:t>
      </w:r>
      <w:r w:rsidR="00461F91">
        <w:t>CO</w:t>
      </w:r>
      <w:r w:rsidR="00461F91">
        <w:rPr>
          <w:vertAlign w:val="subscript"/>
        </w:rPr>
        <w:t>3</w:t>
      </w:r>
      <w:r w:rsidR="00461F91">
        <w:t xml:space="preserve"> [63, 64, 67–70]. </w:t>
      </w:r>
    </w:p>
    <w:p w:rsidR="00FC41BE" w:rsidRDefault="00381B39">
      <w:pPr>
        <w:spacing w:before="240" w:after="240" w:line="360" w:lineRule="auto"/>
        <w:ind w:firstLine="720"/>
        <w:jc w:val="both"/>
      </w:pPr>
      <w:r>
        <w:t xml:space="preserve">Recently, </w:t>
      </w:r>
      <w:r w:rsidR="00461F91">
        <w:t xml:space="preserve"> </w:t>
      </w:r>
      <w:r>
        <w:t>significant work has been made on co-doped</w:t>
      </w:r>
      <w:r w:rsidR="00B569A4">
        <w:t xml:space="preserve"> / triple-doped</w:t>
      </w:r>
      <w:r>
        <w:t xml:space="preserve"> ceria-carbonate composite electrolytes and reported the optimized materials</w:t>
      </w:r>
      <w:r w:rsidR="00461F91">
        <w:t xml:space="preserve"> such as Ce</w:t>
      </w:r>
      <w:r w:rsidR="00461F91">
        <w:rPr>
          <w:vertAlign w:val="subscript"/>
        </w:rPr>
        <w:t>0.93</w:t>
      </w:r>
      <w:r w:rsidR="00461F91">
        <w:t>Ca</w:t>
      </w:r>
      <w:r w:rsidR="00461F91">
        <w:rPr>
          <w:vertAlign w:val="subscript"/>
        </w:rPr>
        <w:t>0.05</w:t>
      </w:r>
      <w:r w:rsidR="00461F91">
        <w:t>Sr</w:t>
      </w:r>
      <w:r w:rsidR="00461F91">
        <w:rPr>
          <w:vertAlign w:val="subscript"/>
        </w:rPr>
        <w:t>0.02</w:t>
      </w:r>
      <w:r w:rsidR="00461F91">
        <w:t>O</w:t>
      </w:r>
      <w:r w:rsidR="00461F91">
        <w:rPr>
          <w:vertAlign w:val="subscript"/>
        </w:rPr>
        <w:t>1.93</w:t>
      </w:r>
      <w:r w:rsidR="00461F91">
        <w:t>–(Li</w:t>
      </w:r>
      <w:r w:rsidR="00461F91">
        <w:rPr>
          <w:vertAlign w:val="subscript"/>
        </w:rPr>
        <w:t>0.52</w:t>
      </w:r>
      <w:r w:rsidR="00461F91">
        <w:t>Na</w:t>
      </w:r>
      <w:r w:rsidR="00461F91">
        <w:rPr>
          <w:vertAlign w:val="subscript"/>
        </w:rPr>
        <w:t>0.48</w:t>
      </w:r>
      <w:r w:rsidR="00461F91">
        <w:t>)</w:t>
      </w:r>
      <w:r w:rsidR="00461F91">
        <w:rPr>
          <w:vertAlign w:val="subscript"/>
        </w:rPr>
        <w:t>2</w:t>
      </w:r>
      <w:r w:rsidR="00461F91">
        <w:t>CO</w:t>
      </w:r>
      <w:r w:rsidR="00461F91">
        <w:rPr>
          <w:vertAlign w:val="subscript"/>
        </w:rPr>
        <w:t>3</w:t>
      </w:r>
      <w:r w:rsidR="00461F91">
        <w:t>, Ce</w:t>
      </w:r>
      <w:r w:rsidR="00461F91">
        <w:rPr>
          <w:vertAlign w:val="subscript"/>
        </w:rPr>
        <w:t>0.90</w:t>
      </w:r>
      <w:r w:rsidR="00461F91">
        <w:t>Mg</w:t>
      </w:r>
      <w:r w:rsidR="00461F91">
        <w:rPr>
          <w:vertAlign w:val="subscript"/>
        </w:rPr>
        <w:t>0.06</w:t>
      </w:r>
      <w:r w:rsidR="00461F91">
        <w:t>Sr</w:t>
      </w:r>
      <w:r w:rsidR="00461F91">
        <w:rPr>
          <w:vertAlign w:val="subscript"/>
        </w:rPr>
        <w:t>0.04</w:t>
      </w:r>
      <w:r w:rsidR="00461F91">
        <w:t>O</w:t>
      </w:r>
      <w:r w:rsidR="00461F91">
        <w:rPr>
          <w:vertAlign w:val="subscript"/>
        </w:rPr>
        <w:t>1.90</w:t>
      </w:r>
      <w:r w:rsidR="00461F91">
        <w:t>–(Li/Na)</w:t>
      </w:r>
      <w:r w:rsidR="00461F91">
        <w:rPr>
          <w:vertAlign w:val="subscript"/>
        </w:rPr>
        <w:t>2</w:t>
      </w:r>
      <w:r w:rsidR="00461F91">
        <w:t>CO</w:t>
      </w:r>
      <w:r w:rsidR="00461F91">
        <w:rPr>
          <w:vertAlign w:val="subscript"/>
        </w:rPr>
        <w:t>3</w:t>
      </w:r>
      <w:r w:rsidR="00461F91">
        <w:t>, Ce</w:t>
      </w:r>
      <w:r w:rsidR="00461F91">
        <w:rPr>
          <w:vertAlign w:val="subscript"/>
        </w:rPr>
        <w:t>0.83</w:t>
      </w:r>
      <w:r w:rsidR="00461F91">
        <w:t>Dy</w:t>
      </w:r>
      <w:r w:rsidR="00461F91">
        <w:rPr>
          <w:vertAlign w:val="subscript"/>
        </w:rPr>
        <w:t>0.14</w:t>
      </w:r>
      <w:r w:rsidR="00461F91">
        <w:t>Ca</w:t>
      </w:r>
      <w:r w:rsidR="00461F91">
        <w:rPr>
          <w:vertAlign w:val="subscript"/>
        </w:rPr>
        <w:t>0.030</w:t>
      </w:r>
      <w:r w:rsidR="00461F91">
        <w:t>O</w:t>
      </w:r>
      <w:r w:rsidR="00461F91">
        <w:rPr>
          <w:vertAlign w:val="subscript"/>
        </w:rPr>
        <w:t>2-δ</w:t>
      </w:r>
      <w:r w:rsidR="00461F91">
        <w:t>–(Li</w:t>
      </w:r>
      <w:r w:rsidR="00461F91">
        <w:rPr>
          <w:vertAlign w:val="subscript"/>
        </w:rPr>
        <w:t>0.52</w:t>
      </w:r>
      <w:r w:rsidR="00461F91">
        <w:t>Na</w:t>
      </w:r>
      <w:r w:rsidR="00461F91">
        <w:rPr>
          <w:vertAlign w:val="subscript"/>
        </w:rPr>
        <w:t>0.48</w:t>
      </w:r>
      <w:r w:rsidR="00461F91">
        <w:t>)</w:t>
      </w:r>
      <w:r w:rsidR="00461F91">
        <w:rPr>
          <w:vertAlign w:val="subscript"/>
        </w:rPr>
        <w:t>2</w:t>
      </w:r>
      <w:r w:rsidR="00461F91">
        <w:t>CO</w:t>
      </w:r>
      <w:r w:rsidR="00461F91">
        <w:rPr>
          <w:vertAlign w:val="subscript"/>
        </w:rPr>
        <w:t>3</w:t>
      </w:r>
      <w:r w:rsidR="00461F91">
        <w:t>, Ce</w:t>
      </w:r>
      <w:r w:rsidR="00461F91">
        <w:rPr>
          <w:vertAlign w:val="subscript"/>
        </w:rPr>
        <w:t>0.80</w:t>
      </w:r>
      <w:r w:rsidR="00461F91">
        <w:t>Sm</w:t>
      </w:r>
      <w:r w:rsidR="00461F91">
        <w:rPr>
          <w:vertAlign w:val="subscript"/>
        </w:rPr>
        <w:t>0.2–x</w:t>
      </w:r>
      <w:r w:rsidR="00461F91">
        <w:t>Ca</w:t>
      </w:r>
      <w:r w:rsidR="00461F91">
        <w:rPr>
          <w:vertAlign w:val="subscript"/>
        </w:rPr>
        <w:t>x</w:t>
      </w:r>
      <w:r w:rsidR="00461F91">
        <w:t>O</w:t>
      </w:r>
      <w:r w:rsidR="00461F91">
        <w:rPr>
          <w:vertAlign w:val="subscript"/>
        </w:rPr>
        <w:t>2-δ</w:t>
      </w:r>
      <w:r w:rsidR="00461F91">
        <w:t>–Na</w:t>
      </w:r>
      <w:r w:rsidR="00461F91">
        <w:rPr>
          <w:vertAlign w:val="subscript"/>
        </w:rPr>
        <w:t>2</w:t>
      </w:r>
      <w:r w:rsidR="00461F91">
        <w:t>CO</w:t>
      </w:r>
      <w:r w:rsidR="00461F91">
        <w:rPr>
          <w:vertAlign w:val="subscript"/>
        </w:rPr>
        <w:t>3</w:t>
      </w:r>
      <w:r w:rsidR="00461F91">
        <w:t xml:space="preserve">, and </w:t>
      </w:r>
      <w:r w:rsidR="00461F91">
        <w:rPr>
          <w:bCs/>
        </w:rPr>
        <w:t>Ce</w:t>
      </w:r>
      <w:r w:rsidR="00461F91">
        <w:rPr>
          <w:bCs/>
          <w:vertAlign w:val="subscript"/>
        </w:rPr>
        <w:t>0.8</w:t>
      </w:r>
      <w:r w:rsidR="00461F91">
        <w:rPr>
          <w:bCs/>
        </w:rPr>
        <w:t>M</w:t>
      </w:r>
      <w:r w:rsidR="00461F91">
        <w:rPr>
          <w:bCs/>
          <w:vertAlign w:val="subscript"/>
        </w:rPr>
        <w:t>0.1</w:t>
      </w:r>
      <w:r w:rsidR="00461F91">
        <w:rPr>
          <w:bCs/>
        </w:rPr>
        <w:t>Gd</w:t>
      </w:r>
      <w:r w:rsidR="00461F91">
        <w:rPr>
          <w:bCs/>
          <w:vertAlign w:val="subscript"/>
        </w:rPr>
        <w:t>0.1</w:t>
      </w:r>
      <w:r w:rsidR="00461F91">
        <w:rPr>
          <w:bCs/>
        </w:rPr>
        <w:t>O</w:t>
      </w:r>
      <w:r w:rsidR="00461F91">
        <w:rPr>
          <w:bCs/>
          <w:vertAlign w:val="subscript"/>
        </w:rPr>
        <w:t>2-δ</w:t>
      </w:r>
      <w:r w:rsidR="00461F91">
        <w:rPr>
          <w:bCs/>
        </w:rPr>
        <w:t xml:space="preserve"> (M= Sm</w:t>
      </w:r>
      <w:r w:rsidR="00461F91">
        <w:rPr>
          <w:bCs/>
          <w:vertAlign w:val="superscript"/>
        </w:rPr>
        <w:t>3+</w:t>
      </w:r>
      <w:r w:rsidR="00461F91">
        <w:rPr>
          <w:bCs/>
        </w:rPr>
        <w:t>, Sr</w:t>
      </w:r>
      <w:r w:rsidR="00461F91">
        <w:rPr>
          <w:bCs/>
          <w:vertAlign w:val="superscript"/>
        </w:rPr>
        <w:t>2+</w:t>
      </w:r>
      <w:r w:rsidR="00461F91">
        <w:rPr>
          <w:bCs/>
        </w:rPr>
        <w:t>, Ca</w:t>
      </w:r>
      <w:r w:rsidR="00461F91">
        <w:rPr>
          <w:bCs/>
          <w:vertAlign w:val="superscript"/>
        </w:rPr>
        <w:t>2+</w:t>
      </w:r>
      <w:r w:rsidR="00461F91">
        <w:rPr>
          <w:bCs/>
        </w:rPr>
        <w:t>)–Na</w:t>
      </w:r>
      <w:r w:rsidR="00461F91">
        <w:rPr>
          <w:bCs/>
          <w:vertAlign w:val="subscript"/>
        </w:rPr>
        <w:t>2</w:t>
      </w:r>
      <w:r w:rsidR="00461F91">
        <w:rPr>
          <w:bCs/>
        </w:rPr>
        <w:t>CO</w:t>
      </w:r>
      <w:r w:rsidR="00461F91">
        <w:rPr>
          <w:bCs/>
          <w:vertAlign w:val="subscript"/>
        </w:rPr>
        <w:t>3</w:t>
      </w:r>
      <w:r w:rsidR="00461F91">
        <w:rPr>
          <w:bCs/>
        </w:rPr>
        <w:t>,</w:t>
      </w:r>
      <w:r w:rsidR="00461F91">
        <w:rPr>
          <w:bCs/>
          <w:vertAlign w:val="subscript"/>
        </w:rPr>
        <w:t xml:space="preserve"> </w:t>
      </w:r>
      <w:r w:rsidR="00461F91">
        <w:t>65[Ce</w:t>
      </w:r>
      <w:r w:rsidR="00461F91">
        <w:rPr>
          <w:vertAlign w:val="subscript"/>
        </w:rPr>
        <w:t>0.82</w:t>
      </w:r>
      <w:r w:rsidR="00461F91">
        <w:t>La</w:t>
      </w:r>
      <w:r w:rsidR="00461F91">
        <w:rPr>
          <w:vertAlign w:val="subscript"/>
        </w:rPr>
        <w:t>0.06</w:t>
      </w:r>
      <w:r w:rsidR="00461F91">
        <w:t>Sm</w:t>
      </w:r>
      <w:r w:rsidR="00461F91">
        <w:rPr>
          <w:vertAlign w:val="subscript"/>
        </w:rPr>
        <w:t>0.06</w:t>
      </w:r>
      <w:r w:rsidR="00461F91">
        <w:t>Gd</w:t>
      </w:r>
      <w:r w:rsidR="00461F91">
        <w:rPr>
          <w:vertAlign w:val="subscript"/>
        </w:rPr>
        <w:t>0.06</w:t>
      </w:r>
      <w:r w:rsidR="00461F91">
        <w:t>O</w:t>
      </w:r>
      <w:r w:rsidR="00461F91">
        <w:rPr>
          <w:vertAlign w:val="subscript"/>
        </w:rPr>
        <w:t>2-δ</w:t>
      </w:r>
      <w:r w:rsidR="00461F91">
        <w:t>] – 35[(Li–Na)</w:t>
      </w:r>
      <w:r w:rsidR="00461F91">
        <w:rPr>
          <w:vertAlign w:val="subscript"/>
        </w:rPr>
        <w:t>2</w:t>
      </w:r>
      <w:r w:rsidR="00461F91">
        <w:t>CO</w:t>
      </w:r>
      <w:r w:rsidR="00461F91">
        <w:rPr>
          <w:vertAlign w:val="subscript"/>
        </w:rPr>
        <w:t>3</w:t>
      </w:r>
      <w:r w:rsidR="00461F91">
        <w:t>], 70[Ce</w:t>
      </w:r>
      <w:r w:rsidR="00461F91">
        <w:rPr>
          <w:vertAlign w:val="subscript"/>
        </w:rPr>
        <w:t>0.76</w:t>
      </w:r>
      <w:r w:rsidR="00461F91">
        <w:t>La</w:t>
      </w:r>
      <w:r w:rsidR="00461F91">
        <w:rPr>
          <w:vertAlign w:val="subscript"/>
        </w:rPr>
        <w:t>0.08</w:t>
      </w:r>
      <w:r w:rsidR="00461F91">
        <w:t>Pr</w:t>
      </w:r>
      <w:r w:rsidR="00461F91">
        <w:rPr>
          <w:vertAlign w:val="subscript"/>
        </w:rPr>
        <w:t>0.08</w:t>
      </w:r>
      <w:r w:rsidR="00461F91">
        <w:t>Sm</w:t>
      </w:r>
      <w:r w:rsidR="00461F91">
        <w:rPr>
          <w:vertAlign w:val="subscript"/>
        </w:rPr>
        <w:t>0.08</w:t>
      </w:r>
      <w:r w:rsidR="00461F91">
        <w:t>O</w:t>
      </w:r>
      <w:r w:rsidR="00461F91">
        <w:rPr>
          <w:vertAlign w:val="subscript"/>
        </w:rPr>
        <w:t>2-δ</w:t>
      </w:r>
      <w:r w:rsidR="00461F91">
        <w:t>] – 30[(Li–Na)</w:t>
      </w:r>
      <w:r w:rsidR="00461F91">
        <w:rPr>
          <w:vertAlign w:val="subscript"/>
        </w:rPr>
        <w:t>2</w:t>
      </w:r>
      <w:r w:rsidR="00461F91">
        <w:t>CO</w:t>
      </w:r>
      <w:r w:rsidR="00461F91">
        <w:rPr>
          <w:vertAlign w:val="subscript"/>
        </w:rPr>
        <w:t>3</w:t>
      </w:r>
      <w:r w:rsidR="00461F91">
        <w:t>], and 70[Pr</w:t>
      </w:r>
      <w:r w:rsidR="00461F91">
        <w:rPr>
          <w:vertAlign w:val="subscript"/>
        </w:rPr>
        <w:t>0.08</w:t>
      </w:r>
      <w:r w:rsidR="00461F91">
        <w:t>Sm</w:t>
      </w:r>
      <w:r w:rsidR="00461F91">
        <w:rPr>
          <w:vertAlign w:val="subscript"/>
        </w:rPr>
        <w:t>0.08</w:t>
      </w:r>
      <w:r w:rsidR="00461F91">
        <w:t>Gd</w:t>
      </w:r>
      <w:r w:rsidR="00461F91">
        <w:rPr>
          <w:vertAlign w:val="subscript"/>
        </w:rPr>
        <w:t>0.08</w:t>
      </w:r>
      <w:r w:rsidR="00461F91">
        <w:t>Ce</w:t>
      </w:r>
      <w:r w:rsidR="00461F91">
        <w:rPr>
          <w:vertAlign w:val="subscript"/>
        </w:rPr>
        <w:t>0.76</w:t>
      </w:r>
      <w:r w:rsidR="00461F91">
        <w:t>O</w:t>
      </w:r>
      <w:r w:rsidR="00461F91">
        <w:rPr>
          <w:vertAlign w:val="subscript"/>
        </w:rPr>
        <w:t>2-δ</w:t>
      </w:r>
      <w:r w:rsidR="00461F91">
        <w:t>] – 30[(Na-K)</w:t>
      </w:r>
      <w:r w:rsidR="00461F91">
        <w:rPr>
          <w:vertAlign w:val="subscript"/>
        </w:rPr>
        <w:t>2</w:t>
      </w:r>
      <w:r w:rsidR="00461F91">
        <w:t>CO</w:t>
      </w:r>
      <w:r w:rsidR="00461F91">
        <w:rPr>
          <w:vertAlign w:val="subscript"/>
        </w:rPr>
        <w:t>3</w:t>
      </w:r>
      <w:r>
        <w:t xml:space="preserve">] </w:t>
      </w:r>
      <w:r w:rsidR="00461F91">
        <w:t>[62, 71–76].</w:t>
      </w:r>
      <w:r>
        <w:t xml:space="preserve"> </w:t>
      </w:r>
    </w:p>
    <w:p w:rsidR="00FC41BE" w:rsidRDefault="00FC41BE" w:rsidP="00FC41BE">
      <w:pPr>
        <w:spacing w:line="360" w:lineRule="auto"/>
        <w:jc w:val="both"/>
        <w:rPr>
          <w:szCs w:val="14"/>
        </w:rPr>
      </w:pPr>
      <w:r>
        <w:t xml:space="preserve">Fig. 5 indicates the Arrhenius plots of total conductivity of the sintered La, Sm, </w:t>
      </w:r>
      <w:proofErr w:type="spellStart"/>
      <w:r>
        <w:t>Gd</w:t>
      </w:r>
      <w:proofErr w:type="spellEnd"/>
      <w:r>
        <w:t xml:space="preserve"> triple-doped ceria LSG (Ce</w:t>
      </w:r>
      <w:r>
        <w:rPr>
          <w:vertAlign w:val="subscript"/>
        </w:rPr>
        <w:t>0.82</w:t>
      </w:r>
      <w:r>
        <w:t>La</w:t>
      </w:r>
      <w:r>
        <w:rPr>
          <w:vertAlign w:val="subscript"/>
        </w:rPr>
        <w:t>0.06</w:t>
      </w:r>
      <w:r>
        <w:t>Sm</w:t>
      </w:r>
      <w:r>
        <w:rPr>
          <w:vertAlign w:val="subscript"/>
        </w:rPr>
        <w:t>0.06</w:t>
      </w:r>
      <w:r>
        <w:t>Gd</w:t>
      </w:r>
      <w:r>
        <w:rPr>
          <w:vertAlign w:val="subscript"/>
        </w:rPr>
        <w:t>0.06</w:t>
      </w:r>
      <w:r>
        <w:t>O</w:t>
      </w:r>
      <w:r>
        <w:rPr>
          <w:vertAlign w:val="subscript"/>
        </w:rPr>
        <w:t>2-δ</w:t>
      </w:r>
      <w:r>
        <w:t>) and its carbonate composite LSG–LN (Ce</w:t>
      </w:r>
      <w:r>
        <w:rPr>
          <w:vertAlign w:val="subscript"/>
        </w:rPr>
        <w:t>0.82</w:t>
      </w:r>
      <w:r>
        <w:t>La</w:t>
      </w:r>
      <w:r>
        <w:rPr>
          <w:vertAlign w:val="subscript"/>
        </w:rPr>
        <w:t>0.06</w:t>
      </w:r>
      <w:r>
        <w:t>Sm</w:t>
      </w:r>
      <w:r>
        <w:rPr>
          <w:vertAlign w:val="subscript"/>
        </w:rPr>
        <w:t>0.06</w:t>
      </w:r>
      <w:r>
        <w:t>Gd</w:t>
      </w:r>
      <w:r>
        <w:rPr>
          <w:vertAlign w:val="subscript"/>
        </w:rPr>
        <w:t>0.06</w:t>
      </w:r>
      <w:r>
        <w:t>O</w:t>
      </w:r>
      <w:r>
        <w:rPr>
          <w:vertAlign w:val="subscript"/>
        </w:rPr>
        <w:t xml:space="preserve">2-δ </w:t>
      </w:r>
      <w:r>
        <w:t>– (Li–Na)</w:t>
      </w:r>
      <w:r>
        <w:rPr>
          <w:vertAlign w:val="subscript"/>
        </w:rPr>
        <w:t>2</w:t>
      </w:r>
      <w:r>
        <w:t>CO</w:t>
      </w:r>
      <w:r>
        <w:rPr>
          <w:vertAlign w:val="subscript"/>
        </w:rPr>
        <w:t>3</w:t>
      </w:r>
      <w:r>
        <w:t xml:space="preserve">) </w:t>
      </w:r>
      <w:r>
        <w:rPr>
          <w:szCs w:val="14"/>
        </w:rPr>
        <w:t xml:space="preserve">[62] as well as </w:t>
      </w:r>
      <w:proofErr w:type="spellStart"/>
      <w:r>
        <w:t>Pr</w:t>
      </w:r>
      <w:proofErr w:type="spellEnd"/>
      <w:r>
        <w:t xml:space="preserve">, Sm, </w:t>
      </w:r>
      <w:proofErr w:type="spellStart"/>
      <w:r>
        <w:t>Gd</w:t>
      </w:r>
      <w:proofErr w:type="spellEnd"/>
      <w:r>
        <w:t xml:space="preserve"> triple-doped ceria</w:t>
      </w:r>
      <w:r>
        <w:rPr>
          <w:szCs w:val="14"/>
        </w:rPr>
        <w:t xml:space="preserve"> PSGC </w:t>
      </w:r>
      <w:r>
        <w:rPr>
          <w:szCs w:val="14"/>
        </w:rPr>
        <w:lastRenderedPageBreak/>
        <w:t>(</w:t>
      </w:r>
      <w:r>
        <w:t>Pr</w:t>
      </w:r>
      <w:r>
        <w:rPr>
          <w:vertAlign w:val="subscript"/>
        </w:rPr>
        <w:t>0.08</w:t>
      </w:r>
      <w:r>
        <w:t>Sm</w:t>
      </w:r>
      <w:r>
        <w:rPr>
          <w:vertAlign w:val="subscript"/>
        </w:rPr>
        <w:t>0.08</w:t>
      </w:r>
      <w:r>
        <w:t>Gd</w:t>
      </w:r>
      <w:r>
        <w:rPr>
          <w:vertAlign w:val="subscript"/>
        </w:rPr>
        <w:t>0.08</w:t>
      </w:r>
      <w:r>
        <w:t>Ce</w:t>
      </w:r>
      <w:r>
        <w:rPr>
          <w:vertAlign w:val="subscript"/>
        </w:rPr>
        <w:t>0.76</w:t>
      </w:r>
      <w:r>
        <w:t>O</w:t>
      </w:r>
      <w:r>
        <w:rPr>
          <w:vertAlign w:val="subscript"/>
        </w:rPr>
        <w:t>2-δ</w:t>
      </w:r>
      <w:r>
        <w:rPr>
          <w:szCs w:val="14"/>
        </w:rPr>
        <w:t xml:space="preserve">) and </w:t>
      </w:r>
      <w:r>
        <w:t xml:space="preserve">its carbonate composite </w:t>
      </w:r>
      <w:r>
        <w:rPr>
          <w:szCs w:val="14"/>
        </w:rPr>
        <w:t>PSGC-NK (</w:t>
      </w:r>
      <w:r>
        <w:t>Pr</w:t>
      </w:r>
      <w:r>
        <w:rPr>
          <w:vertAlign w:val="subscript"/>
        </w:rPr>
        <w:t>0.08</w:t>
      </w:r>
      <w:r>
        <w:t>Sm</w:t>
      </w:r>
      <w:r>
        <w:rPr>
          <w:vertAlign w:val="subscript"/>
        </w:rPr>
        <w:t>0.08</w:t>
      </w:r>
      <w:r>
        <w:t>Gd</w:t>
      </w:r>
      <w:r>
        <w:rPr>
          <w:vertAlign w:val="subscript"/>
        </w:rPr>
        <w:t>0.08</w:t>
      </w:r>
      <w:r>
        <w:t>Ce</w:t>
      </w:r>
      <w:r>
        <w:rPr>
          <w:vertAlign w:val="subscript"/>
        </w:rPr>
        <w:t>0.76</w:t>
      </w:r>
      <w:r>
        <w:t>O</w:t>
      </w:r>
      <w:r>
        <w:rPr>
          <w:vertAlign w:val="subscript"/>
        </w:rPr>
        <w:t>2-δ</w:t>
      </w:r>
      <w:r>
        <w:t xml:space="preserve"> – (Na-K)</w:t>
      </w:r>
      <w:r>
        <w:rPr>
          <w:vertAlign w:val="subscript"/>
        </w:rPr>
        <w:t>2</w:t>
      </w:r>
      <w:r>
        <w:t>CO</w:t>
      </w:r>
      <w:r>
        <w:rPr>
          <w:vertAlign w:val="subscript"/>
        </w:rPr>
        <w:t>3</w:t>
      </w:r>
      <w:r>
        <w:rPr>
          <w:szCs w:val="14"/>
        </w:rPr>
        <w:t>) samples [76].</w:t>
      </w:r>
    </w:p>
    <w:p w:rsidR="00EB6684" w:rsidRDefault="00FE36FE">
      <w:pPr>
        <w:spacing w:before="240" w:after="240" w:line="360" w:lineRule="auto"/>
      </w:pPr>
      <w:r>
        <w:rPr>
          <w:noProof/>
        </w:rPr>
        <w:drawing>
          <wp:inline distT="0" distB="0" distL="0" distR="0">
            <wp:extent cx="2729865" cy="2103120"/>
            <wp:effectExtent l="0" t="0" r="0" b="0"/>
            <wp:docPr id="10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rcRect/>
                    <a:stretch/>
                  </pic:blipFill>
                  <pic:spPr>
                    <a:xfrm>
                      <a:off x="0" y="0"/>
                      <a:ext cx="2729865" cy="2103120"/>
                    </a:xfrm>
                    <a:prstGeom prst="rect">
                      <a:avLst/>
                    </a:prstGeom>
                    <a:ln>
                      <a:noFill/>
                    </a:ln>
                  </pic:spPr>
                </pic:pic>
              </a:graphicData>
            </a:graphic>
          </wp:inline>
        </w:drawing>
      </w:r>
      <w:r w:rsidR="00461F91">
        <w:rPr>
          <w:noProof/>
        </w:rPr>
        <w:drawing>
          <wp:inline distT="0" distB="0" distL="0" distR="0">
            <wp:extent cx="2727325" cy="2103120"/>
            <wp:effectExtent l="0" t="0" r="0" b="0"/>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4" cstate="print">
                      <a:extLst>
                        <a:ext uri="{28A0092B-C50C-407E-A947-70E740481C1C}">
                          <a14:useLocalDpi xmlns:a14="http://schemas.microsoft.com/office/drawing/2010/main" val="0"/>
                        </a:ext>
                      </a:extLst>
                    </a:blip>
                    <a:srcRect/>
                    <a:stretch/>
                  </pic:blipFill>
                  <pic:spPr>
                    <a:xfrm>
                      <a:off x="0" y="0"/>
                      <a:ext cx="2727325" cy="2103120"/>
                    </a:xfrm>
                    <a:prstGeom prst="rect">
                      <a:avLst/>
                    </a:prstGeom>
                    <a:ln>
                      <a:noFill/>
                    </a:ln>
                  </pic:spPr>
                </pic:pic>
              </a:graphicData>
            </a:graphic>
          </wp:inline>
        </w:drawing>
      </w:r>
    </w:p>
    <w:p w:rsidR="00EB6684" w:rsidRDefault="00461F91">
      <w:pPr>
        <w:spacing w:line="360" w:lineRule="auto"/>
        <w:jc w:val="both"/>
      </w:pPr>
      <w:r>
        <w:rPr>
          <w:b/>
        </w:rPr>
        <w:t>Fig.5</w:t>
      </w:r>
      <w:r>
        <w:t xml:space="preserve"> Arrhenius plots </w:t>
      </w:r>
      <w:r w:rsidR="00FC41BE">
        <w:t xml:space="preserve">of total </w:t>
      </w:r>
      <w:r w:rsidR="00855667">
        <w:t>c</w:t>
      </w:r>
      <w:r w:rsidR="00FC41BE">
        <w:t>onductivity of</w:t>
      </w:r>
      <w:r>
        <w:t xml:space="preserve"> LSG and LSG–LN </w:t>
      </w:r>
      <w:r>
        <w:rPr>
          <w:szCs w:val="14"/>
        </w:rPr>
        <w:t>[62] &amp; PSGC and PSGC-NK [76].</w:t>
      </w:r>
    </w:p>
    <w:p w:rsidR="00EB6684" w:rsidRDefault="00461F91" w:rsidP="00BD08DD">
      <w:pPr>
        <w:spacing w:line="360" w:lineRule="auto"/>
        <w:ind w:firstLine="720"/>
        <w:jc w:val="both"/>
        <w:rPr>
          <w:bCs/>
          <w:iCs/>
        </w:rPr>
      </w:pPr>
      <w:r>
        <w:t xml:space="preserve">Total-ionic-conductivity comparison </w:t>
      </w:r>
      <w:r>
        <w:rPr>
          <w:bCs/>
          <w:iCs/>
        </w:rPr>
        <w:t xml:space="preserve">was made in Table 1 with recently studied ceria based compositions such as doped / co-doped / triple-doped ceria as well as </w:t>
      </w:r>
      <w:r w:rsidR="00BD08DD">
        <w:rPr>
          <w:bCs/>
          <w:iCs/>
        </w:rPr>
        <w:t>doped ceria-</w:t>
      </w:r>
      <w:r>
        <w:rPr>
          <w:bCs/>
          <w:iCs/>
        </w:rPr>
        <w:t>carbonate comp</w:t>
      </w:r>
      <w:r w:rsidR="00F5311E">
        <w:rPr>
          <w:bCs/>
          <w:iCs/>
        </w:rPr>
        <w:t>osite materials for advanced</w:t>
      </w:r>
      <w:r>
        <w:rPr>
          <w:bCs/>
          <w:iCs/>
        </w:rPr>
        <w:t xml:space="preserve"> SOFC applications.</w:t>
      </w:r>
    </w:p>
    <w:p w:rsidR="00EB6684" w:rsidRDefault="00461F91">
      <w:pPr>
        <w:spacing w:line="360" w:lineRule="auto"/>
        <w:jc w:val="both"/>
        <w:rPr>
          <w:bCs/>
          <w:iCs/>
        </w:rPr>
      </w:pPr>
      <w:r>
        <w:rPr>
          <w:b/>
          <w:color w:val="000000"/>
        </w:rPr>
        <w:t>Table 1</w:t>
      </w:r>
      <w:r>
        <w:t xml:space="preserve"> Total-ionic-conductivity comparison of </w:t>
      </w:r>
      <w:r>
        <w:rPr>
          <w:bCs/>
          <w:iCs/>
        </w:rPr>
        <w:t>recently</w:t>
      </w:r>
      <w:r>
        <w:t xml:space="preserve"> studied ceria based solid electrolytes for </w:t>
      </w:r>
      <w:r w:rsidR="00F5311E">
        <w:rPr>
          <w:bCs/>
          <w:iCs/>
        </w:rPr>
        <w:t>advanced</w:t>
      </w:r>
      <w:r>
        <w:rPr>
          <w:bCs/>
          <w:iCs/>
        </w:rPr>
        <w:t xml:space="preserve"> SOFCs</w:t>
      </w:r>
      <w:r>
        <w:t>.</w:t>
      </w:r>
    </w:p>
    <w:tbl>
      <w:tblPr>
        <w:tblpPr w:leftFromText="180" w:rightFromText="180" w:vertAnchor="text" w:horzAnchor="margin" w:tblpXSpec="center" w:tblpY="16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620"/>
        <w:gridCol w:w="2610"/>
        <w:gridCol w:w="842"/>
      </w:tblGrid>
      <w:tr w:rsidR="00EB6684">
        <w:trPr>
          <w:trHeight w:val="521"/>
        </w:trPr>
        <w:tc>
          <w:tcPr>
            <w:tcW w:w="3258" w:type="dxa"/>
            <w:shd w:val="clear" w:color="auto" w:fill="auto"/>
            <w:vAlign w:val="center"/>
            <w:hideMark/>
          </w:tcPr>
          <w:p w:rsidR="00EB6684" w:rsidRDefault="00461F91" w:rsidP="00EC27E9">
            <w:pPr>
              <w:spacing w:line="360" w:lineRule="auto"/>
              <w:jc w:val="center"/>
              <w:rPr>
                <w:b/>
                <w:color w:val="000000"/>
              </w:rPr>
            </w:pPr>
            <w:r>
              <w:rPr>
                <w:b/>
              </w:rPr>
              <w:t>Composition</w:t>
            </w:r>
          </w:p>
        </w:tc>
        <w:tc>
          <w:tcPr>
            <w:tcW w:w="1620" w:type="dxa"/>
            <w:shd w:val="clear" w:color="auto" w:fill="auto"/>
            <w:vAlign w:val="center"/>
            <w:hideMark/>
          </w:tcPr>
          <w:p w:rsidR="00EB6684" w:rsidRDefault="00461F91" w:rsidP="00EC27E9">
            <w:pPr>
              <w:spacing w:line="360" w:lineRule="auto"/>
              <w:jc w:val="center"/>
              <w:rPr>
                <w:b/>
                <w:color w:val="000000"/>
              </w:rPr>
            </w:pPr>
            <w:r>
              <w:rPr>
                <w:b/>
              </w:rPr>
              <w:t>Sintering Temperature</w:t>
            </w:r>
          </w:p>
        </w:tc>
        <w:tc>
          <w:tcPr>
            <w:tcW w:w="2610" w:type="dxa"/>
            <w:shd w:val="clear" w:color="auto" w:fill="auto"/>
            <w:vAlign w:val="center"/>
            <w:hideMark/>
          </w:tcPr>
          <w:p w:rsidR="00EB6684" w:rsidRPr="006D5B22" w:rsidRDefault="00461F91" w:rsidP="00EC27E9">
            <w:pPr>
              <w:spacing w:line="360" w:lineRule="auto"/>
              <w:jc w:val="center"/>
              <w:rPr>
                <w:b/>
              </w:rPr>
            </w:pPr>
            <w:r w:rsidRPr="006D5B22">
              <w:rPr>
                <w:b/>
              </w:rPr>
              <w:t>Total Ionic Conductivity (S/cm)</w:t>
            </w:r>
          </w:p>
        </w:tc>
        <w:tc>
          <w:tcPr>
            <w:tcW w:w="842" w:type="dxa"/>
          </w:tcPr>
          <w:p w:rsidR="00EB6684" w:rsidRPr="006D5B22" w:rsidRDefault="00EB6684" w:rsidP="00EC27E9">
            <w:pPr>
              <w:spacing w:line="360" w:lineRule="auto"/>
              <w:jc w:val="center"/>
              <w:rPr>
                <w:b/>
              </w:rPr>
            </w:pPr>
          </w:p>
          <w:p w:rsidR="00EB6684" w:rsidRPr="006D5B22" w:rsidRDefault="00EC27E9" w:rsidP="00EC27E9">
            <w:pPr>
              <w:spacing w:line="360" w:lineRule="auto"/>
              <w:jc w:val="center"/>
              <w:rPr>
                <w:b/>
              </w:rPr>
            </w:pPr>
            <w:r w:rsidRPr="006D5B22">
              <w:rPr>
                <w:b/>
              </w:rPr>
              <w:t>Ref</w:t>
            </w:r>
          </w:p>
        </w:tc>
      </w:tr>
      <w:tr w:rsidR="00EB6684">
        <w:trPr>
          <w:trHeight w:val="296"/>
        </w:trPr>
        <w:tc>
          <w:tcPr>
            <w:tcW w:w="3258" w:type="dxa"/>
            <w:shd w:val="clear" w:color="auto" w:fill="auto"/>
          </w:tcPr>
          <w:p w:rsidR="00EB6684" w:rsidRDefault="00461F91" w:rsidP="00EC27E9">
            <w:pPr>
              <w:spacing w:line="360" w:lineRule="auto"/>
              <w:jc w:val="center"/>
            </w:pPr>
            <w:r>
              <w:t>Ce</w:t>
            </w:r>
            <w:r>
              <w:rPr>
                <w:vertAlign w:val="subscript"/>
              </w:rPr>
              <w:t>0.85</w:t>
            </w:r>
            <w:r>
              <w:t>La</w:t>
            </w:r>
            <w:r>
              <w:rPr>
                <w:vertAlign w:val="subscript"/>
              </w:rPr>
              <w:t>0.075</w:t>
            </w:r>
            <w:r>
              <w:t>Dy</w:t>
            </w:r>
            <w:r>
              <w:rPr>
                <w:vertAlign w:val="subscript"/>
              </w:rPr>
              <w:t>0.075</w:t>
            </w:r>
            <w:r>
              <w:t>O</w:t>
            </w:r>
            <w:r>
              <w:rPr>
                <w:vertAlign w:val="subscript"/>
              </w:rPr>
              <w:t>2−δ</w:t>
            </w:r>
          </w:p>
        </w:tc>
        <w:tc>
          <w:tcPr>
            <w:tcW w:w="1620" w:type="dxa"/>
            <w:shd w:val="clear" w:color="auto" w:fill="auto"/>
          </w:tcPr>
          <w:p w:rsidR="00EB6684" w:rsidRDefault="00461F91" w:rsidP="00EC27E9">
            <w:pPr>
              <w:spacing w:line="360" w:lineRule="auto"/>
              <w:jc w:val="center"/>
            </w:pPr>
            <w:r>
              <w:t>1300°C</w:t>
            </w:r>
          </w:p>
        </w:tc>
        <w:tc>
          <w:tcPr>
            <w:tcW w:w="2610" w:type="dxa"/>
            <w:shd w:val="clear" w:color="auto" w:fill="auto"/>
          </w:tcPr>
          <w:p w:rsidR="00EB6684" w:rsidRPr="006D5B22" w:rsidRDefault="00461F91" w:rsidP="00EC27E9">
            <w:pPr>
              <w:spacing w:line="360" w:lineRule="auto"/>
              <w:jc w:val="center"/>
            </w:pPr>
            <w:r w:rsidRPr="006D5B22">
              <w:t>2.08</w:t>
            </w:r>
            <w:r w:rsidRPr="006D5B22">
              <w:rPr>
                <w:rStyle w:val="IntenseEmphasis"/>
                <w:b w:val="0"/>
                <w:i w:val="0"/>
                <w:color w:val="auto"/>
              </w:rPr>
              <w:sym w:font="Symbol" w:char="F0B4"/>
            </w:r>
            <w:r w:rsidRPr="006D5B22">
              <w:t>10</w:t>
            </w:r>
            <w:r w:rsidRPr="006D5B22">
              <w:rPr>
                <w:vertAlign w:val="superscript"/>
              </w:rPr>
              <w:t>–2</w:t>
            </w:r>
            <w:r w:rsidRPr="006D5B22">
              <w:t xml:space="preserve"> at 600°C</w:t>
            </w:r>
          </w:p>
        </w:tc>
        <w:tc>
          <w:tcPr>
            <w:tcW w:w="842" w:type="dxa"/>
          </w:tcPr>
          <w:p w:rsidR="00EB6684" w:rsidRPr="006D5B22" w:rsidRDefault="00461F91" w:rsidP="00EC27E9">
            <w:pPr>
              <w:spacing w:line="360" w:lineRule="auto"/>
              <w:jc w:val="center"/>
            </w:pPr>
            <w:r w:rsidRPr="006D5B22">
              <w:t>[38]</w:t>
            </w:r>
          </w:p>
        </w:tc>
      </w:tr>
      <w:tr w:rsidR="00EB6684">
        <w:trPr>
          <w:trHeight w:val="296"/>
        </w:trPr>
        <w:tc>
          <w:tcPr>
            <w:tcW w:w="3258" w:type="dxa"/>
            <w:shd w:val="clear" w:color="auto" w:fill="auto"/>
          </w:tcPr>
          <w:p w:rsidR="00EB6684" w:rsidRDefault="00461F91" w:rsidP="00EC27E9">
            <w:pPr>
              <w:spacing w:line="360" w:lineRule="auto"/>
              <w:jc w:val="center"/>
            </w:pPr>
            <w:r>
              <w:t>Ce</w:t>
            </w:r>
            <w:r>
              <w:rPr>
                <w:vertAlign w:val="subscript"/>
              </w:rPr>
              <w:t>0.8</w:t>
            </w:r>
            <w:r>
              <w:t>Ga</w:t>
            </w:r>
            <w:r>
              <w:rPr>
                <w:vertAlign w:val="subscript"/>
              </w:rPr>
              <w:t>0.05</w:t>
            </w:r>
            <w:r>
              <w:t>Cu</w:t>
            </w:r>
            <w:r>
              <w:rPr>
                <w:vertAlign w:val="subscript"/>
              </w:rPr>
              <w:t>0.15</w:t>
            </w:r>
            <w:r>
              <w:t>O</w:t>
            </w:r>
            <w:r>
              <w:rPr>
                <w:vertAlign w:val="subscript"/>
              </w:rPr>
              <w:t>1.825</w:t>
            </w:r>
          </w:p>
        </w:tc>
        <w:tc>
          <w:tcPr>
            <w:tcW w:w="1620" w:type="dxa"/>
            <w:shd w:val="clear" w:color="auto" w:fill="auto"/>
          </w:tcPr>
          <w:p w:rsidR="00EB6684" w:rsidRDefault="00461F91" w:rsidP="00EC27E9">
            <w:pPr>
              <w:spacing w:line="360" w:lineRule="auto"/>
              <w:jc w:val="center"/>
            </w:pPr>
            <w:r>
              <w:t>1300°C</w:t>
            </w:r>
          </w:p>
        </w:tc>
        <w:tc>
          <w:tcPr>
            <w:tcW w:w="2610" w:type="dxa"/>
            <w:shd w:val="clear" w:color="auto" w:fill="auto"/>
          </w:tcPr>
          <w:p w:rsidR="00EB6684" w:rsidRPr="006D5B22" w:rsidRDefault="00461F91" w:rsidP="00EC27E9">
            <w:pPr>
              <w:spacing w:line="360" w:lineRule="auto"/>
              <w:jc w:val="center"/>
            </w:pPr>
            <w:r w:rsidRPr="006D5B22">
              <w:t>2.03</w:t>
            </w:r>
            <w:r w:rsidRPr="006D5B22">
              <w:rPr>
                <w:rStyle w:val="IntenseEmphasis"/>
                <w:b w:val="0"/>
                <w:i w:val="0"/>
                <w:color w:val="auto"/>
              </w:rPr>
              <w:sym w:font="Symbol" w:char="F0B4"/>
            </w:r>
            <w:r w:rsidRPr="006D5B22">
              <w:t>10</w:t>
            </w:r>
            <w:r w:rsidRPr="006D5B22">
              <w:rPr>
                <w:vertAlign w:val="superscript"/>
              </w:rPr>
              <w:t>–2</w:t>
            </w:r>
            <w:r w:rsidRPr="006D5B22">
              <w:t xml:space="preserve"> at 700°C</w:t>
            </w:r>
          </w:p>
        </w:tc>
        <w:tc>
          <w:tcPr>
            <w:tcW w:w="842" w:type="dxa"/>
          </w:tcPr>
          <w:p w:rsidR="00EB6684" w:rsidRPr="006D5B22" w:rsidRDefault="00461F91" w:rsidP="00EC27E9">
            <w:pPr>
              <w:spacing w:line="360" w:lineRule="auto"/>
              <w:jc w:val="center"/>
            </w:pPr>
            <w:r w:rsidRPr="006D5B22">
              <w:t>[39]</w:t>
            </w:r>
          </w:p>
        </w:tc>
      </w:tr>
      <w:tr w:rsidR="00EB6684">
        <w:trPr>
          <w:trHeight w:val="296"/>
        </w:trPr>
        <w:tc>
          <w:tcPr>
            <w:tcW w:w="3258" w:type="dxa"/>
            <w:shd w:val="clear" w:color="auto" w:fill="auto"/>
          </w:tcPr>
          <w:p w:rsidR="00EB6684" w:rsidRDefault="00461F91" w:rsidP="00EC27E9">
            <w:pPr>
              <w:spacing w:line="360" w:lineRule="auto"/>
              <w:jc w:val="center"/>
            </w:pPr>
            <w:r>
              <w:t>Ce</w:t>
            </w:r>
            <w:r>
              <w:rPr>
                <w:vertAlign w:val="subscript"/>
              </w:rPr>
              <w:t>0.76</w:t>
            </w:r>
            <w:r>
              <w:t>Pr</w:t>
            </w:r>
            <w:r>
              <w:rPr>
                <w:vertAlign w:val="subscript"/>
              </w:rPr>
              <w:t>0.08</w:t>
            </w:r>
            <w:r>
              <w:t>Sm</w:t>
            </w:r>
            <w:r>
              <w:rPr>
                <w:vertAlign w:val="subscript"/>
              </w:rPr>
              <w:t>0.08</w:t>
            </w:r>
            <w:r>
              <w:t>Gd</w:t>
            </w:r>
            <w:r>
              <w:rPr>
                <w:vertAlign w:val="subscript"/>
              </w:rPr>
              <w:t>0.08</w:t>
            </w:r>
            <w:r>
              <w:t>O</w:t>
            </w:r>
            <w:r>
              <w:rPr>
                <w:vertAlign w:val="subscript"/>
              </w:rPr>
              <w:t>2−δ</w:t>
            </w:r>
          </w:p>
        </w:tc>
        <w:tc>
          <w:tcPr>
            <w:tcW w:w="1620" w:type="dxa"/>
            <w:shd w:val="clear" w:color="auto" w:fill="auto"/>
          </w:tcPr>
          <w:p w:rsidR="00EB6684" w:rsidRDefault="00461F91" w:rsidP="00EC27E9">
            <w:pPr>
              <w:spacing w:line="360" w:lineRule="auto"/>
              <w:jc w:val="center"/>
            </w:pPr>
            <w:r>
              <w:t>1300°C</w:t>
            </w:r>
          </w:p>
        </w:tc>
        <w:tc>
          <w:tcPr>
            <w:tcW w:w="2610" w:type="dxa"/>
            <w:shd w:val="clear" w:color="auto" w:fill="auto"/>
          </w:tcPr>
          <w:p w:rsidR="00EB6684" w:rsidRPr="006D5B22" w:rsidRDefault="00461F91" w:rsidP="00EC27E9">
            <w:pPr>
              <w:spacing w:line="360" w:lineRule="auto"/>
              <w:jc w:val="center"/>
            </w:pPr>
            <w:r w:rsidRPr="006D5B22">
              <w:t>1.86</w:t>
            </w:r>
            <w:r w:rsidRPr="006D5B22">
              <w:rPr>
                <w:rStyle w:val="IntenseEmphasis"/>
                <w:b w:val="0"/>
                <w:i w:val="0"/>
                <w:color w:val="auto"/>
              </w:rPr>
              <w:sym w:font="Symbol" w:char="F0B4"/>
            </w:r>
            <w:r w:rsidRPr="006D5B22">
              <w:t>10</w:t>
            </w:r>
            <w:r w:rsidRPr="006D5B22">
              <w:rPr>
                <w:vertAlign w:val="superscript"/>
              </w:rPr>
              <w:t>–2</w:t>
            </w:r>
            <w:r w:rsidRPr="006D5B22">
              <w:t xml:space="preserve"> at 600°C</w:t>
            </w:r>
          </w:p>
        </w:tc>
        <w:tc>
          <w:tcPr>
            <w:tcW w:w="842" w:type="dxa"/>
          </w:tcPr>
          <w:p w:rsidR="00EB6684" w:rsidRPr="006D5B22" w:rsidRDefault="00461F91" w:rsidP="00EC27E9">
            <w:pPr>
              <w:spacing w:line="360" w:lineRule="auto"/>
              <w:jc w:val="center"/>
            </w:pPr>
            <w:r w:rsidRPr="006D5B22">
              <w:t>[40]</w:t>
            </w:r>
          </w:p>
        </w:tc>
      </w:tr>
      <w:tr w:rsidR="00EB6684">
        <w:trPr>
          <w:trHeight w:val="296"/>
        </w:trPr>
        <w:tc>
          <w:tcPr>
            <w:tcW w:w="3258" w:type="dxa"/>
            <w:shd w:val="clear" w:color="auto" w:fill="auto"/>
          </w:tcPr>
          <w:p w:rsidR="00EB6684" w:rsidRDefault="00461F91" w:rsidP="00EC27E9">
            <w:pPr>
              <w:spacing w:line="360" w:lineRule="auto"/>
              <w:jc w:val="center"/>
            </w:pPr>
            <w:r>
              <w:t>Ce</w:t>
            </w:r>
            <w:r>
              <w:rPr>
                <w:vertAlign w:val="subscript"/>
              </w:rPr>
              <w:t>0.82</w:t>
            </w:r>
            <w:r>
              <w:t>La</w:t>
            </w:r>
            <w:r>
              <w:rPr>
                <w:vertAlign w:val="subscript"/>
              </w:rPr>
              <w:t>0.06</w:t>
            </w:r>
            <w:r>
              <w:t>Sm</w:t>
            </w:r>
            <w:r>
              <w:rPr>
                <w:vertAlign w:val="subscript"/>
              </w:rPr>
              <w:t>0.06</w:t>
            </w:r>
            <w:r>
              <w:t>Gd</w:t>
            </w:r>
            <w:r>
              <w:rPr>
                <w:vertAlign w:val="subscript"/>
              </w:rPr>
              <w:t>0.06</w:t>
            </w:r>
            <w:r>
              <w:t>O</w:t>
            </w:r>
            <w:r>
              <w:rPr>
                <w:vertAlign w:val="subscript"/>
              </w:rPr>
              <w:t>2-δ</w:t>
            </w:r>
          </w:p>
        </w:tc>
        <w:tc>
          <w:tcPr>
            <w:tcW w:w="1620" w:type="dxa"/>
            <w:shd w:val="clear" w:color="auto" w:fill="auto"/>
          </w:tcPr>
          <w:p w:rsidR="00EB6684" w:rsidRDefault="00461F91" w:rsidP="00EC27E9">
            <w:pPr>
              <w:spacing w:line="360" w:lineRule="auto"/>
              <w:jc w:val="center"/>
            </w:pPr>
            <w:r>
              <w:t>1300°C</w:t>
            </w:r>
          </w:p>
        </w:tc>
        <w:tc>
          <w:tcPr>
            <w:tcW w:w="2610" w:type="dxa"/>
            <w:shd w:val="clear" w:color="auto" w:fill="auto"/>
          </w:tcPr>
          <w:p w:rsidR="00EB6684" w:rsidRPr="006D5B22" w:rsidRDefault="00461F91" w:rsidP="00EC27E9">
            <w:pPr>
              <w:spacing w:line="360" w:lineRule="auto"/>
              <w:jc w:val="center"/>
            </w:pPr>
            <w:r w:rsidRPr="006D5B22">
              <w:t>3.81</w:t>
            </w:r>
            <w:r w:rsidRPr="006D5B22">
              <w:rPr>
                <w:rStyle w:val="IntenseEmphasis"/>
                <w:b w:val="0"/>
                <w:i w:val="0"/>
                <w:color w:val="auto"/>
              </w:rPr>
              <w:sym w:font="Symbol" w:char="F0B4"/>
            </w:r>
            <w:r w:rsidRPr="006D5B22">
              <w:t>10</w:t>
            </w:r>
            <w:r w:rsidRPr="006D5B22">
              <w:rPr>
                <w:vertAlign w:val="superscript"/>
              </w:rPr>
              <w:t>–2</w:t>
            </w:r>
            <w:r w:rsidRPr="006D5B22">
              <w:t xml:space="preserve"> at 600°C</w:t>
            </w:r>
          </w:p>
        </w:tc>
        <w:tc>
          <w:tcPr>
            <w:tcW w:w="842" w:type="dxa"/>
          </w:tcPr>
          <w:p w:rsidR="00EB6684" w:rsidRPr="006D5B22" w:rsidRDefault="00461F91" w:rsidP="00EC27E9">
            <w:pPr>
              <w:spacing w:line="360" w:lineRule="auto"/>
              <w:jc w:val="center"/>
            </w:pPr>
            <w:r w:rsidRPr="006D5B22">
              <w:t>[42]</w:t>
            </w:r>
          </w:p>
        </w:tc>
      </w:tr>
      <w:tr w:rsidR="00EB6684">
        <w:trPr>
          <w:trHeight w:val="296"/>
        </w:trPr>
        <w:tc>
          <w:tcPr>
            <w:tcW w:w="3258" w:type="dxa"/>
            <w:shd w:val="clear" w:color="auto" w:fill="auto"/>
          </w:tcPr>
          <w:p w:rsidR="00EB6684" w:rsidRDefault="00461F91" w:rsidP="00EC27E9">
            <w:pPr>
              <w:spacing w:line="360" w:lineRule="auto"/>
              <w:jc w:val="center"/>
            </w:pPr>
            <w:r>
              <w:t>Ce</w:t>
            </w:r>
            <w:r>
              <w:rPr>
                <w:vertAlign w:val="subscript"/>
              </w:rPr>
              <w:t>0.85</w:t>
            </w:r>
            <w:r>
              <w:t>La</w:t>
            </w:r>
            <w:r>
              <w:rPr>
                <w:vertAlign w:val="subscript"/>
              </w:rPr>
              <w:t>0.075</w:t>
            </w:r>
            <w:r>
              <w:t>Sm</w:t>
            </w:r>
            <w:r>
              <w:rPr>
                <w:vertAlign w:val="subscript"/>
              </w:rPr>
              <w:t>0.075</w:t>
            </w:r>
            <w:r>
              <w:t>O</w:t>
            </w:r>
            <w:r>
              <w:rPr>
                <w:vertAlign w:val="subscript"/>
              </w:rPr>
              <w:t>2−δ</w:t>
            </w:r>
          </w:p>
        </w:tc>
        <w:tc>
          <w:tcPr>
            <w:tcW w:w="1620" w:type="dxa"/>
            <w:shd w:val="clear" w:color="auto" w:fill="auto"/>
          </w:tcPr>
          <w:p w:rsidR="00EB6684" w:rsidRDefault="00461F91" w:rsidP="00EC27E9">
            <w:pPr>
              <w:spacing w:line="360" w:lineRule="auto"/>
              <w:jc w:val="center"/>
            </w:pPr>
            <w:r>
              <w:t>1300°C</w:t>
            </w:r>
          </w:p>
        </w:tc>
        <w:tc>
          <w:tcPr>
            <w:tcW w:w="2610" w:type="dxa"/>
            <w:shd w:val="clear" w:color="auto" w:fill="auto"/>
          </w:tcPr>
          <w:p w:rsidR="00EB6684" w:rsidRPr="006D5B22" w:rsidRDefault="00461F91" w:rsidP="00EC27E9">
            <w:pPr>
              <w:spacing w:line="360" w:lineRule="auto"/>
              <w:jc w:val="center"/>
            </w:pPr>
            <w:r w:rsidRPr="006D5B22">
              <w:t>1.95</w:t>
            </w:r>
            <w:r w:rsidRPr="006D5B22">
              <w:rPr>
                <w:rStyle w:val="IntenseEmphasis"/>
                <w:b w:val="0"/>
                <w:i w:val="0"/>
                <w:color w:val="auto"/>
              </w:rPr>
              <w:sym w:font="Symbol" w:char="F0B4"/>
            </w:r>
            <w:r w:rsidRPr="006D5B22">
              <w:t>10</w:t>
            </w:r>
            <w:r w:rsidRPr="006D5B22">
              <w:rPr>
                <w:vertAlign w:val="superscript"/>
              </w:rPr>
              <w:t>–2</w:t>
            </w:r>
            <w:r w:rsidRPr="006D5B22">
              <w:t xml:space="preserve"> at 600°C</w:t>
            </w:r>
          </w:p>
        </w:tc>
        <w:tc>
          <w:tcPr>
            <w:tcW w:w="842" w:type="dxa"/>
          </w:tcPr>
          <w:p w:rsidR="00EB6684" w:rsidRPr="006D5B22" w:rsidRDefault="00461F91" w:rsidP="00EC27E9">
            <w:pPr>
              <w:spacing w:line="360" w:lineRule="auto"/>
              <w:jc w:val="center"/>
            </w:pPr>
            <w:r w:rsidRPr="006D5B22">
              <w:t>[44]</w:t>
            </w:r>
          </w:p>
        </w:tc>
      </w:tr>
      <w:tr w:rsidR="00EB6684">
        <w:trPr>
          <w:trHeight w:val="296"/>
        </w:trPr>
        <w:tc>
          <w:tcPr>
            <w:tcW w:w="3258" w:type="dxa"/>
            <w:shd w:val="clear" w:color="auto" w:fill="auto"/>
          </w:tcPr>
          <w:p w:rsidR="00EB6684" w:rsidRDefault="00461F91" w:rsidP="00EC27E9">
            <w:pPr>
              <w:spacing w:line="360" w:lineRule="auto"/>
              <w:jc w:val="center"/>
            </w:pPr>
            <w:r>
              <w:t>Ce</w:t>
            </w:r>
            <w:r>
              <w:rPr>
                <w:vertAlign w:val="subscript"/>
              </w:rPr>
              <w:t>0.7</w:t>
            </w:r>
            <w:r>
              <w:t>Pr</w:t>
            </w:r>
            <w:r>
              <w:rPr>
                <w:vertAlign w:val="subscript"/>
              </w:rPr>
              <w:t>0.15</w:t>
            </w:r>
            <w:r>
              <w:t>Sm</w:t>
            </w:r>
            <w:r>
              <w:rPr>
                <w:vertAlign w:val="subscript"/>
              </w:rPr>
              <w:t>0.075</w:t>
            </w:r>
            <w:r>
              <w:t>Eu</w:t>
            </w:r>
            <w:r>
              <w:rPr>
                <w:vertAlign w:val="subscript"/>
              </w:rPr>
              <w:t>0.075</w:t>
            </w:r>
            <w:r>
              <w:t>O</w:t>
            </w:r>
            <w:r>
              <w:rPr>
                <w:vertAlign w:val="subscript"/>
              </w:rPr>
              <w:t>2−δ</w:t>
            </w:r>
          </w:p>
        </w:tc>
        <w:tc>
          <w:tcPr>
            <w:tcW w:w="1620" w:type="dxa"/>
            <w:shd w:val="clear" w:color="auto" w:fill="auto"/>
          </w:tcPr>
          <w:p w:rsidR="00EB6684" w:rsidRDefault="00461F91" w:rsidP="00EC27E9">
            <w:pPr>
              <w:spacing w:line="360" w:lineRule="auto"/>
              <w:jc w:val="center"/>
            </w:pPr>
            <w:r>
              <w:t>600°C</w:t>
            </w:r>
          </w:p>
        </w:tc>
        <w:tc>
          <w:tcPr>
            <w:tcW w:w="2610" w:type="dxa"/>
            <w:shd w:val="clear" w:color="auto" w:fill="auto"/>
          </w:tcPr>
          <w:p w:rsidR="00EB6684" w:rsidRPr="006D5B22" w:rsidRDefault="00461F91" w:rsidP="00EC27E9">
            <w:pPr>
              <w:spacing w:line="360" w:lineRule="auto"/>
              <w:jc w:val="center"/>
              <w:rPr>
                <w:vertAlign w:val="superscript"/>
              </w:rPr>
            </w:pPr>
            <w:r w:rsidRPr="006D5B22">
              <w:t>3.05</w:t>
            </w:r>
            <w:r w:rsidRPr="006D5B22">
              <w:rPr>
                <w:rStyle w:val="IntenseEmphasis"/>
                <w:b w:val="0"/>
                <w:i w:val="0"/>
                <w:color w:val="auto"/>
              </w:rPr>
              <w:sym w:font="Symbol" w:char="F0B4"/>
            </w:r>
            <w:r w:rsidRPr="006D5B22">
              <w:t>10</w:t>
            </w:r>
            <w:r w:rsidRPr="006D5B22">
              <w:rPr>
                <w:vertAlign w:val="superscript"/>
              </w:rPr>
              <w:t xml:space="preserve">–4 </w:t>
            </w:r>
            <w:r w:rsidRPr="006D5B22">
              <w:t>at 500°C</w:t>
            </w:r>
          </w:p>
        </w:tc>
        <w:tc>
          <w:tcPr>
            <w:tcW w:w="842" w:type="dxa"/>
          </w:tcPr>
          <w:p w:rsidR="00EB6684" w:rsidRPr="006D5B22" w:rsidRDefault="00461F91" w:rsidP="00EC27E9">
            <w:pPr>
              <w:spacing w:line="360" w:lineRule="auto"/>
              <w:jc w:val="center"/>
            </w:pPr>
            <w:r w:rsidRPr="006D5B22">
              <w:t>[54]</w:t>
            </w:r>
          </w:p>
        </w:tc>
      </w:tr>
      <w:tr w:rsidR="00EB6684">
        <w:trPr>
          <w:trHeight w:val="296"/>
        </w:trPr>
        <w:tc>
          <w:tcPr>
            <w:tcW w:w="3258" w:type="dxa"/>
            <w:shd w:val="clear" w:color="auto" w:fill="auto"/>
          </w:tcPr>
          <w:p w:rsidR="00EB6684" w:rsidRDefault="00461F91" w:rsidP="00EC27E9">
            <w:pPr>
              <w:spacing w:line="360" w:lineRule="auto"/>
              <w:jc w:val="center"/>
            </w:pPr>
            <w:r>
              <w:t>65[Ce</w:t>
            </w:r>
            <w:r>
              <w:rPr>
                <w:vertAlign w:val="subscript"/>
              </w:rPr>
              <w:t>0.82</w:t>
            </w:r>
            <w:r>
              <w:t>La</w:t>
            </w:r>
            <w:r>
              <w:rPr>
                <w:vertAlign w:val="subscript"/>
              </w:rPr>
              <w:t>0.06</w:t>
            </w:r>
            <w:r>
              <w:t>Sm</w:t>
            </w:r>
            <w:r>
              <w:rPr>
                <w:vertAlign w:val="subscript"/>
              </w:rPr>
              <w:t>0.06</w:t>
            </w:r>
            <w:r>
              <w:t>Gd</w:t>
            </w:r>
            <w:r>
              <w:rPr>
                <w:vertAlign w:val="subscript"/>
              </w:rPr>
              <w:t>0.06</w:t>
            </w:r>
            <w:r>
              <w:t>O</w:t>
            </w:r>
            <w:r>
              <w:rPr>
                <w:vertAlign w:val="subscript"/>
              </w:rPr>
              <w:t>2-δ</w:t>
            </w:r>
            <w:r>
              <w:t>] – 35[(Li–Na)</w:t>
            </w:r>
            <w:r>
              <w:rPr>
                <w:vertAlign w:val="subscript"/>
              </w:rPr>
              <w:t>2</w:t>
            </w:r>
            <w:r>
              <w:t>CO</w:t>
            </w:r>
            <w:r>
              <w:rPr>
                <w:vertAlign w:val="subscript"/>
              </w:rPr>
              <w:t>3</w:t>
            </w:r>
            <w:r>
              <w:t>]</w:t>
            </w:r>
          </w:p>
        </w:tc>
        <w:tc>
          <w:tcPr>
            <w:tcW w:w="1620" w:type="dxa"/>
            <w:shd w:val="clear" w:color="auto" w:fill="auto"/>
          </w:tcPr>
          <w:p w:rsidR="00EB6684" w:rsidRDefault="00461F91" w:rsidP="00EC27E9">
            <w:pPr>
              <w:spacing w:line="360" w:lineRule="auto"/>
              <w:jc w:val="center"/>
            </w:pPr>
            <w:r>
              <w:t>700°C</w:t>
            </w:r>
          </w:p>
        </w:tc>
        <w:tc>
          <w:tcPr>
            <w:tcW w:w="2610" w:type="dxa"/>
            <w:shd w:val="clear" w:color="auto" w:fill="auto"/>
          </w:tcPr>
          <w:p w:rsidR="00EB6684" w:rsidRPr="006D5B22" w:rsidRDefault="00461F91" w:rsidP="00EC27E9">
            <w:pPr>
              <w:spacing w:line="360" w:lineRule="auto"/>
              <w:jc w:val="center"/>
            </w:pPr>
            <w:r w:rsidRPr="006D5B22">
              <w:t>4.2</w:t>
            </w:r>
            <w:r w:rsidRPr="006D5B22">
              <w:rPr>
                <w:rStyle w:val="IntenseEmphasis"/>
                <w:b w:val="0"/>
                <w:i w:val="0"/>
                <w:color w:val="auto"/>
              </w:rPr>
              <w:sym w:font="Symbol" w:char="F0B4"/>
            </w:r>
            <w:r w:rsidRPr="006D5B22">
              <w:t>10</w:t>
            </w:r>
            <w:r w:rsidRPr="006D5B22">
              <w:rPr>
                <w:vertAlign w:val="superscript"/>
              </w:rPr>
              <w:t>–1</w:t>
            </w:r>
            <w:r w:rsidRPr="006D5B22">
              <w:t xml:space="preserve"> at 600°C</w:t>
            </w:r>
          </w:p>
        </w:tc>
        <w:tc>
          <w:tcPr>
            <w:tcW w:w="842" w:type="dxa"/>
          </w:tcPr>
          <w:p w:rsidR="00EB6684" w:rsidRPr="006D5B22" w:rsidRDefault="00461F91" w:rsidP="00EC27E9">
            <w:pPr>
              <w:spacing w:line="360" w:lineRule="auto"/>
              <w:jc w:val="center"/>
            </w:pPr>
            <w:r w:rsidRPr="006D5B22">
              <w:t>[62]</w:t>
            </w:r>
          </w:p>
        </w:tc>
      </w:tr>
      <w:tr w:rsidR="00EB6684">
        <w:trPr>
          <w:trHeight w:val="296"/>
        </w:trPr>
        <w:tc>
          <w:tcPr>
            <w:tcW w:w="3258" w:type="dxa"/>
            <w:shd w:val="clear" w:color="auto" w:fill="auto"/>
          </w:tcPr>
          <w:p w:rsidR="00EB6684" w:rsidRDefault="00461F91" w:rsidP="00EC27E9">
            <w:pPr>
              <w:spacing w:line="360" w:lineRule="auto"/>
              <w:jc w:val="center"/>
            </w:pPr>
            <w:r>
              <w:t>(Li/Na/K)</w:t>
            </w:r>
            <w:r>
              <w:rPr>
                <w:vertAlign w:val="subscript"/>
              </w:rPr>
              <w:t>2</w:t>
            </w:r>
            <w:r>
              <w:t>CO</w:t>
            </w:r>
            <w:r>
              <w:rPr>
                <w:vertAlign w:val="subscript"/>
              </w:rPr>
              <w:t>3</w:t>
            </w:r>
            <w:r>
              <w:t>–GDC</w:t>
            </w:r>
          </w:p>
        </w:tc>
        <w:tc>
          <w:tcPr>
            <w:tcW w:w="1620" w:type="dxa"/>
            <w:shd w:val="clear" w:color="auto" w:fill="auto"/>
          </w:tcPr>
          <w:p w:rsidR="00EB6684" w:rsidRDefault="00461F91" w:rsidP="00EC27E9">
            <w:pPr>
              <w:spacing w:line="360" w:lineRule="auto"/>
              <w:jc w:val="center"/>
            </w:pPr>
            <w:r>
              <w:t>680°C</w:t>
            </w:r>
          </w:p>
        </w:tc>
        <w:tc>
          <w:tcPr>
            <w:tcW w:w="2610" w:type="dxa"/>
            <w:shd w:val="clear" w:color="auto" w:fill="auto"/>
          </w:tcPr>
          <w:p w:rsidR="00EB6684" w:rsidRPr="006D5B22" w:rsidRDefault="00461F91" w:rsidP="00EC27E9">
            <w:pPr>
              <w:spacing w:line="360" w:lineRule="auto"/>
              <w:jc w:val="center"/>
            </w:pPr>
            <w:r w:rsidRPr="006D5B22">
              <w:t>2.9</w:t>
            </w:r>
            <w:r w:rsidRPr="006D5B22">
              <w:rPr>
                <w:rStyle w:val="IntenseEmphasis"/>
                <w:b w:val="0"/>
                <w:i w:val="0"/>
                <w:color w:val="auto"/>
              </w:rPr>
              <w:sym w:font="Symbol" w:char="F0B4"/>
            </w:r>
            <w:r w:rsidRPr="006D5B22">
              <w:t>10</w:t>
            </w:r>
            <w:r w:rsidRPr="006D5B22">
              <w:rPr>
                <w:vertAlign w:val="superscript"/>
              </w:rPr>
              <w:t>–1</w:t>
            </w:r>
            <w:r w:rsidRPr="006D5B22">
              <w:t xml:space="preserve"> at 600°C</w:t>
            </w:r>
          </w:p>
        </w:tc>
        <w:tc>
          <w:tcPr>
            <w:tcW w:w="842" w:type="dxa"/>
          </w:tcPr>
          <w:p w:rsidR="00EB6684" w:rsidRPr="006D5B22" w:rsidRDefault="00461F91" w:rsidP="00EC27E9">
            <w:pPr>
              <w:spacing w:line="360" w:lineRule="auto"/>
              <w:jc w:val="center"/>
            </w:pPr>
            <w:r w:rsidRPr="006D5B22">
              <w:t>[63]</w:t>
            </w:r>
          </w:p>
        </w:tc>
      </w:tr>
      <w:tr w:rsidR="00EB6684">
        <w:trPr>
          <w:trHeight w:val="296"/>
        </w:trPr>
        <w:tc>
          <w:tcPr>
            <w:tcW w:w="3258" w:type="dxa"/>
            <w:shd w:val="clear" w:color="auto" w:fill="auto"/>
          </w:tcPr>
          <w:p w:rsidR="00EB6684" w:rsidRDefault="00461F91" w:rsidP="00EC27E9">
            <w:pPr>
              <w:spacing w:line="360" w:lineRule="auto"/>
              <w:jc w:val="center"/>
            </w:pPr>
            <w:r>
              <w:lastRenderedPageBreak/>
              <w:t>(Li/Na)CO</w:t>
            </w:r>
            <w:r>
              <w:rPr>
                <w:vertAlign w:val="subscript"/>
              </w:rPr>
              <w:t>3</w:t>
            </w:r>
            <w:r>
              <w:t>–SDC</w:t>
            </w:r>
          </w:p>
        </w:tc>
        <w:tc>
          <w:tcPr>
            <w:tcW w:w="1620" w:type="dxa"/>
            <w:shd w:val="clear" w:color="auto" w:fill="auto"/>
          </w:tcPr>
          <w:p w:rsidR="00EB6684" w:rsidRDefault="00461F91" w:rsidP="00EC27E9">
            <w:pPr>
              <w:spacing w:line="360" w:lineRule="auto"/>
              <w:jc w:val="center"/>
            </w:pPr>
            <w:r>
              <w:t>800°C</w:t>
            </w:r>
          </w:p>
        </w:tc>
        <w:tc>
          <w:tcPr>
            <w:tcW w:w="2610" w:type="dxa"/>
            <w:shd w:val="clear" w:color="auto" w:fill="auto"/>
          </w:tcPr>
          <w:p w:rsidR="00EB6684" w:rsidRPr="006D5B22" w:rsidRDefault="00461F91" w:rsidP="00EC27E9">
            <w:pPr>
              <w:spacing w:line="360" w:lineRule="auto"/>
              <w:jc w:val="center"/>
            </w:pPr>
            <w:r w:rsidRPr="006D5B22">
              <w:t>3.1</w:t>
            </w:r>
            <w:r w:rsidRPr="006D5B22">
              <w:rPr>
                <w:rStyle w:val="IntenseEmphasis"/>
                <w:b w:val="0"/>
                <w:i w:val="0"/>
                <w:color w:val="auto"/>
              </w:rPr>
              <w:sym w:font="Symbol" w:char="F0B4"/>
            </w:r>
            <w:r w:rsidRPr="006D5B22">
              <w:t>10</w:t>
            </w:r>
            <w:r w:rsidRPr="006D5B22">
              <w:rPr>
                <w:vertAlign w:val="superscript"/>
              </w:rPr>
              <w:t>–1</w:t>
            </w:r>
            <w:r w:rsidRPr="006D5B22">
              <w:t xml:space="preserve"> at 600°C</w:t>
            </w:r>
          </w:p>
        </w:tc>
        <w:tc>
          <w:tcPr>
            <w:tcW w:w="842" w:type="dxa"/>
          </w:tcPr>
          <w:p w:rsidR="00EB6684" w:rsidRPr="006D5B22" w:rsidRDefault="00461F91" w:rsidP="00EC27E9">
            <w:pPr>
              <w:spacing w:line="360" w:lineRule="auto"/>
              <w:jc w:val="center"/>
            </w:pPr>
            <w:r w:rsidRPr="006D5B22">
              <w:t>[64]</w:t>
            </w:r>
          </w:p>
        </w:tc>
      </w:tr>
      <w:tr w:rsidR="00EB6684">
        <w:trPr>
          <w:trHeight w:val="296"/>
        </w:trPr>
        <w:tc>
          <w:tcPr>
            <w:tcW w:w="3258" w:type="dxa"/>
            <w:shd w:val="clear" w:color="auto" w:fill="auto"/>
          </w:tcPr>
          <w:p w:rsidR="00EB6684" w:rsidRDefault="00461F91" w:rsidP="00EC27E9">
            <w:pPr>
              <w:spacing w:line="360" w:lineRule="auto"/>
              <w:jc w:val="center"/>
            </w:pPr>
            <w:r>
              <w:t>CM6S4/20LNCO</w:t>
            </w:r>
          </w:p>
        </w:tc>
        <w:tc>
          <w:tcPr>
            <w:tcW w:w="1620" w:type="dxa"/>
            <w:shd w:val="clear" w:color="auto" w:fill="auto"/>
          </w:tcPr>
          <w:p w:rsidR="00EB6684" w:rsidRDefault="00461F91" w:rsidP="00EC27E9">
            <w:pPr>
              <w:spacing w:line="360" w:lineRule="auto"/>
              <w:jc w:val="center"/>
            </w:pPr>
            <w:r>
              <w:t>700°C</w:t>
            </w:r>
          </w:p>
        </w:tc>
        <w:tc>
          <w:tcPr>
            <w:tcW w:w="2610" w:type="dxa"/>
            <w:shd w:val="clear" w:color="auto" w:fill="auto"/>
          </w:tcPr>
          <w:p w:rsidR="00EB6684" w:rsidRPr="006D5B22" w:rsidRDefault="00461F91" w:rsidP="00EC27E9">
            <w:pPr>
              <w:spacing w:line="360" w:lineRule="auto"/>
              <w:jc w:val="center"/>
            </w:pPr>
            <w:r w:rsidRPr="006D5B22">
              <w:t>2.95</w:t>
            </w:r>
            <w:r w:rsidRPr="006D5B22">
              <w:rPr>
                <w:rStyle w:val="IntenseEmphasis"/>
                <w:b w:val="0"/>
                <w:i w:val="0"/>
                <w:color w:val="auto"/>
              </w:rPr>
              <w:sym w:font="Symbol" w:char="F0B4"/>
            </w:r>
            <w:r w:rsidRPr="006D5B22">
              <w:t>10</w:t>
            </w:r>
            <w:r w:rsidRPr="006D5B22">
              <w:rPr>
                <w:vertAlign w:val="superscript"/>
              </w:rPr>
              <w:t>–1</w:t>
            </w:r>
            <w:r w:rsidRPr="006D5B22">
              <w:t xml:space="preserve"> at 500°C</w:t>
            </w:r>
          </w:p>
        </w:tc>
        <w:tc>
          <w:tcPr>
            <w:tcW w:w="842" w:type="dxa"/>
          </w:tcPr>
          <w:p w:rsidR="00EB6684" w:rsidRPr="006D5B22" w:rsidRDefault="00461F91" w:rsidP="00EC27E9">
            <w:pPr>
              <w:spacing w:line="360" w:lineRule="auto"/>
              <w:jc w:val="center"/>
            </w:pPr>
            <w:r w:rsidRPr="006D5B22">
              <w:t>[72]</w:t>
            </w:r>
          </w:p>
        </w:tc>
      </w:tr>
      <w:tr w:rsidR="00EB6684">
        <w:trPr>
          <w:trHeight w:val="296"/>
        </w:trPr>
        <w:tc>
          <w:tcPr>
            <w:tcW w:w="3258" w:type="dxa"/>
            <w:shd w:val="clear" w:color="auto" w:fill="auto"/>
          </w:tcPr>
          <w:p w:rsidR="00EB6684" w:rsidRDefault="00461F91" w:rsidP="00EC27E9">
            <w:pPr>
              <w:spacing w:line="360" w:lineRule="auto"/>
              <w:jc w:val="center"/>
            </w:pPr>
            <w:r>
              <w:t>CC5S2/30LNCO</w:t>
            </w:r>
          </w:p>
        </w:tc>
        <w:tc>
          <w:tcPr>
            <w:tcW w:w="1620" w:type="dxa"/>
            <w:shd w:val="clear" w:color="auto" w:fill="auto"/>
          </w:tcPr>
          <w:p w:rsidR="00EB6684" w:rsidRDefault="00461F91" w:rsidP="00EC27E9">
            <w:pPr>
              <w:spacing w:line="360" w:lineRule="auto"/>
              <w:jc w:val="center"/>
            </w:pPr>
            <w:r>
              <w:t>700°C</w:t>
            </w:r>
          </w:p>
        </w:tc>
        <w:tc>
          <w:tcPr>
            <w:tcW w:w="2610" w:type="dxa"/>
            <w:shd w:val="clear" w:color="auto" w:fill="auto"/>
          </w:tcPr>
          <w:p w:rsidR="00EB6684" w:rsidRPr="006D5B22" w:rsidRDefault="00461F91" w:rsidP="00EC27E9">
            <w:pPr>
              <w:spacing w:line="360" w:lineRule="auto"/>
              <w:jc w:val="center"/>
            </w:pPr>
            <w:r w:rsidRPr="006D5B22">
              <w:t>2.00</w:t>
            </w:r>
            <w:r w:rsidRPr="006D5B22">
              <w:rPr>
                <w:rStyle w:val="IntenseEmphasis"/>
                <w:b w:val="0"/>
                <w:i w:val="0"/>
                <w:color w:val="auto"/>
              </w:rPr>
              <w:sym w:font="Symbol" w:char="F0B4"/>
            </w:r>
            <w:r w:rsidRPr="006D5B22">
              <w:t>10</w:t>
            </w:r>
            <w:r w:rsidRPr="006D5B22">
              <w:rPr>
                <w:vertAlign w:val="superscript"/>
              </w:rPr>
              <w:t>–1</w:t>
            </w:r>
            <w:r w:rsidRPr="006D5B22">
              <w:t xml:space="preserve"> at 500°C</w:t>
            </w:r>
          </w:p>
        </w:tc>
        <w:tc>
          <w:tcPr>
            <w:tcW w:w="842" w:type="dxa"/>
          </w:tcPr>
          <w:p w:rsidR="00EB6684" w:rsidRPr="006D5B22" w:rsidRDefault="00461F91" w:rsidP="00EC27E9">
            <w:pPr>
              <w:spacing w:line="360" w:lineRule="auto"/>
              <w:jc w:val="center"/>
            </w:pPr>
            <w:r w:rsidRPr="006D5B22">
              <w:t>[73]</w:t>
            </w:r>
          </w:p>
        </w:tc>
      </w:tr>
      <w:tr w:rsidR="00EB6684">
        <w:trPr>
          <w:trHeight w:val="296"/>
        </w:trPr>
        <w:tc>
          <w:tcPr>
            <w:tcW w:w="3258" w:type="dxa"/>
            <w:shd w:val="clear" w:color="auto" w:fill="auto"/>
          </w:tcPr>
          <w:p w:rsidR="00EB6684" w:rsidRDefault="00461F91" w:rsidP="00EC27E9">
            <w:pPr>
              <w:spacing w:line="360" w:lineRule="auto"/>
              <w:jc w:val="center"/>
            </w:pPr>
            <w:r>
              <w:t>CDC/30LNCO</w:t>
            </w:r>
          </w:p>
        </w:tc>
        <w:tc>
          <w:tcPr>
            <w:tcW w:w="1620" w:type="dxa"/>
            <w:shd w:val="clear" w:color="auto" w:fill="auto"/>
          </w:tcPr>
          <w:p w:rsidR="00EB6684" w:rsidRDefault="00461F91" w:rsidP="00EC27E9">
            <w:pPr>
              <w:spacing w:line="360" w:lineRule="auto"/>
              <w:jc w:val="center"/>
            </w:pPr>
            <w:r>
              <w:t>700°C</w:t>
            </w:r>
          </w:p>
        </w:tc>
        <w:tc>
          <w:tcPr>
            <w:tcW w:w="2610" w:type="dxa"/>
            <w:shd w:val="clear" w:color="auto" w:fill="auto"/>
          </w:tcPr>
          <w:p w:rsidR="00EB6684" w:rsidRPr="006D5B22" w:rsidRDefault="00461F91" w:rsidP="00EC27E9">
            <w:pPr>
              <w:spacing w:line="360" w:lineRule="auto"/>
              <w:jc w:val="center"/>
            </w:pPr>
            <w:r w:rsidRPr="006D5B22">
              <w:t>1.05</w:t>
            </w:r>
            <w:r w:rsidRPr="006D5B22">
              <w:rPr>
                <w:rStyle w:val="IntenseEmphasis"/>
                <w:b w:val="0"/>
                <w:i w:val="0"/>
                <w:color w:val="auto"/>
              </w:rPr>
              <w:sym w:font="Symbol" w:char="F0B4"/>
            </w:r>
            <w:r w:rsidRPr="006D5B22">
              <w:t>10</w:t>
            </w:r>
            <w:r w:rsidRPr="006D5B22">
              <w:rPr>
                <w:vertAlign w:val="superscript"/>
              </w:rPr>
              <w:t>–1</w:t>
            </w:r>
            <w:r w:rsidRPr="006D5B22">
              <w:t xml:space="preserve"> at 500°C</w:t>
            </w:r>
          </w:p>
        </w:tc>
        <w:tc>
          <w:tcPr>
            <w:tcW w:w="842" w:type="dxa"/>
          </w:tcPr>
          <w:p w:rsidR="00EB6684" w:rsidRPr="006D5B22" w:rsidRDefault="00461F91" w:rsidP="00EC27E9">
            <w:pPr>
              <w:spacing w:line="360" w:lineRule="auto"/>
              <w:jc w:val="center"/>
            </w:pPr>
            <w:r w:rsidRPr="006D5B22">
              <w:t>[74]</w:t>
            </w:r>
          </w:p>
        </w:tc>
      </w:tr>
      <w:tr w:rsidR="00EB6684">
        <w:trPr>
          <w:trHeight w:val="296"/>
        </w:trPr>
        <w:tc>
          <w:tcPr>
            <w:tcW w:w="3258" w:type="dxa"/>
            <w:shd w:val="clear" w:color="auto" w:fill="auto"/>
          </w:tcPr>
          <w:p w:rsidR="00EB6684" w:rsidRDefault="00461F91" w:rsidP="00EC27E9">
            <w:pPr>
              <w:spacing w:line="360" w:lineRule="auto"/>
              <w:jc w:val="center"/>
            </w:pPr>
            <w:r>
              <w:t>70[Ce</w:t>
            </w:r>
            <w:r>
              <w:rPr>
                <w:vertAlign w:val="subscript"/>
              </w:rPr>
              <w:t>0.76</w:t>
            </w:r>
            <w:r>
              <w:t>La</w:t>
            </w:r>
            <w:r>
              <w:rPr>
                <w:vertAlign w:val="subscript"/>
              </w:rPr>
              <w:t>0.08</w:t>
            </w:r>
            <w:r>
              <w:t>Pr</w:t>
            </w:r>
            <w:r>
              <w:rPr>
                <w:vertAlign w:val="subscript"/>
              </w:rPr>
              <w:t>0.08</w:t>
            </w:r>
            <w:r>
              <w:t>Sm</w:t>
            </w:r>
            <w:r>
              <w:rPr>
                <w:vertAlign w:val="subscript"/>
              </w:rPr>
              <w:t>0.08</w:t>
            </w:r>
            <w:r>
              <w:t>O</w:t>
            </w:r>
            <w:r>
              <w:rPr>
                <w:vertAlign w:val="subscript"/>
              </w:rPr>
              <w:t>2-δ</w:t>
            </w:r>
            <w:r>
              <w:t>] – 30[(Li–Na)</w:t>
            </w:r>
            <w:r>
              <w:rPr>
                <w:vertAlign w:val="subscript"/>
              </w:rPr>
              <w:t>2</w:t>
            </w:r>
            <w:r>
              <w:t>CO</w:t>
            </w:r>
            <w:r>
              <w:rPr>
                <w:vertAlign w:val="subscript"/>
              </w:rPr>
              <w:t>3</w:t>
            </w:r>
            <w:r>
              <w:t>]</w:t>
            </w:r>
          </w:p>
        </w:tc>
        <w:tc>
          <w:tcPr>
            <w:tcW w:w="1620" w:type="dxa"/>
            <w:shd w:val="clear" w:color="auto" w:fill="auto"/>
          </w:tcPr>
          <w:p w:rsidR="00EB6684" w:rsidRDefault="00461F91" w:rsidP="00EC27E9">
            <w:pPr>
              <w:spacing w:line="360" w:lineRule="auto"/>
              <w:jc w:val="center"/>
            </w:pPr>
            <w:r>
              <w:t>700°C</w:t>
            </w:r>
          </w:p>
        </w:tc>
        <w:tc>
          <w:tcPr>
            <w:tcW w:w="2610" w:type="dxa"/>
            <w:shd w:val="clear" w:color="auto" w:fill="auto"/>
          </w:tcPr>
          <w:p w:rsidR="00EB6684" w:rsidRPr="006D5B22" w:rsidRDefault="00461F91" w:rsidP="00EC27E9">
            <w:pPr>
              <w:spacing w:line="360" w:lineRule="auto"/>
              <w:jc w:val="center"/>
            </w:pPr>
            <w:r w:rsidRPr="006D5B22">
              <w:t>4.6</w:t>
            </w:r>
            <w:r w:rsidRPr="006D5B22">
              <w:rPr>
                <w:rStyle w:val="IntenseEmphasis"/>
                <w:b w:val="0"/>
                <w:i w:val="0"/>
                <w:color w:val="auto"/>
              </w:rPr>
              <w:sym w:font="Symbol" w:char="F0B4"/>
            </w:r>
            <w:r w:rsidRPr="006D5B22">
              <w:t>10</w:t>
            </w:r>
            <w:r w:rsidRPr="006D5B22">
              <w:rPr>
                <w:vertAlign w:val="superscript"/>
              </w:rPr>
              <w:t>–1</w:t>
            </w:r>
            <w:r w:rsidRPr="006D5B22">
              <w:t xml:space="preserve"> at 600°C</w:t>
            </w:r>
          </w:p>
        </w:tc>
        <w:tc>
          <w:tcPr>
            <w:tcW w:w="842" w:type="dxa"/>
          </w:tcPr>
          <w:p w:rsidR="00EB6684" w:rsidRPr="006D5B22" w:rsidRDefault="00461F91" w:rsidP="00EC27E9">
            <w:pPr>
              <w:spacing w:line="360" w:lineRule="auto"/>
              <w:jc w:val="center"/>
            </w:pPr>
            <w:r w:rsidRPr="006D5B22">
              <w:t>[75]</w:t>
            </w:r>
          </w:p>
        </w:tc>
      </w:tr>
      <w:tr w:rsidR="00EB6684">
        <w:trPr>
          <w:trHeight w:val="296"/>
        </w:trPr>
        <w:tc>
          <w:tcPr>
            <w:tcW w:w="3258" w:type="dxa"/>
            <w:shd w:val="clear" w:color="auto" w:fill="auto"/>
          </w:tcPr>
          <w:p w:rsidR="00EB6684" w:rsidRDefault="00461F91" w:rsidP="00EC27E9">
            <w:pPr>
              <w:spacing w:line="360" w:lineRule="auto"/>
              <w:jc w:val="center"/>
            </w:pPr>
            <w:r>
              <w:t>70[Pr</w:t>
            </w:r>
            <w:r>
              <w:rPr>
                <w:vertAlign w:val="subscript"/>
              </w:rPr>
              <w:t>0.08</w:t>
            </w:r>
            <w:r>
              <w:t>Sm</w:t>
            </w:r>
            <w:r>
              <w:rPr>
                <w:vertAlign w:val="subscript"/>
              </w:rPr>
              <w:t>0.08</w:t>
            </w:r>
            <w:r>
              <w:t>Gd</w:t>
            </w:r>
            <w:r>
              <w:rPr>
                <w:vertAlign w:val="subscript"/>
              </w:rPr>
              <w:t>0.08</w:t>
            </w:r>
            <w:r>
              <w:t>Ce</w:t>
            </w:r>
            <w:r>
              <w:rPr>
                <w:vertAlign w:val="subscript"/>
              </w:rPr>
              <w:t>0.76</w:t>
            </w:r>
            <w:r>
              <w:t>O</w:t>
            </w:r>
            <w:r>
              <w:rPr>
                <w:vertAlign w:val="subscript"/>
              </w:rPr>
              <w:t>2-δ</w:t>
            </w:r>
            <w:r>
              <w:t>] – 30[(Na-K)</w:t>
            </w:r>
            <w:r>
              <w:rPr>
                <w:vertAlign w:val="subscript"/>
              </w:rPr>
              <w:t>2</w:t>
            </w:r>
            <w:r>
              <w:t>CO</w:t>
            </w:r>
            <w:r>
              <w:rPr>
                <w:vertAlign w:val="subscript"/>
              </w:rPr>
              <w:t>3</w:t>
            </w:r>
            <w:r>
              <w:t>]</w:t>
            </w:r>
          </w:p>
        </w:tc>
        <w:tc>
          <w:tcPr>
            <w:tcW w:w="1620" w:type="dxa"/>
            <w:shd w:val="clear" w:color="auto" w:fill="auto"/>
          </w:tcPr>
          <w:p w:rsidR="00EB6684" w:rsidRDefault="00461F91" w:rsidP="00EC27E9">
            <w:pPr>
              <w:spacing w:line="360" w:lineRule="auto"/>
              <w:jc w:val="center"/>
            </w:pPr>
            <w:r>
              <w:t>700°C</w:t>
            </w:r>
          </w:p>
        </w:tc>
        <w:tc>
          <w:tcPr>
            <w:tcW w:w="2610" w:type="dxa"/>
            <w:shd w:val="clear" w:color="auto" w:fill="auto"/>
          </w:tcPr>
          <w:p w:rsidR="00EB6684" w:rsidRPr="006D5B22" w:rsidRDefault="00461F91" w:rsidP="00EC27E9">
            <w:pPr>
              <w:spacing w:line="360" w:lineRule="auto"/>
              <w:jc w:val="center"/>
            </w:pPr>
            <w:r w:rsidRPr="006D5B22">
              <w:t>3.6</w:t>
            </w:r>
            <w:r w:rsidRPr="006D5B22">
              <w:rPr>
                <w:rStyle w:val="IntenseEmphasis"/>
                <w:b w:val="0"/>
                <w:i w:val="0"/>
                <w:color w:val="auto"/>
              </w:rPr>
              <w:sym w:font="Symbol" w:char="F0B4"/>
            </w:r>
            <w:r w:rsidRPr="006D5B22">
              <w:t>10</w:t>
            </w:r>
            <w:r w:rsidRPr="006D5B22">
              <w:rPr>
                <w:vertAlign w:val="superscript"/>
              </w:rPr>
              <w:t>–1</w:t>
            </w:r>
            <w:r w:rsidRPr="006D5B22">
              <w:t xml:space="preserve"> at 550°C</w:t>
            </w:r>
          </w:p>
        </w:tc>
        <w:tc>
          <w:tcPr>
            <w:tcW w:w="842" w:type="dxa"/>
          </w:tcPr>
          <w:p w:rsidR="00EB6684" w:rsidRPr="006D5B22" w:rsidRDefault="00461F91" w:rsidP="00EC27E9">
            <w:pPr>
              <w:spacing w:line="360" w:lineRule="auto"/>
              <w:jc w:val="center"/>
            </w:pPr>
            <w:r w:rsidRPr="006D5B22">
              <w:t>[76]</w:t>
            </w:r>
          </w:p>
        </w:tc>
      </w:tr>
    </w:tbl>
    <w:p w:rsidR="00EB6684" w:rsidRDefault="00EB6684">
      <w:pPr>
        <w:autoSpaceDE w:val="0"/>
        <w:autoSpaceDN w:val="0"/>
        <w:adjustRightInd w:val="0"/>
        <w:spacing w:line="360" w:lineRule="auto"/>
        <w:jc w:val="both"/>
      </w:pPr>
    </w:p>
    <w:p w:rsidR="00BD08DD" w:rsidRDefault="00BD08DD" w:rsidP="00BD08DD">
      <w:pPr>
        <w:spacing w:line="360" w:lineRule="auto"/>
        <w:ind w:firstLine="720"/>
        <w:jc w:val="both"/>
      </w:pPr>
      <w:r>
        <w:t>It is noticed from the earlier investigations that the co-doped ceria-carbonate composites showed highest total-ionic-conductivity over single-doped ceria-carbonate composites and pure co-doped ceria materials as well. The research &amp; development is still going on to report improved nanocomposite ceria–carbonate electrolyte materials with enhanced electrical properties towards advanced SOFC applications at relatively lower temperatures.</w:t>
      </w:r>
    </w:p>
    <w:p w:rsidR="00EB6684" w:rsidRDefault="00121704">
      <w:pPr>
        <w:spacing w:before="240" w:after="240" w:line="360" w:lineRule="auto"/>
        <w:rPr>
          <w:b/>
          <w:color w:val="000000"/>
        </w:rPr>
      </w:pPr>
      <w:r>
        <w:rPr>
          <w:b/>
          <w:color w:val="000000"/>
        </w:rPr>
        <w:t>Conclusion</w:t>
      </w:r>
    </w:p>
    <w:p w:rsidR="005D6FF8" w:rsidRPr="005D6FF8" w:rsidRDefault="00784DEC" w:rsidP="00121704">
      <w:pPr>
        <w:autoSpaceDE w:val="0"/>
        <w:autoSpaceDN w:val="0"/>
        <w:adjustRightInd w:val="0"/>
        <w:spacing w:line="360" w:lineRule="auto"/>
        <w:jc w:val="both"/>
      </w:pPr>
      <w:r>
        <w:t>Present study focused t</w:t>
      </w:r>
      <w:r w:rsidRPr="004068C3">
        <w:t xml:space="preserve">he </w:t>
      </w:r>
      <w:r>
        <w:t>f</w:t>
      </w:r>
      <w:r w:rsidRPr="004068C3">
        <w:t>undamentals</w:t>
      </w:r>
      <w:r>
        <w:t xml:space="preserve"> of fuel cell technologies, background, working mechanism, different components of SOFC, </w:t>
      </w:r>
      <w:r w:rsidRPr="002B4F22">
        <w:t>brief</w:t>
      </w:r>
      <w:r>
        <w:t xml:space="preserve"> note on traditional </w:t>
      </w:r>
      <w:r w:rsidRPr="00784DEC">
        <w:t>materials, and development of novel materials for the advanced low temperature SOFC applications have</w:t>
      </w:r>
      <w:r w:rsidR="00121704" w:rsidRPr="00784DEC">
        <w:t xml:space="preserve"> been discussed. </w:t>
      </w:r>
      <w:r w:rsidRPr="00784DEC">
        <w:t>In the way of enhancing the electrical properties i.e. total ionic conductivity of</w:t>
      </w:r>
      <w:r w:rsidRPr="005E543E">
        <w:t xml:space="preserve"> ceria electrolyte significant efforts have been done on doping, as well as co-doping. </w:t>
      </w:r>
      <w:r w:rsidR="005D6FF8">
        <w:t xml:space="preserve">Studies suggested that the fractional replacement of Ce ions with trivalent ions such as Sm, </w:t>
      </w:r>
      <w:proofErr w:type="spellStart"/>
      <w:r w:rsidR="005D6FF8">
        <w:t>Gd</w:t>
      </w:r>
      <w:proofErr w:type="spellEnd"/>
      <w:r w:rsidR="005D6FF8">
        <w:t xml:space="preserve">, </w:t>
      </w:r>
      <w:proofErr w:type="spellStart"/>
      <w:r w:rsidR="005D6FF8">
        <w:t>Pr</w:t>
      </w:r>
      <w:proofErr w:type="spellEnd"/>
      <w:r w:rsidR="005D6FF8">
        <w:t xml:space="preserve">, Y, La, </w:t>
      </w:r>
      <w:proofErr w:type="spellStart"/>
      <w:r w:rsidR="005D6FF8">
        <w:t>Gd</w:t>
      </w:r>
      <w:proofErr w:type="spellEnd"/>
      <w:r w:rsidR="00B224D8">
        <w:t xml:space="preserve">, </w:t>
      </w:r>
      <w:proofErr w:type="spellStart"/>
      <w:r w:rsidR="00B224D8">
        <w:t>Nd</w:t>
      </w:r>
      <w:proofErr w:type="spellEnd"/>
      <w:r w:rsidR="00B224D8">
        <w:t xml:space="preserve">, La, </w:t>
      </w:r>
      <w:proofErr w:type="spellStart"/>
      <w:r w:rsidR="00B224D8">
        <w:t>Yb</w:t>
      </w:r>
      <w:proofErr w:type="spellEnd"/>
      <w:r w:rsidR="00B224D8">
        <w:t xml:space="preserve">, </w:t>
      </w:r>
      <w:proofErr w:type="spellStart"/>
      <w:r w:rsidR="00B224D8">
        <w:t>Dy</w:t>
      </w:r>
      <w:proofErr w:type="spellEnd"/>
      <w:r w:rsidR="00B224D8">
        <w:t xml:space="preserve">, </w:t>
      </w:r>
      <w:proofErr w:type="spellStart"/>
      <w:r w:rsidR="00B224D8">
        <w:t>Er</w:t>
      </w:r>
      <w:proofErr w:type="spellEnd"/>
      <w:r w:rsidR="00B224D8">
        <w:t xml:space="preserve">, </w:t>
      </w:r>
      <w:proofErr w:type="spellStart"/>
      <w:r w:rsidR="00B224D8">
        <w:t>Eu</w:t>
      </w:r>
      <w:proofErr w:type="spellEnd"/>
      <w:r w:rsidR="00B224D8">
        <w:t xml:space="preserve">, Ho, Ca, </w:t>
      </w:r>
      <w:proofErr w:type="spellStart"/>
      <w:r w:rsidR="00B224D8">
        <w:t>Sr</w:t>
      </w:r>
      <w:proofErr w:type="spellEnd"/>
      <w:r w:rsidR="00B224D8">
        <w:t xml:space="preserve">, Ba and Mg </w:t>
      </w:r>
      <w:r w:rsidR="005D6FF8">
        <w:t xml:space="preserve">generates concentration of oxygen vacancies in the lattice of ceria which in turn lead to the high ionic conductivity of doped/co-doped ceria when compared to pure ceria. </w:t>
      </w:r>
      <w:r w:rsidRPr="005E543E">
        <w:t>Further triple-doping</w:t>
      </w:r>
      <w:r>
        <w:t xml:space="preserve"> in ceria has been introduced to develop suitable electrolyte towards the intermediate temperature SOFCs.</w:t>
      </w:r>
      <w:r w:rsidR="005D6FF8">
        <w:t xml:space="preserve"> </w:t>
      </w:r>
      <w:r w:rsidR="005D6FF8" w:rsidRPr="005E543E">
        <w:t>The optimal doping of lower valance elements in ceria eases the decrease of grain boundary resistance and as a result increases the total ionic conductivity.</w:t>
      </w:r>
      <w:r w:rsidR="005D6FF8">
        <w:t xml:space="preserve"> </w:t>
      </w:r>
      <w:r w:rsidR="00121704" w:rsidRPr="00784DEC">
        <w:t xml:space="preserve">The </w:t>
      </w:r>
      <w:r w:rsidRPr="00784DEC">
        <w:t xml:space="preserve">trend of increased total ionic conductivity of ceria </w:t>
      </w:r>
      <w:r w:rsidRPr="005D6FF8">
        <w:t>electrolytes is achieved using single-doping, and followed by co-doping, triple-doping respectively</w:t>
      </w:r>
      <w:r w:rsidR="00121704" w:rsidRPr="005D6FF8">
        <w:t xml:space="preserve">. </w:t>
      </w:r>
      <w:r w:rsidR="005D6FF8" w:rsidRPr="005D6FF8">
        <w:t>R&amp;D suggested the ceria -</w:t>
      </w:r>
      <w:r w:rsidR="005D6FF8">
        <w:t xml:space="preserve"> carbonate composites which facilities the multiple ion conduction i.e. in addition to the oxygen ion conductivity, carbonate content (sodium/ potassium/ lithium </w:t>
      </w:r>
      <w:r w:rsidR="005D6FF8" w:rsidRPr="005D6FF8">
        <w:t xml:space="preserve">carbonates) offers </w:t>
      </w:r>
      <w:r w:rsidR="005D6FF8" w:rsidRPr="005D6FF8">
        <w:lastRenderedPageBreak/>
        <w:t xml:space="preserve">protonic as well as carbonate ions conductivity together enhance the total ionic conductivity of composite electrolyte. The suggested </w:t>
      </w:r>
      <w:r w:rsidR="006D5B22">
        <w:t xml:space="preserve">ceria-carbonate </w:t>
      </w:r>
      <w:r w:rsidR="005D6FF8" w:rsidRPr="005D6FF8">
        <w:t>compo</w:t>
      </w:r>
      <w:r w:rsidR="00121704" w:rsidRPr="005D6FF8">
        <w:t>site</w:t>
      </w:r>
      <w:r w:rsidR="006D5B22">
        <w:t xml:space="preserve"> electrolyte</w:t>
      </w:r>
      <w:r w:rsidR="006D5B22" w:rsidRPr="005D6FF8">
        <w:t>s not only enhance</w:t>
      </w:r>
      <w:r w:rsidR="005D6FF8" w:rsidRPr="005D6FF8">
        <w:t xml:space="preserve"> the</w:t>
      </w:r>
      <w:r w:rsidR="006D5B22">
        <w:t xml:space="preserve"> performance of advanced</w:t>
      </w:r>
      <w:r w:rsidR="005D6FF8" w:rsidRPr="005D6FF8">
        <w:t xml:space="preserve"> SOFC but also</w:t>
      </w:r>
      <w:r w:rsidR="00121704" w:rsidRPr="005D6FF8">
        <w:t xml:space="preserve"> reduce </w:t>
      </w:r>
      <w:r w:rsidR="005D6FF8" w:rsidRPr="005D6FF8">
        <w:t xml:space="preserve">operating temperature as well as </w:t>
      </w:r>
      <w:r w:rsidR="00785EF0" w:rsidRPr="005D6FF8">
        <w:t xml:space="preserve">cost of the </w:t>
      </w:r>
      <w:r w:rsidR="005D6FF8" w:rsidRPr="005D6FF8">
        <w:t>SOFC</w:t>
      </w:r>
      <w:r w:rsidR="00785EF0" w:rsidRPr="005D6FF8">
        <w:t xml:space="preserve">. </w:t>
      </w:r>
    </w:p>
    <w:p w:rsidR="00EB6684" w:rsidRDefault="00461F91">
      <w:pPr>
        <w:spacing w:before="240" w:after="240" w:line="360" w:lineRule="auto"/>
        <w:rPr>
          <w:b/>
          <w:color w:val="000000"/>
        </w:rPr>
      </w:pPr>
      <w:r>
        <w:rPr>
          <w:b/>
          <w:color w:val="000000"/>
        </w:rPr>
        <w:t>References</w:t>
      </w:r>
    </w:p>
    <w:p w:rsidR="00EB6684" w:rsidRDefault="00461F91">
      <w:pPr>
        <w:spacing w:line="360" w:lineRule="auto"/>
        <w:rPr>
          <w:color w:val="000000"/>
        </w:rPr>
      </w:pPr>
      <w:r>
        <w:rPr>
          <w:color w:val="000000"/>
        </w:rPr>
        <w:t>[1] World Energy Council (WEC), Survey of Energy Resources, 1998.</w:t>
      </w:r>
    </w:p>
    <w:p w:rsidR="00EB6684" w:rsidRDefault="00461F91">
      <w:pPr>
        <w:spacing w:line="360" w:lineRule="auto"/>
        <w:rPr>
          <w:color w:val="000000"/>
        </w:rPr>
      </w:pPr>
      <w:r>
        <w:rPr>
          <w:color w:val="000000"/>
        </w:rPr>
        <w:t>[2] U. Winter, H. Weidner, Hydrogen for the Mobility of the Future Results of GM/Opel's Wellto-Wheel Studies in North America and Europe, Fuel Cells, 3 (2003) 76–83.</w:t>
      </w:r>
    </w:p>
    <w:p w:rsidR="00EB6684" w:rsidRDefault="00461F91">
      <w:pPr>
        <w:spacing w:line="360" w:lineRule="auto"/>
        <w:rPr>
          <w:color w:val="000000"/>
        </w:rPr>
      </w:pPr>
      <w:r>
        <w:rPr>
          <w:color w:val="000000"/>
        </w:rPr>
        <w:t xml:space="preserve">[3] Hydrogen energy and fuel cells– A vision of our future, EUR 20719 EN–European Commission, 2003-36pp, ISBN 92-894-5589-6. </w:t>
      </w:r>
    </w:p>
    <w:p w:rsidR="00EB6684" w:rsidRDefault="00461F91">
      <w:pPr>
        <w:spacing w:line="360" w:lineRule="auto"/>
        <w:rPr>
          <w:color w:val="000000"/>
        </w:rPr>
      </w:pPr>
      <w:r>
        <w:rPr>
          <w:color w:val="000000"/>
        </w:rPr>
        <w:t>[4] E. D. Wachsman, K.T. Lee, Lowering the Temperature of Solid Oxide Fuel Cells, Science 334 (2011) 935–939.</w:t>
      </w:r>
    </w:p>
    <w:p w:rsidR="00EB6684" w:rsidRDefault="00461F91">
      <w:pPr>
        <w:spacing w:line="360" w:lineRule="auto"/>
        <w:rPr>
          <w:color w:val="000000"/>
        </w:rPr>
      </w:pPr>
      <w:r>
        <w:rPr>
          <w:color w:val="000000"/>
        </w:rPr>
        <w:t>[5] M. Santin, A Traverso, L. Magistri, A. Massardo, Thermoeconomic analysis of SOFC-GT hybrid systems fed by liquid fuels.</w:t>
      </w:r>
    </w:p>
    <w:p w:rsidR="00EB6684" w:rsidRDefault="00461F91">
      <w:pPr>
        <w:spacing w:line="360" w:lineRule="auto"/>
        <w:rPr>
          <w:color w:val="000000"/>
        </w:rPr>
      </w:pPr>
      <w:r>
        <w:rPr>
          <w:color w:val="000000"/>
        </w:rPr>
        <w:t>[6] A.B. Stambouli, E. Traversa, Solid oxide fuel cells (SOFCs): a review of an environmentally clean and efficient source of energy, Renew. Sust. Energ. Rev. 6 (2002) 433–455.</w:t>
      </w:r>
    </w:p>
    <w:p w:rsidR="00EB6684" w:rsidRDefault="00461F91">
      <w:pPr>
        <w:autoSpaceDE w:val="0"/>
        <w:autoSpaceDN w:val="0"/>
        <w:adjustRightInd w:val="0"/>
        <w:spacing w:line="360" w:lineRule="auto"/>
        <w:jc w:val="both"/>
        <w:rPr>
          <w:color w:val="000000"/>
        </w:rPr>
      </w:pPr>
      <w:r>
        <w:rPr>
          <w:color w:val="000000"/>
        </w:rPr>
        <w:t>[7] F. A. De Bruijn, V. A. T. Dam, G. J. M. Janssen, Review: Durability and Degradation Issues of PEM Fuel Cell Components, Fuel Cells, 8 (2008) 3–22.</w:t>
      </w:r>
    </w:p>
    <w:p w:rsidR="00EB6684" w:rsidRDefault="00461F91">
      <w:pPr>
        <w:autoSpaceDE w:val="0"/>
        <w:autoSpaceDN w:val="0"/>
        <w:adjustRightInd w:val="0"/>
        <w:spacing w:line="360" w:lineRule="auto"/>
        <w:jc w:val="both"/>
        <w:rPr>
          <w:color w:val="000000"/>
        </w:rPr>
      </w:pPr>
      <w:r>
        <w:rPr>
          <w:color w:val="000000"/>
        </w:rPr>
        <w:t>[8] Y. Wang, K. S. Chen, J. Mishler, S. C. Cho, X. C. Adroher, A review of polymer electrolyte membrane fuel cells: Technology, applications, and needs on fundamental research, Appl. Energy, 88 (2011) 981–1007.</w:t>
      </w:r>
    </w:p>
    <w:p w:rsidR="00EB6684" w:rsidRDefault="00461F91">
      <w:pPr>
        <w:autoSpaceDE w:val="0"/>
        <w:autoSpaceDN w:val="0"/>
        <w:adjustRightInd w:val="0"/>
        <w:spacing w:line="360" w:lineRule="auto"/>
        <w:jc w:val="both"/>
        <w:rPr>
          <w:rStyle w:val="fontstyle01"/>
          <w:rFonts w:ascii="Times New Roman" w:hAnsi="Times New Roman"/>
        </w:rPr>
      </w:pPr>
      <w:r>
        <w:rPr>
          <w:color w:val="000000"/>
        </w:rPr>
        <w:t xml:space="preserve">[9] </w:t>
      </w:r>
      <w:r>
        <w:rPr>
          <w:rStyle w:val="fontstyle01"/>
          <w:rFonts w:ascii="Times New Roman" w:hAnsi="Times New Roman"/>
        </w:rPr>
        <w:t>H. Davy, Philos. Trans. Roy. Soc. London 98 (1808) 1–45.</w:t>
      </w:r>
    </w:p>
    <w:p w:rsidR="00EB6684" w:rsidRDefault="00461F91">
      <w:pPr>
        <w:autoSpaceDE w:val="0"/>
        <w:autoSpaceDN w:val="0"/>
        <w:adjustRightInd w:val="0"/>
        <w:spacing w:line="360" w:lineRule="auto"/>
        <w:jc w:val="both"/>
        <w:rPr>
          <w:rStyle w:val="fontstyle01"/>
          <w:rFonts w:ascii="Times New Roman" w:hAnsi="Times New Roman"/>
        </w:rPr>
      </w:pPr>
      <w:r>
        <w:rPr>
          <w:color w:val="000000"/>
        </w:rPr>
        <w:t xml:space="preserve">[10] </w:t>
      </w:r>
      <w:r>
        <w:rPr>
          <w:rStyle w:val="fontstyle01"/>
          <w:rFonts w:ascii="Times New Roman" w:hAnsi="Times New Roman"/>
        </w:rPr>
        <w:t>W. R. Grove, Philos. Mag. Ser. 3(14) (1839) 127–130.</w:t>
      </w:r>
    </w:p>
    <w:p w:rsidR="00EB6684" w:rsidRDefault="00461F91">
      <w:pPr>
        <w:autoSpaceDE w:val="0"/>
        <w:autoSpaceDN w:val="0"/>
        <w:adjustRightInd w:val="0"/>
        <w:spacing w:line="360" w:lineRule="auto"/>
        <w:jc w:val="both"/>
        <w:rPr>
          <w:rStyle w:val="fontstyle01"/>
          <w:rFonts w:ascii="Times New Roman" w:hAnsi="Times New Roman"/>
        </w:rPr>
      </w:pPr>
      <w:r>
        <w:rPr>
          <w:rStyle w:val="fontstyle01"/>
          <w:rFonts w:ascii="Times New Roman" w:hAnsi="Times New Roman"/>
        </w:rPr>
        <w:t>[11] L. Mond, C. Langer, Proc. R. Soc. London 46 (1889) 296–304.</w:t>
      </w:r>
    </w:p>
    <w:p w:rsidR="00EB6684" w:rsidRDefault="00461F91">
      <w:pPr>
        <w:autoSpaceDE w:val="0"/>
        <w:autoSpaceDN w:val="0"/>
        <w:adjustRightInd w:val="0"/>
        <w:spacing w:line="360" w:lineRule="auto"/>
        <w:jc w:val="both"/>
        <w:rPr>
          <w:rStyle w:val="fontstyle01"/>
          <w:rFonts w:ascii="Times New Roman" w:hAnsi="Times New Roman"/>
        </w:rPr>
      </w:pPr>
      <w:r>
        <w:rPr>
          <w:rStyle w:val="fontstyle01"/>
          <w:rFonts w:ascii="Times New Roman" w:hAnsi="Times New Roman"/>
        </w:rPr>
        <w:t>[12] F. Haber, Austrian patent 27 743, filed on 5-8-1905.</w:t>
      </w:r>
    </w:p>
    <w:p w:rsidR="00EB6684" w:rsidRDefault="00461F91">
      <w:pPr>
        <w:autoSpaceDE w:val="0"/>
        <w:autoSpaceDN w:val="0"/>
        <w:adjustRightInd w:val="0"/>
        <w:spacing w:line="360" w:lineRule="auto"/>
      </w:pPr>
      <w:r>
        <w:t xml:space="preserve">[13] Kordesch K., The Advancement of Fuel Cell Systems and Spin-off Battery Technology. </w:t>
      </w:r>
      <w:r>
        <w:rPr>
          <w:iCs/>
        </w:rPr>
        <w:t>Ber. Bunsenges.Phys.Chem.</w:t>
      </w:r>
      <w:r>
        <w:t xml:space="preserve">, </w:t>
      </w:r>
      <w:r>
        <w:rPr>
          <w:bCs/>
        </w:rPr>
        <w:t>94</w:t>
      </w:r>
      <w:r>
        <w:t>, (1990) 902.</w:t>
      </w:r>
    </w:p>
    <w:p w:rsidR="00EB6684" w:rsidRDefault="00461F91">
      <w:pPr>
        <w:autoSpaceDE w:val="0"/>
        <w:autoSpaceDN w:val="0"/>
        <w:adjustRightInd w:val="0"/>
        <w:spacing w:line="360" w:lineRule="auto"/>
        <w:jc w:val="both"/>
      </w:pPr>
      <w:r>
        <w:t>[14] N.Q.Minh, Ceramic Fuel Cells, J. Am. Ceramic Society 76 (1993) 563–588.</w:t>
      </w:r>
    </w:p>
    <w:p w:rsidR="00EB6684" w:rsidRDefault="00461F91">
      <w:pPr>
        <w:autoSpaceDE w:val="0"/>
        <w:autoSpaceDN w:val="0"/>
        <w:adjustRightInd w:val="0"/>
        <w:spacing w:line="360" w:lineRule="auto"/>
        <w:jc w:val="both"/>
      </w:pPr>
      <w:r>
        <w:t>[15] Y. Miyake, y. Akiyama, A. Hamada, y. Itoh, K. Oda, S. Sumi, K. Nishio, N. Nishizawa, Status of fuel cells R&amp;D activities at Sanyo, Journal of Power Sources 61 (1996) 155–160.</w:t>
      </w:r>
    </w:p>
    <w:p w:rsidR="00EB6684" w:rsidRDefault="00461F91">
      <w:pPr>
        <w:autoSpaceDE w:val="0"/>
        <w:autoSpaceDN w:val="0"/>
        <w:adjustRightInd w:val="0"/>
        <w:spacing w:line="360" w:lineRule="auto"/>
        <w:jc w:val="both"/>
      </w:pPr>
      <w:r>
        <w:lastRenderedPageBreak/>
        <w:t>[16] D. Hart, Sustainable energy conversion: fuel cells — the competitive option?, Journal of Power Sources 86 (2000) 23–27.</w:t>
      </w:r>
    </w:p>
    <w:p w:rsidR="00EB6684" w:rsidRDefault="00461F91">
      <w:pPr>
        <w:autoSpaceDE w:val="0"/>
        <w:autoSpaceDN w:val="0"/>
        <w:adjustRightInd w:val="0"/>
        <w:spacing w:line="360" w:lineRule="auto"/>
        <w:jc w:val="both"/>
      </w:pPr>
      <w:r>
        <w:t xml:space="preserve">[17] B. C. H. Steele, A. Heinzel, Materials for fuel-cell technologies, Nature 414 (2001) 345–352. </w:t>
      </w:r>
    </w:p>
    <w:p w:rsidR="00EB6684" w:rsidRDefault="00461F91">
      <w:pPr>
        <w:autoSpaceDE w:val="0"/>
        <w:autoSpaceDN w:val="0"/>
        <w:adjustRightInd w:val="0"/>
        <w:spacing w:line="360" w:lineRule="auto"/>
        <w:jc w:val="both"/>
        <w:rPr>
          <w:color w:val="000000"/>
        </w:rPr>
      </w:pPr>
      <w:r>
        <w:t xml:space="preserve">[18] </w:t>
      </w:r>
      <w:r>
        <w:rPr>
          <w:color w:val="000000"/>
        </w:rPr>
        <w:t>N. Jaiswal, K. Tanwar, R. Suman, D. Kumar, S. Uppadhya, O. Parkash, A</w:t>
      </w:r>
      <w:r>
        <w:rPr>
          <w:color w:val="000000"/>
        </w:rPr>
        <w:br/>
        <w:t xml:space="preserve">brief review on ceria based solid electrolytes for solid oxide fuel cells, </w:t>
      </w:r>
      <w:r>
        <w:rPr>
          <w:iCs/>
          <w:color w:val="000000"/>
        </w:rPr>
        <w:t xml:space="preserve">Journal of Alloys and Compounds 781 </w:t>
      </w:r>
      <w:r>
        <w:rPr>
          <w:color w:val="000000"/>
        </w:rPr>
        <w:t>(2019) 984–1005.</w:t>
      </w:r>
    </w:p>
    <w:p w:rsidR="00EB6684" w:rsidRDefault="00461F91">
      <w:pPr>
        <w:autoSpaceDE w:val="0"/>
        <w:autoSpaceDN w:val="0"/>
        <w:adjustRightInd w:val="0"/>
        <w:spacing w:line="360" w:lineRule="auto"/>
        <w:jc w:val="both"/>
        <w:rPr>
          <w:color w:val="000000"/>
        </w:rPr>
      </w:pPr>
      <w:r>
        <w:rPr>
          <w:color w:val="000000"/>
        </w:rPr>
        <w:t xml:space="preserve">[19] M. Irshad, K. Siraj, R. Raza, A. Ali, P. Tiwari, B. Zhu, A Rafique, A. Ali, M. K. Ullah, A. Usman, A Brief Description of High temperature Solid Oxide Fuel Cell’s Operation, Materials, Design, fabrication technologies and Performance, Applied Sciences 6 (2016) 75.   </w:t>
      </w:r>
    </w:p>
    <w:p w:rsidR="00EB6684" w:rsidRDefault="00461F91">
      <w:pPr>
        <w:spacing w:line="360" w:lineRule="auto"/>
        <w:jc w:val="both"/>
      </w:pPr>
      <w:r>
        <w:rPr>
          <w:color w:val="000000"/>
        </w:rPr>
        <w:t>[20]</w:t>
      </w:r>
      <w:r>
        <w:t xml:space="preserve"> K. Choy, W. Bai, J.S. Charojrochkul, B.C.H. Steele, The development of intermediate-temperature solid oxide fuel cells for the next millennium, J. Power Sources 71 (1998) 361–369. </w:t>
      </w:r>
    </w:p>
    <w:p w:rsidR="00EB6684" w:rsidRDefault="00461F91">
      <w:pPr>
        <w:autoSpaceDE w:val="0"/>
        <w:autoSpaceDN w:val="0"/>
        <w:adjustRightInd w:val="0"/>
        <w:spacing w:line="360" w:lineRule="auto"/>
        <w:jc w:val="both"/>
        <w:rPr>
          <w:color w:val="000000"/>
        </w:rPr>
      </w:pPr>
      <w:r>
        <w:rPr>
          <w:color w:val="000000"/>
        </w:rPr>
        <w:t>[21] E. Baur, H. Z. Preis, Electrochem 43 (1937) 727–732.</w:t>
      </w:r>
    </w:p>
    <w:p w:rsidR="00EB6684" w:rsidRDefault="00461F91">
      <w:pPr>
        <w:autoSpaceDE w:val="0"/>
        <w:autoSpaceDN w:val="0"/>
        <w:adjustRightInd w:val="0"/>
        <w:spacing w:line="360" w:lineRule="auto"/>
        <w:jc w:val="both"/>
      </w:pPr>
      <w:r>
        <w:rPr>
          <w:color w:val="000000"/>
        </w:rPr>
        <w:t xml:space="preserve">[22] </w:t>
      </w:r>
      <w:r>
        <w:t>S. Chen, D. Gu, Y. Zheng, H. Chen, and L. Guo, Enhanced performance of NiO–3YSZ planar anode supported SOFC with an anode functional layer. J Mater Sci 55 (2020) 88–98.</w:t>
      </w:r>
    </w:p>
    <w:p w:rsidR="00EB6684" w:rsidRDefault="00461F91">
      <w:pPr>
        <w:spacing w:line="360" w:lineRule="auto"/>
        <w:jc w:val="both"/>
        <w:rPr>
          <w:shd w:val="clear" w:color="auto" w:fill="FFFFFF"/>
        </w:rPr>
      </w:pPr>
      <w:r>
        <w:t>[23] S. Sydyknazar, V. Cascos, M.T. Fernández-Díaz, J.A. Alonso, Design, synthesis and performance of Ba-doped derivatives of SrMo</w:t>
      </w:r>
      <w:r>
        <w:rPr>
          <w:vertAlign w:val="subscript"/>
        </w:rPr>
        <w:t>0.9</w:t>
      </w:r>
      <w:r>
        <w:t>Fe</w:t>
      </w:r>
      <w:r>
        <w:rPr>
          <w:vertAlign w:val="subscript"/>
        </w:rPr>
        <w:t>0.1</w:t>
      </w:r>
      <w:r>
        <w:t>O</w:t>
      </w:r>
      <w:r>
        <w:rPr>
          <w:vertAlign w:val="subscript"/>
        </w:rPr>
        <w:t>3-δ</w:t>
      </w:r>
      <w:r>
        <w:t xml:space="preserve"> perovskite as anode materials in SOFCs. Journal of Materiomics 5 (2) (2019) 280–285.</w:t>
      </w:r>
    </w:p>
    <w:p w:rsidR="00EB6684" w:rsidRDefault="00461F91">
      <w:pPr>
        <w:spacing w:line="360" w:lineRule="auto"/>
        <w:jc w:val="both"/>
      </w:pPr>
      <w:r>
        <w:t>[24] Shoroshi Dey, Jayanta Mukhopadhyay, Raja Kishora Lenka, Pankaj Kumar Patro, Abhijit Das Sharma, Tarasankar Mahata, Rajendra N. Basu, Synthesis and characterization of Nanocrystalline Ba</w:t>
      </w:r>
      <w:r>
        <w:rPr>
          <w:vertAlign w:val="subscript"/>
        </w:rPr>
        <w:t>0·6</w:t>
      </w:r>
      <w:r>
        <w:t>Sr</w:t>
      </w:r>
      <w:r>
        <w:rPr>
          <w:vertAlign w:val="subscript"/>
        </w:rPr>
        <w:t>0·4</w:t>
      </w:r>
      <w:r>
        <w:t>Co</w:t>
      </w:r>
      <w:r>
        <w:rPr>
          <w:vertAlign w:val="subscript"/>
        </w:rPr>
        <w:t>0·8</w:t>
      </w:r>
      <w:r>
        <w:t>Fe</w:t>
      </w:r>
      <w:r>
        <w:rPr>
          <w:vertAlign w:val="subscript"/>
        </w:rPr>
        <w:t>0·2</w:t>
      </w:r>
      <w:r>
        <w:t>O</w:t>
      </w:r>
      <w:r>
        <w:rPr>
          <w:vertAlign w:val="subscript"/>
        </w:rPr>
        <w:t>3</w:t>
      </w:r>
      <w:r>
        <w:t xml:space="preserve"> for application as an efﬁcient anode in solid oxide electrolyser cell. Int. Journal of Hydrogen Energy 45 (7) (2020) 3995–4007.</w:t>
      </w:r>
    </w:p>
    <w:p w:rsidR="00EB6684" w:rsidRDefault="00461F91">
      <w:pPr>
        <w:autoSpaceDE w:val="0"/>
        <w:autoSpaceDN w:val="0"/>
        <w:adjustRightInd w:val="0"/>
        <w:spacing w:line="360" w:lineRule="auto"/>
        <w:jc w:val="both"/>
      </w:pPr>
      <w:r>
        <w:t>[25] Changjing Fu, Siew Hwa Chan, Qinglin Liu, Xiaoming Ge, G. Pasciak, Fabrication and evaluation of Ni-GDC composite anode prepared by aqueous-based tape casting method for low-temperature solid oxide fuel cell, International Journal of Hydrogen Energy 35 (2010) 301–307.</w:t>
      </w:r>
    </w:p>
    <w:p w:rsidR="00EB6684" w:rsidRDefault="00461F91">
      <w:pPr>
        <w:autoSpaceDE w:val="0"/>
        <w:autoSpaceDN w:val="0"/>
        <w:adjustRightInd w:val="0"/>
        <w:spacing w:line="360" w:lineRule="auto"/>
        <w:jc w:val="both"/>
      </w:pPr>
      <w:r>
        <w:t>[26] J. Xu, X. Zhou, X. Dong, L. Pan, K. Sun, Catalytic activity of infiltrated La</w:t>
      </w:r>
      <w:r>
        <w:rPr>
          <w:vertAlign w:val="subscript"/>
        </w:rPr>
        <w:t>0.3</w:t>
      </w:r>
      <w:r>
        <w:t>Sr</w:t>
      </w:r>
      <w:r>
        <w:rPr>
          <w:vertAlign w:val="subscript"/>
        </w:rPr>
        <w:t>0.7</w:t>
      </w:r>
      <w:r>
        <w:t>Ti</w:t>
      </w:r>
      <w:r>
        <w:rPr>
          <w:vertAlign w:val="subscript"/>
        </w:rPr>
        <w:t>0.3</w:t>
      </w:r>
      <w:r>
        <w:t>Fe</w:t>
      </w:r>
      <w:r>
        <w:rPr>
          <w:vertAlign w:val="subscript"/>
        </w:rPr>
        <w:t>0.7</w:t>
      </w:r>
      <w:r>
        <w:t>O</w:t>
      </w:r>
      <w:r>
        <w:rPr>
          <w:vertAlign w:val="subscript"/>
        </w:rPr>
        <w:t>3-ẟ</w:t>
      </w:r>
      <w:r>
        <w:t>–CeO</w:t>
      </w:r>
      <w:r>
        <w:rPr>
          <w:vertAlign w:val="subscript"/>
        </w:rPr>
        <w:t>2</w:t>
      </w:r>
      <w:r>
        <w:t xml:space="preserve"> as a composite SOFC anode material for H</w:t>
      </w:r>
      <w:r>
        <w:rPr>
          <w:vertAlign w:val="subscript"/>
        </w:rPr>
        <w:t>2</w:t>
      </w:r>
      <w:r>
        <w:t xml:space="preserve"> and CO oxidation, International Journal of Hydrogen Energy 42 (2017) 15632–15640.</w:t>
      </w:r>
    </w:p>
    <w:p w:rsidR="00EB6684" w:rsidRDefault="00461F91">
      <w:pPr>
        <w:autoSpaceDE w:val="0"/>
        <w:autoSpaceDN w:val="0"/>
        <w:adjustRightInd w:val="0"/>
        <w:spacing w:line="360" w:lineRule="auto"/>
        <w:jc w:val="both"/>
      </w:pPr>
      <w:r>
        <w:t>[27] A. Rafique, R. Raza, A. Ali, M. A. Ahmad, M. Syvajarvi, An efficient carbon resistant composite Ni</w:t>
      </w:r>
      <w:r>
        <w:rPr>
          <w:vertAlign w:val="subscript"/>
        </w:rPr>
        <w:t>0.6</w:t>
      </w:r>
      <w:r>
        <w:t>Zn</w:t>
      </w:r>
      <w:r>
        <w:rPr>
          <w:vertAlign w:val="subscript"/>
        </w:rPr>
        <w:t>0.4</w:t>
      </w:r>
      <w:r>
        <w:t>O</w:t>
      </w:r>
      <w:r>
        <w:rPr>
          <w:vertAlign w:val="subscript"/>
        </w:rPr>
        <w:t>2-ẟ</w:t>
      </w:r>
      <w:r>
        <w:t>–GDC anode for biogas fueled solid oxide fuel cell, Journal of Power Sources 438 (2019) 227042.</w:t>
      </w:r>
    </w:p>
    <w:p w:rsidR="00EB6684" w:rsidRDefault="00461F91">
      <w:pPr>
        <w:autoSpaceDE w:val="0"/>
        <w:autoSpaceDN w:val="0"/>
        <w:adjustRightInd w:val="0"/>
        <w:spacing w:line="360" w:lineRule="auto"/>
        <w:jc w:val="both"/>
      </w:pPr>
      <w:r>
        <w:lastRenderedPageBreak/>
        <w:t>[28] Adrian Mizera, Agnieszka Łącz, Ewa Drożdż, Synthesis and properties of the materials in Ni/SrTi</w:t>
      </w:r>
      <w:r>
        <w:rPr>
          <w:vertAlign w:val="subscript"/>
        </w:rPr>
        <w:t>1-x</w:t>
      </w:r>
      <w:r>
        <w:t>Cr</w:t>
      </w:r>
      <w:r>
        <w:rPr>
          <w:vertAlign w:val="subscript"/>
        </w:rPr>
        <w:t>x</w:t>
      </w:r>
      <w:r>
        <w:t>O</w:t>
      </w:r>
      <w:r>
        <w:rPr>
          <w:vertAlign w:val="subscript"/>
        </w:rPr>
        <w:t>3</w:t>
      </w:r>
      <w:r>
        <w:t xml:space="preserve"> system. Ceramics International 45 (2019) 21235–21241.</w:t>
      </w:r>
    </w:p>
    <w:p w:rsidR="00EB6684" w:rsidRDefault="00461F91">
      <w:pPr>
        <w:spacing w:line="360" w:lineRule="auto"/>
        <w:jc w:val="both"/>
      </w:pPr>
      <w:r>
        <w:t>[29] A. A. Yaremchenko, B. Brinkmann, R. Janssen, J. R. Frade, Electrical conductivity, thermal expansion and stability of Y- and Al- substituted SrVO</w:t>
      </w:r>
      <w:r>
        <w:rPr>
          <w:vertAlign w:val="subscript"/>
        </w:rPr>
        <w:t>3</w:t>
      </w:r>
      <w:r>
        <w:t xml:space="preserve"> as prospective SOFC anode material, Solid State Ionics 247–248 (2015) 86–93.</w:t>
      </w:r>
    </w:p>
    <w:p w:rsidR="00EB6684" w:rsidRDefault="00461F91">
      <w:pPr>
        <w:spacing w:line="360" w:lineRule="auto"/>
        <w:jc w:val="both"/>
      </w:pPr>
      <w:r>
        <w:t>[30] F. Shen, K. Lu, Perovskite-type La</w:t>
      </w:r>
      <w:r>
        <w:rPr>
          <w:vertAlign w:val="subscript"/>
        </w:rPr>
        <w:t>0.6</w:t>
      </w:r>
      <w:r>
        <w:t>Sr</w:t>
      </w:r>
      <w:r>
        <w:rPr>
          <w:vertAlign w:val="subscript"/>
        </w:rPr>
        <w:t>0.4</w:t>
      </w:r>
      <w:r>
        <w:t>Co</w:t>
      </w:r>
      <w:r>
        <w:rPr>
          <w:vertAlign w:val="subscript"/>
        </w:rPr>
        <w:t>0.2</w:t>
      </w:r>
      <w:r>
        <w:t>Fe</w:t>
      </w:r>
      <w:r>
        <w:rPr>
          <w:vertAlign w:val="subscript"/>
        </w:rPr>
        <w:t>0.8</w:t>
      </w:r>
      <w:r>
        <w:t>O</w:t>
      </w:r>
      <w:r>
        <w:rPr>
          <w:vertAlign w:val="subscript"/>
        </w:rPr>
        <w:t>3</w:t>
      </w:r>
      <w:r>
        <w:t>, Ba</w:t>
      </w:r>
      <w:r>
        <w:rPr>
          <w:vertAlign w:val="subscript"/>
        </w:rPr>
        <w:t>0.5</w:t>
      </w:r>
      <w:r>
        <w:t>Sr</w:t>
      </w:r>
      <w:r>
        <w:rPr>
          <w:vertAlign w:val="subscript"/>
        </w:rPr>
        <w:t>0.5</w:t>
      </w:r>
      <w:r>
        <w:t>Co</w:t>
      </w:r>
      <w:r>
        <w:rPr>
          <w:vertAlign w:val="subscript"/>
        </w:rPr>
        <w:t>0.2</w:t>
      </w:r>
      <w:r>
        <w:t>Fe</w:t>
      </w:r>
      <w:r>
        <w:rPr>
          <w:vertAlign w:val="subscript"/>
        </w:rPr>
        <w:t>0.8</w:t>
      </w:r>
      <w:r>
        <w:t>O</w:t>
      </w:r>
      <w:r>
        <w:rPr>
          <w:vertAlign w:val="subscript"/>
        </w:rPr>
        <w:t>3</w:t>
      </w:r>
      <w:r>
        <w:t xml:space="preserve"> and Sm</w:t>
      </w:r>
      <w:r>
        <w:rPr>
          <w:vertAlign w:val="subscript"/>
        </w:rPr>
        <w:t>0.5</w:t>
      </w:r>
      <w:r>
        <w:t>Sr</w:t>
      </w:r>
      <w:r>
        <w:rPr>
          <w:vertAlign w:val="subscript"/>
        </w:rPr>
        <w:t>0.5</w:t>
      </w:r>
      <w:r>
        <w:t>Co</w:t>
      </w:r>
      <w:r>
        <w:rPr>
          <w:vertAlign w:val="subscript"/>
        </w:rPr>
        <w:t>0.2</w:t>
      </w:r>
      <w:r>
        <w:t>Fe</w:t>
      </w:r>
      <w:r>
        <w:rPr>
          <w:vertAlign w:val="subscript"/>
        </w:rPr>
        <w:t>0.8</w:t>
      </w:r>
      <w:r>
        <w:t>O</w:t>
      </w:r>
      <w:r>
        <w:rPr>
          <w:vertAlign w:val="subscript"/>
        </w:rPr>
        <w:t xml:space="preserve">3 </w:t>
      </w:r>
      <w:r>
        <w:t>cathode materials and their chromium poisoning for solid oxide fuel cells, Electrochimica Acta 211 (2016) 445–452.</w:t>
      </w:r>
    </w:p>
    <w:p w:rsidR="00EB6684" w:rsidRDefault="00461F91">
      <w:pPr>
        <w:autoSpaceDE w:val="0"/>
        <w:autoSpaceDN w:val="0"/>
        <w:adjustRightInd w:val="0"/>
        <w:spacing w:line="360" w:lineRule="auto"/>
        <w:jc w:val="both"/>
      </w:pPr>
      <w:r>
        <w:t>[31] K. P. Padmasree, Ke-Yu Lai, A. F. Fuentes, A. Manthiram, Electrochemical properties of Sr</w:t>
      </w:r>
      <w:r>
        <w:rPr>
          <w:vertAlign w:val="subscript"/>
        </w:rPr>
        <w:t>2.7-x</w:t>
      </w:r>
      <w:r>
        <w:t>Ca</w:t>
      </w:r>
      <w:r>
        <w:rPr>
          <w:vertAlign w:val="subscript"/>
        </w:rPr>
        <w:t>x</w:t>
      </w:r>
      <w:r>
        <w:t>Ln</w:t>
      </w:r>
      <w:r>
        <w:rPr>
          <w:vertAlign w:val="subscript"/>
        </w:rPr>
        <w:t>0.3</w:t>
      </w:r>
      <w:r>
        <w:t>Fe</w:t>
      </w:r>
      <w:r>
        <w:rPr>
          <w:vertAlign w:val="subscript"/>
        </w:rPr>
        <w:t>2-y</w:t>
      </w:r>
      <w:r>
        <w:t>Co</w:t>
      </w:r>
      <w:r>
        <w:rPr>
          <w:vertAlign w:val="subscript"/>
        </w:rPr>
        <w:t>y</w:t>
      </w:r>
      <w:r>
        <w:t>O</w:t>
      </w:r>
      <w:r>
        <w:rPr>
          <w:vertAlign w:val="subscript"/>
        </w:rPr>
        <w:t>7</w:t>
      </w:r>
      <w:r>
        <w:rPr>
          <w:bCs/>
          <w:vertAlign w:val="subscript"/>
        </w:rPr>
        <w:t>-δ</w:t>
      </w:r>
      <w:r>
        <w:t xml:space="preserve"> cathode for intermediate-temperature solid oxide fuel cells. Int. J. of Hydrogen Energy 44 (2019) 1896–1904.</w:t>
      </w:r>
    </w:p>
    <w:p w:rsidR="00EB6684" w:rsidRDefault="00461F91">
      <w:pPr>
        <w:spacing w:line="360" w:lineRule="auto"/>
        <w:jc w:val="both"/>
      </w:pPr>
      <w:r>
        <w:t>[32] E. Olsson, J. Cottom, X. A-Angles,  and N. H. de Leeuw, Combined density functional theory and molecular dynamics study of Sm</w:t>
      </w:r>
      <w:r>
        <w:rPr>
          <w:vertAlign w:val="subscript"/>
        </w:rPr>
        <w:t>0.75</w:t>
      </w:r>
      <w:r>
        <w:t>A</w:t>
      </w:r>
      <w:r>
        <w:rPr>
          <w:vertAlign w:val="subscript"/>
        </w:rPr>
        <w:t>0.25</w:t>
      </w:r>
      <w:r>
        <w:t>Co</w:t>
      </w:r>
      <w:r>
        <w:rPr>
          <w:vertAlign w:val="subscript"/>
        </w:rPr>
        <w:t>1-x</w:t>
      </w:r>
      <w:r>
        <w:t>Mn</w:t>
      </w:r>
      <w:r>
        <w:rPr>
          <w:vertAlign w:val="subscript"/>
        </w:rPr>
        <w:t>x</w:t>
      </w:r>
      <w:r>
        <w:t>O</w:t>
      </w:r>
      <w:r>
        <w:rPr>
          <w:vertAlign w:val="subscript"/>
        </w:rPr>
        <w:t>2.88</w:t>
      </w:r>
      <w:r>
        <w:t xml:space="preserve"> (A = Ca, Sr; x = 0.125, 0.25) cathode material for next generation solid oxide fuel cell. Phys. Chem. Chem. Phys. 22 (2020) 692–699.</w:t>
      </w:r>
    </w:p>
    <w:p w:rsidR="00EB6684" w:rsidRDefault="00461F91">
      <w:pPr>
        <w:spacing w:line="360" w:lineRule="auto"/>
        <w:jc w:val="both"/>
      </w:pPr>
      <w:r>
        <w:t>[33] Xiangwei Meng, Shiquan Lu, William W. Yu, Yuan Ji, Yingrui Sui, Maobin Wei, Layered perovskite LnBa</w:t>
      </w:r>
      <w:r>
        <w:rPr>
          <w:vertAlign w:val="subscript"/>
        </w:rPr>
        <w:t>0.5</w:t>
      </w:r>
      <w:r>
        <w:t>Sr</w:t>
      </w:r>
      <w:r>
        <w:rPr>
          <w:vertAlign w:val="subscript"/>
        </w:rPr>
        <w:t>0.5</w:t>
      </w:r>
      <w:r>
        <w:t>Cu</w:t>
      </w:r>
      <w:r>
        <w:rPr>
          <w:vertAlign w:val="subscript"/>
        </w:rPr>
        <w:t>2</w:t>
      </w:r>
      <w:r>
        <w:t>O</w:t>
      </w:r>
      <w:r>
        <w:rPr>
          <w:vertAlign w:val="subscript"/>
        </w:rPr>
        <w:t>5+ẟ</w:t>
      </w:r>
      <w:r>
        <w:t xml:space="preserve"> (Ln = Pr and Nd) as cobalt-free cathode materials for solid oxide fuel cells. Int. Journal of Hydrogen Energy 43 (9) (2018) 4458–4470.</w:t>
      </w:r>
    </w:p>
    <w:p w:rsidR="00EB6684" w:rsidRDefault="00461F91">
      <w:pPr>
        <w:spacing w:line="360" w:lineRule="auto"/>
        <w:jc w:val="both"/>
      </w:pPr>
      <w:r>
        <w:t>[34] Jiajia Cui, Junkai Wang, Xiongwen Zhang, Guojun Li, Kai Wu, Yonghong Cheng, Jun Zhou, Low thermal expansion material Bi</w:t>
      </w:r>
      <w:r>
        <w:rPr>
          <w:vertAlign w:val="subscript"/>
        </w:rPr>
        <w:t>0·5</w:t>
      </w:r>
      <w:r>
        <w:t>Ba</w:t>
      </w:r>
      <w:r>
        <w:rPr>
          <w:vertAlign w:val="subscript"/>
        </w:rPr>
        <w:t>0·5</w:t>
      </w:r>
      <w:r>
        <w:t>FeO</w:t>
      </w:r>
      <w:r>
        <w:rPr>
          <w:vertAlign w:val="subscript"/>
        </w:rPr>
        <w:t>3-ẟ</w:t>
      </w:r>
      <w:r>
        <w:t xml:space="preserve"> in application for proton-conducting ceramic fuel cells cathode. Int. Journal of Hydrogen Energy 44 (2019) 21127–21135.</w:t>
      </w:r>
    </w:p>
    <w:p w:rsidR="00EB6684" w:rsidRDefault="00461F91">
      <w:pPr>
        <w:autoSpaceDE w:val="0"/>
        <w:autoSpaceDN w:val="0"/>
        <w:adjustRightInd w:val="0"/>
        <w:spacing w:line="360" w:lineRule="auto"/>
        <w:jc w:val="both"/>
      </w:pPr>
      <w:r>
        <w:t>[35] L Zhang, M Liu, J Huang, Z Song, Improved thermal expansion and electrochemical performances of Ba</w:t>
      </w:r>
      <w:r>
        <w:rPr>
          <w:vertAlign w:val="subscript"/>
        </w:rPr>
        <w:t>0.6</w:t>
      </w:r>
      <w:r>
        <w:t>Sr</w:t>
      </w:r>
      <w:r>
        <w:rPr>
          <w:vertAlign w:val="subscript"/>
        </w:rPr>
        <w:t>0.4</w:t>
      </w:r>
      <w:r>
        <w:t>Co</w:t>
      </w:r>
      <w:r>
        <w:rPr>
          <w:vertAlign w:val="subscript"/>
        </w:rPr>
        <w:t>0.9</w:t>
      </w:r>
      <w:r>
        <w:t>Nb</w:t>
      </w:r>
      <w:r>
        <w:rPr>
          <w:vertAlign w:val="subscript"/>
        </w:rPr>
        <w:t>0.1</w:t>
      </w:r>
      <w:r>
        <w:t>O</w:t>
      </w:r>
      <w:r>
        <w:rPr>
          <w:vertAlign w:val="subscript"/>
        </w:rPr>
        <w:t>3–δ</w:t>
      </w:r>
      <w:r>
        <w:t>–Gd</w:t>
      </w:r>
      <w:r>
        <w:rPr>
          <w:vertAlign w:val="subscript"/>
        </w:rPr>
        <w:t>0.1</w:t>
      </w:r>
      <w:r>
        <w:t>Ce</w:t>
      </w:r>
      <w:r>
        <w:rPr>
          <w:vertAlign w:val="subscript"/>
        </w:rPr>
        <w:t>0.9</w:t>
      </w:r>
      <w:r>
        <w:t>O</w:t>
      </w:r>
      <w:r>
        <w:rPr>
          <w:vertAlign w:val="subscript"/>
        </w:rPr>
        <w:t>1.95</w:t>
      </w:r>
      <w:r>
        <w:t xml:space="preserve"> composite cathodes for IT-SOFCs. Int. J. Hydrogen Energy 39 (2014) 7972–7979.</w:t>
      </w:r>
    </w:p>
    <w:p w:rsidR="00EB6684" w:rsidRDefault="00461F91">
      <w:pPr>
        <w:autoSpaceDE w:val="0"/>
        <w:autoSpaceDN w:val="0"/>
        <w:adjustRightInd w:val="0"/>
        <w:spacing w:line="360" w:lineRule="auto"/>
        <w:jc w:val="both"/>
      </w:pPr>
      <w:r>
        <w:t>[36] L. Zhang, X. Li, L. Zhang, H. Cai, J. Xu, L. Wang, W. Long, Improved thermal expansion and electrochemical performance of La</w:t>
      </w:r>
      <w:r>
        <w:rPr>
          <w:vertAlign w:val="subscript"/>
        </w:rPr>
        <w:t>0.4</w:t>
      </w:r>
      <w:r>
        <w:t>Sr</w:t>
      </w:r>
      <w:r>
        <w:rPr>
          <w:vertAlign w:val="subscript"/>
        </w:rPr>
        <w:t>0.6</w:t>
      </w:r>
      <w:r>
        <w:t>Co</w:t>
      </w:r>
      <w:r>
        <w:rPr>
          <w:vertAlign w:val="subscript"/>
        </w:rPr>
        <w:t>0.9</w:t>
      </w:r>
      <w:r>
        <w:t>Sb</w:t>
      </w:r>
      <w:r>
        <w:rPr>
          <w:vertAlign w:val="subscript"/>
        </w:rPr>
        <w:t>0.1</w:t>
      </w:r>
      <w:r>
        <w:t>O</w:t>
      </w:r>
      <w:r>
        <w:rPr>
          <w:vertAlign w:val="subscript"/>
        </w:rPr>
        <w:t>3–δ</w:t>
      </w:r>
      <w:r>
        <w:t>–Ce</w:t>
      </w:r>
      <w:r>
        <w:rPr>
          <w:vertAlign w:val="subscript"/>
        </w:rPr>
        <w:t>0.8</w:t>
      </w:r>
      <w:r>
        <w:t>Sm</w:t>
      </w:r>
      <w:r>
        <w:rPr>
          <w:vertAlign w:val="subscript"/>
        </w:rPr>
        <w:t>0.2</w:t>
      </w:r>
      <w:r>
        <w:t>O</w:t>
      </w:r>
      <w:r>
        <w:rPr>
          <w:vertAlign w:val="subscript"/>
        </w:rPr>
        <w:t>1.9</w:t>
      </w:r>
      <w:r>
        <w:t xml:space="preserve"> composite cathode for IT-SOFCs, Solid State Sciences 91 (2019) 126–132.</w:t>
      </w:r>
    </w:p>
    <w:p w:rsidR="00EB6684" w:rsidRDefault="00461F91">
      <w:pPr>
        <w:autoSpaceDE w:val="0"/>
        <w:autoSpaceDN w:val="0"/>
        <w:adjustRightInd w:val="0"/>
        <w:spacing w:line="360" w:lineRule="auto"/>
        <w:jc w:val="both"/>
      </w:pPr>
      <w:r>
        <w:t>[37] A. He, T. Shimura, J. Gong, N. Shikazono, Numerical simulation of La</w:t>
      </w:r>
      <w:r>
        <w:rPr>
          <w:vertAlign w:val="subscript"/>
        </w:rPr>
        <w:t>0.6</w:t>
      </w:r>
      <w:r>
        <w:t>Sr</w:t>
      </w:r>
      <w:r>
        <w:rPr>
          <w:vertAlign w:val="subscript"/>
        </w:rPr>
        <w:t>0.4</w:t>
      </w:r>
      <w:r>
        <w:t>Co</w:t>
      </w:r>
      <w:r>
        <w:rPr>
          <w:vertAlign w:val="subscript"/>
        </w:rPr>
        <w:t>0.2</w:t>
      </w:r>
      <w:r>
        <w:t>Fe</w:t>
      </w:r>
      <w:r>
        <w:rPr>
          <w:vertAlign w:val="subscript"/>
        </w:rPr>
        <w:t>0.8</w:t>
      </w:r>
      <w:r>
        <w:t>O</w:t>
      </w:r>
      <w:r>
        <w:rPr>
          <w:vertAlign w:val="subscript"/>
        </w:rPr>
        <w:t>3</w:t>
      </w:r>
      <w:r>
        <w:t>–Gd</w:t>
      </w:r>
      <w:r>
        <w:rPr>
          <w:vertAlign w:val="subscript"/>
        </w:rPr>
        <w:t>0.1</w:t>
      </w:r>
      <w:r>
        <w:t>Ce</w:t>
      </w:r>
      <w:r>
        <w:rPr>
          <w:vertAlign w:val="subscript"/>
        </w:rPr>
        <w:t>0.9</w:t>
      </w:r>
      <w:r>
        <w:t>O</w:t>
      </w:r>
      <w:r>
        <w:rPr>
          <w:vertAlign w:val="subscript"/>
        </w:rPr>
        <w:t>1.95</w:t>
      </w:r>
      <w:r>
        <w:t xml:space="preserve"> composite cathode with micro pillars, Int. J. Hydrogen Energy 44 (2019) 6871–6885.</w:t>
      </w:r>
    </w:p>
    <w:p w:rsidR="00EB6684" w:rsidRDefault="00461F91">
      <w:pPr>
        <w:spacing w:line="360" w:lineRule="auto"/>
        <w:ind w:right="-153"/>
        <w:jc w:val="both"/>
      </w:pPr>
      <w:r>
        <w:lastRenderedPageBreak/>
        <w:t>[38] Kasarapu Venkataramana, Chittimadula Madhuri, Ch Madhusudan, Y Suresh Reddy, G Bhikshamaiah, C Vishnuvardhan Reddy, Investigation on La</w:t>
      </w:r>
      <w:r>
        <w:rPr>
          <w:vertAlign w:val="superscript"/>
        </w:rPr>
        <w:t>3+</w:t>
      </w:r>
      <w:r>
        <w:t xml:space="preserve"> and Dy</w:t>
      </w:r>
      <w:r>
        <w:rPr>
          <w:vertAlign w:val="superscript"/>
        </w:rPr>
        <w:t xml:space="preserve">3+ </w:t>
      </w:r>
      <w:r>
        <w:t>co-doped ceria ceramics with an optimized average atomic number of dopants for electrolytes in IT-SOFCs, Ceramics International 44 (2018) 6300–6310.</w:t>
      </w:r>
    </w:p>
    <w:p w:rsidR="00EB6684" w:rsidRDefault="00461F91">
      <w:pPr>
        <w:spacing w:line="360" w:lineRule="auto"/>
        <w:jc w:val="both"/>
      </w:pPr>
      <w:r>
        <w:t>[39] Monika Singh, Akhilesh Kumar Singh, Studies on structural, morphological, and electrical properties of Ga</w:t>
      </w:r>
      <w:r>
        <w:rPr>
          <w:vertAlign w:val="superscript"/>
        </w:rPr>
        <w:t>3+</w:t>
      </w:r>
      <w:r>
        <w:t xml:space="preserve"> and Cu</w:t>
      </w:r>
      <w:r>
        <w:rPr>
          <w:vertAlign w:val="superscript"/>
        </w:rPr>
        <w:t>2+</w:t>
      </w:r>
      <w:r>
        <w:t xml:space="preserve"> co-doped ceria ceramics as solid electrolyte for IT-SOFCs. Int. Journal of Hydrogen Energy (2019). </w:t>
      </w:r>
      <w:hyperlink r:id="rId15" w:tgtFrame="_blank" w:tooltip="Persistent link using digital object identifier" w:history="1">
        <w:r>
          <w:rPr>
            <w:rStyle w:val="Hyperlink"/>
          </w:rPr>
          <w:t>doi:10.1016/j.ijhydene.2019.09.084</w:t>
        </w:r>
      </w:hyperlink>
      <w:r>
        <w:t>.</w:t>
      </w:r>
    </w:p>
    <w:p w:rsidR="00EB6684" w:rsidRDefault="00461F91">
      <w:pPr>
        <w:autoSpaceDE w:val="0"/>
        <w:autoSpaceDN w:val="0"/>
        <w:adjustRightInd w:val="0"/>
        <w:spacing w:line="360" w:lineRule="auto"/>
        <w:jc w:val="both"/>
      </w:pPr>
      <w:r>
        <w:t xml:space="preserve">[40] K. Venkataramana, C. Madhuri, Y. Suresh Reddy, G. Bhikshamaiah, C. Vishnuvardhan </w:t>
      </w:r>
      <w:bookmarkStart w:id="0" w:name="_GoBack"/>
      <w:bookmarkEnd w:id="0"/>
      <w:r>
        <w:t xml:space="preserve">Reddy, </w:t>
      </w:r>
      <w:r>
        <w:rPr>
          <w:rStyle w:val="fontstyle01"/>
        </w:rPr>
        <w:t xml:space="preserve">Structural, electrical and thermal expansion studies </w:t>
      </w:r>
      <w:r>
        <w:t>of tri-doped ceria electrolyte materials for IT-SOFCs, J. Alloys and Compounds 719 (2017) 97–107. [41]</w:t>
      </w:r>
      <w:r>
        <w:rPr>
          <w:i/>
        </w:rPr>
        <w:t xml:space="preserve"> </w:t>
      </w:r>
      <w:r>
        <w:rPr>
          <w:rStyle w:val="IntenseEmphasis"/>
          <w:b w:val="0"/>
          <w:i w:val="0"/>
          <w:color w:val="auto"/>
        </w:rPr>
        <w:t>S. Ramesh, V. P. Kumar, P. Kistaiah, C. V. Reddy, Preparation, characterization and thermo electrical properties of co-doped Ce</w:t>
      </w:r>
      <w:r>
        <w:rPr>
          <w:rStyle w:val="IntenseEmphasis"/>
          <w:b w:val="0"/>
          <w:i w:val="0"/>
          <w:color w:val="auto"/>
          <w:vertAlign w:val="subscript"/>
        </w:rPr>
        <w:t>0.8–x</w:t>
      </w:r>
      <w:r>
        <w:rPr>
          <w:rStyle w:val="IntenseEmphasis"/>
          <w:b w:val="0"/>
          <w:i w:val="0"/>
          <w:color w:val="auto"/>
        </w:rPr>
        <w:t>Sm</w:t>
      </w:r>
      <w:r>
        <w:rPr>
          <w:rStyle w:val="IntenseEmphasis"/>
          <w:b w:val="0"/>
          <w:i w:val="0"/>
          <w:color w:val="auto"/>
          <w:vertAlign w:val="subscript"/>
        </w:rPr>
        <w:t>0.2</w:t>
      </w:r>
      <w:r>
        <w:rPr>
          <w:rStyle w:val="IntenseEmphasis"/>
          <w:b w:val="0"/>
          <w:i w:val="0"/>
          <w:color w:val="auto"/>
        </w:rPr>
        <w:t>Ca</w:t>
      </w:r>
      <w:r>
        <w:rPr>
          <w:rStyle w:val="IntenseEmphasis"/>
          <w:b w:val="0"/>
          <w:i w:val="0"/>
          <w:color w:val="auto"/>
          <w:vertAlign w:val="subscript"/>
        </w:rPr>
        <w:t>x</w:t>
      </w:r>
      <w:r>
        <w:rPr>
          <w:rStyle w:val="IntenseEmphasis"/>
          <w:b w:val="0"/>
          <w:i w:val="0"/>
          <w:color w:val="auto"/>
        </w:rPr>
        <w:t>O</w:t>
      </w:r>
      <w:r>
        <w:rPr>
          <w:rStyle w:val="IntenseEmphasis"/>
          <w:b w:val="0"/>
          <w:i w:val="0"/>
          <w:color w:val="auto"/>
          <w:vertAlign w:val="subscript"/>
        </w:rPr>
        <w:t>2–δ</w:t>
      </w:r>
      <w:r>
        <w:rPr>
          <w:rStyle w:val="IntenseEmphasis"/>
          <w:b w:val="0"/>
          <w:i w:val="0"/>
          <w:color w:val="auto"/>
        </w:rPr>
        <w:t xml:space="preserve"> materials, Solid State Ionics 181 (2010) 86–91.</w:t>
      </w:r>
      <w:r>
        <w:t xml:space="preserve"> </w:t>
      </w:r>
    </w:p>
    <w:p w:rsidR="00EB6684" w:rsidRDefault="00461F91">
      <w:pPr>
        <w:autoSpaceDE w:val="0"/>
        <w:autoSpaceDN w:val="0"/>
        <w:adjustRightInd w:val="0"/>
        <w:spacing w:line="360" w:lineRule="auto"/>
        <w:jc w:val="both"/>
      </w:pPr>
      <w:r>
        <w:t>[42] Kasarapu Venkataramana, Chittimadula Madhuri, Ch Madhusudan, Y S Reddy, C. Vishnuvardhan Reddy, Investigation on micro-structural, structural, electrical and thermal properties of La</w:t>
      </w:r>
      <w:r>
        <w:rPr>
          <w:vertAlign w:val="superscript"/>
        </w:rPr>
        <w:t>3+</w:t>
      </w:r>
      <w:r>
        <w:t>, Sm</w:t>
      </w:r>
      <w:r>
        <w:rPr>
          <w:vertAlign w:val="superscript"/>
        </w:rPr>
        <w:t xml:space="preserve">3+ </w:t>
      </w:r>
      <w:r>
        <w:t>&amp; Gd</w:t>
      </w:r>
      <w:r>
        <w:rPr>
          <w:vertAlign w:val="superscript"/>
        </w:rPr>
        <w:t>3+</w:t>
      </w:r>
      <w:r>
        <w:t xml:space="preserve"> triple-doped ceria as solid-electrolyte for intermediate temperature-solid oxide fuel cell applications, Journal of Applied Physics 126 (2019) 144901.</w:t>
      </w:r>
    </w:p>
    <w:p w:rsidR="00EB6684" w:rsidRDefault="00461F91">
      <w:pPr>
        <w:spacing w:line="360" w:lineRule="auto"/>
        <w:jc w:val="both"/>
      </w:pPr>
      <w:r>
        <w:t>[43] E.Yu. Pikalova, A.A. Murashkina, V.I. Maragou, A.K. Demin, V.N. Strekalovsky,</w:t>
      </w:r>
      <w:r>
        <w:br/>
        <w:t>P.E. Tsiakaras, CeO2 based materials doped with lanthanides for applications</w:t>
      </w:r>
      <w:r>
        <w:br/>
        <w:t>in intermediate temperature electrochemical devices, Int. J. Hydrogen Energy. 36 (2011) 6175–6183.</w:t>
      </w:r>
    </w:p>
    <w:p w:rsidR="00EB6684" w:rsidRDefault="00461F91">
      <w:pPr>
        <w:autoSpaceDE w:val="0"/>
        <w:autoSpaceDN w:val="0"/>
        <w:adjustRightInd w:val="0"/>
        <w:spacing w:line="360" w:lineRule="auto"/>
        <w:jc w:val="both"/>
      </w:pPr>
      <w:r>
        <w:rPr>
          <w:bCs/>
          <w:kern w:val="36"/>
        </w:rPr>
        <w:t xml:space="preserve">[44] </w:t>
      </w:r>
      <w:r>
        <w:t xml:space="preserve">M Gupta, S Shirbhate, P Ojha, S Acharya, Processing and conductivity behavior of La, Sm, Fe singly and doubly doped ceria: As electrolytes for IT-SOFCs, Solid state Ionics 320 (2018) 199–209.   </w:t>
      </w:r>
    </w:p>
    <w:p w:rsidR="00EB6684" w:rsidRDefault="00461F91">
      <w:pPr>
        <w:autoSpaceDE w:val="0"/>
        <w:autoSpaceDN w:val="0"/>
        <w:adjustRightInd w:val="0"/>
        <w:spacing w:line="360" w:lineRule="auto"/>
        <w:jc w:val="both"/>
        <w:rPr>
          <w:bCs/>
          <w:iCs/>
        </w:rPr>
      </w:pPr>
      <w:r>
        <w:rPr>
          <w:szCs w:val="20"/>
        </w:rPr>
        <w:t xml:space="preserve">[45] </w:t>
      </w:r>
      <w:r>
        <w:t>LIN Xiaomin, L Qiuyue, ZHU Lili, LIU Xiaomei, Synthesis and characterization of Ce</w:t>
      </w:r>
      <w:r>
        <w:rPr>
          <w:vertAlign w:val="subscript"/>
        </w:rPr>
        <w:t>0.8</w:t>
      </w:r>
      <w:r>
        <w:t>Sm</w:t>
      </w:r>
      <w:r>
        <w:rPr>
          <w:vertAlign w:val="subscript"/>
        </w:rPr>
        <w:t>0.2-x</w:t>
      </w:r>
      <w:r>
        <w:t>Pr</w:t>
      </w:r>
      <w:r>
        <w:rPr>
          <w:vertAlign w:val="subscript"/>
        </w:rPr>
        <w:t>x</w:t>
      </w:r>
      <w:r>
        <w:t>O</w:t>
      </w:r>
      <w:r>
        <w:rPr>
          <w:vertAlign w:val="subscript"/>
        </w:rPr>
        <w:t>2-δ</w:t>
      </w:r>
      <w:r>
        <w:t xml:space="preserve"> (x=0.02–0.08) solid electrolyte materials, </w:t>
      </w:r>
      <w:r>
        <w:rPr>
          <w:bCs/>
        </w:rPr>
        <w:t>J. Rare Earths 33(4) (2015) 411</w:t>
      </w:r>
      <w:r>
        <w:rPr>
          <w:bCs/>
          <w:iCs/>
        </w:rPr>
        <w:t>–416.</w:t>
      </w:r>
    </w:p>
    <w:p w:rsidR="00EB6684" w:rsidRDefault="00461F91">
      <w:pPr>
        <w:spacing w:line="360" w:lineRule="auto"/>
        <w:jc w:val="both"/>
      </w:pPr>
      <w:r>
        <w:t>[46] A. S. Babu, Ranjit Bauri, G. Srinivas Reddy, Processing and conduction behavior of nanocrystalline Gd-doped and rare earth co-doped ceria electrolytes, Electrochimica Acta 209 (2016) 541–550.</w:t>
      </w:r>
    </w:p>
    <w:p w:rsidR="00EB6684" w:rsidRDefault="00461F91">
      <w:pPr>
        <w:autoSpaceDE w:val="0"/>
        <w:autoSpaceDN w:val="0"/>
        <w:adjustRightInd w:val="0"/>
        <w:spacing w:line="360" w:lineRule="auto"/>
        <w:jc w:val="both"/>
      </w:pPr>
      <w:r>
        <w:rPr>
          <w:iCs/>
        </w:rPr>
        <w:lastRenderedPageBreak/>
        <w:t>[47] Qian Hu, Fang Yang, Hao Fang, Chunhua Zhao,</w:t>
      </w:r>
      <w:r>
        <w:t xml:space="preserve"> </w:t>
      </w:r>
      <w:r>
        <w:rPr>
          <w:bCs/>
        </w:rPr>
        <w:t>The Preparation and Electrical Properties of La Doped Er</w:t>
      </w:r>
      <w:r>
        <w:rPr>
          <w:bCs/>
          <w:vertAlign w:val="subscript"/>
        </w:rPr>
        <w:t>0.2</w:t>
      </w:r>
      <w:r>
        <w:rPr>
          <w:bCs/>
        </w:rPr>
        <w:t>Ce</w:t>
      </w:r>
      <w:r>
        <w:rPr>
          <w:bCs/>
          <w:vertAlign w:val="subscript"/>
        </w:rPr>
        <w:t>0.8</w:t>
      </w:r>
      <w:r>
        <w:rPr>
          <w:bCs/>
        </w:rPr>
        <w:t>O</w:t>
      </w:r>
      <w:r>
        <w:rPr>
          <w:bCs/>
          <w:vertAlign w:val="subscript"/>
        </w:rPr>
        <w:t>1.9</w:t>
      </w:r>
      <w:r>
        <w:rPr>
          <w:bCs/>
        </w:rPr>
        <w:t xml:space="preserve"> Based Solid Electrolyte, </w:t>
      </w:r>
      <w:r>
        <w:rPr>
          <w:iCs/>
        </w:rPr>
        <w:t xml:space="preserve">Int. J. Electrochem. Sci., </w:t>
      </w:r>
      <w:r>
        <w:t xml:space="preserve">12 </w:t>
      </w:r>
      <w:r>
        <w:rPr>
          <w:bCs/>
        </w:rPr>
        <w:t xml:space="preserve">(2017) </w:t>
      </w:r>
      <w:r>
        <w:t>7411 – 7425.</w:t>
      </w:r>
    </w:p>
    <w:p w:rsidR="00EB6684" w:rsidRDefault="00461F91">
      <w:pPr>
        <w:spacing w:line="360" w:lineRule="auto"/>
        <w:jc w:val="both"/>
      </w:pPr>
      <w:r>
        <w:t>[48] Yu-Chuan Wu, Ching-Hung Chien, Guiying Xu Conductivity and microstructure analysis of ceria materials doped with multiple elements, Ceramics International 43 (2017) s747–s757.</w:t>
      </w:r>
    </w:p>
    <w:p w:rsidR="00EB6684" w:rsidRDefault="00461F91">
      <w:pPr>
        <w:spacing w:line="360" w:lineRule="auto"/>
        <w:jc w:val="both"/>
        <w:rPr>
          <w:bCs/>
        </w:rPr>
      </w:pPr>
      <w:r>
        <w:rPr>
          <w:szCs w:val="20"/>
        </w:rPr>
        <w:t xml:space="preserve">[49] Khagesh Tanwar, Nandini Jaiswal, Devendra Kumar, Om Parkash, Synthesis &amp; characterization of Dy and Ca Co-doped ceria based solid electrolytes for IT-SOFCs, </w:t>
      </w:r>
      <w:r>
        <w:rPr>
          <w:bCs/>
        </w:rPr>
        <w:t>Journal of Alloys and Compounds 684 (2018) 683–690.</w:t>
      </w:r>
    </w:p>
    <w:p w:rsidR="00EB6684" w:rsidRDefault="00461F91">
      <w:pPr>
        <w:spacing w:line="360" w:lineRule="auto"/>
        <w:jc w:val="both"/>
      </w:pPr>
      <w:r>
        <w:rPr>
          <w:rStyle w:val="fontstyle21"/>
          <w:rFonts w:ascii="Times New Roman" w:hAnsi="Times New Roman" w:cs="Times New Roman"/>
          <w:i w:val="0"/>
          <w:sz w:val="24"/>
        </w:rPr>
        <w:t>[50] Amjad Ali, Rizwan Raza, M. Kaleem Ullah, Asia Rafique, Baoyuan Wang and Bin Zhu,</w:t>
      </w:r>
      <w:r>
        <w:rPr>
          <w:rStyle w:val="fontstyle21"/>
          <w:rFonts w:ascii="Times New Roman" w:hAnsi="Times New Roman" w:cs="Times New Roman"/>
        </w:rPr>
        <w:t xml:space="preserve"> </w:t>
      </w:r>
      <w:r>
        <w:rPr>
          <w:rStyle w:val="fontstyle01"/>
          <w:rFonts w:ascii="Times New Roman" w:hAnsi="Times New Roman"/>
        </w:rPr>
        <w:t xml:space="preserve">Alkaline earth metal and samarium co-doped ceria as efficient electrolytes, </w:t>
      </w:r>
      <w:r>
        <w:t>Applied Physics Letters 112 (2018) 043902.</w:t>
      </w:r>
    </w:p>
    <w:p w:rsidR="00EB6684" w:rsidRDefault="00461F91">
      <w:pPr>
        <w:spacing w:line="360" w:lineRule="auto"/>
        <w:jc w:val="both"/>
        <w:rPr>
          <w:szCs w:val="20"/>
        </w:rPr>
      </w:pPr>
      <w:r>
        <w:t>[51]</w:t>
      </w:r>
      <w:r>
        <w:rPr>
          <w:szCs w:val="20"/>
        </w:rPr>
        <w:t xml:space="preserve"> Chittimadula Madhuri, Kasarapu Venkataramana, Alwiyah Nurhayati, C. Vishnuvardhan Reddy, Effect of La3+ and Pr3+ co-doping on structural, thermal and electrical properties of ceria ceramics as solid electrolytes for IT-SOFC applications, Current Applied Physics 18(10) (2018) 1134–1142. </w:t>
      </w:r>
    </w:p>
    <w:p w:rsidR="00EB6684" w:rsidRDefault="00461F91">
      <w:pPr>
        <w:spacing w:line="360" w:lineRule="auto"/>
        <w:jc w:val="both"/>
        <w:rPr>
          <w:szCs w:val="28"/>
        </w:rPr>
      </w:pPr>
      <w:r>
        <w:rPr>
          <w:szCs w:val="28"/>
        </w:rPr>
        <w:t>[52] Sk. Anirban, Proloy T. Das, Abhigyan Dutta, Effect of divalent cation addition on structure, conductivity and grain boundary properties in La doped ceria oxygen ion conductors, Ceramics International 45(5) (2019) 5751–5760.</w:t>
      </w:r>
    </w:p>
    <w:p w:rsidR="00EB6684" w:rsidRDefault="00461F91">
      <w:pPr>
        <w:spacing w:line="360" w:lineRule="auto"/>
        <w:jc w:val="both"/>
        <w:rPr>
          <w:bCs/>
        </w:rPr>
      </w:pPr>
      <w:r>
        <w:rPr>
          <w:bCs/>
        </w:rPr>
        <w:t xml:space="preserve">[53] </w:t>
      </w:r>
      <w:r>
        <w:t xml:space="preserve">Aliye Arabacı, Tuba Gürkaynak Altınçekiç, Mehtap Der and Mehmet Ali Faruk Öksüzömer, </w:t>
      </w:r>
      <w:r>
        <w:rPr>
          <w:bCs/>
        </w:rPr>
        <w:t>Preparation and properties of ceramic electrolytes in the Nd and Gd Co-Doped ceria systems prepared by Polyol Method, Journal of Alloys and Compounds 792 (2019) 1141–1149.</w:t>
      </w:r>
    </w:p>
    <w:p w:rsidR="00EB6684" w:rsidRDefault="00461F91">
      <w:pPr>
        <w:autoSpaceDE w:val="0"/>
        <w:autoSpaceDN w:val="0"/>
        <w:adjustRightInd w:val="0"/>
        <w:spacing w:line="360" w:lineRule="auto"/>
        <w:jc w:val="both"/>
      </w:pPr>
      <w:r>
        <w:rPr>
          <w:szCs w:val="28"/>
        </w:rPr>
        <w:t>[54]</w:t>
      </w:r>
      <w:r>
        <w:t xml:space="preserve"> Sk. Anirban, A. Dutta, microstructure and charge carrier dynamics in Pr-Sm-Eu triple-doped nanoceria, Solid State Ionics 295 (2016) 48–56.</w:t>
      </w:r>
    </w:p>
    <w:p w:rsidR="00EB6684" w:rsidRDefault="00461F91">
      <w:pPr>
        <w:spacing w:line="360" w:lineRule="auto"/>
        <w:jc w:val="both"/>
        <w:rPr>
          <w:bCs/>
        </w:rPr>
      </w:pPr>
      <w:r>
        <w:rPr>
          <w:szCs w:val="20"/>
        </w:rPr>
        <w:t>[55] M K Ullah, R Raza, M.I. Asghar, A Ali, A Iftikhar, G Abbas, M A Ahmad, I Hanif, M Akbar, P.D. Lund, Tri-doped ceria (M</w:t>
      </w:r>
      <w:r>
        <w:rPr>
          <w:szCs w:val="20"/>
          <w:vertAlign w:val="subscript"/>
        </w:rPr>
        <w:t>0.2</w:t>
      </w:r>
      <w:r>
        <w:rPr>
          <w:szCs w:val="20"/>
        </w:rPr>
        <w:t>Ce</w:t>
      </w:r>
      <w:r>
        <w:rPr>
          <w:szCs w:val="20"/>
          <w:vertAlign w:val="subscript"/>
        </w:rPr>
        <w:t>0.8</w:t>
      </w:r>
      <w:r>
        <w:rPr>
          <w:szCs w:val="20"/>
        </w:rPr>
        <w:t>O</w:t>
      </w:r>
      <w:r>
        <w:rPr>
          <w:szCs w:val="20"/>
          <w:vertAlign w:val="subscript"/>
        </w:rPr>
        <w:t>2-δ</w:t>
      </w:r>
      <w:r>
        <w:rPr>
          <w:szCs w:val="20"/>
        </w:rPr>
        <w:t>, M= Sm</w:t>
      </w:r>
      <w:r>
        <w:rPr>
          <w:szCs w:val="20"/>
          <w:vertAlign w:val="subscript"/>
        </w:rPr>
        <w:t>0.1</w:t>
      </w:r>
      <w:r>
        <w:rPr>
          <w:szCs w:val="20"/>
        </w:rPr>
        <w:t>, Ca</w:t>
      </w:r>
      <w:r>
        <w:rPr>
          <w:szCs w:val="20"/>
          <w:vertAlign w:val="subscript"/>
        </w:rPr>
        <w:t>0.05</w:t>
      </w:r>
      <w:r>
        <w:rPr>
          <w:szCs w:val="20"/>
        </w:rPr>
        <w:t>, Gd</w:t>
      </w:r>
      <w:r>
        <w:rPr>
          <w:szCs w:val="20"/>
          <w:vertAlign w:val="subscript"/>
        </w:rPr>
        <w:t>0.05</w:t>
      </w:r>
      <w:r>
        <w:rPr>
          <w:szCs w:val="20"/>
        </w:rPr>
        <w:t xml:space="preserve">) electrolyte for hydrogen and ethanol-based fuel cells, </w:t>
      </w:r>
      <w:r>
        <w:rPr>
          <w:bCs/>
        </w:rPr>
        <w:t>Journal of Alloys and Compounds 773 (2019) 548–554.</w:t>
      </w:r>
    </w:p>
    <w:p w:rsidR="00EB6684" w:rsidRDefault="00461F91">
      <w:pPr>
        <w:autoSpaceDE w:val="0"/>
        <w:autoSpaceDN w:val="0"/>
        <w:adjustRightInd w:val="0"/>
        <w:spacing w:line="360" w:lineRule="auto"/>
        <w:jc w:val="both"/>
      </w:pPr>
      <w:r>
        <w:t>[56] D. A. Anderson, S. I. Simak, N. V. Skorodumova, I. A. Abrikosov, B. Johansson, Optimization of ionic conductivity in doped ceria, PANS 103 (2006) 3518–3521.</w:t>
      </w:r>
    </w:p>
    <w:p w:rsidR="00EB6684" w:rsidRDefault="00461F91">
      <w:pPr>
        <w:autoSpaceDE w:val="0"/>
        <w:autoSpaceDN w:val="0"/>
        <w:adjustRightInd w:val="0"/>
        <w:spacing w:line="360" w:lineRule="auto"/>
        <w:jc w:val="both"/>
        <w:rPr>
          <w:color w:val="000000"/>
        </w:rPr>
      </w:pPr>
      <w:r>
        <w:rPr>
          <w:color w:val="000000"/>
        </w:rPr>
        <w:t>[57] S. Ramesh, K.C. James Raju, Preparation and characterization of Ce</w:t>
      </w:r>
      <w:r>
        <w:rPr>
          <w:color w:val="000000"/>
          <w:vertAlign w:val="subscript"/>
        </w:rPr>
        <w:t>1–x</w:t>
      </w:r>
      <w:r>
        <w:rPr>
          <w:color w:val="000000"/>
        </w:rPr>
        <w:t>(Gd</w:t>
      </w:r>
      <w:r>
        <w:rPr>
          <w:color w:val="000000"/>
          <w:vertAlign w:val="subscript"/>
        </w:rPr>
        <w:t>0.5</w:t>
      </w:r>
      <w:r>
        <w:rPr>
          <w:color w:val="000000"/>
        </w:rPr>
        <w:t>Pr</w:t>
      </w:r>
      <w:r>
        <w:rPr>
          <w:color w:val="000000"/>
          <w:vertAlign w:val="subscript"/>
        </w:rPr>
        <w:t>0.5</w:t>
      </w:r>
      <w:r>
        <w:rPr>
          <w:color w:val="000000"/>
        </w:rPr>
        <w:t>)</w:t>
      </w:r>
      <w:r>
        <w:rPr>
          <w:color w:val="000000"/>
          <w:vertAlign w:val="subscript"/>
        </w:rPr>
        <w:t>x</w:t>
      </w:r>
      <w:r>
        <w:rPr>
          <w:color w:val="000000"/>
        </w:rPr>
        <w:t>O</w:t>
      </w:r>
      <w:r>
        <w:rPr>
          <w:color w:val="000000"/>
          <w:vertAlign w:val="subscript"/>
        </w:rPr>
        <w:t>2</w:t>
      </w:r>
      <w:r>
        <w:rPr>
          <w:color w:val="000000"/>
        </w:rPr>
        <w:t xml:space="preserve"> electrolyte for IT-SOFCs, Int. J. Hydrogen Energy. 37 (2012) 10311–10317.</w:t>
      </w:r>
    </w:p>
    <w:p w:rsidR="00EB6684" w:rsidRDefault="00461F91">
      <w:pPr>
        <w:autoSpaceDE w:val="0"/>
        <w:autoSpaceDN w:val="0"/>
        <w:adjustRightInd w:val="0"/>
        <w:spacing w:line="360" w:lineRule="auto"/>
        <w:jc w:val="both"/>
      </w:pPr>
      <w:r>
        <w:lastRenderedPageBreak/>
        <w:t>[58] A. Rai, P. Mehta, S. Omar, Conduction behavior in Sm</w:t>
      </w:r>
      <w:r>
        <w:rPr>
          <w:vertAlign w:val="subscript"/>
        </w:rPr>
        <w:t>x</w:t>
      </w:r>
      <w:r>
        <w:t>Nd</w:t>
      </w:r>
      <w:r>
        <w:rPr>
          <w:vertAlign w:val="subscript"/>
        </w:rPr>
        <w:t>0.15-x</w:t>
      </w:r>
      <w:r>
        <w:t>Ce</w:t>
      </w:r>
      <w:r>
        <w:rPr>
          <w:vertAlign w:val="subscript"/>
        </w:rPr>
        <w:t>0.85</w:t>
      </w:r>
      <w:r>
        <w:t>O</w:t>
      </w:r>
      <w:r>
        <w:rPr>
          <w:vertAlign w:val="subscript"/>
        </w:rPr>
        <w:t>2-δ</w:t>
      </w:r>
      <w:r>
        <w:t>, Solid state Ionics 263 (2014) 190–196.</w:t>
      </w:r>
    </w:p>
    <w:p w:rsidR="00EB6684" w:rsidRDefault="00461F91">
      <w:pPr>
        <w:spacing w:line="360" w:lineRule="auto"/>
        <w:jc w:val="both"/>
      </w:pPr>
      <w:r>
        <w:t>[59] S. R. Hui, J. Roller, S. Yick, X. Zhang, C. D. Petit, Y. Xie, R. Maric, G. Ghosh, A Brief Review of the Ionic Conductivity Enhancement for Selected Oxide Electrolytes, J. Power sources 172 (2007) 493-502.</w:t>
      </w:r>
    </w:p>
    <w:p w:rsidR="00EB6684" w:rsidRDefault="00461F91">
      <w:pPr>
        <w:autoSpaceDE w:val="0"/>
        <w:autoSpaceDN w:val="0"/>
        <w:adjustRightInd w:val="0"/>
        <w:spacing w:line="360" w:lineRule="auto"/>
        <w:jc w:val="both"/>
        <w:rPr>
          <w:color w:val="000000"/>
        </w:rPr>
      </w:pPr>
      <w:r>
        <w:rPr>
          <w:color w:val="000000"/>
        </w:rPr>
        <w:t>[60] Bin Zhu, Functional ceria-salt-composite materials for advanced ITSOFC applications, J. Power Sources 114 (2003) 1-9.</w:t>
      </w:r>
    </w:p>
    <w:p w:rsidR="00EB6684" w:rsidRDefault="00461F91">
      <w:pPr>
        <w:autoSpaceDE w:val="0"/>
        <w:autoSpaceDN w:val="0"/>
        <w:adjustRightInd w:val="0"/>
        <w:spacing w:line="360" w:lineRule="auto"/>
        <w:jc w:val="both"/>
      </w:pPr>
      <w:r>
        <w:t>[61] J. Huang, Z. Mao, Z. Liu, C. Wang, Development of novel low-temperature SOFCs with co-ionic conducting SDC-carbonate composite electrolytes, Electrochem Commun 9 (2007) 2601-2605.</w:t>
      </w:r>
    </w:p>
    <w:p w:rsidR="00EB6684" w:rsidRDefault="00461F91">
      <w:pPr>
        <w:autoSpaceDE w:val="0"/>
        <w:autoSpaceDN w:val="0"/>
        <w:adjustRightInd w:val="0"/>
        <w:spacing w:line="360" w:lineRule="auto"/>
        <w:jc w:val="both"/>
      </w:pPr>
      <w:r>
        <w:rPr>
          <w:color w:val="242021"/>
        </w:rPr>
        <w:t xml:space="preserve">[62] </w:t>
      </w:r>
      <w:r>
        <w:t>Kasarapu Venkataramana</w:t>
      </w:r>
      <w:r>
        <w:rPr>
          <w:rFonts w:eastAsia="STIX General"/>
        </w:rPr>
        <w:t>, Chittimadula Madhuri, C. Vishnuvardhan Reddy,</w:t>
      </w:r>
      <w:r>
        <w:t xml:space="preserve"> Triple-doped Ceria–Carbonate (Ce</w:t>
      </w:r>
      <w:r>
        <w:rPr>
          <w:vertAlign w:val="subscript"/>
        </w:rPr>
        <w:t>0.82</w:t>
      </w:r>
      <w:r>
        <w:t>La</w:t>
      </w:r>
      <w:r>
        <w:rPr>
          <w:vertAlign w:val="subscript"/>
        </w:rPr>
        <w:t>0.06</w:t>
      </w:r>
      <w:r>
        <w:t>Sm</w:t>
      </w:r>
      <w:r>
        <w:rPr>
          <w:vertAlign w:val="subscript"/>
        </w:rPr>
        <w:t>0.06</w:t>
      </w:r>
      <w:r>
        <w:t>Gd</w:t>
      </w:r>
      <w:r>
        <w:rPr>
          <w:vertAlign w:val="subscript"/>
        </w:rPr>
        <w:t>0.06</w:t>
      </w:r>
      <w:r>
        <w:t>O</w:t>
      </w:r>
      <w:r>
        <w:rPr>
          <w:vertAlign w:val="subscript"/>
        </w:rPr>
        <w:t>2-δ</w:t>
      </w:r>
      <w:r>
        <w:t xml:space="preserve"> – (Li–Na)</w:t>
      </w:r>
      <w:r>
        <w:rPr>
          <w:vertAlign w:val="subscript"/>
        </w:rPr>
        <w:t>2</w:t>
      </w:r>
      <w:r>
        <w:t>CO</w:t>
      </w:r>
      <w:r>
        <w:rPr>
          <w:vertAlign w:val="subscript"/>
        </w:rPr>
        <w:t>3</w:t>
      </w:r>
      <w:r>
        <w:t xml:space="preserve">) nanocomposite solid electrolyte materials for LT–SOFC applications, Ceramics International 46 (2020) 27584–27594. </w:t>
      </w:r>
    </w:p>
    <w:p w:rsidR="00EB6684" w:rsidRDefault="00461F91">
      <w:pPr>
        <w:autoSpaceDE w:val="0"/>
        <w:autoSpaceDN w:val="0"/>
        <w:adjustRightInd w:val="0"/>
        <w:spacing w:line="360" w:lineRule="auto"/>
        <w:jc w:val="both"/>
      </w:pPr>
      <w:r>
        <w:t>[63] I. Khan, P. K. Tiwari, S. Basu, Analysis of gadolinium-doped ceria-ternary carbonate composite electrolytes for solid oxide fuel cells, Ionics 24 (2018) 211–219.</w:t>
      </w:r>
    </w:p>
    <w:p w:rsidR="00EB6684" w:rsidRDefault="00461F91">
      <w:pPr>
        <w:autoSpaceDE w:val="0"/>
        <w:autoSpaceDN w:val="0"/>
        <w:adjustRightInd w:val="0"/>
        <w:spacing w:line="360" w:lineRule="auto"/>
        <w:jc w:val="both"/>
      </w:pPr>
      <w:r>
        <w:t>[64] A. Ali, A. Rafique, M. Kaleemullah, G. Abbas, M. A. Khan, M. A. Ahmad, R. Raza, Effect of alkali-carbonates (single, binary, and ternary) on doped ceria, a composite electrolyte for low temperature solid oxide fuel cells, ACS Appl. Mater. Interfaces 10 (2018) 806–818.</w:t>
      </w:r>
    </w:p>
    <w:p w:rsidR="00EB6684" w:rsidRDefault="00461F91">
      <w:pPr>
        <w:autoSpaceDE w:val="0"/>
        <w:autoSpaceDN w:val="0"/>
        <w:adjustRightInd w:val="0"/>
        <w:spacing w:line="360" w:lineRule="auto"/>
        <w:jc w:val="both"/>
      </w:pPr>
      <w:r>
        <w:t>[65] J. Huang, Z. Gao, Z. Mao, Effects of salt composition on the electrical properties of samaria-doped ceria/carbonate composite electrolytes for low-temperature SOFCs, Int. Journal of Hydrogen Energy 35 (2010) 4270–4275.</w:t>
      </w:r>
    </w:p>
    <w:p w:rsidR="00EB6684" w:rsidRDefault="00461F91">
      <w:pPr>
        <w:autoSpaceDE w:val="0"/>
        <w:autoSpaceDN w:val="0"/>
        <w:adjustRightInd w:val="0"/>
        <w:spacing w:line="360" w:lineRule="auto"/>
        <w:jc w:val="both"/>
      </w:pPr>
      <w:r>
        <w:t xml:space="preserve">[66] Yifu Jing, Peter D. Lund, Effect of alkali carbonate in samarium-doped ceria electrolyte for a ceramic fuel cell, Nano Energy Systems (2016) </w:t>
      </w:r>
      <w:proofErr w:type="spellStart"/>
      <w:r>
        <w:t>doi</w:t>
      </w:r>
      <w:proofErr w:type="spellEnd"/>
      <w:r>
        <w:t xml:space="preserve">: </w:t>
      </w:r>
      <w:hyperlink r:id="rId16" w:history="1">
        <w:r>
          <w:rPr>
            <w:rStyle w:val="Hyperlink"/>
            <w:color w:val="auto"/>
          </w:rPr>
          <w:t>10.24274/nes.2016.a6</w:t>
        </w:r>
      </w:hyperlink>
      <w:r>
        <w:t>.</w:t>
      </w:r>
    </w:p>
    <w:p w:rsidR="00EB6684" w:rsidRDefault="00461F91">
      <w:pPr>
        <w:autoSpaceDE w:val="0"/>
        <w:autoSpaceDN w:val="0"/>
        <w:adjustRightInd w:val="0"/>
        <w:spacing w:line="360" w:lineRule="auto"/>
        <w:jc w:val="both"/>
        <w:rPr>
          <w:color w:val="000000"/>
        </w:rPr>
      </w:pPr>
      <w:r>
        <w:rPr>
          <w:color w:val="000000"/>
        </w:rPr>
        <w:t>[67] Z. Gao, J. Huang, Z. Mao, C. Wang, Z. Liu, Preparation and characterization of nanocrystalline Ce</w:t>
      </w:r>
      <w:r>
        <w:rPr>
          <w:color w:val="000000"/>
          <w:vertAlign w:val="subscript"/>
        </w:rPr>
        <w:t>0.8</w:t>
      </w:r>
      <w:r>
        <w:rPr>
          <w:color w:val="000000"/>
        </w:rPr>
        <w:t>Sm</w:t>
      </w:r>
      <w:r>
        <w:rPr>
          <w:color w:val="000000"/>
          <w:vertAlign w:val="subscript"/>
        </w:rPr>
        <w:t>0.2</w:t>
      </w:r>
      <w:r>
        <w:rPr>
          <w:color w:val="000000"/>
        </w:rPr>
        <w:t>O</w:t>
      </w:r>
      <w:r>
        <w:rPr>
          <w:color w:val="000000"/>
          <w:vertAlign w:val="subscript"/>
        </w:rPr>
        <w:t>1.9</w:t>
      </w:r>
      <w:r>
        <w:rPr>
          <w:color w:val="000000"/>
        </w:rPr>
        <w:t xml:space="preserve"> for low temperature solid oxide fuel cells based on composite electrolyte, Int. J. Hydrogen Energy. 35 (2010) 731–737.</w:t>
      </w:r>
    </w:p>
    <w:p w:rsidR="00EB6684" w:rsidRDefault="00461F91">
      <w:pPr>
        <w:autoSpaceDE w:val="0"/>
        <w:autoSpaceDN w:val="0"/>
        <w:adjustRightInd w:val="0"/>
        <w:spacing w:line="360" w:lineRule="auto"/>
        <w:jc w:val="both"/>
        <w:rPr>
          <w:color w:val="000000"/>
        </w:rPr>
      </w:pPr>
      <w:r>
        <w:rPr>
          <w:color w:val="000000"/>
        </w:rPr>
        <w:t>[68] S. Rajesh, D. A. Macedo, R. M. Nascimento, G. L. Souza, F. M. L. Figueiredo, F. M. B. Marques, One-step synthesis of composite electrolytes of Eu-doped ceria and alkali metal carbonates, Int. J. Hydrogen Energy. 36 (2013) 16539–16545.</w:t>
      </w:r>
    </w:p>
    <w:p w:rsidR="00EB6684" w:rsidRDefault="00461F91">
      <w:pPr>
        <w:autoSpaceDE w:val="0"/>
        <w:autoSpaceDN w:val="0"/>
        <w:adjustRightInd w:val="0"/>
        <w:spacing w:line="360" w:lineRule="auto"/>
        <w:jc w:val="both"/>
        <w:rPr>
          <w:color w:val="000000"/>
        </w:rPr>
      </w:pPr>
      <w:r>
        <w:rPr>
          <w:color w:val="000000"/>
        </w:rPr>
        <w:lastRenderedPageBreak/>
        <w:t>[69] I. Khan, M. I. Asghar, P. D. Lund, S. Basu, High conductive (LiNaK)</w:t>
      </w:r>
      <w:r>
        <w:rPr>
          <w:color w:val="000000"/>
          <w:vertAlign w:val="subscript"/>
        </w:rPr>
        <w:t>2</w:t>
      </w:r>
      <w:r>
        <w:rPr>
          <w:color w:val="000000"/>
        </w:rPr>
        <w:t>CO</w:t>
      </w:r>
      <w:r>
        <w:rPr>
          <w:color w:val="000000"/>
          <w:vertAlign w:val="subscript"/>
        </w:rPr>
        <w:t>3</w:t>
      </w:r>
      <w:r>
        <w:rPr>
          <w:color w:val="000000"/>
        </w:rPr>
        <w:t>–Ce</w:t>
      </w:r>
      <w:r>
        <w:rPr>
          <w:color w:val="000000"/>
          <w:vertAlign w:val="subscript"/>
        </w:rPr>
        <w:t>0.85</w:t>
      </w:r>
      <w:r>
        <w:rPr>
          <w:color w:val="000000"/>
        </w:rPr>
        <w:t>Sm</w:t>
      </w:r>
      <w:r>
        <w:rPr>
          <w:color w:val="000000"/>
          <w:vertAlign w:val="subscript"/>
        </w:rPr>
        <w:t>0.15</w:t>
      </w:r>
      <w:r>
        <w:rPr>
          <w:color w:val="000000"/>
        </w:rPr>
        <w:t>O</w:t>
      </w:r>
      <w:r>
        <w:rPr>
          <w:color w:val="000000"/>
          <w:vertAlign w:val="subscript"/>
        </w:rPr>
        <w:t>2</w:t>
      </w:r>
      <w:r>
        <w:rPr>
          <w:color w:val="000000"/>
        </w:rPr>
        <w:t xml:space="preserve"> electrolyte compositions for IT-SOFC applications, Int. J. Hydrogen Energy. 42 (2017) 20904–20909.</w:t>
      </w:r>
    </w:p>
    <w:p w:rsidR="00EB6684" w:rsidRDefault="00461F91">
      <w:pPr>
        <w:autoSpaceDE w:val="0"/>
        <w:autoSpaceDN w:val="0"/>
        <w:adjustRightInd w:val="0"/>
        <w:spacing w:line="360" w:lineRule="auto"/>
        <w:jc w:val="both"/>
        <w:rPr>
          <w:color w:val="000000"/>
        </w:rPr>
      </w:pPr>
      <w:r>
        <w:rPr>
          <w:color w:val="000000"/>
        </w:rPr>
        <w:t>[70] M. anwar, M. Ali S. A., A. Muchtar, M. R. Somalu, Synthesis and characterizations of M-doped ceria-ternary carbonate composite electrolytes (M=erbium, lanthanum and strontium) for low-temperature solid oxide fuel cells, Journal of Alloys and compounds 775 (2019) 571–580.</w:t>
      </w:r>
    </w:p>
    <w:p w:rsidR="00EB6684" w:rsidRDefault="00461F91">
      <w:pPr>
        <w:autoSpaceDE w:val="0"/>
        <w:autoSpaceDN w:val="0"/>
        <w:adjustRightInd w:val="0"/>
        <w:spacing w:line="360" w:lineRule="auto"/>
        <w:jc w:val="both"/>
      </w:pPr>
      <w:r>
        <w:t xml:space="preserve">[71] R. Raza, H. Qin, L. Fan, K. Takeda, M. Mizuhata, B. Zhu, Electrochemical study on co-doped ceria–carbonate composite electrolyte, Journal of Power Sources 201 (2012) 121–127.  </w:t>
      </w:r>
    </w:p>
    <w:p w:rsidR="00EB6684" w:rsidRDefault="00461F91">
      <w:pPr>
        <w:pStyle w:val="Reference"/>
        <w:spacing w:line="360" w:lineRule="auto"/>
        <w:ind w:left="0" w:firstLine="0"/>
        <w:rPr>
          <w:sz w:val="24"/>
          <w:szCs w:val="24"/>
        </w:rPr>
      </w:pPr>
      <w:r>
        <w:rPr>
          <w:sz w:val="24"/>
          <w:szCs w:val="24"/>
        </w:rPr>
        <w:t>[72] N. Jaiswal, S. Upadhyay, D. Kumar, O. Parkash, Ionic conduction in Mg</w:t>
      </w:r>
      <w:r>
        <w:rPr>
          <w:sz w:val="24"/>
          <w:szCs w:val="24"/>
          <w:vertAlign w:val="superscript"/>
        </w:rPr>
        <w:t>2+</w:t>
      </w:r>
      <w:r>
        <w:rPr>
          <w:sz w:val="24"/>
          <w:szCs w:val="24"/>
        </w:rPr>
        <w:t xml:space="preserve"> and Sr</w:t>
      </w:r>
      <w:r>
        <w:rPr>
          <w:sz w:val="24"/>
          <w:szCs w:val="24"/>
          <w:vertAlign w:val="superscript"/>
        </w:rPr>
        <w:t>2+</w:t>
      </w:r>
      <w:r>
        <w:rPr>
          <w:sz w:val="24"/>
          <w:szCs w:val="24"/>
        </w:rPr>
        <w:t>co-doped ceria/carbonates nanocomposite electrolytes, Int. J. Hydr. Ene. 40 (2015) 313-3320.</w:t>
      </w:r>
    </w:p>
    <w:p w:rsidR="00EB6684" w:rsidRDefault="00461F91">
      <w:pPr>
        <w:autoSpaceDE w:val="0"/>
        <w:autoSpaceDN w:val="0"/>
        <w:adjustRightInd w:val="0"/>
        <w:spacing w:line="360" w:lineRule="auto"/>
        <w:jc w:val="both"/>
      </w:pPr>
      <w:r>
        <w:t>[73] N. Jaiswal, S. Upadhyay, D. Kumar, O. Parkash, Ca</w:t>
      </w:r>
      <w:r>
        <w:rPr>
          <w:vertAlign w:val="superscript"/>
        </w:rPr>
        <w:t>2+</w:t>
      </w:r>
      <w:r>
        <w:t xml:space="preserve"> and Sr</w:t>
      </w:r>
      <w:r>
        <w:rPr>
          <w:vertAlign w:val="superscript"/>
        </w:rPr>
        <w:t>2+</w:t>
      </w:r>
      <w:r>
        <w:t xml:space="preserve"> co-doped ceria/carbonates nanocomposites for low temperature solid oxide fuel cells: Composite effect, Ceramics International 41 (2015) 15162–15169.</w:t>
      </w:r>
    </w:p>
    <w:p w:rsidR="00EB6684" w:rsidRDefault="00461F91">
      <w:pPr>
        <w:autoSpaceDE w:val="0"/>
        <w:autoSpaceDN w:val="0"/>
        <w:adjustRightInd w:val="0"/>
        <w:spacing w:line="360" w:lineRule="auto"/>
        <w:jc w:val="both"/>
      </w:pPr>
      <w:r>
        <w:t>[74] K. Tanwar, N. Jaiswal, P. Sharma, D. Kumar, O. Parkash, Structural analysis of Ce0.83Dy0.14Ca0.03O1.90 (CDC) and enhanced electrical conductivity of its composites with alkali carbonates for LT-SOFCs, Journal of Alloys and compounds 741 (2018) 532–541.</w:t>
      </w:r>
    </w:p>
    <w:p w:rsidR="00EB6684" w:rsidRDefault="00461F91">
      <w:pPr>
        <w:autoSpaceDE w:val="0"/>
        <w:autoSpaceDN w:val="0"/>
        <w:adjustRightInd w:val="0"/>
        <w:spacing w:line="360" w:lineRule="auto"/>
        <w:jc w:val="both"/>
      </w:pPr>
      <w:r>
        <w:t>[75] Chittimadula Madhuri, Kasarapu Venkataramana, S. Ramesh, Jada Shanker, C. Vishnuvardhan Reddy, Investigation of Triple</w:t>
      </w:r>
      <w:r>
        <w:noBreakHyphen/>
        <w:t>doped Ceria</w:t>
      </w:r>
      <w:r>
        <w:noBreakHyphen/>
        <w:t>Based Composite Materials for LT</w:t>
      </w:r>
      <w:r>
        <w:noBreakHyphen/>
        <w:t>SOFC Applications, Journal of Electronic Materials 51 (2022) 5908–5918.</w:t>
      </w:r>
    </w:p>
    <w:p w:rsidR="00EB6684" w:rsidRDefault="00461F91">
      <w:pPr>
        <w:autoSpaceDE w:val="0"/>
        <w:autoSpaceDN w:val="0"/>
        <w:adjustRightInd w:val="0"/>
        <w:spacing w:line="360" w:lineRule="auto"/>
        <w:jc w:val="both"/>
      </w:pPr>
      <w:r>
        <w:t>[76] Kasarapu Venkataramana, Ch. Sarika, Ch. Madhusudan, Jada Shanker, Effect of carbonate phase on triple-doped ceria solid electrolyte for LT-SOFCs, Materials today Proceedings 95(2) (2023) 669–702.</w:t>
      </w:r>
    </w:p>
    <w:p w:rsidR="00EB6684" w:rsidRDefault="00EB6684">
      <w:pPr>
        <w:autoSpaceDE w:val="0"/>
        <w:autoSpaceDN w:val="0"/>
        <w:adjustRightInd w:val="0"/>
        <w:spacing w:line="360" w:lineRule="auto"/>
        <w:jc w:val="both"/>
      </w:pPr>
    </w:p>
    <w:sectPr w:rsidR="00EB6684" w:rsidSect="00EA76D3">
      <w:headerReference w:type="even" r:id="rId17"/>
      <w:headerReference w:type="default" r:id="rId18"/>
      <w:footerReference w:type="even" r:id="rId19"/>
      <w:footerReference w:type="default" r:id="rId20"/>
      <w:headerReference w:type="first" r:id="rId2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73C" w:rsidRDefault="0043573C">
      <w:r>
        <w:separator/>
      </w:r>
    </w:p>
  </w:endnote>
  <w:endnote w:type="continuationSeparator" w:id="0">
    <w:p w:rsidR="0043573C" w:rsidRDefault="00435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altName w:val="Wingdings 3"/>
    <w:panose1 w:val="050401020108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AJEP+Arial">
    <w:altName w:val="Arial"/>
    <w:charset w:val="00"/>
    <w:family w:val="swiss"/>
    <w:pitch w:val="default"/>
    <w:sig w:usb0="00000083" w:usb1="00000000" w:usb2="00000000" w:usb3="00000000" w:csb0="00000009" w:csb1="00000000"/>
  </w:font>
  <w:font w:name="Times-Roman">
    <w:altName w:val="Times New Roman"/>
    <w:charset w:val="00"/>
    <w:family w:val="roman"/>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Math">
    <w:altName w:val="Times New Roman"/>
    <w:panose1 w:val="00000000000000000000"/>
    <w:charset w:val="00"/>
    <w:family w:val="roman"/>
    <w:notTrueType/>
    <w:pitch w:val="default"/>
  </w:font>
  <w:font w:name="STIX General">
    <w:altName w:val="Arial Unicode MS"/>
    <w:charset w:val="81"/>
    <w:family w:val="swiss"/>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04" w:rsidRDefault="001217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121704" w:rsidRDefault="0012170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04" w:rsidRDefault="00121704">
    <w:pPr>
      <w:pStyle w:val="Footer"/>
      <w:jc w:val="center"/>
    </w:pPr>
    <w:r>
      <w:fldChar w:fldCharType="begin"/>
    </w:r>
    <w:r>
      <w:instrText xml:space="preserve"> PAGE   \* MERGEFORMAT </w:instrText>
    </w:r>
    <w:r>
      <w:fldChar w:fldCharType="separate"/>
    </w:r>
    <w:r w:rsidR="006D5B22">
      <w:rPr>
        <w:noProof/>
      </w:rPr>
      <w:t>25</w:t>
    </w:r>
    <w:r>
      <w:rPr>
        <w:noProof/>
      </w:rPr>
      <w:fldChar w:fldCharType="end"/>
    </w:r>
  </w:p>
  <w:p w:rsidR="00121704" w:rsidRDefault="0012170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73C" w:rsidRDefault="0043573C">
      <w:r>
        <w:separator/>
      </w:r>
    </w:p>
  </w:footnote>
  <w:footnote w:type="continuationSeparator" w:id="0">
    <w:p w:rsidR="0043573C" w:rsidRDefault="00435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04" w:rsidRDefault="00121704">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121704" w:rsidRDefault="0012170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04" w:rsidRDefault="00121704">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04" w:rsidRDefault="001217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B6A95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7AE66C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5E2FE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95F4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D74868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6"/>
    <w:multiLevelType w:val="hybridMultilevel"/>
    <w:tmpl w:val="046015BA"/>
    <w:lvl w:ilvl="0" w:tplc="7472DDCE">
      <w:start w:val="1"/>
      <w:numFmt w:val="bullet"/>
      <w:lvlText w:val="•"/>
      <w:lvlJc w:val="left"/>
      <w:pPr>
        <w:tabs>
          <w:tab w:val="left" w:pos="720"/>
        </w:tabs>
        <w:ind w:left="720" w:hanging="360"/>
      </w:pPr>
      <w:rPr>
        <w:rFonts w:ascii="Times New Roman" w:hAnsi="Times New Roman" w:hint="default"/>
      </w:rPr>
    </w:lvl>
    <w:lvl w:ilvl="1" w:tplc="04090005">
      <w:start w:val="1"/>
      <w:numFmt w:val="bullet"/>
      <w:lvlText w:val=""/>
      <w:lvlJc w:val="left"/>
      <w:pPr>
        <w:tabs>
          <w:tab w:val="left" w:pos="1440"/>
        </w:tabs>
        <w:ind w:left="1440" w:hanging="360"/>
      </w:pPr>
      <w:rPr>
        <w:rFonts w:ascii="Wingdings" w:hAnsi="Wingdings" w:hint="default"/>
      </w:rPr>
    </w:lvl>
    <w:lvl w:ilvl="2" w:tplc="52641DB2" w:tentative="1">
      <w:start w:val="1"/>
      <w:numFmt w:val="bullet"/>
      <w:lvlText w:val="•"/>
      <w:lvlJc w:val="left"/>
      <w:pPr>
        <w:tabs>
          <w:tab w:val="left" w:pos="2160"/>
        </w:tabs>
        <w:ind w:left="2160" w:hanging="360"/>
      </w:pPr>
      <w:rPr>
        <w:rFonts w:ascii="Times New Roman" w:hAnsi="Times New Roman" w:hint="default"/>
      </w:rPr>
    </w:lvl>
    <w:lvl w:ilvl="3" w:tplc="A3765B04" w:tentative="1">
      <w:start w:val="1"/>
      <w:numFmt w:val="bullet"/>
      <w:lvlText w:val="•"/>
      <w:lvlJc w:val="left"/>
      <w:pPr>
        <w:tabs>
          <w:tab w:val="left" w:pos="2880"/>
        </w:tabs>
        <w:ind w:left="2880" w:hanging="360"/>
      </w:pPr>
      <w:rPr>
        <w:rFonts w:ascii="Times New Roman" w:hAnsi="Times New Roman" w:hint="default"/>
      </w:rPr>
    </w:lvl>
    <w:lvl w:ilvl="4" w:tplc="275A12F6" w:tentative="1">
      <w:start w:val="1"/>
      <w:numFmt w:val="bullet"/>
      <w:lvlText w:val="•"/>
      <w:lvlJc w:val="left"/>
      <w:pPr>
        <w:tabs>
          <w:tab w:val="left" w:pos="3600"/>
        </w:tabs>
        <w:ind w:left="3600" w:hanging="360"/>
      </w:pPr>
      <w:rPr>
        <w:rFonts w:ascii="Times New Roman" w:hAnsi="Times New Roman" w:hint="default"/>
      </w:rPr>
    </w:lvl>
    <w:lvl w:ilvl="5" w:tplc="D482136C" w:tentative="1">
      <w:start w:val="1"/>
      <w:numFmt w:val="bullet"/>
      <w:lvlText w:val="•"/>
      <w:lvlJc w:val="left"/>
      <w:pPr>
        <w:tabs>
          <w:tab w:val="left" w:pos="4320"/>
        </w:tabs>
        <w:ind w:left="4320" w:hanging="360"/>
      </w:pPr>
      <w:rPr>
        <w:rFonts w:ascii="Times New Roman" w:hAnsi="Times New Roman" w:hint="default"/>
      </w:rPr>
    </w:lvl>
    <w:lvl w:ilvl="6" w:tplc="84A67A4A" w:tentative="1">
      <w:start w:val="1"/>
      <w:numFmt w:val="bullet"/>
      <w:lvlText w:val="•"/>
      <w:lvlJc w:val="left"/>
      <w:pPr>
        <w:tabs>
          <w:tab w:val="left" w:pos="5040"/>
        </w:tabs>
        <w:ind w:left="5040" w:hanging="360"/>
      </w:pPr>
      <w:rPr>
        <w:rFonts w:ascii="Times New Roman" w:hAnsi="Times New Roman" w:hint="default"/>
      </w:rPr>
    </w:lvl>
    <w:lvl w:ilvl="7" w:tplc="D84432D4" w:tentative="1">
      <w:start w:val="1"/>
      <w:numFmt w:val="bullet"/>
      <w:lvlText w:val="•"/>
      <w:lvlJc w:val="left"/>
      <w:pPr>
        <w:tabs>
          <w:tab w:val="left" w:pos="5760"/>
        </w:tabs>
        <w:ind w:left="5760" w:hanging="360"/>
      </w:pPr>
      <w:rPr>
        <w:rFonts w:ascii="Times New Roman" w:hAnsi="Times New Roman" w:hint="default"/>
      </w:rPr>
    </w:lvl>
    <w:lvl w:ilvl="8" w:tplc="7980B0B0" w:tentative="1">
      <w:start w:val="1"/>
      <w:numFmt w:val="bullet"/>
      <w:lvlText w:val="•"/>
      <w:lvlJc w:val="left"/>
      <w:pPr>
        <w:tabs>
          <w:tab w:val="left" w:pos="6480"/>
        </w:tabs>
        <w:ind w:left="6480" w:hanging="360"/>
      </w:pPr>
      <w:rPr>
        <w:rFonts w:ascii="Times New Roman" w:hAnsi="Times New Roman" w:hint="default"/>
      </w:rPr>
    </w:lvl>
  </w:abstractNum>
  <w:abstractNum w:abstractNumId="6">
    <w:nsid w:val="00000007"/>
    <w:multiLevelType w:val="hybridMultilevel"/>
    <w:tmpl w:val="07E2D60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D6C4C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B0B6CC2C"/>
    <w:lvl w:ilvl="0" w:tplc="5712A8FA">
      <w:start w:val="1"/>
      <w:numFmt w:val="bullet"/>
      <w:lvlText w:val=""/>
      <w:lvlJc w:val="left"/>
      <w:pPr>
        <w:tabs>
          <w:tab w:val="left" w:pos="720"/>
        </w:tabs>
        <w:ind w:left="720" w:hanging="360"/>
      </w:pPr>
      <w:rPr>
        <w:rFonts w:ascii="Wingdings 3" w:hAnsi="Wingdings 3" w:hint="default"/>
      </w:rPr>
    </w:lvl>
    <w:lvl w:ilvl="1" w:tplc="EF7878DA" w:tentative="1">
      <w:start w:val="1"/>
      <w:numFmt w:val="bullet"/>
      <w:lvlText w:val=""/>
      <w:lvlJc w:val="left"/>
      <w:pPr>
        <w:tabs>
          <w:tab w:val="left" w:pos="1440"/>
        </w:tabs>
        <w:ind w:left="1440" w:hanging="360"/>
      </w:pPr>
      <w:rPr>
        <w:rFonts w:ascii="Wingdings 3" w:hAnsi="Wingdings 3" w:hint="default"/>
      </w:rPr>
    </w:lvl>
    <w:lvl w:ilvl="2" w:tplc="B40CE858" w:tentative="1">
      <w:start w:val="1"/>
      <w:numFmt w:val="bullet"/>
      <w:lvlText w:val=""/>
      <w:lvlJc w:val="left"/>
      <w:pPr>
        <w:tabs>
          <w:tab w:val="left" w:pos="2160"/>
        </w:tabs>
        <w:ind w:left="2160" w:hanging="360"/>
      </w:pPr>
      <w:rPr>
        <w:rFonts w:ascii="Wingdings 3" w:hAnsi="Wingdings 3" w:hint="default"/>
      </w:rPr>
    </w:lvl>
    <w:lvl w:ilvl="3" w:tplc="0A9C5DE6" w:tentative="1">
      <w:start w:val="1"/>
      <w:numFmt w:val="bullet"/>
      <w:lvlText w:val=""/>
      <w:lvlJc w:val="left"/>
      <w:pPr>
        <w:tabs>
          <w:tab w:val="left" w:pos="2880"/>
        </w:tabs>
        <w:ind w:left="2880" w:hanging="360"/>
      </w:pPr>
      <w:rPr>
        <w:rFonts w:ascii="Wingdings 3" w:hAnsi="Wingdings 3" w:hint="default"/>
      </w:rPr>
    </w:lvl>
    <w:lvl w:ilvl="4" w:tplc="CC125240" w:tentative="1">
      <w:start w:val="1"/>
      <w:numFmt w:val="bullet"/>
      <w:lvlText w:val=""/>
      <w:lvlJc w:val="left"/>
      <w:pPr>
        <w:tabs>
          <w:tab w:val="left" w:pos="3600"/>
        </w:tabs>
        <w:ind w:left="3600" w:hanging="360"/>
      </w:pPr>
      <w:rPr>
        <w:rFonts w:ascii="Wingdings 3" w:hAnsi="Wingdings 3" w:hint="default"/>
      </w:rPr>
    </w:lvl>
    <w:lvl w:ilvl="5" w:tplc="B8BC79A4" w:tentative="1">
      <w:start w:val="1"/>
      <w:numFmt w:val="bullet"/>
      <w:lvlText w:val=""/>
      <w:lvlJc w:val="left"/>
      <w:pPr>
        <w:tabs>
          <w:tab w:val="left" w:pos="4320"/>
        </w:tabs>
        <w:ind w:left="4320" w:hanging="360"/>
      </w:pPr>
      <w:rPr>
        <w:rFonts w:ascii="Wingdings 3" w:hAnsi="Wingdings 3" w:hint="default"/>
      </w:rPr>
    </w:lvl>
    <w:lvl w:ilvl="6" w:tplc="EF8EB6D0" w:tentative="1">
      <w:start w:val="1"/>
      <w:numFmt w:val="bullet"/>
      <w:lvlText w:val=""/>
      <w:lvlJc w:val="left"/>
      <w:pPr>
        <w:tabs>
          <w:tab w:val="left" w:pos="5040"/>
        </w:tabs>
        <w:ind w:left="5040" w:hanging="360"/>
      </w:pPr>
      <w:rPr>
        <w:rFonts w:ascii="Wingdings 3" w:hAnsi="Wingdings 3" w:hint="default"/>
      </w:rPr>
    </w:lvl>
    <w:lvl w:ilvl="7" w:tplc="C1EC1D24" w:tentative="1">
      <w:start w:val="1"/>
      <w:numFmt w:val="bullet"/>
      <w:lvlText w:val=""/>
      <w:lvlJc w:val="left"/>
      <w:pPr>
        <w:tabs>
          <w:tab w:val="left" w:pos="5760"/>
        </w:tabs>
        <w:ind w:left="5760" w:hanging="360"/>
      </w:pPr>
      <w:rPr>
        <w:rFonts w:ascii="Wingdings 3" w:hAnsi="Wingdings 3" w:hint="default"/>
      </w:rPr>
    </w:lvl>
    <w:lvl w:ilvl="8" w:tplc="71AC57F4" w:tentative="1">
      <w:start w:val="1"/>
      <w:numFmt w:val="bullet"/>
      <w:lvlText w:val=""/>
      <w:lvlJc w:val="left"/>
      <w:pPr>
        <w:tabs>
          <w:tab w:val="left" w:pos="6480"/>
        </w:tabs>
        <w:ind w:left="6480" w:hanging="360"/>
      </w:pPr>
      <w:rPr>
        <w:rFonts w:ascii="Wingdings 3" w:hAnsi="Wingdings 3" w:hint="default"/>
      </w:rPr>
    </w:lvl>
  </w:abstractNum>
  <w:abstractNum w:abstractNumId="9">
    <w:nsid w:val="0000000A"/>
    <w:multiLevelType w:val="multilevel"/>
    <w:tmpl w:val="19B6DE1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0B"/>
    <w:multiLevelType w:val="hybridMultilevel"/>
    <w:tmpl w:val="EFEA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1EAC17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000000D"/>
    <w:multiLevelType w:val="hybridMultilevel"/>
    <w:tmpl w:val="B5E83326"/>
    <w:lvl w:ilvl="0" w:tplc="8A486E1C">
      <w:start w:val="1"/>
      <w:numFmt w:val="bullet"/>
      <w:lvlText w:val=""/>
      <w:lvlJc w:val="left"/>
      <w:pPr>
        <w:tabs>
          <w:tab w:val="left" w:pos="720"/>
        </w:tabs>
        <w:ind w:left="720" w:hanging="360"/>
      </w:pPr>
      <w:rPr>
        <w:rFonts w:ascii="Wingdings" w:hAnsi="Wingdings" w:hint="default"/>
      </w:rPr>
    </w:lvl>
    <w:lvl w:ilvl="1" w:tplc="B606965C">
      <w:start w:val="1"/>
      <w:numFmt w:val="bullet"/>
      <w:lvlText w:val=""/>
      <w:lvlJc w:val="left"/>
      <w:pPr>
        <w:tabs>
          <w:tab w:val="left" w:pos="1440"/>
        </w:tabs>
        <w:ind w:left="1440" w:hanging="360"/>
      </w:pPr>
      <w:rPr>
        <w:rFonts w:ascii="Wingdings" w:hAnsi="Wingdings" w:hint="default"/>
      </w:rPr>
    </w:lvl>
    <w:lvl w:ilvl="2" w:tplc="CD140DAE" w:tentative="1">
      <w:start w:val="1"/>
      <w:numFmt w:val="bullet"/>
      <w:lvlText w:val=""/>
      <w:lvlJc w:val="left"/>
      <w:pPr>
        <w:tabs>
          <w:tab w:val="left" w:pos="2160"/>
        </w:tabs>
        <w:ind w:left="2160" w:hanging="360"/>
      </w:pPr>
      <w:rPr>
        <w:rFonts w:ascii="Wingdings" w:hAnsi="Wingdings" w:hint="default"/>
      </w:rPr>
    </w:lvl>
    <w:lvl w:ilvl="3" w:tplc="180E3F42" w:tentative="1">
      <w:start w:val="1"/>
      <w:numFmt w:val="bullet"/>
      <w:lvlText w:val=""/>
      <w:lvlJc w:val="left"/>
      <w:pPr>
        <w:tabs>
          <w:tab w:val="left" w:pos="2880"/>
        </w:tabs>
        <w:ind w:left="2880" w:hanging="360"/>
      </w:pPr>
      <w:rPr>
        <w:rFonts w:ascii="Wingdings" w:hAnsi="Wingdings" w:hint="default"/>
      </w:rPr>
    </w:lvl>
    <w:lvl w:ilvl="4" w:tplc="12AEDF78" w:tentative="1">
      <w:start w:val="1"/>
      <w:numFmt w:val="bullet"/>
      <w:lvlText w:val=""/>
      <w:lvlJc w:val="left"/>
      <w:pPr>
        <w:tabs>
          <w:tab w:val="left" w:pos="3600"/>
        </w:tabs>
        <w:ind w:left="3600" w:hanging="360"/>
      </w:pPr>
      <w:rPr>
        <w:rFonts w:ascii="Wingdings" w:hAnsi="Wingdings" w:hint="default"/>
      </w:rPr>
    </w:lvl>
    <w:lvl w:ilvl="5" w:tplc="881AEA2C" w:tentative="1">
      <w:start w:val="1"/>
      <w:numFmt w:val="bullet"/>
      <w:lvlText w:val=""/>
      <w:lvlJc w:val="left"/>
      <w:pPr>
        <w:tabs>
          <w:tab w:val="left" w:pos="4320"/>
        </w:tabs>
        <w:ind w:left="4320" w:hanging="360"/>
      </w:pPr>
      <w:rPr>
        <w:rFonts w:ascii="Wingdings" w:hAnsi="Wingdings" w:hint="default"/>
      </w:rPr>
    </w:lvl>
    <w:lvl w:ilvl="6" w:tplc="3F921B2A" w:tentative="1">
      <w:start w:val="1"/>
      <w:numFmt w:val="bullet"/>
      <w:lvlText w:val=""/>
      <w:lvlJc w:val="left"/>
      <w:pPr>
        <w:tabs>
          <w:tab w:val="left" w:pos="5040"/>
        </w:tabs>
        <w:ind w:left="5040" w:hanging="360"/>
      </w:pPr>
      <w:rPr>
        <w:rFonts w:ascii="Wingdings" w:hAnsi="Wingdings" w:hint="default"/>
      </w:rPr>
    </w:lvl>
    <w:lvl w:ilvl="7" w:tplc="79F67376" w:tentative="1">
      <w:start w:val="1"/>
      <w:numFmt w:val="bullet"/>
      <w:lvlText w:val=""/>
      <w:lvlJc w:val="left"/>
      <w:pPr>
        <w:tabs>
          <w:tab w:val="left" w:pos="5760"/>
        </w:tabs>
        <w:ind w:left="5760" w:hanging="360"/>
      </w:pPr>
      <w:rPr>
        <w:rFonts w:ascii="Wingdings" w:hAnsi="Wingdings" w:hint="default"/>
      </w:rPr>
    </w:lvl>
    <w:lvl w:ilvl="8" w:tplc="17D250CC" w:tentative="1">
      <w:start w:val="1"/>
      <w:numFmt w:val="bullet"/>
      <w:lvlText w:val=""/>
      <w:lvlJc w:val="left"/>
      <w:pPr>
        <w:tabs>
          <w:tab w:val="left" w:pos="6480"/>
        </w:tabs>
        <w:ind w:left="6480" w:hanging="360"/>
      </w:pPr>
      <w:rPr>
        <w:rFonts w:ascii="Wingdings" w:hAnsi="Wingdings" w:hint="default"/>
      </w:rPr>
    </w:lvl>
  </w:abstractNum>
  <w:abstractNum w:abstractNumId="13">
    <w:nsid w:val="0000000E"/>
    <w:multiLevelType w:val="hybridMultilevel"/>
    <w:tmpl w:val="574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3DB46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BCF0EE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0000011"/>
    <w:multiLevelType w:val="multilevel"/>
    <w:tmpl w:val="A6F6A3CA"/>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0000012"/>
    <w:multiLevelType w:val="hybridMultilevel"/>
    <w:tmpl w:val="BA8AB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035C3894"/>
    <w:lvl w:ilvl="0" w:tplc="E0A25D3C">
      <w:start w:val="1"/>
      <w:numFmt w:val="bullet"/>
      <w:lvlText w:val=""/>
      <w:lvlJc w:val="left"/>
      <w:pPr>
        <w:tabs>
          <w:tab w:val="left" w:pos="720"/>
        </w:tabs>
        <w:ind w:left="720" w:hanging="360"/>
      </w:pPr>
      <w:rPr>
        <w:rFonts w:ascii="Wingdings" w:hAnsi="Wingdings" w:hint="default"/>
      </w:rPr>
    </w:lvl>
    <w:lvl w:ilvl="1" w:tplc="1C32286E">
      <w:start w:val="1"/>
      <w:numFmt w:val="bullet"/>
      <w:lvlText w:val=""/>
      <w:lvlJc w:val="left"/>
      <w:pPr>
        <w:tabs>
          <w:tab w:val="left" w:pos="1440"/>
        </w:tabs>
        <w:ind w:left="1440" w:hanging="360"/>
      </w:pPr>
      <w:rPr>
        <w:rFonts w:ascii="Wingdings" w:hAnsi="Wingdings" w:hint="default"/>
      </w:rPr>
    </w:lvl>
    <w:lvl w:ilvl="2" w:tplc="6C185EB6" w:tentative="1">
      <w:start w:val="1"/>
      <w:numFmt w:val="bullet"/>
      <w:lvlText w:val=""/>
      <w:lvlJc w:val="left"/>
      <w:pPr>
        <w:tabs>
          <w:tab w:val="left" w:pos="2160"/>
        </w:tabs>
        <w:ind w:left="2160" w:hanging="360"/>
      </w:pPr>
      <w:rPr>
        <w:rFonts w:ascii="Wingdings" w:hAnsi="Wingdings" w:hint="default"/>
      </w:rPr>
    </w:lvl>
    <w:lvl w:ilvl="3" w:tplc="FE661F68" w:tentative="1">
      <w:start w:val="1"/>
      <w:numFmt w:val="bullet"/>
      <w:lvlText w:val=""/>
      <w:lvlJc w:val="left"/>
      <w:pPr>
        <w:tabs>
          <w:tab w:val="left" w:pos="2880"/>
        </w:tabs>
        <w:ind w:left="2880" w:hanging="360"/>
      </w:pPr>
      <w:rPr>
        <w:rFonts w:ascii="Wingdings" w:hAnsi="Wingdings" w:hint="default"/>
      </w:rPr>
    </w:lvl>
    <w:lvl w:ilvl="4" w:tplc="607E544A" w:tentative="1">
      <w:start w:val="1"/>
      <w:numFmt w:val="bullet"/>
      <w:lvlText w:val=""/>
      <w:lvlJc w:val="left"/>
      <w:pPr>
        <w:tabs>
          <w:tab w:val="left" w:pos="3600"/>
        </w:tabs>
        <w:ind w:left="3600" w:hanging="360"/>
      </w:pPr>
      <w:rPr>
        <w:rFonts w:ascii="Wingdings" w:hAnsi="Wingdings" w:hint="default"/>
      </w:rPr>
    </w:lvl>
    <w:lvl w:ilvl="5" w:tplc="0D5A7208" w:tentative="1">
      <w:start w:val="1"/>
      <w:numFmt w:val="bullet"/>
      <w:lvlText w:val=""/>
      <w:lvlJc w:val="left"/>
      <w:pPr>
        <w:tabs>
          <w:tab w:val="left" w:pos="4320"/>
        </w:tabs>
        <w:ind w:left="4320" w:hanging="360"/>
      </w:pPr>
      <w:rPr>
        <w:rFonts w:ascii="Wingdings" w:hAnsi="Wingdings" w:hint="default"/>
      </w:rPr>
    </w:lvl>
    <w:lvl w:ilvl="6" w:tplc="F60AA212" w:tentative="1">
      <w:start w:val="1"/>
      <w:numFmt w:val="bullet"/>
      <w:lvlText w:val=""/>
      <w:lvlJc w:val="left"/>
      <w:pPr>
        <w:tabs>
          <w:tab w:val="left" w:pos="5040"/>
        </w:tabs>
        <w:ind w:left="5040" w:hanging="360"/>
      </w:pPr>
      <w:rPr>
        <w:rFonts w:ascii="Wingdings" w:hAnsi="Wingdings" w:hint="default"/>
      </w:rPr>
    </w:lvl>
    <w:lvl w:ilvl="7" w:tplc="3962F394" w:tentative="1">
      <w:start w:val="1"/>
      <w:numFmt w:val="bullet"/>
      <w:lvlText w:val=""/>
      <w:lvlJc w:val="left"/>
      <w:pPr>
        <w:tabs>
          <w:tab w:val="left" w:pos="5760"/>
        </w:tabs>
        <w:ind w:left="5760" w:hanging="360"/>
      </w:pPr>
      <w:rPr>
        <w:rFonts w:ascii="Wingdings" w:hAnsi="Wingdings" w:hint="default"/>
      </w:rPr>
    </w:lvl>
    <w:lvl w:ilvl="8" w:tplc="07C0982A" w:tentative="1">
      <w:start w:val="1"/>
      <w:numFmt w:val="bullet"/>
      <w:lvlText w:val=""/>
      <w:lvlJc w:val="left"/>
      <w:pPr>
        <w:tabs>
          <w:tab w:val="left" w:pos="6480"/>
        </w:tabs>
        <w:ind w:left="6480" w:hanging="360"/>
      </w:pPr>
      <w:rPr>
        <w:rFonts w:ascii="Wingdings" w:hAnsi="Wingdings" w:hint="default"/>
      </w:rPr>
    </w:lvl>
  </w:abstractNum>
  <w:abstractNum w:abstractNumId="19">
    <w:nsid w:val="00000014"/>
    <w:multiLevelType w:val="hybridMultilevel"/>
    <w:tmpl w:val="B5621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5"/>
    <w:multiLevelType w:val="hybridMultilevel"/>
    <w:tmpl w:val="B908E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9AF885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7"/>
    <w:multiLevelType w:val="hybridMultilevel"/>
    <w:tmpl w:val="0EE6F876"/>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8"/>
    <w:multiLevelType w:val="hybridMultilevel"/>
    <w:tmpl w:val="72246EE6"/>
    <w:lvl w:ilvl="0" w:tplc="04090001">
      <w:start w:val="1"/>
      <w:numFmt w:val="bullet"/>
      <w:lvlText w:val=""/>
      <w:lvlJc w:val="left"/>
      <w:pPr>
        <w:tabs>
          <w:tab w:val="left" w:pos="720"/>
        </w:tabs>
        <w:ind w:left="720" w:hanging="360"/>
      </w:pPr>
      <w:rPr>
        <w:rFonts w:ascii="Symbol" w:hAnsi="Symbol" w:hint="default"/>
      </w:rPr>
    </w:lvl>
    <w:lvl w:ilvl="1" w:tplc="8BB40B02" w:tentative="1">
      <w:start w:val="1"/>
      <w:numFmt w:val="bullet"/>
      <w:lvlText w:val="•"/>
      <w:lvlJc w:val="left"/>
      <w:pPr>
        <w:tabs>
          <w:tab w:val="left" w:pos="1440"/>
        </w:tabs>
        <w:ind w:left="1440" w:hanging="360"/>
      </w:pPr>
      <w:rPr>
        <w:rFonts w:ascii="Times New Roman" w:hAnsi="Times New Roman" w:hint="default"/>
      </w:rPr>
    </w:lvl>
    <w:lvl w:ilvl="2" w:tplc="A47A79BE" w:tentative="1">
      <w:start w:val="1"/>
      <w:numFmt w:val="bullet"/>
      <w:lvlText w:val="•"/>
      <w:lvlJc w:val="left"/>
      <w:pPr>
        <w:tabs>
          <w:tab w:val="left" w:pos="2160"/>
        </w:tabs>
        <w:ind w:left="2160" w:hanging="360"/>
      </w:pPr>
      <w:rPr>
        <w:rFonts w:ascii="Times New Roman" w:hAnsi="Times New Roman" w:hint="default"/>
      </w:rPr>
    </w:lvl>
    <w:lvl w:ilvl="3" w:tplc="E7320438" w:tentative="1">
      <w:start w:val="1"/>
      <w:numFmt w:val="bullet"/>
      <w:lvlText w:val="•"/>
      <w:lvlJc w:val="left"/>
      <w:pPr>
        <w:tabs>
          <w:tab w:val="left" w:pos="2880"/>
        </w:tabs>
        <w:ind w:left="2880" w:hanging="360"/>
      </w:pPr>
      <w:rPr>
        <w:rFonts w:ascii="Times New Roman" w:hAnsi="Times New Roman" w:hint="default"/>
      </w:rPr>
    </w:lvl>
    <w:lvl w:ilvl="4" w:tplc="4B9649D4" w:tentative="1">
      <w:start w:val="1"/>
      <w:numFmt w:val="bullet"/>
      <w:lvlText w:val="•"/>
      <w:lvlJc w:val="left"/>
      <w:pPr>
        <w:tabs>
          <w:tab w:val="left" w:pos="3600"/>
        </w:tabs>
        <w:ind w:left="3600" w:hanging="360"/>
      </w:pPr>
      <w:rPr>
        <w:rFonts w:ascii="Times New Roman" w:hAnsi="Times New Roman" w:hint="default"/>
      </w:rPr>
    </w:lvl>
    <w:lvl w:ilvl="5" w:tplc="B552BE50" w:tentative="1">
      <w:start w:val="1"/>
      <w:numFmt w:val="bullet"/>
      <w:lvlText w:val="•"/>
      <w:lvlJc w:val="left"/>
      <w:pPr>
        <w:tabs>
          <w:tab w:val="left" w:pos="4320"/>
        </w:tabs>
        <w:ind w:left="4320" w:hanging="360"/>
      </w:pPr>
      <w:rPr>
        <w:rFonts w:ascii="Times New Roman" w:hAnsi="Times New Roman" w:hint="default"/>
      </w:rPr>
    </w:lvl>
    <w:lvl w:ilvl="6" w:tplc="7D4EAB94" w:tentative="1">
      <w:start w:val="1"/>
      <w:numFmt w:val="bullet"/>
      <w:lvlText w:val="•"/>
      <w:lvlJc w:val="left"/>
      <w:pPr>
        <w:tabs>
          <w:tab w:val="left" w:pos="5040"/>
        </w:tabs>
        <w:ind w:left="5040" w:hanging="360"/>
      </w:pPr>
      <w:rPr>
        <w:rFonts w:ascii="Times New Roman" w:hAnsi="Times New Roman" w:hint="default"/>
      </w:rPr>
    </w:lvl>
    <w:lvl w:ilvl="7" w:tplc="E55C7DE2" w:tentative="1">
      <w:start w:val="1"/>
      <w:numFmt w:val="bullet"/>
      <w:lvlText w:val="•"/>
      <w:lvlJc w:val="left"/>
      <w:pPr>
        <w:tabs>
          <w:tab w:val="left" w:pos="5760"/>
        </w:tabs>
        <w:ind w:left="5760" w:hanging="360"/>
      </w:pPr>
      <w:rPr>
        <w:rFonts w:ascii="Times New Roman" w:hAnsi="Times New Roman" w:hint="default"/>
      </w:rPr>
    </w:lvl>
    <w:lvl w:ilvl="8" w:tplc="C04CAA1E" w:tentative="1">
      <w:start w:val="1"/>
      <w:numFmt w:val="bullet"/>
      <w:lvlText w:val="•"/>
      <w:lvlJc w:val="left"/>
      <w:pPr>
        <w:tabs>
          <w:tab w:val="left" w:pos="6480"/>
        </w:tabs>
        <w:ind w:left="6480" w:hanging="360"/>
      </w:pPr>
      <w:rPr>
        <w:rFonts w:ascii="Times New Roman" w:hAnsi="Times New Roman" w:hint="default"/>
      </w:rPr>
    </w:lvl>
  </w:abstractNum>
  <w:abstractNum w:abstractNumId="24">
    <w:nsid w:val="00000019"/>
    <w:multiLevelType w:val="hybridMultilevel"/>
    <w:tmpl w:val="0EDEE0B2"/>
    <w:lvl w:ilvl="0" w:tplc="B232B444">
      <w:start w:val="1"/>
      <w:numFmt w:val="bullet"/>
      <w:lvlText w:val=""/>
      <w:lvlJc w:val="left"/>
      <w:pPr>
        <w:tabs>
          <w:tab w:val="left" w:pos="720"/>
        </w:tabs>
        <w:ind w:left="720" w:hanging="360"/>
      </w:pPr>
      <w:rPr>
        <w:rFonts w:ascii="Wingdings 3" w:hAnsi="Wingdings 3" w:hint="default"/>
      </w:rPr>
    </w:lvl>
    <w:lvl w:ilvl="1" w:tplc="1BEA5216" w:tentative="1">
      <w:start w:val="1"/>
      <w:numFmt w:val="bullet"/>
      <w:lvlText w:val=""/>
      <w:lvlJc w:val="left"/>
      <w:pPr>
        <w:tabs>
          <w:tab w:val="left" w:pos="1440"/>
        </w:tabs>
        <w:ind w:left="1440" w:hanging="360"/>
      </w:pPr>
      <w:rPr>
        <w:rFonts w:ascii="Wingdings 3" w:hAnsi="Wingdings 3" w:hint="default"/>
      </w:rPr>
    </w:lvl>
    <w:lvl w:ilvl="2" w:tplc="67582060" w:tentative="1">
      <w:start w:val="1"/>
      <w:numFmt w:val="bullet"/>
      <w:lvlText w:val=""/>
      <w:lvlJc w:val="left"/>
      <w:pPr>
        <w:tabs>
          <w:tab w:val="left" w:pos="2160"/>
        </w:tabs>
        <w:ind w:left="2160" w:hanging="360"/>
      </w:pPr>
      <w:rPr>
        <w:rFonts w:ascii="Wingdings 3" w:hAnsi="Wingdings 3" w:hint="default"/>
      </w:rPr>
    </w:lvl>
    <w:lvl w:ilvl="3" w:tplc="6D4ED460" w:tentative="1">
      <w:start w:val="1"/>
      <w:numFmt w:val="bullet"/>
      <w:lvlText w:val=""/>
      <w:lvlJc w:val="left"/>
      <w:pPr>
        <w:tabs>
          <w:tab w:val="left" w:pos="2880"/>
        </w:tabs>
        <w:ind w:left="2880" w:hanging="360"/>
      </w:pPr>
      <w:rPr>
        <w:rFonts w:ascii="Wingdings 3" w:hAnsi="Wingdings 3" w:hint="default"/>
      </w:rPr>
    </w:lvl>
    <w:lvl w:ilvl="4" w:tplc="DEFCF48E" w:tentative="1">
      <w:start w:val="1"/>
      <w:numFmt w:val="bullet"/>
      <w:lvlText w:val=""/>
      <w:lvlJc w:val="left"/>
      <w:pPr>
        <w:tabs>
          <w:tab w:val="left" w:pos="3600"/>
        </w:tabs>
        <w:ind w:left="3600" w:hanging="360"/>
      </w:pPr>
      <w:rPr>
        <w:rFonts w:ascii="Wingdings 3" w:hAnsi="Wingdings 3" w:hint="default"/>
      </w:rPr>
    </w:lvl>
    <w:lvl w:ilvl="5" w:tplc="8C94806A" w:tentative="1">
      <w:start w:val="1"/>
      <w:numFmt w:val="bullet"/>
      <w:lvlText w:val=""/>
      <w:lvlJc w:val="left"/>
      <w:pPr>
        <w:tabs>
          <w:tab w:val="left" w:pos="4320"/>
        </w:tabs>
        <w:ind w:left="4320" w:hanging="360"/>
      </w:pPr>
      <w:rPr>
        <w:rFonts w:ascii="Wingdings 3" w:hAnsi="Wingdings 3" w:hint="default"/>
      </w:rPr>
    </w:lvl>
    <w:lvl w:ilvl="6" w:tplc="FFA4FC44" w:tentative="1">
      <w:start w:val="1"/>
      <w:numFmt w:val="bullet"/>
      <w:lvlText w:val=""/>
      <w:lvlJc w:val="left"/>
      <w:pPr>
        <w:tabs>
          <w:tab w:val="left" w:pos="5040"/>
        </w:tabs>
        <w:ind w:left="5040" w:hanging="360"/>
      </w:pPr>
      <w:rPr>
        <w:rFonts w:ascii="Wingdings 3" w:hAnsi="Wingdings 3" w:hint="default"/>
      </w:rPr>
    </w:lvl>
    <w:lvl w:ilvl="7" w:tplc="58F4F810" w:tentative="1">
      <w:start w:val="1"/>
      <w:numFmt w:val="bullet"/>
      <w:lvlText w:val=""/>
      <w:lvlJc w:val="left"/>
      <w:pPr>
        <w:tabs>
          <w:tab w:val="left" w:pos="5760"/>
        </w:tabs>
        <w:ind w:left="5760" w:hanging="360"/>
      </w:pPr>
      <w:rPr>
        <w:rFonts w:ascii="Wingdings 3" w:hAnsi="Wingdings 3" w:hint="default"/>
      </w:rPr>
    </w:lvl>
    <w:lvl w:ilvl="8" w:tplc="4858E5FE" w:tentative="1">
      <w:start w:val="1"/>
      <w:numFmt w:val="bullet"/>
      <w:lvlText w:val=""/>
      <w:lvlJc w:val="left"/>
      <w:pPr>
        <w:tabs>
          <w:tab w:val="left" w:pos="6480"/>
        </w:tabs>
        <w:ind w:left="6480" w:hanging="360"/>
      </w:pPr>
      <w:rPr>
        <w:rFonts w:ascii="Wingdings 3" w:hAnsi="Wingdings 3" w:hint="default"/>
      </w:rPr>
    </w:lvl>
  </w:abstractNum>
  <w:abstractNum w:abstractNumId="25">
    <w:nsid w:val="0000001A"/>
    <w:multiLevelType w:val="hybridMultilevel"/>
    <w:tmpl w:val="A392B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0000001C"/>
    <w:multiLevelType w:val="hybridMultilevel"/>
    <w:tmpl w:val="2C262E3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D"/>
    <w:multiLevelType w:val="hybridMultilevel"/>
    <w:tmpl w:val="12F8F2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0000001E"/>
    <w:multiLevelType w:val="hybridMultilevel"/>
    <w:tmpl w:val="A30C9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4874F6FA"/>
    <w:lvl w:ilvl="0" w:tplc="04090001">
      <w:start w:val="1"/>
      <w:numFmt w:val="bullet"/>
      <w:lvlText w:val=""/>
      <w:lvlJc w:val="left"/>
      <w:pPr>
        <w:tabs>
          <w:tab w:val="left" w:pos="720"/>
        </w:tabs>
        <w:ind w:left="720" w:hanging="360"/>
      </w:pPr>
      <w:rPr>
        <w:rFonts w:ascii="Symbol" w:hAnsi="Symbol" w:hint="default"/>
      </w:rPr>
    </w:lvl>
    <w:lvl w:ilvl="1" w:tplc="8BB40B02" w:tentative="1">
      <w:start w:val="1"/>
      <w:numFmt w:val="bullet"/>
      <w:lvlText w:val="•"/>
      <w:lvlJc w:val="left"/>
      <w:pPr>
        <w:tabs>
          <w:tab w:val="left" w:pos="1440"/>
        </w:tabs>
        <w:ind w:left="1440" w:hanging="360"/>
      </w:pPr>
      <w:rPr>
        <w:rFonts w:ascii="Times New Roman" w:hAnsi="Times New Roman" w:hint="default"/>
      </w:rPr>
    </w:lvl>
    <w:lvl w:ilvl="2" w:tplc="A47A79BE" w:tentative="1">
      <w:start w:val="1"/>
      <w:numFmt w:val="bullet"/>
      <w:lvlText w:val="•"/>
      <w:lvlJc w:val="left"/>
      <w:pPr>
        <w:tabs>
          <w:tab w:val="left" w:pos="2160"/>
        </w:tabs>
        <w:ind w:left="2160" w:hanging="360"/>
      </w:pPr>
      <w:rPr>
        <w:rFonts w:ascii="Times New Roman" w:hAnsi="Times New Roman" w:hint="default"/>
      </w:rPr>
    </w:lvl>
    <w:lvl w:ilvl="3" w:tplc="E7320438" w:tentative="1">
      <w:start w:val="1"/>
      <w:numFmt w:val="bullet"/>
      <w:lvlText w:val="•"/>
      <w:lvlJc w:val="left"/>
      <w:pPr>
        <w:tabs>
          <w:tab w:val="left" w:pos="2880"/>
        </w:tabs>
        <w:ind w:left="2880" w:hanging="360"/>
      </w:pPr>
      <w:rPr>
        <w:rFonts w:ascii="Times New Roman" w:hAnsi="Times New Roman" w:hint="default"/>
      </w:rPr>
    </w:lvl>
    <w:lvl w:ilvl="4" w:tplc="4B9649D4" w:tentative="1">
      <w:start w:val="1"/>
      <w:numFmt w:val="bullet"/>
      <w:lvlText w:val="•"/>
      <w:lvlJc w:val="left"/>
      <w:pPr>
        <w:tabs>
          <w:tab w:val="left" w:pos="3600"/>
        </w:tabs>
        <w:ind w:left="3600" w:hanging="360"/>
      </w:pPr>
      <w:rPr>
        <w:rFonts w:ascii="Times New Roman" w:hAnsi="Times New Roman" w:hint="default"/>
      </w:rPr>
    </w:lvl>
    <w:lvl w:ilvl="5" w:tplc="B552BE50" w:tentative="1">
      <w:start w:val="1"/>
      <w:numFmt w:val="bullet"/>
      <w:lvlText w:val="•"/>
      <w:lvlJc w:val="left"/>
      <w:pPr>
        <w:tabs>
          <w:tab w:val="left" w:pos="4320"/>
        </w:tabs>
        <w:ind w:left="4320" w:hanging="360"/>
      </w:pPr>
      <w:rPr>
        <w:rFonts w:ascii="Times New Roman" w:hAnsi="Times New Roman" w:hint="default"/>
      </w:rPr>
    </w:lvl>
    <w:lvl w:ilvl="6" w:tplc="7D4EAB94" w:tentative="1">
      <w:start w:val="1"/>
      <w:numFmt w:val="bullet"/>
      <w:lvlText w:val="•"/>
      <w:lvlJc w:val="left"/>
      <w:pPr>
        <w:tabs>
          <w:tab w:val="left" w:pos="5040"/>
        </w:tabs>
        <w:ind w:left="5040" w:hanging="360"/>
      </w:pPr>
      <w:rPr>
        <w:rFonts w:ascii="Times New Roman" w:hAnsi="Times New Roman" w:hint="default"/>
      </w:rPr>
    </w:lvl>
    <w:lvl w:ilvl="7" w:tplc="E55C7DE2" w:tentative="1">
      <w:start w:val="1"/>
      <w:numFmt w:val="bullet"/>
      <w:lvlText w:val="•"/>
      <w:lvlJc w:val="left"/>
      <w:pPr>
        <w:tabs>
          <w:tab w:val="left" w:pos="5760"/>
        </w:tabs>
        <w:ind w:left="5760" w:hanging="360"/>
      </w:pPr>
      <w:rPr>
        <w:rFonts w:ascii="Times New Roman" w:hAnsi="Times New Roman" w:hint="default"/>
      </w:rPr>
    </w:lvl>
    <w:lvl w:ilvl="8" w:tplc="C04CAA1E" w:tentative="1">
      <w:start w:val="1"/>
      <w:numFmt w:val="bullet"/>
      <w:lvlText w:val="•"/>
      <w:lvlJc w:val="left"/>
      <w:pPr>
        <w:tabs>
          <w:tab w:val="left" w:pos="6480"/>
        </w:tabs>
        <w:ind w:left="6480" w:hanging="360"/>
      </w:pPr>
      <w:rPr>
        <w:rFonts w:ascii="Times New Roman" w:hAnsi="Times New Roman" w:hint="default"/>
      </w:rPr>
    </w:lvl>
  </w:abstractNum>
  <w:abstractNum w:abstractNumId="31">
    <w:nsid w:val="00000020"/>
    <w:multiLevelType w:val="multilevel"/>
    <w:tmpl w:val="F77AA30A"/>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0000021"/>
    <w:multiLevelType w:val="hybridMultilevel"/>
    <w:tmpl w:val="8B2EE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2"/>
    <w:multiLevelType w:val="hybridMultilevel"/>
    <w:tmpl w:val="1FFC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3"/>
    <w:multiLevelType w:val="hybridMultilevel"/>
    <w:tmpl w:val="67BC0B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4"/>
    <w:multiLevelType w:val="hybridMultilevel"/>
    <w:tmpl w:val="02E8C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5"/>
    <w:multiLevelType w:val="hybridMultilevel"/>
    <w:tmpl w:val="AEE64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6"/>
    <w:multiLevelType w:val="hybridMultilevel"/>
    <w:tmpl w:val="2E943C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7"/>
    <w:multiLevelType w:val="hybridMultilevel"/>
    <w:tmpl w:val="494C47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E88770F"/>
    <w:multiLevelType w:val="hybridMultilevel"/>
    <w:tmpl w:val="D8A029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28"/>
  </w:num>
  <w:num w:numId="3">
    <w:abstractNumId w:val="26"/>
  </w:num>
  <w:num w:numId="4">
    <w:abstractNumId w:val="5"/>
  </w:num>
  <w:num w:numId="5">
    <w:abstractNumId w:val="13"/>
  </w:num>
  <w:num w:numId="6">
    <w:abstractNumId w:val="3"/>
  </w:num>
  <w:num w:numId="7">
    <w:abstractNumId w:val="33"/>
  </w:num>
  <w:num w:numId="8">
    <w:abstractNumId w:val="10"/>
  </w:num>
  <w:num w:numId="9">
    <w:abstractNumId w:val="29"/>
  </w:num>
  <w:num w:numId="10">
    <w:abstractNumId w:val="37"/>
  </w:num>
  <w:num w:numId="11">
    <w:abstractNumId w:val="34"/>
  </w:num>
  <w:num w:numId="12">
    <w:abstractNumId w:val="25"/>
  </w:num>
  <w:num w:numId="13">
    <w:abstractNumId w:val="30"/>
  </w:num>
  <w:num w:numId="14">
    <w:abstractNumId w:val="23"/>
  </w:num>
  <w:num w:numId="15">
    <w:abstractNumId w:val="1"/>
  </w:num>
  <w:num w:numId="16">
    <w:abstractNumId w:val="0"/>
  </w:num>
  <w:num w:numId="17">
    <w:abstractNumId w:val="18"/>
  </w:num>
  <w:num w:numId="18">
    <w:abstractNumId w:val="12"/>
  </w:num>
  <w:num w:numId="19">
    <w:abstractNumId w:val="35"/>
  </w:num>
  <w:num w:numId="20">
    <w:abstractNumId w:val="17"/>
  </w:num>
  <w:num w:numId="21">
    <w:abstractNumId w:val="20"/>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8"/>
  </w:num>
  <w:num w:numId="25">
    <w:abstractNumId w:val="7"/>
  </w:num>
  <w:num w:numId="26">
    <w:abstractNumId w:val="14"/>
  </w:num>
  <w:num w:numId="27">
    <w:abstractNumId w:val="2"/>
  </w:num>
  <w:num w:numId="28">
    <w:abstractNumId w:val="32"/>
  </w:num>
  <w:num w:numId="29">
    <w:abstractNumId w:val="19"/>
  </w:num>
  <w:num w:numId="30">
    <w:abstractNumId w:val="6"/>
  </w:num>
  <w:num w:numId="31">
    <w:abstractNumId w:val="27"/>
  </w:num>
  <w:num w:numId="32">
    <w:abstractNumId w:val="11"/>
  </w:num>
  <w:num w:numId="33">
    <w:abstractNumId w:val="4"/>
  </w:num>
  <w:num w:numId="34">
    <w:abstractNumId w:val="39"/>
  </w:num>
  <w:num w:numId="35">
    <w:abstractNumId w:val="38"/>
  </w:num>
  <w:num w:numId="36">
    <w:abstractNumId w:val="15"/>
  </w:num>
  <w:num w:numId="37">
    <w:abstractNumId w:val="16"/>
  </w:num>
  <w:num w:numId="38">
    <w:abstractNumId w:val="31"/>
  </w:num>
  <w:num w:numId="39">
    <w:abstractNumId w:val="9"/>
  </w:num>
  <w:num w:numId="40">
    <w:abstractNumId w:val="36"/>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B6684"/>
    <w:rsid w:val="000440F8"/>
    <w:rsid w:val="000560D2"/>
    <w:rsid w:val="00121704"/>
    <w:rsid w:val="0014237C"/>
    <w:rsid w:val="00297F9F"/>
    <w:rsid w:val="00381B39"/>
    <w:rsid w:val="003E24E8"/>
    <w:rsid w:val="00412530"/>
    <w:rsid w:val="0043573C"/>
    <w:rsid w:val="00461F91"/>
    <w:rsid w:val="005D1E7B"/>
    <w:rsid w:val="005D6FF8"/>
    <w:rsid w:val="005E543E"/>
    <w:rsid w:val="005E5AFF"/>
    <w:rsid w:val="006467D4"/>
    <w:rsid w:val="006502A1"/>
    <w:rsid w:val="006D5B22"/>
    <w:rsid w:val="006E470A"/>
    <w:rsid w:val="00784DEC"/>
    <w:rsid w:val="00785EF0"/>
    <w:rsid w:val="00810532"/>
    <w:rsid w:val="00855667"/>
    <w:rsid w:val="008C0FCE"/>
    <w:rsid w:val="008C57B4"/>
    <w:rsid w:val="009A32A1"/>
    <w:rsid w:val="00A8575D"/>
    <w:rsid w:val="00AC6FDD"/>
    <w:rsid w:val="00AC7B65"/>
    <w:rsid w:val="00B224D8"/>
    <w:rsid w:val="00B569A4"/>
    <w:rsid w:val="00B639B5"/>
    <w:rsid w:val="00BD0364"/>
    <w:rsid w:val="00BD08DD"/>
    <w:rsid w:val="00C84BEB"/>
    <w:rsid w:val="00D04190"/>
    <w:rsid w:val="00D232E4"/>
    <w:rsid w:val="00D90A5C"/>
    <w:rsid w:val="00E41F28"/>
    <w:rsid w:val="00EA76D3"/>
    <w:rsid w:val="00EB6684"/>
    <w:rsid w:val="00EC27E9"/>
    <w:rsid w:val="00F42094"/>
    <w:rsid w:val="00F51438"/>
    <w:rsid w:val="00F5311E"/>
    <w:rsid w:val="00FC41BE"/>
    <w:rsid w:val="00FE3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480" w:lineRule="auto"/>
      <w:jc w:val="center"/>
      <w:outlineLvl w:val="0"/>
    </w:pPr>
    <w:rPr>
      <w:b/>
      <w:bCs/>
      <w:sz w:val="40"/>
      <w:szCs w:val="50"/>
    </w:rPr>
  </w:style>
  <w:style w:type="paragraph" w:styleId="Heading2">
    <w:name w:val="heading 2"/>
    <w:basedOn w:val="Normal"/>
    <w:next w:val="Normal"/>
    <w:qFormat/>
    <w:pPr>
      <w:keepNext/>
      <w:autoSpaceDE w:val="0"/>
      <w:autoSpaceDN w:val="0"/>
      <w:adjustRightInd w:val="0"/>
      <w:spacing w:line="480" w:lineRule="auto"/>
      <w:outlineLvl w:val="1"/>
    </w:pPr>
    <w:rPr>
      <w:b/>
      <w:bCs/>
      <w:sz w:val="22"/>
      <w:szCs w:val="22"/>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qFormat/>
    <w:pPr>
      <w:spacing w:before="100" w:beforeAutospacing="1" w:after="100" w:afterAutospacing="1"/>
      <w:outlineLvl w:val="4"/>
    </w:pPr>
    <w:rPr>
      <w:rFonts w:ascii="Trebuchet MS" w:hAnsi="Trebuchet MS"/>
      <w:b/>
      <w:bCs/>
      <w:color w:val="000000"/>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link w:val="Heading7Char"/>
    <w:uiPriority w:val="9"/>
    <w:qFormat/>
    <w:pPr>
      <w:keepNext/>
      <w:keepLines/>
      <w:spacing w:before="200"/>
      <w:outlineLvl w:val="6"/>
    </w:pPr>
    <w:rPr>
      <w:rFonts w:ascii="Cambria" w:eastAsia="SimSun" w:hAnsi="Cambria" w:cs="SimSu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color w:val="000000"/>
    </w:rPr>
  </w:style>
  <w:style w:type="character" w:styleId="Hyperlink">
    <w:name w:val="Hyperlink"/>
    <w:basedOn w:val="DefaultParagraphFont"/>
    <w:rPr>
      <w:b w:val="0"/>
      <w:bCs w:val="0"/>
      <w:color w:val="3626A0"/>
      <w:u w:val="none"/>
      <w:effect w:val="none"/>
      <w:shd w:val="clear" w:color="auto" w:fill="auto"/>
    </w:rPr>
  </w:style>
  <w:style w:type="character" w:styleId="Emphasis">
    <w:name w:val="Emphasis"/>
    <w:basedOn w:val="DefaultParagraphFont"/>
    <w:uiPriority w:val="20"/>
    <w:qFormat/>
    <w:rPr>
      <w:i/>
      <w:iCs/>
    </w:rPr>
  </w:style>
  <w:style w:type="character" w:styleId="Strong">
    <w:name w:val="Strong"/>
    <w:basedOn w:val="DefaultParagraphFont"/>
    <w:qFormat/>
    <w:rPr>
      <w:b/>
      <w:bCs/>
    </w:rPr>
  </w:style>
  <w:style w:type="paragraph" w:styleId="BodyText">
    <w:name w:val="Body Text"/>
    <w:basedOn w:val="Normal"/>
    <w:pPr>
      <w:spacing w:line="360" w:lineRule="auto"/>
      <w:jc w:val="both"/>
    </w:pPr>
  </w:style>
  <w:style w:type="paragraph" w:styleId="BodyTextIndent">
    <w:name w:val="Body Text Indent"/>
    <w:basedOn w:val="Normal"/>
    <w:pPr>
      <w:spacing w:line="360" w:lineRule="auto"/>
      <w:ind w:firstLine="720"/>
      <w:jc w:val="both"/>
    </w:pPr>
  </w:style>
  <w:style w:type="paragraph" w:styleId="BodyText3">
    <w:name w:val="Body Text 3"/>
    <w:basedOn w:val="Normal"/>
    <w:pPr>
      <w:spacing w:line="480" w:lineRule="auto"/>
      <w:jc w:val="both"/>
    </w:pPr>
    <w:rPr>
      <w:rFonts w:ascii="Arial" w:hAnsi="Arial" w:cs="Arial"/>
      <w:sz w:val="22"/>
    </w:rPr>
  </w:style>
  <w:style w:type="paragraph" w:customStyle="1" w:styleId="Standardowy">
    <w:name w:val="Standardowy"/>
    <w:basedOn w:val="Normal"/>
    <w:next w:val="Normal"/>
    <w:pPr>
      <w:autoSpaceDE w:val="0"/>
      <w:autoSpaceDN w:val="0"/>
      <w:adjustRightInd w:val="0"/>
    </w:pPr>
  </w:style>
  <w:style w:type="paragraph" w:styleId="BodyTextIndent2">
    <w:name w:val="Body Text Indent 2"/>
    <w:basedOn w:val="Normal"/>
    <w:pPr>
      <w:spacing w:after="120" w:line="480" w:lineRule="auto"/>
      <w:ind w:left="36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FootnoteText">
    <w:name w:val="footnote text"/>
    <w:basedOn w:val="Normal"/>
    <w:rPr>
      <w:sz w:val="20"/>
      <w:szCs w:val="20"/>
    </w:rPr>
  </w:style>
  <w:style w:type="character" w:styleId="FootnoteReference">
    <w:name w:val="footnote reference"/>
    <w:basedOn w:val="DefaultParagraphFont"/>
    <w:rPr>
      <w:vertAlign w:val="superscript"/>
    </w:rPr>
  </w:style>
  <w:style w:type="paragraph" w:styleId="BodyTextIndent3">
    <w:name w:val="Body Text Indent 3"/>
    <w:basedOn w:val="Normal"/>
    <w:pPr>
      <w:spacing w:line="480" w:lineRule="auto"/>
      <w:ind w:right="-108" w:firstLine="720"/>
      <w:jc w:val="both"/>
    </w:pPr>
  </w:style>
  <w:style w:type="paragraph" w:styleId="ListParagraph">
    <w:name w:val="List Paragraph"/>
    <w:basedOn w:val="Normal"/>
    <w:uiPriority w:val="34"/>
    <w:qFormat/>
    <w:pPr>
      <w:spacing w:after="200" w:line="276" w:lineRule="auto"/>
      <w:ind w:left="720"/>
      <w:contextualSpacing/>
    </w:pPr>
    <w:rPr>
      <w:rFonts w:ascii="Calibri" w:eastAsia="SimSun" w:hAnsi="Calibri" w:cs="SimSun"/>
      <w:sz w:val="22"/>
      <w:szCs w:val="22"/>
    </w:rPr>
  </w:style>
  <w:style w:type="paragraph" w:customStyle="1" w:styleId="Abstract">
    <w:name w:val="Abstract"/>
    <w:uiPriority w:val="99"/>
    <w:pPr>
      <w:spacing w:after="200"/>
      <w:jc w:val="both"/>
    </w:pPr>
    <w:rPr>
      <w:rFonts w:eastAsia="SimSun"/>
      <w:b/>
      <w:bCs/>
      <w:sz w:val="18"/>
      <w:szCs w:val="18"/>
    </w:rPr>
  </w:style>
  <w:style w:type="character" w:customStyle="1" w:styleId="HeaderChar">
    <w:name w:val="Header Char"/>
    <w:basedOn w:val="DefaultParagraphFont"/>
    <w:link w:val="Header"/>
    <w:uiPriority w:val="99"/>
    <w:rPr>
      <w:sz w:val="24"/>
      <w:szCs w:val="24"/>
    </w:rPr>
  </w:style>
  <w:style w:type="paragraph" w:customStyle="1" w:styleId="Default1">
    <w:name w:val="Default1"/>
    <w:basedOn w:val="Normal"/>
    <w:next w:val="Normal"/>
    <w:uiPriority w:val="99"/>
    <w:pPr>
      <w:autoSpaceDE w:val="0"/>
      <w:autoSpaceDN w:val="0"/>
      <w:adjustRightInd w:val="0"/>
    </w:pPr>
    <w:rPr>
      <w:rFonts w:ascii="APAJEP+Arial" w:eastAsia="SimSun" w:hAnsi="APAJEP+Arial" w:cs="SimSun"/>
    </w:rPr>
  </w:style>
  <w:style w:type="paragraph" w:styleId="BlockText">
    <w:name w:val="Block Text"/>
    <w:basedOn w:val="Normal"/>
    <w:next w:val="Normal"/>
    <w:uiPriority w:val="99"/>
    <w:pPr>
      <w:autoSpaceDE w:val="0"/>
      <w:autoSpaceDN w:val="0"/>
      <w:adjustRightInd w:val="0"/>
    </w:pPr>
    <w:rPr>
      <w:rFonts w:ascii="APAJEP+Arial" w:eastAsia="SimSun" w:hAnsi="APAJEP+Arial" w:cs="SimSun"/>
    </w:rPr>
  </w:style>
  <w:style w:type="table" w:styleId="TableGrid">
    <w:name w:val="Table Grid"/>
    <w:basedOn w:val="TableNormal"/>
    <w:uiPriority w:val="59"/>
    <w:rPr>
      <w:rFonts w:ascii="Calibri" w:eastAsia="SimSun"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eastAsia="SimSun"/>
      <w:color w:val="000000"/>
      <w:sz w:val="24"/>
      <w:szCs w:val="24"/>
    </w:rPr>
  </w:style>
  <w:style w:type="character" w:styleId="PlaceholderText">
    <w:name w:val="Placeholder Text"/>
    <w:basedOn w:val="DefaultParagraphFont"/>
    <w:uiPriority w:val="99"/>
    <w:rPr>
      <w:color w:val="808080"/>
    </w:rPr>
  </w:style>
  <w:style w:type="character" w:customStyle="1" w:styleId="text">
    <w:name w:val="text"/>
    <w:basedOn w:val="DefaultParagraphFont"/>
  </w:style>
  <w:style w:type="character" w:customStyle="1" w:styleId="hlfld-contribauthor">
    <w:name w:val="hlfld-contribauthor"/>
    <w:basedOn w:val="DefaultParagraphFont"/>
  </w:style>
  <w:style w:type="character" w:customStyle="1" w:styleId="title-text">
    <w:name w:val="title-text"/>
    <w:basedOn w:val="DefaultParagraphFont"/>
  </w:style>
  <w:style w:type="character" w:customStyle="1" w:styleId="Heading7Char">
    <w:name w:val="Heading 7 Char"/>
    <w:basedOn w:val="DefaultParagraphFont"/>
    <w:link w:val="Heading7"/>
    <w:uiPriority w:val="9"/>
    <w:rPr>
      <w:rFonts w:ascii="Cambria" w:eastAsia="SimSun" w:hAnsi="Cambria" w:cs="SimSun"/>
      <w:i/>
      <w:iCs/>
      <w:color w:val="404040"/>
      <w:sz w:val="24"/>
      <w:szCs w:val="24"/>
    </w:rPr>
  </w:style>
  <w:style w:type="character" w:customStyle="1" w:styleId="hlfld-title">
    <w:name w:val="hlfld-title"/>
    <w:basedOn w:val="DefaultParagraphFont"/>
  </w:style>
  <w:style w:type="character" w:customStyle="1" w:styleId="nlmxref-aff">
    <w:name w:val="nlm_xref-aff"/>
    <w:basedOn w:val="DefaultParagraphFont"/>
  </w:style>
  <w:style w:type="character" w:customStyle="1" w:styleId="FooterChar">
    <w:name w:val="Footer Char"/>
    <w:basedOn w:val="DefaultParagraphFont"/>
    <w:link w:val="Footer"/>
    <w:uiPriority w:val="99"/>
    <w:rPr>
      <w:sz w:val="24"/>
      <w:szCs w:val="24"/>
    </w:rPr>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fontstyle11">
    <w:name w:val="fontstyle11"/>
    <w:basedOn w:val="DefaultParagraphFont"/>
    <w:rPr>
      <w:rFonts w:ascii="Arial" w:hAnsi="Arial" w:cs="Arial" w:hint="default"/>
      <w:b w:val="0"/>
      <w:bCs w:val="0"/>
      <w:i/>
      <w:iCs/>
      <w:color w:val="000000"/>
      <w:sz w:val="20"/>
      <w:szCs w:val="20"/>
    </w:rPr>
  </w:style>
  <w:style w:type="character" w:customStyle="1" w:styleId="st">
    <w:name w:val="st"/>
    <w:basedOn w:val="DefaultParagraphFont"/>
  </w:style>
  <w:style w:type="character" w:customStyle="1" w:styleId="fontstyle21">
    <w:name w:val="fontstyle21"/>
    <w:basedOn w:val="DefaultParagraphFont"/>
    <w:rPr>
      <w:rFonts w:ascii="Arial" w:hAnsi="Arial" w:cs="Arial" w:hint="default"/>
      <w:b w:val="0"/>
      <w:bCs w:val="0"/>
      <w:i/>
      <w:iCs/>
      <w:color w:val="000000"/>
      <w:sz w:val="20"/>
      <w:szCs w:val="20"/>
    </w:rPr>
  </w:style>
  <w:style w:type="paragraph" w:customStyle="1" w:styleId="Reference">
    <w:name w:val="Reference"/>
    <w:basedOn w:val="Normal"/>
    <w:pPr>
      <w:ind w:left="274" w:hanging="274"/>
      <w:jc w:val="both"/>
    </w:pPr>
    <w:rPr>
      <w:sz w:val="18"/>
      <w:szCs w:val="20"/>
    </w:rPr>
  </w:style>
  <w:style w:type="character" w:styleId="IntenseEmphasis">
    <w:name w:val="Intense Emphasis"/>
    <w:basedOn w:val="DefaultParagraphFont"/>
    <w:uiPriority w:val="21"/>
    <w:qFormat/>
    <w:rPr>
      <w:b/>
      <w:bCs/>
      <w:i/>
      <w:iCs/>
      <w:color w:val="4F81BD"/>
    </w:rPr>
  </w:style>
  <w:style w:type="character" w:customStyle="1" w:styleId="sr-only">
    <w:name w:val="sr-only"/>
    <w:basedOn w:val="DefaultParagraphFont"/>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author-ref">
    <w:name w:val="author-ref"/>
    <w:basedOn w:val="DefaultParagraphFont"/>
  </w:style>
  <w:style w:type="character" w:customStyle="1" w:styleId="anchor-text">
    <w:name w:val="anchor-text"/>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24274/nes.2016.a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doi.org/10.1016/j.ijhydene.2019.09.084"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kvrgoud56@gmail.com"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2F08A-8D4F-42DA-9AB8-3846CFD5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5182</TotalTime>
  <Pages>25</Pages>
  <Words>7242</Words>
  <Characters>41284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SRI GURAVE NAMAH</vt:lpstr>
    </vt:vector>
  </TitlesOfParts>
  <Company>ou</Company>
  <LinksUpToDate>false</LinksUpToDate>
  <CharactersWithSpaces>48430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SRI GURAVE NAMAH</dc:title>
  <dc:creator>ou</dc:creator>
  <cp:lastModifiedBy>Madhuri</cp:lastModifiedBy>
  <cp:revision>787</cp:revision>
  <cp:lastPrinted>2019-09-13T20:35:00Z</cp:lastPrinted>
  <dcterms:created xsi:type="dcterms:W3CDTF">2017-11-19T13:23:00Z</dcterms:created>
  <dcterms:modified xsi:type="dcterms:W3CDTF">2024-01-26T07:34:00Z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02275debf181445b8e8342376fdf3b83</vt:lpwstr>
  </property>
</Properties>
</file>