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6FEA"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sz w:val="24"/>
          <w:szCs w:val="24"/>
        </w:rPr>
        <w:t>Green Banking in India: A Study of Onsite and Offsite ATMs of Public Sector Banks</w:t>
      </w:r>
    </w:p>
    <w:p w14:paraId="44D7E697" w14:textId="51BEA784" w:rsidR="000A6BEA" w:rsidRPr="001E5C78" w:rsidRDefault="000A6BEA" w:rsidP="000A6BEA">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Mrs. N. </w:t>
      </w:r>
      <w:proofErr w:type="spellStart"/>
      <w:r w:rsidRPr="001E5C78">
        <w:rPr>
          <w:rFonts w:ascii="Times New Roman" w:hAnsi="Times New Roman" w:cs="Times New Roman"/>
          <w:b/>
          <w:bCs/>
          <w:sz w:val="24"/>
          <w:szCs w:val="24"/>
        </w:rPr>
        <w:t>Rajyalaxmi</w:t>
      </w:r>
      <w:proofErr w:type="spellEnd"/>
      <w:r>
        <w:rPr>
          <w:rFonts w:ascii="Times New Roman" w:hAnsi="Times New Roman" w:cs="Times New Roman"/>
          <w:b/>
          <w:bCs/>
          <w:sz w:val="24"/>
          <w:szCs w:val="24"/>
        </w:rPr>
        <w:t xml:space="preserve">, </w:t>
      </w:r>
      <w:r w:rsidRPr="001E5C78">
        <w:rPr>
          <w:rFonts w:ascii="Times New Roman" w:hAnsi="Times New Roman" w:cs="Times New Roman"/>
          <w:b/>
          <w:bCs/>
          <w:sz w:val="24"/>
          <w:szCs w:val="24"/>
        </w:rPr>
        <w:t>Assistant Professor (</w:t>
      </w:r>
      <w:proofErr w:type="gramStart"/>
      <w:r w:rsidRPr="001E5C78">
        <w:rPr>
          <w:rFonts w:ascii="Times New Roman" w:hAnsi="Times New Roman" w:cs="Times New Roman"/>
          <w:b/>
          <w:bCs/>
          <w:sz w:val="24"/>
          <w:szCs w:val="24"/>
        </w:rPr>
        <w:t>C )</w:t>
      </w:r>
      <w:proofErr w:type="gramEnd"/>
      <w:r>
        <w:rPr>
          <w:rFonts w:ascii="Times New Roman" w:hAnsi="Times New Roman" w:cs="Times New Roman"/>
          <w:b/>
          <w:bCs/>
          <w:sz w:val="24"/>
          <w:szCs w:val="24"/>
        </w:rPr>
        <w:t>, University college for Women, (</w:t>
      </w:r>
      <w:proofErr w:type="spellStart"/>
      <w:r w:rsidRPr="001E5C78">
        <w:rPr>
          <w:rFonts w:ascii="Times New Roman" w:hAnsi="Times New Roman" w:cs="Times New Roman"/>
          <w:b/>
          <w:bCs/>
          <w:sz w:val="24"/>
          <w:szCs w:val="24"/>
        </w:rPr>
        <w:t>TelanganaMahilaVishwavidyalam</w:t>
      </w:r>
      <w:proofErr w:type="spellEnd"/>
      <w:r>
        <w:rPr>
          <w:rFonts w:ascii="Times New Roman" w:hAnsi="Times New Roman" w:cs="Times New Roman"/>
          <w:b/>
          <w:bCs/>
          <w:sz w:val="24"/>
          <w:szCs w:val="24"/>
        </w:rPr>
        <w:t xml:space="preserve">), </w:t>
      </w:r>
      <w:r w:rsidRPr="001E5C78">
        <w:rPr>
          <w:rFonts w:ascii="Times New Roman" w:hAnsi="Times New Roman" w:cs="Times New Roman"/>
          <w:b/>
          <w:bCs/>
          <w:sz w:val="24"/>
          <w:szCs w:val="24"/>
        </w:rPr>
        <w:t>Hyderabad, Telangana, India</w:t>
      </w:r>
      <w:r>
        <w:rPr>
          <w:rFonts w:ascii="Times New Roman" w:hAnsi="Times New Roman" w:cs="Times New Roman"/>
          <w:b/>
          <w:bCs/>
          <w:sz w:val="24"/>
          <w:szCs w:val="24"/>
        </w:rPr>
        <w:t>.</w:t>
      </w:r>
    </w:p>
    <w:p w14:paraId="64F5E0B6" w14:textId="78A370C8" w:rsidR="000A6BEA" w:rsidRPr="002A2137" w:rsidRDefault="000A6BEA" w:rsidP="000A6BEA">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Emial: </w:t>
      </w:r>
      <w:hyperlink r:id="rId5" w:history="1">
        <w:r w:rsidRPr="001E5C78">
          <w:rPr>
            <w:rStyle w:val="Hyperlink"/>
            <w:rFonts w:ascii="Times New Roman" w:hAnsi="Times New Roman" w:cs="Times New Roman"/>
            <w:b/>
            <w:bCs/>
            <w:sz w:val="24"/>
            <w:szCs w:val="24"/>
            <w:u w:val="none"/>
          </w:rPr>
          <w:t>nandurirajyalaxmi@gmail.com</w:t>
        </w:r>
      </w:hyperlink>
    </w:p>
    <w:p w14:paraId="47BA9D2E"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sz w:val="24"/>
          <w:szCs w:val="24"/>
        </w:rPr>
        <w:t>Abstract</w:t>
      </w:r>
    </w:p>
    <w:p w14:paraId="5D2CB93D"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Public Sector Banks are major type of banks in India where a majority stake is held by the government.  Public Sector Banks or Nationalized Banks dominated banking system in India.  </w:t>
      </w:r>
    </w:p>
    <w:p w14:paraId="17CB3699"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There are various Green Banking Products (Paperless) i.e. ATMs, Credit Cards, Debit Cards, Online Banking (NEFT &amp; RTGC) and Mobile Banking of Public Sector Banks in India.  Under these green banking products, the banking transactions are done through an electronic device.  All these products reduce the usage of paper which in turn saves trees.  </w:t>
      </w:r>
    </w:p>
    <w:p w14:paraId="69FA5276" w14:textId="77777777" w:rsidR="000A6BEA" w:rsidRPr="001E5C78" w:rsidRDefault="000A6BEA" w:rsidP="000A6BEA">
      <w:pPr>
        <w:pStyle w:val="BodyText"/>
        <w:spacing w:line="360" w:lineRule="auto"/>
        <w:jc w:val="both"/>
        <w:rPr>
          <w:sz w:val="24"/>
          <w:szCs w:val="24"/>
        </w:rPr>
      </w:pPr>
      <w:r w:rsidRPr="001E5C78">
        <w:rPr>
          <w:sz w:val="24"/>
          <w:szCs w:val="24"/>
        </w:rPr>
        <w:t xml:space="preserve">This Research Paper emphasizes on the analysis of ATMs.  An Automated Teller Machine (ATM) is an electronic telecommunications device that enables customers of financial institutions to perform financial transactions comfortably such as cash withdrawals, deposits, transfer funds, or obtaining account information at any time and without the need for direct interaction with bank staff. The study is focusing on ATM services provided by Public Sector Banks under Green Banking Sector. </w:t>
      </w:r>
      <w:r w:rsidRPr="001E5C78">
        <w:rPr>
          <w:b/>
          <w:bCs/>
          <w:sz w:val="24"/>
          <w:szCs w:val="24"/>
        </w:rPr>
        <w:tab/>
      </w:r>
      <w:r w:rsidRPr="001E5C78">
        <w:rPr>
          <w:sz w:val="24"/>
          <w:szCs w:val="24"/>
        </w:rPr>
        <w:t xml:space="preserve">The present study focuses on growth of Onsite and Offsite ATMs of last five years with the objectives of </w:t>
      </w:r>
      <w:r w:rsidRPr="001E5C78">
        <w:rPr>
          <w:bCs/>
          <w:sz w:val="24"/>
          <w:szCs w:val="24"/>
        </w:rPr>
        <w:t xml:space="preserve">Analyze ATM services by Public Sector Banks and Examine the Growth of Onsite and Offsite ATMs. </w:t>
      </w:r>
      <w:r w:rsidRPr="001E5C78">
        <w:rPr>
          <w:sz w:val="24"/>
          <w:szCs w:val="24"/>
        </w:rPr>
        <w:t xml:space="preserve">The study is based on Secondary Data.  The period of the study for analyzing the growth of Onsite and Offsite ATMs is from 2019-20 to 2023-24. </w:t>
      </w:r>
    </w:p>
    <w:p w14:paraId="433A72A0"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bCs/>
          <w:sz w:val="24"/>
          <w:szCs w:val="24"/>
        </w:rPr>
        <w:t>Key words</w:t>
      </w:r>
      <w:r w:rsidRPr="001E5C78">
        <w:rPr>
          <w:rFonts w:ascii="Times New Roman" w:hAnsi="Times New Roman" w:cs="Times New Roman"/>
          <w:sz w:val="24"/>
          <w:szCs w:val="24"/>
        </w:rPr>
        <w:t xml:space="preserve">: </w:t>
      </w:r>
      <w:r w:rsidRPr="001E5C78">
        <w:rPr>
          <w:rFonts w:ascii="Times New Roman" w:hAnsi="Times New Roman" w:cs="Times New Roman"/>
          <w:i/>
          <w:iCs/>
          <w:sz w:val="24"/>
          <w:szCs w:val="24"/>
        </w:rPr>
        <w:t>ATMs, Onsite and Offsite, Growth, Green Bank</w:t>
      </w:r>
    </w:p>
    <w:p w14:paraId="344C4455"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sz w:val="24"/>
          <w:szCs w:val="24"/>
        </w:rPr>
        <w:t>Introduction</w:t>
      </w:r>
    </w:p>
    <w:p w14:paraId="6CE65368"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The Indian Banking Industry can be classified into Public Sector Banks, Private Sector Banks and Specialized Banking Institutions. Public Sector Banks are major type of banks in India where a majority stake is held by the government.  Public Sector Banks or Nationalized Banks dominated banking system in India.  </w:t>
      </w:r>
    </w:p>
    <w:p w14:paraId="5B1AB783"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There are various Green Banking Products (Paperless) i.e. ATMs, Credit Cards, Debit Cards, Online Banking (NEFT &amp; RTGC) and Mobile Banking of Public Sector Banks in India.  Under these green banking products, the banking transactions are done through an electronic device.  All these products reduce the usage of paper which in turn saves trees.  </w:t>
      </w:r>
    </w:p>
    <w:p w14:paraId="2AFF0AD0"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This Research Paper emphasizes on the analysis of ATMs.  An Automated Teller Machine (ATM) is an electronic telecommunications device that enables customers of financial institutions to perform financial transactions comfortably such as cash withdrawals, deposits, </w:t>
      </w:r>
      <w:r w:rsidRPr="001E5C78">
        <w:rPr>
          <w:rFonts w:ascii="Times New Roman" w:hAnsi="Times New Roman" w:cs="Times New Roman"/>
          <w:sz w:val="24"/>
          <w:szCs w:val="24"/>
        </w:rPr>
        <w:lastRenderedPageBreak/>
        <w:t xml:space="preserve">transfer funds, or obtaining account information at any time and without the need for direct interaction with bank staff. </w:t>
      </w:r>
    </w:p>
    <w:p w14:paraId="154E8876"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Initially, ATM machines were used as cash dispensers through which customers could only withdraw cash and receive their bank account details. </w:t>
      </w:r>
    </w:p>
    <w:p w14:paraId="00D5C181"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On most modern ATMs, customers are identified by inserting a plastic ATM card or some other acceptable payment card into the ATM, with authentication being by the customer entering a personal identification Number (PIN), which must match the PIN stored in the chip on the card, if the card is so equipped, or in the issuing financial institution’s database.  The first ATM was developed in the year 1965 and was introduced by </w:t>
      </w:r>
      <w:proofErr w:type="spellStart"/>
      <w:r w:rsidRPr="001E5C78">
        <w:rPr>
          <w:rFonts w:ascii="Times New Roman" w:hAnsi="Times New Roman" w:cs="Times New Roman"/>
          <w:sz w:val="24"/>
          <w:szCs w:val="24"/>
        </w:rPr>
        <w:t>BarclaysBank</w:t>
      </w:r>
      <w:proofErr w:type="spellEnd"/>
      <w:r w:rsidRPr="001E5C78">
        <w:rPr>
          <w:rFonts w:ascii="Times New Roman" w:hAnsi="Times New Roman" w:cs="Times New Roman"/>
          <w:sz w:val="24"/>
          <w:szCs w:val="24"/>
        </w:rPr>
        <w:t>, London.</w:t>
      </w:r>
    </w:p>
    <w:p w14:paraId="236D32E7" w14:textId="77777777" w:rsidR="000A6BEA" w:rsidRPr="001E5C78" w:rsidRDefault="000A6BEA" w:rsidP="000A6BEA">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Scope of the study </w:t>
      </w:r>
    </w:p>
    <w:p w14:paraId="2F4694DF" w14:textId="77777777" w:rsidR="000A6BEA" w:rsidRPr="001E5C78" w:rsidRDefault="000A6BEA" w:rsidP="000A6BEA">
      <w:pPr>
        <w:tabs>
          <w:tab w:val="center" w:pos="4513"/>
        </w:tabs>
        <w:spacing w:after="0" w:line="360" w:lineRule="auto"/>
        <w:rPr>
          <w:rFonts w:ascii="Times New Roman" w:hAnsi="Times New Roman" w:cs="Times New Roman"/>
          <w:b/>
          <w:bCs/>
          <w:sz w:val="24"/>
          <w:szCs w:val="24"/>
        </w:rPr>
      </w:pPr>
      <w:r w:rsidRPr="001E5C78">
        <w:rPr>
          <w:rFonts w:ascii="Times New Roman" w:hAnsi="Times New Roman" w:cs="Times New Roman"/>
          <w:sz w:val="24"/>
          <w:szCs w:val="24"/>
        </w:rPr>
        <w:t xml:space="preserve">The study is focusing on ATM services provided by Public Sector Banks under Green Banking Sector. </w:t>
      </w:r>
      <w:r w:rsidRPr="001E5C78">
        <w:rPr>
          <w:rFonts w:ascii="Times New Roman" w:hAnsi="Times New Roman" w:cs="Times New Roman"/>
          <w:b/>
          <w:bCs/>
          <w:sz w:val="24"/>
          <w:szCs w:val="24"/>
        </w:rPr>
        <w:tab/>
      </w:r>
    </w:p>
    <w:p w14:paraId="41CA02E5"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sz w:val="24"/>
          <w:szCs w:val="24"/>
        </w:rPr>
        <w:t xml:space="preserve">Review of Literature </w:t>
      </w:r>
    </w:p>
    <w:p w14:paraId="7DDDDF25" w14:textId="77777777" w:rsidR="000A6BEA" w:rsidRPr="001E5C78" w:rsidRDefault="000A6BEA" w:rsidP="000A6BEA">
      <w:pPr>
        <w:pStyle w:val="ListParagraph"/>
        <w:widowControl w:val="0"/>
        <w:numPr>
          <w:ilvl w:val="0"/>
          <w:numId w:val="8"/>
        </w:numPr>
        <w:autoSpaceDE w:val="0"/>
        <w:autoSpaceDN w:val="0"/>
        <w:spacing w:after="0" w:line="360" w:lineRule="auto"/>
        <w:contextualSpacing w:val="0"/>
        <w:rPr>
          <w:sz w:val="24"/>
          <w:szCs w:val="24"/>
        </w:rPr>
      </w:pPr>
      <w:r w:rsidRPr="001E5C78">
        <w:rPr>
          <w:sz w:val="24"/>
          <w:szCs w:val="24"/>
        </w:rPr>
        <w:t xml:space="preserve">Yogesh </w:t>
      </w:r>
      <w:proofErr w:type="spellStart"/>
      <w:r w:rsidRPr="001E5C78">
        <w:rPr>
          <w:sz w:val="24"/>
          <w:szCs w:val="24"/>
        </w:rPr>
        <w:t>Kumarwat</w:t>
      </w:r>
      <w:proofErr w:type="spellEnd"/>
      <w:r w:rsidRPr="001E5C78">
        <w:rPr>
          <w:sz w:val="24"/>
          <w:szCs w:val="24"/>
        </w:rPr>
        <w:t xml:space="preserve"> and Manish Dubey </w:t>
      </w:r>
      <w:proofErr w:type="gramStart"/>
      <w:r w:rsidRPr="001E5C78">
        <w:rPr>
          <w:sz w:val="24"/>
          <w:szCs w:val="24"/>
        </w:rPr>
        <w:t>( 2017</w:t>
      </w:r>
      <w:proofErr w:type="gramEnd"/>
      <w:r w:rsidRPr="001E5C78">
        <w:rPr>
          <w:sz w:val="24"/>
          <w:szCs w:val="24"/>
        </w:rPr>
        <w:t xml:space="preserve">) in their paper define concept of Li-Fi on ATM transaction. This technique a concept of LED and visible light is used for data transmission and during ATM transaction used an encrypted </w:t>
      </w:r>
      <w:proofErr w:type="spellStart"/>
      <w:r w:rsidRPr="001E5C78">
        <w:rPr>
          <w:sz w:val="24"/>
          <w:szCs w:val="24"/>
        </w:rPr>
        <w:t>LiFi</w:t>
      </w:r>
      <w:proofErr w:type="spellEnd"/>
      <w:r w:rsidRPr="001E5C78">
        <w:rPr>
          <w:sz w:val="24"/>
          <w:szCs w:val="24"/>
        </w:rPr>
        <w:t xml:space="preserve"> transfer pin, which is providing security for data transmission.  </w:t>
      </w:r>
    </w:p>
    <w:p w14:paraId="43C68FC5" w14:textId="77777777" w:rsidR="000A6BEA" w:rsidRPr="001E5C78" w:rsidRDefault="000A6BEA" w:rsidP="000A6BEA">
      <w:pPr>
        <w:pStyle w:val="ListParagraph"/>
        <w:widowControl w:val="0"/>
        <w:numPr>
          <w:ilvl w:val="0"/>
          <w:numId w:val="8"/>
        </w:numPr>
        <w:autoSpaceDE w:val="0"/>
        <w:autoSpaceDN w:val="0"/>
        <w:spacing w:after="0" w:line="360" w:lineRule="auto"/>
        <w:contextualSpacing w:val="0"/>
        <w:rPr>
          <w:sz w:val="24"/>
          <w:szCs w:val="24"/>
        </w:rPr>
      </w:pPr>
      <w:r w:rsidRPr="001E5C78">
        <w:rPr>
          <w:sz w:val="24"/>
          <w:szCs w:val="24"/>
        </w:rPr>
        <w:t xml:space="preserve">Ram Raj G (2018) examines the various types of Automated Teller Machines in India.  He also examines the growth and usage of ATMs in Indian Banking sector. This study declares that there is an immense growth in Indian ATM service and positively increasing a number of </w:t>
      </w:r>
      <w:proofErr w:type="gramStart"/>
      <w:r w:rsidRPr="001E5C78">
        <w:rPr>
          <w:sz w:val="24"/>
          <w:szCs w:val="24"/>
        </w:rPr>
        <w:t>public</w:t>
      </w:r>
      <w:proofErr w:type="gramEnd"/>
      <w:r w:rsidRPr="001E5C78">
        <w:rPr>
          <w:sz w:val="24"/>
          <w:szCs w:val="24"/>
        </w:rPr>
        <w:t xml:space="preserve"> using ATM every day.  </w:t>
      </w:r>
    </w:p>
    <w:p w14:paraId="33863FD3" w14:textId="77777777" w:rsidR="000A6BEA" w:rsidRPr="001E5C78" w:rsidRDefault="000A6BEA" w:rsidP="000A6BEA">
      <w:pPr>
        <w:pStyle w:val="ListParagraph"/>
        <w:widowControl w:val="0"/>
        <w:numPr>
          <w:ilvl w:val="0"/>
          <w:numId w:val="8"/>
        </w:numPr>
        <w:autoSpaceDE w:val="0"/>
        <w:autoSpaceDN w:val="0"/>
        <w:spacing w:after="0" w:line="360" w:lineRule="auto"/>
        <w:contextualSpacing w:val="0"/>
        <w:rPr>
          <w:sz w:val="24"/>
          <w:szCs w:val="24"/>
        </w:rPr>
      </w:pPr>
      <w:r w:rsidRPr="001E5C78">
        <w:rPr>
          <w:sz w:val="24"/>
          <w:szCs w:val="24"/>
        </w:rPr>
        <w:t xml:space="preserve">S. Geetha and Dhivya Bharathi (2019) concluded in their paper that the human relation only the way to improve the better service quality into quality of service. </w:t>
      </w:r>
    </w:p>
    <w:p w14:paraId="404B5187" w14:textId="77777777" w:rsidR="000A6BEA" w:rsidRPr="001E5C78" w:rsidRDefault="000A6BEA" w:rsidP="000A6BEA">
      <w:pPr>
        <w:pStyle w:val="ListParagraph"/>
        <w:widowControl w:val="0"/>
        <w:numPr>
          <w:ilvl w:val="0"/>
          <w:numId w:val="8"/>
        </w:numPr>
        <w:autoSpaceDE w:val="0"/>
        <w:autoSpaceDN w:val="0"/>
        <w:spacing w:after="0" w:line="360" w:lineRule="auto"/>
        <w:contextualSpacing w:val="0"/>
        <w:rPr>
          <w:sz w:val="24"/>
          <w:szCs w:val="24"/>
        </w:rPr>
      </w:pPr>
      <w:r w:rsidRPr="001E5C78">
        <w:rPr>
          <w:sz w:val="24"/>
          <w:szCs w:val="24"/>
        </w:rPr>
        <w:t xml:space="preserve">Ravindra Devidas Kene and </w:t>
      </w:r>
      <w:proofErr w:type="spellStart"/>
      <w:r w:rsidRPr="001E5C78">
        <w:rPr>
          <w:sz w:val="24"/>
          <w:szCs w:val="24"/>
        </w:rPr>
        <w:t>Mulkalwar</w:t>
      </w:r>
      <w:proofErr w:type="spellEnd"/>
      <w:r w:rsidRPr="001E5C78">
        <w:rPr>
          <w:sz w:val="24"/>
          <w:szCs w:val="24"/>
        </w:rPr>
        <w:t xml:space="preserve"> (2023) observed that the number of </w:t>
      </w:r>
      <w:proofErr w:type="gramStart"/>
      <w:r w:rsidRPr="001E5C78">
        <w:rPr>
          <w:sz w:val="24"/>
          <w:szCs w:val="24"/>
        </w:rPr>
        <w:t>crime</w:t>
      </w:r>
      <w:proofErr w:type="gramEnd"/>
      <w:r w:rsidRPr="001E5C78">
        <w:rPr>
          <w:sz w:val="24"/>
          <w:szCs w:val="24"/>
        </w:rPr>
        <w:t xml:space="preserve"> related to ATM increased hence needs to provide better security to ATM machine.  They also study various security methods available for banking and ATMs so as to understand the security issues and next research opportunities. </w:t>
      </w:r>
    </w:p>
    <w:p w14:paraId="248373A6" w14:textId="77777777" w:rsidR="000A6BEA" w:rsidRPr="001E5C78" w:rsidRDefault="000A6BEA" w:rsidP="000A6BEA">
      <w:pPr>
        <w:pStyle w:val="ListParagraph"/>
        <w:widowControl w:val="0"/>
        <w:numPr>
          <w:ilvl w:val="0"/>
          <w:numId w:val="8"/>
        </w:numPr>
        <w:autoSpaceDE w:val="0"/>
        <w:autoSpaceDN w:val="0"/>
        <w:spacing w:after="0" w:line="360" w:lineRule="auto"/>
        <w:contextualSpacing w:val="0"/>
        <w:rPr>
          <w:sz w:val="24"/>
          <w:szCs w:val="24"/>
        </w:rPr>
      </w:pPr>
      <w:r w:rsidRPr="001E5C78">
        <w:rPr>
          <w:sz w:val="24"/>
          <w:szCs w:val="24"/>
        </w:rPr>
        <w:t xml:space="preserve">Gitanjali Mehta (2024) paper contains the ATM safety protocol based around and improved using biometric authentication strategy, such as face recognition. Forestalling unapproved access in one of the simple thinking processes of biometrics, meaning that anyone cannot access the ATM implies that the customer should present to access the ATM. </w:t>
      </w:r>
    </w:p>
    <w:p w14:paraId="61F86558"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sz w:val="24"/>
          <w:szCs w:val="24"/>
        </w:rPr>
        <w:lastRenderedPageBreak/>
        <w:t>Research Gap</w:t>
      </w:r>
    </w:p>
    <w:p w14:paraId="1154CA19" w14:textId="77777777" w:rsidR="000A6BEA" w:rsidRPr="001E5C78" w:rsidRDefault="000A6BEA" w:rsidP="000A6BEA">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Review of Literature reveals that various studies have been made on ATMS over a period of time focusing on Li-Fi concepts on ATM transactions, growth and usage of ATMs, quality services of ATMs, crime related to ATMs and ATM safety protocol etc. However, they have not addressed the growth of Onsite and Offsite ATMs of Public Sector Banks in India.  The present study focuses on growth of Onsite and Offsite ATMs of last five years. </w:t>
      </w:r>
    </w:p>
    <w:p w14:paraId="7CD9CE7C" w14:textId="77777777" w:rsidR="000A6BEA" w:rsidRPr="001E5C78" w:rsidRDefault="000A6BEA" w:rsidP="000A6BEA">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Objectives of the Study</w:t>
      </w:r>
    </w:p>
    <w:p w14:paraId="4AD36E19" w14:textId="77777777" w:rsidR="000A6BEA" w:rsidRPr="001E5C78" w:rsidRDefault="000A6BEA" w:rsidP="000A6BEA">
      <w:pPr>
        <w:pStyle w:val="ListParagraph"/>
        <w:widowControl w:val="0"/>
        <w:numPr>
          <w:ilvl w:val="0"/>
          <w:numId w:val="6"/>
        </w:numPr>
        <w:autoSpaceDE w:val="0"/>
        <w:autoSpaceDN w:val="0"/>
        <w:spacing w:after="0" w:line="360" w:lineRule="auto"/>
        <w:contextualSpacing w:val="0"/>
        <w:rPr>
          <w:bCs/>
          <w:sz w:val="24"/>
          <w:szCs w:val="24"/>
        </w:rPr>
      </w:pPr>
      <w:r w:rsidRPr="001E5C78">
        <w:rPr>
          <w:bCs/>
          <w:sz w:val="24"/>
          <w:szCs w:val="24"/>
        </w:rPr>
        <w:t>To Analyze ATM services by Public Sector Banks</w:t>
      </w:r>
    </w:p>
    <w:p w14:paraId="2C338315" w14:textId="77777777" w:rsidR="000A6BEA" w:rsidRPr="001E5C78" w:rsidRDefault="000A6BEA" w:rsidP="000A6BEA">
      <w:pPr>
        <w:pStyle w:val="ListParagraph"/>
        <w:widowControl w:val="0"/>
        <w:numPr>
          <w:ilvl w:val="0"/>
          <w:numId w:val="6"/>
        </w:numPr>
        <w:autoSpaceDE w:val="0"/>
        <w:autoSpaceDN w:val="0"/>
        <w:spacing w:after="0" w:line="360" w:lineRule="auto"/>
        <w:contextualSpacing w:val="0"/>
        <w:rPr>
          <w:bCs/>
          <w:sz w:val="24"/>
          <w:szCs w:val="24"/>
        </w:rPr>
      </w:pPr>
      <w:r w:rsidRPr="001E5C78">
        <w:rPr>
          <w:bCs/>
          <w:sz w:val="24"/>
          <w:szCs w:val="24"/>
        </w:rPr>
        <w:t xml:space="preserve">To Examine the Growth of </w:t>
      </w:r>
      <w:proofErr w:type="gramStart"/>
      <w:r w:rsidRPr="001E5C78">
        <w:rPr>
          <w:bCs/>
          <w:sz w:val="24"/>
          <w:szCs w:val="24"/>
        </w:rPr>
        <w:t>Onsite  and</w:t>
      </w:r>
      <w:proofErr w:type="gramEnd"/>
      <w:r w:rsidRPr="001E5C78">
        <w:rPr>
          <w:bCs/>
          <w:sz w:val="24"/>
          <w:szCs w:val="24"/>
        </w:rPr>
        <w:t xml:space="preserve"> Offsite ATMs </w:t>
      </w:r>
    </w:p>
    <w:p w14:paraId="4F3899D7" w14:textId="77777777" w:rsidR="000A6BEA" w:rsidRPr="001E5C78" w:rsidRDefault="000A6BEA" w:rsidP="000A6BEA">
      <w:pPr>
        <w:pStyle w:val="ListParagraph"/>
        <w:spacing w:after="0" w:line="360" w:lineRule="auto"/>
        <w:rPr>
          <w:b/>
          <w:bCs/>
          <w:sz w:val="24"/>
          <w:szCs w:val="24"/>
        </w:rPr>
      </w:pPr>
    </w:p>
    <w:p w14:paraId="4972A572" w14:textId="77777777" w:rsidR="000A6BEA" w:rsidRPr="001E5C78" w:rsidRDefault="000A6BEA" w:rsidP="000A6BEA">
      <w:pPr>
        <w:pStyle w:val="BodyText"/>
        <w:spacing w:line="360" w:lineRule="auto"/>
        <w:jc w:val="both"/>
        <w:rPr>
          <w:b/>
          <w:sz w:val="24"/>
          <w:szCs w:val="24"/>
        </w:rPr>
      </w:pPr>
      <w:r w:rsidRPr="001E5C78">
        <w:rPr>
          <w:b/>
          <w:sz w:val="24"/>
          <w:szCs w:val="24"/>
        </w:rPr>
        <w:t>Research Methodology</w:t>
      </w:r>
    </w:p>
    <w:p w14:paraId="4E41E62C" w14:textId="77777777" w:rsidR="000A6BEA" w:rsidRPr="001E5C78" w:rsidRDefault="000A6BEA" w:rsidP="000A6BEA">
      <w:pPr>
        <w:pStyle w:val="BodyText"/>
        <w:numPr>
          <w:ilvl w:val="0"/>
          <w:numId w:val="7"/>
        </w:numPr>
        <w:spacing w:line="360" w:lineRule="auto"/>
        <w:jc w:val="both"/>
        <w:rPr>
          <w:b/>
          <w:sz w:val="24"/>
          <w:szCs w:val="24"/>
        </w:rPr>
      </w:pPr>
      <w:r w:rsidRPr="001E5C78">
        <w:rPr>
          <w:b/>
          <w:sz w:val="24"/>
          <w:szCs w:val="24"/>
        </w:rPr>
        <w:t>Source of Data</w:t>
      </w:r>
    </w:p>
    <w:p w14:paraId="51280511" w14:textId="77777777" w:rsidR="000A6BEA" w:rsidRPr="001E5C78" w:rsidRDefault="000A6BEA" w:rsidP="000A6BEA">
      <w:pPr>
        <w:pStyle w:val="BodyText"/>
        <w:spacing w:line="360" w:lineRule="auto"/>
        <w:ind w:left="720"/>
        <w:jc w:val="both"/>
        <w:rPr>
          <w:sz w:val="24"/>
          <w:szCs w:val="24"/>
        </w:rPr>
      </w:pPr>
      <w:r w:rsidRPr="001E5C78">
        <w:rPr>
          <w:sz w:val="24"/>
          <w:szCs w:val="24"/>
        </w:rPr>
        <w:t xml:space="preserve">The study is based on Secondary Data.  The secondary data pertaining to Onsite and Offsite ATMs and ATMs services by Public Sector Banks is collected from the RBI Reports, All other Public Sector Bank Annual Reports.  Secondary Sources includes National and International Journals, Magazines and Published Books. </w:t>
      </w:r>
    </w:p>
    <w:p w14:paraId="07574A46" w14:textId="77777777" w:rsidR="000A6BEA" w:rsidRPr="001E5C78" w:rsidRDefault="000A6BEA" w:rsidP="000A6BEA">
      <w:pPr>
        <w:pStyle w:val="BodyText"/>
        <w:numPr>
          <w:ilvl w:val="0"/>
          <w:numId w:val="7"/>
        </w:numPr>
        <w:spacing w:line="360" w:lineRule="auto"/>
        <w:jc w:val="both"/>
        <w:rPr>
          <w:b/>
          <w:sz w:val="24"/>
          <w:szCs w:val="24"/>
        </w:rPr>
      </w:pPr>
      <w:r w:rsidRPr="001E5C78">
        <w:rPr>
          <w:b/>
          <w:sz w:val="24"/>
          <w:szCs w:val="24"/>
        </w:rPr>
        <w:t>Period of the Study</w:t>
      </w:r>
    </w:p>
    <w:p w14:paraId="3AC924E4" w14:textId="77777777" w:rsidR="000A6BEA" w:rsidRPr="001E5C78" w:rsidRDefault="000A6BEA" w:rsidP="000A6BEA">
      <w:pPr>
        <w:pStyle w:val="BodyText"/>
        <w:spacing w:line="360" w:lineRule="auto"/>
        <w:ind w:left="720"/>
        <w:jc w:val="both"/>
        <w:rPr>
          <w:sz w:val="24"/>
          <w:szCs w:val="24"/>
        </w:rPr>
      </w:pPr>
      <w:r w:rsidRPr="001E5C78">
        <w:rPr>
          <w:sz w:val="24"/>
          <w:szCs w:val="24"/>
        </w:rPr>
        <w:t>The period of the study for analyzing the growth of Onsite and Offsite ATMs is from 2019-20 to 2023-24.</w:t>
      </w:r>
    </w:p>
    <w:p w14:paraId="519900EA" w14:textId="77777777" w:rsidR="000A6BEA" w:rsidRPr="001E5C78" w:rsidRDefault="000A6BEA" w:rsidP="000A6BEA">
      <w:pPr>
        <w:pStyle w:val="BodyText"/>
        <w:numPr>
          <w:ilvl w:val="0"/>
          <w:numId w:val="7"/>
        </w:numPr>
        <w:spacing w:line="360" w:lineRule="auto"/>
        <w:jc w:val="both"/>
        <w:rPr>
          <w:b/>
          <w:sz w:val="24"/>
          <w:szCs w:val="24"/>
        </w:rPr>
      </w:pPr>
      <w:r w:rsidRPr="001E5C78">
        <w:rPr>
          <w:b/>
          <w:sz w:val="24"/>
          <w:szCs w:val="24"/>
        </w:rPr>
        <w:t>Tools for Analysis</w:t>
      </w:r>
    </w:p>
    <w:p w14:paraId="75C4F2C9" w14:textId="77777777" w:rsidR="000A6BEA" w:rsidRPr="001E5C78" w:rsidRDefault="000A6BEA" w:rsidP="000A6BEA">
      <w:pPr>
        <w:pStyle w:val="BodyText"/>
        <w:spacing w:line="360" w:lineRule="auto"/>
        <w:ind w:left="720"/>
        <w:jc w:val="both"/>
        <w:rPr>
          <w:sz w:val="24"/>
          <w:szCs w:val="24"/>
        </w:rPr>
      </w:pPr>
      <w:r w:rsidRPr="001E5C78">
        <w:rPr>
          <w:sz w:val="24"/>
          <w:szCs w:val="24"/>
        </w:rPr>
        <w:t>The data on the ATMs of Public Sector Banks collected from different sources have been analyzed by using well established statistical tools and techniques.  The following tool is used for analysis:</w:t>
      </w:r>
    </w:p>
    <w:p w14:paraId="1FA30ACC" w14:textId="77777777" w:rsidR="000A6BEA" w:rsidRPr="001E5C78" w:rsidRDefault="000A6BEA" w:rsidP="000A6BEA">
      <w:pPr>
        <w:pStyle w:val="BodyText"/>
        <w:spacing w:line="360" w:lineRule="auto"/>
        <w:ind w:left="720"/>
        <w:jc w:val="both"/>
        <w:rPr>
          <w:sz w:val="24"/>
          <w:szCs w:val="24"/>
        </w:rPr>
      </w:pPr>
      <w:r w:rsidRPr="001E5C78">
        <w:rPr>
          <w:sz w:val="24"/>
          <w:szCs w:val="24"/>
        </w:rPr>
        <w:t>Compound Annual Growth Rate (CAGR)</w:t>
      </w:r>
    </w:p>
    <w:p w14:paraId="4CE1FEAA" w14:textId="77777777" w:rsidR="000A6BEA" w:rsidRPr="001E5C78" w:rsidRDefault="000A6BEA" w:rsidP="000A6BEA">
      <w:pPr>
        <w:pStyle w:val="BodyText"/>
        <w:spacing w:line="360" w:lineRule="auto"/>
        <w:ind w:left="720"/>
        <w:jc w:val="both"/>
        <w:rPr>
          <w:sz w:val="24"/>
          <w:szCs w:val="24"/>
        </w:rPr>
      </w:pPr>
      <w:r w:rsidRPr="001E5C78">
        <w:rPr>
          <w:sz w:val="24"/>
          <w:szCs w:val="24"/>
        </w:rPr>
        <w:t>It works out change for a given period on the basis of the base year and the end year value i.e.</w:t>
      </w:r>
    </w:p>
    <w:p w14:paraId="14F38F56" w14:textId="77777777" w:rsidR="000A6BEA" w:rsidRPr="001E5C78" w:rsidRDefault="000A6BEA" w:rsidP="000A6BEA">
      <w:pPr>
        <w:pStyle w:val="BodyText"/>
        <w:spacing w:line="360" w:lineRule="auto"/>
        <w:ind w:left="720"/>
        <w:jc w:val="both"/>
        <w:rPr>
          <w:sz w:val="24"/>
          <w:szCs w:val="24"/>
        </w:rPr>
      </w:pPr>
      <w:r w:rsidRPr="001E5C78">
        <w:rPr>
          <w:sz w:val="24"/>
          <w:szCs w:val="24"/>
        </w:rPr>
        <w:t xml:space="preserve">g= ({K </w:t>
      </w:r>
      <w:proofErr w:type="spellStart"/>
      <w:r w:rsidRPr="001E5C78">
        <w:rPr>
          <w:sz w:val="24"/>
          <w:szCs w:val="24"/>
        </w:rPr>
        <w:t>i</w:t>
      </w:r>
      <w:proofErr w:type="spellEnd"/>
      <w:r w:rsidRPr="001E5C78">
        <w:rPr>
          <w:sz w:val="24"/>
          <w:szCs w:val="24"/>
        </w:rPr>
        <w:t>/K o}-1) x 100</w:t>
      </w:r>
    </w:p>
    <w:p w14:paraId="5ECE85F8" w14:textId="77777777" w:rsidR="000A6BEA" w:rsidRPr="001E5C78" w:rsidRDefault="000A6BEA" w:rsidP="000A6BEA">
      <w:pPr>
        <w:pStyle w:val="BodyText"/>
        <w:spacing w:line="360" w:lineRule="auto"/>
        <w:ind w:left="720"/>
        <w:jc w:val="both"/>
        <w:rPr>
          <w:sz w:val="24"/>
          <w:szCs w:val="24"/>
        </w:rPr>
      </w:pPr>
      <w:r w:rsidRPr="001E5C78">
        <w:rPr>
          <w:sz w:val="24"/>
          <w:szCs w:val="24"/>
        </w:rPr>
        <w:t xml:space="preserve">Where K </w:t>
      </w:r>
      <w:proofErr w:type="spellStart"/>
      <w:r w:rsidRPr="001E5C78">
        <w:rPr>
          <w:sz w:val="24"/>
          <w:szCs w:val="24"/>
        </w:rPr>
        <w:t>i</w:t>
      </w:r>
      <w:proofErr w:type="spellEnd"/>
      <w:r w:rsidRPr="001E5C78">
        <w:rPr>
          <w:sz w:val="24"/>
          <w:szCs w:val="24"/>
        </w:rPr>
        <w:t xml:space="preserve"> and K o represents the values of variables at the end </w:t>
      </w:r>
      <w:proofErr w:type="gramStart"/>
      <w:r w:rsidRPr="001E5C78">
        <w:rPr>
          <w:sz w:val="24"/>
          <w:szCs w:val="24"/>
        </w:rPr>
        <w:t>and  basic</w:t>
      </w:r>
      <w:proofErr w:type="gramEnd"/>
      <w:r w:rsidRPr="001E5C78">
        <w:rPr>
          <w:sz w:val="24"/>
          <w:szCs w:val="24"/>
        </w:rPr>
        <w:t xml:space="preserve"> year respectively.</w:t>
      </w:r>
    </w:p>
    <w:p w14:paraId="33F66FFC" w14:textId="77777777" w:rsidR="000A6BEA" w:rsidRPr="001E5C78" w:rsidRDefault="000A6BEA" w:rsidP="000A6BEA">
      <w:pPr>
        <w:pStyle w:val="BodyText"/>
        <w:spacing w:line="360" w:lineRule="auto"/>
        <w:jc w:val="both"/>
        <w:rPr>
          <w:b/>
          <w:sz w:val="24"/>
          <w:szCs w:val="24"/>
        </w:rPr>
      </w:pPr>
      <w:r w:rsidRPr="001E5C78">
        <w:rPr>
          <w:b/>
          <w:sz w:val="24"/>
          <w:szCs w:val="24"/>
        </w:rPr>
        <w:t xml:space="preserve">Analysis of ATM </w:t>
      </w:r>
      <w:proofErr w:type="gramStart"/>
      <w:r w:rsidRPr="001E5C78">
        <w:rPr>
          <w:b/>
          <w:sz w:val="24"/>
          <w:szCs w:val="24"/>
        </w:rPr>
        <w:t>Services  by</w:t>
      </w:r>
      <w:proofErr w:type="gramEnd"/>
      <w:r w:rsidRPr="001E5C78">
        <w:rPr>
          <w:b/>
          <w:sz w:val="24"/>
          <w:szCs w:val="24"/>
        </w:rPr>
        <w:t xml:space="preserve"> Public Sector Banks</w:t>
      </w:r>
    </w:p>
    <w:p w14:paraId="1032D7D0" w14:textId="77777777" w:rsidR="000A6BEA" w:rsidRPr="001E5C78" w:rsidRDefault="000A6BEA" w:rsidP="000A6BEA">
      <w:pPr>
        <w:spacing w:after="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Based on location, ATMs are divided into 2 types. They are:</w:t>
      </w:r>
    </w:p>
    <w:p w14:paraId="098E020F" w14:textId="77777777" w:rsidR="000A6BEA" w:rsidRPr="001E5C78" w:rsidRDefault="000A6BEA" w:rsidP="000A6BEA">
      <w:pPr>
        <w:spacing w:after="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a) On-Site ATMs </w:t>
      </w:r>
    </w:p>
    <w:p w14:paraId="27F1B578" w14:textId="77777777" w:rsidR="000A6BEA" w:rsidRPr="001E5C78" w:rsidRDefault="000A6BEA" w:rsidP="000A6BEA">
      <w:pPr>
        <w:spacing w:after="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b) Off- Site ATMs</w:t>
      </w:r>
    </w:p>
    <w:p w14:paraId="7ECB8306" w14:textId="77777777" w:rsidR="000A6BEA" w:rsidRPr="001E5C78" w:rsidRDefault="000A6BEA" w:rsidP="000A6BEA">
      <w:pPr>
        <w:spacing w:after="0" w:line="360" w:lineRule="auto"/>
        <w:rPr>
          <w:rFonts w:ascii="Times New Roman" w:eastAsia="Times New Roman" w:hAnsi="Times New Roman" w:cs="Times New Roman"/>
          <w:b/>
          <w:sz w:val="24"/>
          <w:szCs w:val="24"/>
        </w:rPr>
      </w:pPr>
      <w:r w:rsidRPr="001E5C78">
        <w:rPr>
          <w:rFonts w:ascii="Times New Roman" w:eastAsia="Times New Roman" w:hAnsi="Times New Roman" w:cs="Times New Roman"/>
          <w:b/>
          <w:sz w:val="24"/>
          <w:szCs w:val="24"/>
        </w:rPr>
        <w:lastRenderedPageBreak/>
        <w:t>a) On-Site ATMs</w:t>
      </w:r>
    </w:p>
    <w:p w14:paraId="606E737D" w14:textId="77777777" w:rsidR="000A6BEA" w:rsidRPr="001E5C78" w:rsidRDefault="000A6BEA" w:rsidP="000A6BEA">
      <w:pPr>
        <w:pStyle w:val="BodyText"/>
        <w:spacing w:line="360" w:lineRule="auto"/>
        <w:ind w:left="90" w:right="218"/>
        <w:jc w:val="both"/>
        <w:rPr>
          <w:sz w:val="24"/>
          <w:szCs w:val="24"/>
        </w:rPr>
      </w:pPr>
      <w:r w:rsidRPr="001E5C78">
        <w:rPr>
          <w:sz w:val="24"/>
          <w:szCs w:val="24"/>
        </w:rPr>
        <w:t>If ATMs are made available by the banks in the bank premises so that both the physical branch and the ATM can be used by people for several purposes like to avoid the lines or queues and save time required to complete their transactions. it is On-site ATMs.</w:t>
      </w:r>
    </w:p>
    <w:p w14:paraId="08517B6C" w14:textId="77777777" w:rsidR="000A6BEA" w:rsidRPr="001E5C78" w:rsidRDefault="000A6BEA" w:rsidP="000A6BEA">
      <w:pPr>
        <w:spacing w:after="0" w:line="360" w:lineRule="auto"/>
        <w:rPr>
          <w:rFonts w:ascii="Times New Roman" w:eastAsia="Times New Roman" w:hAnsi="Times New Roman" w:cs="Times New Roman"/>
          <w:b/>
          <w:sz w:val="24"/>
          <w:szCs w:val="24"/>
        </w:rPr>
      </w:pPr>
      <w:r w:rsidRPr="001E5C78">
        <w:rPr>
          <w:rFonts w:ascii="Times New Roman" w:eastAsia="Times New Roman" w:hAnsi="Times New Roman" w:cs="Times New Roman"/>
          <w:b/>
          <w:sz w:val="24"/>
          <w:szCs w:val="24"/>
        </w:rPr>
        <w:t>b) Off- Site ATMs</w:t>
      </w:r>
    </w:p>
    <w:p w14:paraId="38F89F1F" w14:textId="77777777" w:rsidR="000A6BEA" w:rsidRPr="001E5C78" w:rsidRDefault="000A6BEA" w:rsidP="000A6BEA">
      <w:pPr>
        <w:pStyle w:val="BodyText"/>
        <w:spacing w:line="360" w:lineRule="auto"/>
        <w:ind w:left="90" w:right="218" w:hanging="40"/>
        <w:jc w:val="both"/>
        <w:rPr>
          <w:sz w:val="24"/>
          <w:szCs w:val="24"/>
        </w:rPr>
      </w:pPr>
      <w:r w:rsidRPr="001E5C78">
        <w:rPr>
          <w:sz w:val="24"/>
          <w:szCs w:val="24"/>
        </w:rPr>
        <w:t xml:space="preserve"> If ATMs are made available by </w:t>
      </w:r>
      <w:proofErr w:type="spellStart"/>
      <w:r w:rsidRPr="001E5C78">
        <w:rPr>
          <w:sz w:val="24"/>
          <w:szCs w:val="24"/>
        </w:rPr>
        <w:t>banksat</w:t>
      </w:r>
      <w:proofErr w:type="spellEnd"/>
      <w:r w:rsidRPr="001E5C78">
        <w:rPr>
          <w:sz w:val="24"/>
          <w:szCs w:val="24"/>
        </w:rPr>
        <w:t xml:space="preserve"> convenient locations of public places like bus stations, railway stations, air ports, supermarkets, petrol bunks, etc. Depending upon the volume of business, banks install required number of ATMs for their customers at convenient places. This is to facilitate the people to use the bank services even when there is no bank branch in the area.</w:t>
      </w:r>
    </w:p>
    <w:p w14:paraId="34FD4DA4" w14:textId="77777777" w:rsidR="000A6BEA" w:rsidRPr="001E5C78" w:rsidRDefault="000A6BEA" w:rsidP="000A6BEA">
      <w:pPr>
        <w:pStyle w:val="ListParagraph"/>
        <w:tabs>
          <w:tab w:val="left" w:pos="900"/>
        </w:tabs>
        <w:spacing w:after="0" w:line="360" w:lineRule="auto"/>
        <w:ind w:left="0" w:right="-10"/>
        <w:rPr>
          <w:b/>
          <w:sz w:val="24"/>
          <w:szCs w:val="24"/>
        </w:rPr>
      </w:pPr>
      <w:r w:rsidRPr="001E5C78">
        <w:rPr>
          <w:b/>
          <w:sz w:val="24"/>
          <w:szCs w:val="24"/>
        </w:rPr>
        <w:t>Table 1 - Innovations or a Paradigm Shift in ATMs Usage</w:t>
      </w:r>
    </w:p>
    <w:tbl>
      <w:tblPr>
        <w:tblStyle w:val="TableGrid"/>
        <w:tblW w:w="5098" w:type="dxa"/>
        <w:jc w:val="center"/>
        <w:tblLook w:val="04A0" w:firstRow="1" w:lastRow="0" w:firstColumn="1" w:lastColumn="0" w:noHBand="0" w:noVBand="1"/>
      </w:tblPr>
      <w:tblGrid>
        <w:gridCol w:w="1620"/>
        <w:gridCol w:w="3478"/>
      </w:tblGrid>
      <w:tr w:rsidR="000A6BEA" w:rsidRPr="001E5C78" w14:paraId="6A1A1568" w14:textId="77777777" w:rsidTr="001B3580">
        <w:trPr>
          <w:jc w:val="center"/>
        </w:trPr>
        <w:tc>
          <w:tcPr>
            <w:tcW w:w="1620" w:type="dxa"/>
            <w:tcBorders>
              <w:top w:val="single" w:sz="4" w:space="0" w:color="auto"/>
              <w:left w:val="single" w:sz="4" w:space="0" w:color="auto"/>
              <w:bottom w:val="single" w:sz="4" w:space="0" w:color="auto"/>
              <w:right w:val="single" w:sz="4" w:space="0" w:color="auto"/>
            </w:tcBorders>
            <w:hideMark/>
          </w:tcPr>
          <w:p w14:paraId="74985D33" w14:textId="77777777" w:rsidR="000A6BEA" w:rsidRPr="001E5C78" w:rsidRDefault="000A6BEA" w:rsidP="000A6BEA">
            <w:pPr>
              <w:pStyle w:val="BodyText"/>
              <w:spacing w:line="360" w:lineRule="auto"/>
              <w:ind w:right="-11"/>
              <w:jc w:val="both"/>
              <w:rPr>
                <w:b/>
                <w:sz w:val="24"/>
                <w:szCs w:val="24"/>
              </w:rPr>
            </w:pPr>
            <w:r w:rsidRPr="001E5C78">
              <w:rPr>
                <w:b/>
                <w:sz w:val="24"/>
                <w:szCs w:val="24"/>
              </w:rPr>
              <w:t>Year</w:t>
            </w:r>
          </w:p>
        </w:tc>
        <w:tc>
          <w:tcPr>
            <w:tcW w:w="3478" w:type="dxa"/>
            <w:tcBorders>
              <w:top w:val="single" w:sz="4" w:space="0" w:color="auto"/>
              <w:left w:val="single" w:sz="4" w:space="0" w:color="auto"/>
              <w:bottom w:val="single" w:sz="4" w:space="0" w:color="auto"/>
              <w:right w:val="single" w:sz="4" w:space="0" w:color="auto"/>
            </w:tcBorders>
            <w:hideMark/>
          </w:tcPr>
          <w:p w14:paraId="143C5874" w14:textId="77777777" w:rsidR="000A6BEA" w:rsidRPr="001E5C78" w:rsidRDefault="000A6BEA" w:rsidP="000A6BEA">
            <w:pPr>
              <w:pStyle w:val="BodyText"/>
              <w:spacing w:line="360" w:lineRule="auto"/>
              <w:ind w:right="-11"/>
              <w:jc w:val="both"/>
              <w:rPr>
                <w:b/>
                <w:sz w:val="24"/>
                <w:szCs w:val="24"/>
              </w:rPr>
            </w:pPr>
            <w:r w:rsidRPr="001E5C78">
              <w:rPr>
                <w:b/>
                <w:sz w:val="24"/>
                <w:szCs w:val="24"/>
              </w:rPr>
              <w:t>Usage</w:t>
            </w:r>
          </w:p>
        </w:tc>
      </w:tr>
      <w:tr w:rsidR="000A6BEA" w:rsidRPr="001E5C78" w14:paraId="3F2B7D11" w14:textId="77777777" w:rsidTr="001B3580">
        <w:trPr>
          <w:jc w:val="center"/>
        </w:trPr>
        <w:tc>
          <w:tcPr>
            <w:tcW w:w="1620" w:type="dxa"/>
            <w:tcBorders>
              <w:top w:val="single" w:sz="4" w:space="0" w:color="auto"/>
              <w:left w:val="single" w:sz="4" w:space="0" w:color="auto"/>
              <w:bottom w:val="single" w:sz="4" w:space="0" w:color="auto"/>
              <w:right w:val="single" w:sz="4" w:space="0" w:color="auto"/>
            </w:tcBorders>
            <w:hideMark/>
          </w:tcPr>
          <w:p w14:paraId="05B42AA0" w14:textId="77777777" w:rsidR="000A6BEA" w:rsidRPr="001E5C78" w:rsidRDefault="000A6BEA" w:rsidP="000A6BEA">
            <w:pPr>
              <w:pStyle w:val="BodyText"/>
              <w:spacing w:line="360" w:lineRule="auto"/>
              <w:ind w:right="-11"/>
              <w:jc w:val="both"/>
              <w:rPr>
                <w:sz w:val="24"/>
                <w:szCs w:val="24"/>
              </w:rPr>
            </w:pPr>
            <w:r w:rsidRPr="001E5C78">
              <w:rPr>
                <w:sz w:val="24"/>
                <w:szCs w:val="24"/>
              </w:rPr>
              <w:t>1988-1994</w:t>
            </w:r>
          </w:p>
        </w:tc>
        <w:tc>
          <w:tcPr>
            <w:tcW w:w="3478" w:type="dxa"/>
            <w:tcBorders>
              <w:top w:val="single" w:sz="4" w:space="0" w:color="auto"/>
              <w:left w:val="single" w:sz="4" w:space="0" w:color="auto"/>
              <w:bottom w:val="single" w:sz="4" w:space="0" w:color="auto"/>
              <w:right w:val="single" w:sz="4" w:space="0" w:color="auto"/>
            </w:tcBorders>
            <w:hideMark/>
          </w:tcPr>
          <w:p w14:paraId="6BD3E88E" w14:textId="77777777" w:rsidR="000A6BEA" w:rsidRPr="001E5C78" w:rsidRDefault="000A6BEA" w:rsidP="000A6BEA">
            <w:pPr>
              <w:pStyle w:val="BodyText"/>
              <w:numPr>
                <w:ilvl w:val="0"/>
                <w:numId w:val="1"/>
              </w:numPr>
              <w:spacing w:line="360" w:lineRule="auto"/>
              <w:ind w:right="-11"/>
              <w:jc w:val="both"/>
              <w:rPr>
                <w:sz w:val="24"/>
                <w:szCs w:val="24"/>
              </w:rPr>
            </w:pPr>
            <w:r w:rsidRPr="001E5C78">
              <w:rPr>
                <w:sz w:val="24"/>
                <w:szCs w:val="24"/>
              </w:rPr>
              <w:t>Deposit of cash</w:t>
            </w:r>
          </w:p>
          <w:p w14:paraId="3B8D84C6" w14:textId="77777777" w:rsidR="000A6BEA" w:rsidRPr="001E5C78" w:rsidRDefault="000A6BEA" w:rsidP="000A6BEA">
            <w:pPr>
              <w:pStyle w:val="BodyText"/>
              <w:numPr>
                <w:ilvl w:val="0"/>
                <w:numId w:val="1"/>
              </w:numPr>
              <w:spacing w:line="360" w:lineRule="auto"/>
              <w:ind w:right="-11"/>
              <w:jc w:val="both"/>
              <w:rPr>
                <w:sz w:val="24"/>
                <w:szCs w:val="24"/>
              </w:rPr>
            </w:pPr>
            <w:r w:rsidRPr="001E5C78">
              <w:rPr>
                <w:sz w:val="24"/>
                <w:szCs w:val="24"/>
              </w:rPr>
              <w:t>Withdrawal of Cash</w:t>
            </w:r>
          </w:p>
        </w:tc>
      </w:tr>
      <w:tr w:rsidR="000A6BEA" w:rsidRPr="001E5C78" w14:paraId="679616C4" w14:textId="77777777" w:rsidTr="001B3580">
        <w:trPr>
          <w:jc w:val="center"/>
        </w:trPr>
        <w:tc>
          <w:tcPr>
            <w:tcW w:w="1620" w:type="dxa"/>
            <w:tcBorders>
              <w:top w:val="single" w:sz="4" w:space="0" w:color="auto"/>
              <w:left w:val="single" w:sz="4" w:space="0" w:color="auto"/>
              <w:bottom w:val="single" w:sz="4" w:space="0" w:color="auto"/>
              <w:right w:val="single" w:sz="4" w:space="0" w:color="auto"/>
            </w:tcBorders>
            <w:hideMark/>
          </w:tcPr>
          <w:p w14:paraId="0269C68D" w14:textId="77777777" w:rsidR="000A6BEA" w:rsidRPr="001E5C78" w:rsidRDefault="000A6BEA" w:rsidP="000A6BEA">
            <w:pPr>
              <w:pStyle w:val="BodyText"/>
              <w:spacing w:line="360" w:lineRule="auto"/>
              <w:ind w:right="-11"/>
              <w:jc w:val="both"/>
              <w:rPr>
                <w:sz w:val="24"/>
                <w:szCs w:val="24"/>
              </w:rPr>
            </w:pPr>
            <w:r w:rsidRPr="001E5C78">
              <w:rPr>
                <w:sz w:val="24"/>
                <w:szCs w:val="24"/>
              </w:rPr>
              <w:t>1995-1999</w:t>
            </w:r>
          </w:p>
        </w:tc>
        <w:tc>
          <w:tcPr>
            <w:tcW w:w="3478" w:type="dxa"/>
            <w:tcBorders>
              <w:top w:val="single" w:sz="4" w:space="0" w:color="auto"/>
              <w:left w:val="single" w:sz="4" w:space="0" w:color="auto"/>
              <w:bottom w:val="single" w:sz="4" w:space="0" w:color="auto"/>
              <w:right w:val="single" w:sz="4" w:space="0" w:color="auto"/>
            </w:tcBorders>
            <w:hideMark/>
          </w:tcPr>
          <w:p w14:paraId="2EF2CCBD" w14:textId="77777777" w:rsidR="000A6BEA" w:rsidRPr="001E5C78" w:rsidRDefault="000A6BEA" w:rsidP="000A6BEA">
            <w:pPr>
              <w:pStyle w:val="BodyText"/>
              <w:numPr>
                <w:ilvl w:val="0"/>
                <w:numId w:val="2"/>
              </w:numPr>
              <w:spacing w:line="360" w:lineRule="auto"/>
              <w:ind w:right="-11"/>
              <w:jc w:val="both"/>
              <w:rPr>
                <w:sz w:val="24"/>
                <w:szCs w:val="24"/>
              </w:rPr>
            </w:pPr>
            <w:r w:rsidRPr="001E5C78">
              <w:rPr>
                <w:sz w:val="24"/>
                <w:szCs w:val="24"/>
              </w:rPr>
              <w:t>Mini statement</w:t>
            </w:r>
          </w:p>
          <w:p w14:paraId="33A54D5F" w14:textId="77777777" w:rsidR="000A6BEA" w:rsidRPr="001E5C78" w:rsidRDefault="000A6BEA" w:rsidP="000A6BEA">
            <w:pPr>
              <w:pStyle w:val="BodyText"/>
              <w:numPr>
                <w:ilvl w:val="0"/>
                <w:numId w:val="2"/>
              </w:numPr>
              <w:spacing w:line="360" w:lineRule="auto"/>
              <w:ind w:right="-11"/>
              <w:jc w:val="both"/>
              <w:rPr>
                <w:sz w:val="24"/>
                <w:szCs w:val="24"/>
              </w:rPr>
            </w:pPr>
            <w:r w:rsidRPr="001E5C78">
              <w:rPr>
                <w:sz w:val="24"/>
                <w:szCs w:val="24"/>
              </w:rPr>
              <w:t>Balance Inquiry</w:t>
            </w:r>
          </w:p>
        </w:tc>
      </w:tr>
      <w:tr w:rsidR="000A6BEA" w:rsidRPr="001E5C78" w14:paraId="3DCADC6F" w14:textId="77777777" w:rsidTr="001B3580">
        <w:trPr>
          <w:jc w:val="center"/>
        </w:trPr>
        <w:tc>
          <w:tcPr>
            <w:tcW w:w="1620" w:type="dxa"/>
            <w:tcBorders>
              <w:top w:val="single" w:sz="4" w:space="0" w:color="auto"/>
              <w:left w:val="single" w:sz="4" w:space="0" w:color="auto"/>
              <w:bottom w:val="single" w:sz="4" w:space="0" w:color="auto"/>
              <w:right w:val="single" w:sz="4" w:space="0" w:color="auto"/>
            </w:tcBorders>
            <w:hideMark/>
          </w:tcPr>
          <w:p w14:paraId="03F45491" w14:textId="77777777" w:rsidR="000A6BEA" w:rsidRPr="001E5C78" w:rsidRDefault="000A6BEA" w:rsidP="000A6BEA">
            <w:pPr>
              <w:pStyle w:val="BodyText"/>
              <w:spacing w:line="360" w:lineRule="auto"/>
              <w:ind w:right="-11"/>
              <w:jc w:val="both"/>
              <w:rPr>
                <w:sz w:val="24"/>
                <w:szCs w:val="24"/>
              </w:rPr>
            </w:pPr>
            <w:r w:rsidRPr="001E5C78">
              <w:rPr>
                <w:sz w:val="24"/>
                <w:szCs w:val="24"/>
              </w:rPr>
              <w:t>2000-2001</w:t>
            </w:r>
          </w:p>
        </w:tc>
        <w:tc>
          <w:tcPr>
            <w:tcW w:w="3478" w:type="dxa"/>
            <w:tcBorders>
              <w:top w:val="single" w:sz="4" w:space="0" w:color="auto"/>
              <w:left w:val="single" w:sz="4" w:space="0" w:color="auto"/>
              <w:bottom w:val="single" w:sz="4" w:space="0" w:color="auto"/>
              <w:right w:val="single" w:sz="4" w:space="0" w:color="auto"/>
            </w:tcBorders>
            <w:hideMark/>
          </w:tcPr>
          <w:p w14:paraId="4F5CFFB7" w14:textId="77777777" w:rsidR="000A6BEA" w:rsidRPr="001E5C78" w:rsidRDefault="000A6BEA" w:rsidP="000A6BEA">
            <w:pPr>
              <w:pStyle w:val="BodyText"/>
              <w:spacing w:line="360" w:lineRule="auto"/>
              <w:ind w:left="522" w:right="-11"/>
              <w:jc w:val="both"/>
              <w:rPr>
                <w:sz w:val="24"/>
                <w:szCs w:val="24"/>
              </w:rPr>
            </w:pPr>
            <w:r w:rsidRPr="001E5C78">
              <w:rPr>
                <w:sz w:val="24"/>
                <w:szCs w:val="24"/>
              </w:rPr>
              <w:t xml:space="preserve">   Coupon Dispensing</w:t>
            </w:r>
          </w:p>
        </w:tc>
      </w:tr>
      <w:tr w:rsidR="000A6BEA" w:rsidRPr="001E5C78" w14:paraId="6FDF6226" w14:textId="77777777" w:rsidTr="001B3580">
        <w:trPr>
          <w:jc w:val="center"/>
        </w:trPr>
        <w:tc>
          <w:tcPr>
            <w:tcW w:w="1620" w:type="dxa"/>
            <w:tcBorders>
              <w:top w:val="single" w:sz="4" w:space="0" w:color="auto"/>
              <w:left w:val="single" w:sz="4" w:space="0" w:color="auto"/>
              <w:bottom w:val="single" w:sz="4" w:space="0" w:color="auto"/>
              <w:right w:val="single" w:sz="4" w:space="0" w:color="auto"/>
            </w:tcBorders>
            <w:hideMark/>
          </w:tcPr>
          <w:p w14:paraId="2A7756B5" w14:textId="77777777" w:rsidR="000A6BEA" w:rsidRPr="001E5C78" w:rsidRDefault="000A6BEA" w:rsidP="000A6BEA">
            <w:pPr>
              <w:pStyle w:val="BodyText"/>
              <w:spacing w:line="360" w:lineRule="auto"/>
              <w:ind w:right="-11"/>
              <w:jc w:val="both"/>
              <w:rPr>
                <w:sz w:val="24"/>
                <w:szCs w:val="24"/>
              </w:rPr>
            </w:pPr>
            <w:r w:rsidRPr="001E5C78">
              <w:rPr>
                <w:sz w:val="24"/>
                <w:szCs w:val="24"/>
              </w:rPr>
              <w:t>2001-2004</w:t>
            </w:r>
          </w:p>
        </w:tc>
        <w:tc>
          <w:tcPr>
            <w:tcW w:w="3478" w:type="dxa"/>
            <w:tcBorders>
              <w:top w:val="single" w:sz="4" w:space="0" w:color="auto"/>
              <w:left w:val="single" w:sz="4" w:space="0" w:color="auto"/>
              <w:bottom w:val="single" w:sz="4" w:space="0" w:color="auto"/>
              <w:right w:val="single" w:sz="4" w:space="0" w:color="auto"/>
            </w:tcBorders>
            <w:hideMark/>
          </w:tcPr>
          <w:p w14:paraId="3F462310" w14:textId="77777777" w:rsidR="000A6BEA" w:rsidRPr="001E5C78" w:rsidRDefault="000A6BEA" w:rsidP="000A6BEA">
            <w:pPr>
              <w:pStyle w:val="BodyText"/>
              <w:numPr>
                <w:ilvl w:val="0"/>
                <w:numId w:val="3"/>
              </w:numPr>
              <w:spacing w:line="360" w:lineRule="auto"/>
              <w:ind w:right="-11"/>
              <w:jc w:val="both"/>
              <w:rPr>
                <w:sz w:val="24"/>
                <w:szCs w:val="24"/>
              </w:rPr>
            </w:pPr>
            <w:r w:rsidRPr="001E5C78">
              <w:rPr>
                <w:sz w:val="24"/>
                <w:szCs w:val="24"/>
              </w:rPr>
              <w:t>Coupon Dispensing</w:t>
            </w:r>
          </w:p>
          <w:p w14:paraId="00BBF754" w14:textId="77777777" w:rsidR="000A6BEA" w:rsidRPr="001E5C78" w:rsidRDefault="000A6BEA" w:rsidP="000A6BEA">
            <w:pPr>
              <w:pStyle w:val="BodyText"/>
              <w:numPr>
                <w:ilvl w:val="0"/>
                <w:numId w:val="3"/>
              </w:numPr>
              <w:spacing w:line="360" w:lineRule="auto"/>
              <w:ind w:right="-11"/>
              <w:jc w:val="both"/>
              <w:rPr>
                <w:sz w:val="24"/>
                <w:szCs w:val="24"/>
              </w:rPr>
            </w:pPr>
            <w:r w:rsidRPr="001E5C78">
              <w:rPr>
                <w:sz w:val="24"/>
                <w:szCs w:val="24"/>
              </w:rPr>
              <w:t>Fulfilling request from customers</w:t>
            </w:r>
          </w:p>
          <w:p w14:paraId="460C152D" w14:textId="77777777" w:rsidR="000A6BEA" w:rsidRPr="001E5C78" w:rsidRDefault="000A6BEA" w:rsidP="000A6BEA">
            <w:pPr>
              <w:pStyle w:val="BodyText"/>
              <w:numPr>
                <w:ilvl w:val="0"/>
                <w:numId w:val="3"/>
              </w:numPr>
              <w:spacing w:line="360" w:lineRule="auto"/>
              <w:ind w:right="-11"/>
              <w:jc w:val="both"/>
              <w:rPr>
                <w:sz w:val="24"/>
                <w:szCs w:val="24"/>
              </w:rPr>
            </w:pPr>
            <w:r w:rsidRPr="001E5C78">
              <w:rPr>
                <w:sz w:val="24"/>
                <w:szCs w:val="24"/>
              </w:rPr>
              <w:t xml:space="preserve">Account transfer </w:t>
            </w:r>
          </w:p>
          <w:p w14:paraId="58953A03" w14:textId="77777777" w:rsidR="000A6BEA" w:rsidRPr="001E5C78" w:rsidRDefault="000A6BEA" w:rsidP="000A6BEA">
            <w:pPr>
              <w:pStyle w:val="BodyText"/>
              <w:numPr>
                <w:ilvl w:val="0"/>
                <w:numId w:val="3"/>
              </w:numPr>
              <w:spacing w:line="360" w:lineRule="auto"/>
              <w:ind w:right="-11"/>
              <w:jc w:val="both"/>
              <w:rPr>
                <w:sz w:val="24"/>
                <w:szCs w:val="24"/>
              </w:rPr>
            </w:pPr>
            <w:r w:rsidRPr="001E5C78">
              <w:rPr>
                <w:sz w:val="24"/>
                <w:szCs w:val="24"/>
              </w:rPr>
              <w:t>Touch screen menus</w:t>
            </w:r>
          </w:p>
        </w:tc>
      </w:tr>
      <w:tr w:rsidR="000A6BEA" w:rsidRPr="001E5C78" w14:paraId="04ED27C4" w14:textId="77777777" w:rsidTr="001B3580">
        <w:trPr>
          <w:jc w:val="center"/>
        </w:trPr>
        <w:tc>
          <w:tcPr>
            <w:tcW w:w="1620" w:type="dxa"/>
            <w:tcBorders>
              <w:top w:val="single" w:sz="4" w:space="0" w:color="auto"/>
              <w:left w:val="single" w:sz="4" w:space="0" w:color="auto"/>
              <w:bottom w:val="single" w:sz="4" w:space="0" w:color="auto"/>
              <w:right w:val="single" w:sz="4" w:space="0" w:color="auto"/>
            </w:tcBorders>
            <w:hideMark/>
          </w:tcPr>
          <w:p w14:paraId="67C53C92" w14:textId="77777777" w:rsidR="000A6BEA" w:rsidRPr="001E5C78" w:rsidRDefault="000A6BEA" w:rsidP="000A6BEA">
            <w:pPr>
              <w:pStyle w:val="BodyText"/>
              <w:spacing w:line="360" w:lineRule="auto"/>
              <w:ind w:right="-11"/>
              <w:jc w:val="both"/>
              <w:rPr>
                <w:sz w:val="24"/>
                <w:szCs w:val="24"/>
              </w:rPr>
            </w:pPr>
            <w:r w:rsidRPr="001E5C78">
              <w:rPr>
                <w:sz w:val="24"/>
                <w:szCs w:val="24"/>
              </w:rPr>
              <w:t>2004-2006</w:t>
            </w:r>
          </w:p>
        </w:tc>
        <w:tc>
          <w:tcPr>
            <w:tcW w:w="3478" w:type="dxa"/>
            <w:tcBorders>
              <w:top w:val="single" w:sz="4" w:space="0" w:color="auto"/>
              <w:left w:val="single" w:sz="4" w:space="0" w:color="auto"/>
              <w:bottom w:val="single" w:sz="4" w:space="0" w:color="auto"/>
              <w:right w:val="single" w:sz="4" w:space="0" w:color="auto"/>
            </w:tcBorders>
            <w:hideMark/>
          </w:tcPr>
          <w:p w14:paraId="14B1951E" w14:textId="77777777" w:rsidR="000A6BEA" w:rsidRPr="001E5C78" w:rsidRDefault="000A6BEA" w:rsidP="000A6BEA">
            <w:pPr>
              <w:pStyle w:val="BodyText"/>
              <w:numPr>
                <w:ilvl w:val="0"/>
                <w:numId w:val="4"/>
              </w:numPr>
              <w:spacing w:line="360" w:lineRule="auto"/>
              <w:ind w:right="-11"/>
              <w:jc w:val="both"/>
              <w:rPr>
                <w:sz w:val="24"/>
                <w:szCs w:val="24"/>
              </w:rPr>
            </w:pPr>
            <w:r w:rsidRPr="001E5C78">
              <w:rPr>
                <w:sz w:val="24"/>
                <w:szCs w:val="24"/>
              </w:rPr>
              <w:t>Bill payment</w:t>
            </w:r>
          </w:p>
          <w:p w14:paraId="7BB25ED6" w14:textId="77777777" w:rsidR="000A6BEA" w:rsidRPr="001E5C78" w:rsidRDefault="000A6BEA" w:rsidP="000A6BEA">
            <w:pPr>
              <w:pStyle w:val="BodyText"/>
              <w:numPr>
                <w:ilvl w:val="0"/>
                <w:numId w:val="4"/>
              </w:numPr>
              <w:spacing w:line="360" w:lineRule="auto"/>
              <w:ind w:right="-11"/>
              <w:jc w:val="both"/>
              <w:rPr>
                <w:sz w:val="24"/>
                <w:szCs w:val="24"/>
              </w:rPr>
            </w:pPr>
            <w:r w:rsidRPr="001E5C78">
              <w:rPr>
                <w:sz w:val="24"/>
                <w:szCs w:val="24"/>
              </w:rPr>
              <w:t>Mobile recharging</w:t>
            </w:r>
          </w:p>
        </w:tc>
      </w:tr>
      <w:tr w:rsidR="000A6BEA" w:rsidRPr="001E5C78" w14:paraId="04F8B4F4" w14:textId="77777777" w:rsidTr="001B3580">
        <w:trPr>
          <w:jc w:val="center"/>
        </w:trPr>
        <w:tc>
          <w:tcPr>
            <w:tcW w:w="1620" w:type="dxa"/>
            <w:tcBorders>
              <w:top w:val="single" w:sz="4" w:space="0" w:color="auto"/>
              <w:left w:val="single" w:sz="4" w:space="0" w:color="auto"/>
              <w:bottom w:val="single" w:sz="4" w:space="0" w:color="auto"/>
              <w:right w:val="single" w:sz="4" w:space="0" w:color="auto"/>
            </w:tcBorders>
            <w:hideMark/>
          </w:tcPr>
          <w:p w14:paraId="191B2C99" w14:textId="77777777" w:rsidR="000A6BEA" w:rsidRPr="001E5C78" w:rsidRDefault="000A6BEA" w:rsidP="000A6BEA">
            <w:pPr>
              <w:pStyle w:val="BodyText"/>
              <w:spacing w:line="360" w:lineRule="auto"/>
              <w:ind w:right="-11"/>
              <w:jc w:val="both"/>
              <w:rPr>
                <w:sz w:val="24"/>
                <w:szCs w:val="24"/>
              </w:rPr>
            </w:pPr>
            <w:r w:rsidRPr="001E5C78">
              <w:rPr>
                <w:sz w:val="24"/>
                <w:szCs w:val="24"/>
              </w:rPr>
              <w:t>2007 onwards</w:t>
            </w:r>
          </w:p>
        </w:tc>
        <w:tc>
          <w:tcPr>
            <w:tcW w:w="3478" w:type="dxa"/>
            <w:tcBorders>
              <w:top w:val="single" w:sz="4" w:space="0" w:color="auto"/>
              <w:left w:val="single" w:sz="4" w:space="0" w:color="auto"/>
              <w:bottom w:val="single" w:sz="4" w:space="0" w:color="auto"/>
              <w:right w:val="single" w:sz="4" w:space="0" w:color="auto"/>
            </w:tcBorders>
            <w:hideMark/>
          </w:tcPr>
          <w:p w14:paraId="428AAB5F" w14:textId="77777777" w:rsidR="000A6BEA" w:rsidRPr="001E5C78" w:rsidRDefault="000A6BEA" w:rsidP="000A6BEA">
            <w:pPr>
              <w:pStyle w:val="BodyText"/>
              <w:numPr>
                <w:ilvl w:val="0"/>
                <w:numId w:val="5"/>
              </w:numPr>
              <w:spacing w:line="360" w:lineRule="auto"/>
              <w:ind w:right="-11"/>
              <w:jc w:val="both"/>
              <w:rPr>
                <w:sz w:val="24"/>
                <w:szCs w:val="24"/>
              </w:rPr>
            </w:pPr>
            <w:r w:rsidRPr="001E5C78">
              <w:rPr>
                <w:sz w:val="24"/>
                <w:szCs w:val="24"/>
              </w:rPr>
              <w:t>EMV chips</w:t>
            </w:r>
          </w:p>
          <w:p w14:paraId="5CDD216B" w14:textId="77777777" w:rsidR="000A6BEA" w:rsidRPr="001E5C78" w:rsidRDefault="000A6BEA" w:rsidP="000A6BEA">
            <w:pPr>
              <w:pStyle w:val="BodyText"/>
              <w:numPr>
                <w:ilvl w:val="0"/>
                <w:numId w:val="5"/>
              </w:numPr>
              <w:spacing w:line="360" w:lineRule="auto"/>
              <w:ind w:right="-11"/>
              <w:jc w:val="both"/>
              <w:rPr>
                <w:sz w:val="24"/>
                <w:szCs w:val="24"/>
              </w:rPr>
            </w:pPr>
            <w:r w:rsidRPr="001E5C78">
              <w:rPr>
                <w:sz w:val="24"/>
                <w:szCs w:val="24"/>
              </w:rPr>
              <w:t>Check deposit facility with scanning</w:t>
            </w:r>
          </w:p>
          <w:p w14:paraId="2A57F1C5" w14:textId="77777777" w:rsidR="000A6BEA" w:rsidRPr="001E5C78" w:rsidRDefault="000A6BEA" w:rsidP="000A6BEA">
            <w:pPr>
              <w:pStyle w:val="BodyText"/>
              <w:numPr>
                <w:ilvl w:val="0"/>
                <w:numId w:val="5"/>
              </w:numPr>
              <w:spacing w:line="360" w:lineRule="auto"/>
              <w:ind w:right="-11"/>
              <w:jc w:val="both"/>
              <w:rPr>
                <w:sz w:val="24"/>
                <w:szCs w:val="24"/>
              </w:rPr>
            </w:pPr>
            <w:proofErr w:type="spellStart"/>
            <w:r w:rsidRPr="001E5C78">
              <w:rPr>
                <w:sz w:val="24"/>
                <w:szCs w:val="24"/>
              </w:rPr>
              <w:t>Customised</w:t>
            </w:r>
            <w:proofErr w:type="spellEnd"/>
            <w:r w:rsidRPr="001E5C78">
              <w:rPr>
                <w:sz w:val="24"/>
                <w:szCs w:val="24"/>
              </w:rPr>
              <w:t xml:space="preserve"> ATMs</w:t>
            </w:r>
          </w:p>
          <w:p w14:paraId="0AE2DBA0" w14:textId="77777777" w:rsidR="000A6BEA" w:rsidRPr="001E5C78" w:rsidRDefault="000A6BEA" w:rsidP="000A6BEA">
            <w:pPr>
              <w:pStyle w:val="BodyText"/>
              <w:numPr>
                <w:ilvl w:val="0"/>
                <w:numId w:val="5"/>
              </w:numPr>
              <w:spacing w:line="360" w:lineRule="auto"/>
              <w:ind w:right="-11"/>
              <w:jc w:val="both"/>
              <w:rPr>
                <w:sz w:val="24"/>
                <w:szCs w:val="24"/>
              </w:rPr>
            </w:pPr>
            <w:r w:rsidRPr="001E5C78">
              <w:rPr>
                <w:sz w:val="24"/>
                <w:szCs w:val="24"/>
              </w:rPr>
              <w:t>Solar –powered ATMs</w:t>
            </w:r>
          </w:p>
          <w:p w14:paraId="3C10406C" w14:textId="77777777" w:rsidR="000A6BEA" w:rsidRPr="001E5C78" w:rsidRDefault="000A6BEA" w:rsidP="000A6BEA">
            <w:pPr>
              <w:pStyle w:val="BodyText"/>
              <w:numPr>
                <w:ilvl w:val="0"/>
                <w:numId w:val="5"/>
              </w:numPr>
              <w:spacing w:line="360" w:lineRule="auto"/>
              <w:ind w:right="-11"/>
              <w:jc w:val="both"/>
              <w:rPr>
                <w:sz w:val="24"/>
                <w:szCs w:val="24"/>
              </w:rPr>
            </w:pPr>
            <w:r w:rsidRPr="001E5C78">
              <w:rPr>
                <w:sz w:val="24"/>
                <w:szCs w:val="24"/>
              </w:rPr>
              <w:t>White label ATMs</w:t>
            </w:r>
          </w:p>
          <w:p w14:paraId="56844B05" w14:textId="77777777" w:rsidR="000A6BEA" w:rsidRPr="001E5C78" w:rsidRDefault="000A6BEA" w:rsidP="000A6BEA">
            <w:pPr>
              <w:pStyle w:val="BodyText"/>
              <w:numPr>
                <w:ilvl w:val="0"/>
                <w:numId w:val="5"/>
              </w:numPr>
              <w:spacing w:line="360" w:lineRule="auto"/>
              <w:ind w:right="-11"/>
              <w:jc w:val="both"/>
              <w:rPr>
                <w:sz w:val="24"/>
                <w:szCs w:val="24"/>
              </w:rPr>
            </w:pPr>
            <w:r w:rsidRPr="001E5C78">
              <w:rPr>
                <w:sz w:val="24"/>
                <w:szCs w:val="24"/>
              </w:rPr>
              <w:t>Biometric ATMs</w:t>
            </w:r>
          </w:p>
          <w:p w14:paraId="2C3EEC37" w14:textId="77777777" w:rsidR="000A6BEA" w:rsidRPr="001E5C78" w:rsidRDefault="000A6BEA" w:rsidP="000A6BEA">
            <w:pPr>
              <w:pStyle w:val="BodyText"/>
              <w:numPr>
                <w:ilvl w:val="0"/>
                <w:numId w:val="5"/>
              </w:numPr>
              <w:spacing w:line="360" w:lineRule="auto"/>
              <w:ind w:right="-11"/>
              <w:jc w:val="both"/>
              <w:rPr>
                <w:sz w:val="24"/>
                <w:szCs w:val="24"/>
              </w:rPr>
            </w:pPr>
            <w:r w:rsidRPr="001E5C78">
              <w:rPr>
                <w:sz w:val="24"/>
                <w:szCs w:val="24"/>
              </w:rPr>
              <w:t>Cash recyclers</w:t>
            </w:r>
          </w:p>
        </w:tc>
      </w:tr>
    </w:tbl>
    <w:p w14:paraId="5442A63E" w14:textId="77777777" w:rsidR="000A6BEA" w:rsidRPr="001E5C78" w:rsidRDefault="000A6BEA" w:rsidP="000A6BEA">
      <w:pPr>
        <w:pStyle w:val="BodyText"/>
        <w:spacing w:line="360" w:lineRule="auto"/>
        <w:ind w:right="-10"/>
        <w:jc w:val="both"/>
        <w:rPr>
          <w:sz w:val="24"/>
          <w:szCs w:val="24"/>
        </w:rPr>
      </w:pPr>
      <w:r w:rsidRPr="001E5C78">
        <w:rPr>
          <w:b/>
          <w:bCs/>
          <w:sz w:val="24"/>
          <w:szCs w:val="24"/>
        </w:rPr>
        <w:t xml:space="preserve">                                Source</w:t>
      </w:r>
      <w:r w:rsidRPr="001E5C78">
        <w:rPr>
          <w:sz w:val="24"/>
          <w:szCs w:val="24"/>
        </w:rPr>
        <w:t xml:space="preserve">: </w:t>
      </w:r>
      <w:r w:rsidRPr="001E5C78">
        <w:rPr>
          <w:i/>
          <w:iCs/>
          <w:sz w:val="24"/>
          <w:szCs w:val="24"/>
        </w:rPr>
        <w:t xml:space="preserve">Compiled from </w:t>
      </w:r>
      <w:hyperlink r:id="rId6" w:history="1">
        <w:r w:rsidRPr="001E5C78">
          <w:rPr>
            <w:rStyle w:val="Hyperlink"/>
            <w:i/>
            <w:iCs/>
            <w:sz w:val="24"/>
            <w:szCs w:val="24"/>
            <w:u w:val="none"/>
          </w:rPr>
          <w:t>www.ibef.org</w:t>
        </w:r>
      </w:hyperlink>
      <w:r w:rsidRPr="001E5C78">
        <w:rPr>
          <w:i/>
          <w:iCs/>
          <w:sz w:val="24"/>
          <w:szCs w:val="24"/>
        </w:rPr>
        <w:t>, September 2016</w:t>
      </w:r>
    </w:p>
    <w:p w14:paraId="1BF07BCE" w14:textId="77777777" w:rsidR="000A6BEA" w:rsidRPr="001E5C78" w:rsidRDefault="000A6BEA" w:rsidP="000A6BEA">
      <w:pPr>
        <w:pStyle w:val="BodyText"/>
        <w:spacing w:line="360" w:lineRule="auto"/>
        <w:ind w:right="218"/>
        <w:jc w:val="both"/>
        <w:rPr>
          <w:b/>
          <w:bCs/>
          <w:sz w:val="24"/>
          <w:szCs w:val="24"/>
        </w:rPr>
      </w:pPr>
      <w:r w:rsidRPr="001E5C78">
        <w:rPr>
          <w:b/>
          <w:bCs/>
          <w:sz w:val="24"/>
          <w:szCs w:val="24"/>
        </w:rPr>
        <w:lastRenderedPageBreak/>
        <w:t xml:space="preserve">ATMs Onsite </w:t>
      </w:r>
    </w:p>
    <w:p w14:paraId="73CA5B29" w14:textId="77777777" w:rsidR="000A6BEA" w:rsidRPr="001E5C78" w:rsidRDefault="000A6BEA" w:rsidP="000A6BEA">
      <w:pPr>
        <w:pStyle w:val="BodyText"/>
        <w:spacing w:line="360" w:lineRule="auto"/>
        <w:jc w:val="both"/>
        <w:rPr>
          <w:bCs/>
          <w:sz w:val="24"/>
          <w:szCs w:val="24"/>
        </w:rPr>
      </w:pPr>
      <w:r w:rsidRPr="001E5C78">
        <w:rPr>
          <w:bCs/>
          <w:sz w:val="24"/>
          <w:szCs w:val="24"/>
        </w:rPr>
        <w:t>The following table shows the Cumulative values of number of On-Site ATMs of the Public Sector Banks as on 31</w:t>
      </w:r>
      <w:r w:rsidRPr="001E5C78">
        <w:rPr>
          <w:bCs/>
          <w:sz w:val="24"/>
          <w:szCs w:val="24"/>
          <w:vertAlign w:val="superscript"/>
        </w:rPr>
        <w:t>st</w:t>
      </w:r>
      <w:r w:rsidRPr="001E5C78">
        <w:rPr>
          <w:bCs/>
          <w:sz w:val="24"/>
          <w:szCs w:val="24"/>
        </w:rPr>
        <w:t xml:space="preserve"> March for the years 2019-20 to 2023-24. </w:t>
      </w:r>
    </w:p>
    <w:p w14:paraId="35181F1E" w14:textId="77777777" w:rsidR="000A6BEA" w:rsidRPr="001E5C78" w:rsidRDefault="000A6BEA" w:rsidP="000A6BEA">
      <w:pPr>
        <w:pStyle w:val="BodyText"/>
        <w:spacing w:line="360" w:lineRule="auto"/>
        <w:jc w:val="both"/>
        <w:rPr>
          <w:b/>
          <w:sz w:val="24"/>
          <w:szCs w:val="24"/>
        </w:rPr>
      </w:pPr>
      <w:r w:rsidRPr="001E5C78">
        <w:rPr>
          <w:b/>
          <w:sz w:val="24"/>
          <w:szCs w:val="24"/>
        </w:rPr>
        <w:t>Table 2 - ATMs Onsite as on 31</w:t>
      </w:r>
      <w:r w:rsidRPr="001E5C78">
        <w:rPr>
          <w:b/>
          <w:sz w:val="24"/>
          <w:szCs w:val="24"/>
          <w:vertAlign w:val="superscript"/>
        </w:rPr>
        <w:t>st</w:t>
      </w:r>
      <w:r w:rsidRPr="001E5C78">
        <w:rPr>
          <w:b/>
          <w:sz w:val="24"/>
          <w:szCs w:val="24"/>
        </w:rPr>
        <w:t xml:space="preserve"> March </w:t>
      </w:r>
    </w:p>
    <w:tbl>
      <w:tblPr>
        <w:tblStyle w:val="TableGrid"/>
        <w:tblW w:w="0" w:type="auto"/>
        <w:jc w:val="center"/>
        <w:tblLook w:val="04A0" w:firstRow="1" w:lastRow="0" w:firstColumn="1" w:lastColumn="0" w:noHBand="0" w:noVBand="1"/>
      </w:tblPr>
      <w:tblGrid>
        <w:gridCol w:w="2159"/>
        <w:gridCol w:w="2235"/>
        <w:gridCol w:w="2126"/>
      </w:tblGrid>
      <w:tr w:rsidR="000A6BEA" w:rsidRPr="001E5C78" w14:paraId="611366BB" w14:textId="77777777" w:rsidTr="001B3580">
        <w:trPr>
          <w:jc w:val="center"/>
        </w:trPr>
        <w:tc>
          <w:tcPr>
            <w:tcW w:w="2159" w:type="dxa"/>
          </w:tcPr>
          <w:p w14:paraId="796E9909" w14:textId="77777777" w:rsidR="000A6BEA" w:rsidRPr="001E5C78" w:rsidRDefault="000A6BEA" w:rsidP="000A6BEA">
            <w:pPr>
              <w:pStyle w:val="BodyText"/>
              <w:spacing w:line="360" w:lineRule="auto"/>
              <w:jc w:val="both"/>
              <w:rPr>
                <w:b/>
                <w:sz w:val="24"/>
                <w:szCs w:val="24"/>
              </w:rPr>
            </w:pPr>
            <w:r w:rsidRPr="001E5C78">
              <w:rPr>
                <w:b/>
                <w:sz w:val="24"/>
                <w:szCs w:val="24"/>
              </w:rPr>
              <w:t>Year</w:t>
            </w:r>
          </w:p>
        </w:tc>
        <w:tc>
          <w:tcPr>
            <w:tcW w:w="2235" w:type="dxa"/>
          </w:tcPr>
          <w:p w14:paraId="22F1F7FD" w14:textId="77777777" w:rsidR="000A6BEA" w:rsidRPr="001E5C78" w:rsidRDefault="000A6BEA" w:rsidP="000A6BEA">
            <w:pPr>
              <w:pStyle w:val="BodyText"/>
              <w:spacing w:line="360" w:lineRule="auto"/>
              <w:jc w:val="both"/>
              <w:rPr>
                <w:b/>
                <w:sz w:val="24"/>
                <w:szCs w:val="24"/>
              </w:rPr>
            </w:pPr>
            <w:r w:rsidRPr="001E5C78">
              <w:rPr>
                <w:b/>
                <w:sz w:val="24"/>
                <w:szCs w:val="24"/>
              </w:rPr>
              <w:t>Number Added</w:t>
            </w:r>
          </w:p>
        </w:tc>
        <w:tc>
          <w:tcPr>
            <w:tcW w:w="2126" w:type="dxa"/>
          </w:tcPr>
          <w:p w14:paraId="37C3795B" w14:textId="77777777" w:rsidR="000A6BEA" w:rsidRPr="001E5C78" w:rsidRDefault="000A6BEA" w:rsidP="000A6BEA">
            <w:pPr>
              <w:pStyle w:val="BodyText"/>
              <w:spacing w:line="360" w:lineRule="auto"/>
              <w:jc w:val="both"/>
              <w:rPr>
                <w:b/>
                <w:sz w:val="24"/>
                <w:szCs w:val="24"/>
              </w:rPr>
            </w:pPr>
            <w:r w:rsidRPr="001E5C78">
              <w:rPr>
                <w:b/>
                <w:sz w:val="24"/>
                <w:szCs w:val="24"/>
              </w:rPr>
              <w:t>Number of ATMs</w:t>
            </w:r>
          </w:p>
        </w:tc>
      </w:tr>
      <w:tr w:rsidR="000A6BEA" w:rsidRPr="001E5C78" w14:paraId="182A7B7E" w14:textId="77777777" w:rsidTr="001B3580">
        <w:trPr>
          <w:jc w:val="center"/>
        </w:trPr>
        <w:tc>
          <w:tcPr>
            <w:tcW w:w="2159" w:type="dxa"/>
            <w:vAlign w:val="bottom"/>
          </w:tcPr>
          <w:p w14:paraId="4059097F" w14:textId="77777777" w:rsidR="000A6BEA" w:rsidRPr="001E5C78" w:rsidRDefault="000A6BEA" w:rsidP="000A6BEA">
            <w:pPr>
              <w:pStyle w:val="BodyText"/>
              <w:spacing w:line="360" w:lineRule="auto"/>
              <w:jc w:val="both"/>
              <w:rPr>
                <w:bCs/>
                <w:sz w:val="24"/>
                <w:szCs w:val="24"/>
              </w:rPr>
            </w:pPr>
            <w:r w:rsidRPr="001E5C78">
              <w:rPr>
                <w:sz w:val="24"/>
                <w:szCs w:val="24"/>
              </w:rPr>
              <w:t>2019 – 2020</w:t>
            </w:r>
          </w:p>
        </w:tc>
        <w:tc>
          <w:tcPr>
            <w:tcW w:w="2235" w:type="dxa"/>
          </w:tcPr>
          <w:p w14:paraId="32CE26C1" w14:textId="77777777" w:rsidR="000A6BEA" w:rsidRPr="001E5C78" w:rsidRDefault="000A6BEA" w:rsidP="000A6BEA">
            <w:pPr>
              <w:pStyle w:val="BodyText"/>
              <w:spacing w:line="360" w:lineRule="auto"/>
              <w:jc w:val="both"/>
              <w:rPr>
                <w:bCs/>
                <w:sz w:val="24"/>
                <w:szCs w:val="24"/>
              </w:rPr>
            </w:pPr>
            <w:r w:rsidRPr="001E5C78">
              <w:rPr>
                <w:bCs/>
                <w:sz w:val="24"/>
                <w:szCs w:val="24"/>
              </w:rPr>
              <w:t>-</w:t>
            </w:r>
          </w:p>
        </w:tc>
        <w:tc>
          <w:tcPr>
            <w:tcW w:w="2126" w:type="dxa"/>
          </w:tcPr>
          <w:p w14:paraId="29B176E2" w14:textId="77777777" w:rsidR="000A6BEA" w:rsidRPr="001E5C78" w:rsidRDefault="000A6BEA" w:rsidP="000A6BEA">
            <w:pPr>
              <w:pStyle w:val="BodyText"/>
              <w:spacing w:line="360" w:lineRule="auto"/>
              <w:jc w:val="both"/>
              <w:rPr>
                <w:bCs/>
                <w:sz w:val="24"/>
                <w:szCs w:val="24"/>
              </w:rPr>
            </w:pPr>
            <w:bookmarkStart w:id="0" w:name="_Hlk172667541"/>
            <w:r w:rsidRPr="001E5C78">
              <w:rPr>
                <w:bCs/>
                <w:sz w:val="24"/>
                <w:szCs w:val="24"/>
              </w:rPr>
              <w:t>80,691</w:t>
            </w:r>
            <w:bookmarkEnd w:id="0"/>
          </w:p>
        </w:tc>
      </w:tr>
      <w:tr w:rsidR="000A6BEA" w:rsidRPr="001E5C78" w14:paraId="2843B633" w14:textId="77777777" w:rsidTr="001B3580">
        <w:trPr>
          <w:jc w:val="center"/>
        </w:trPr>
        <w:tc>
          <w:tcPr>
            <w:tcW w:w="2159" w:type="dxa"/>
            <w:vAlign w:val="bottom"/>
          </w:tcPr>
          <w:p w14:paraId="30D05DE0" w14:textId="77777777" w:rsidR="000A6BEA" w:rsidRPr="001E5C78" w:rsidRDefault="000A6BEA" w:rsidP="000A6BEA">
            <w:pPr>
              <w:pStyle w:val="BodyText"/>
              <w:spacing w:line="360" w:lineRule="auto"/>
              <w:jc w:val="both"/>
              <w:rPr>
                <w:bCs/>
                <w:sz w:val="24"/>
                <w:szCs w:val="24"/>
              </w:rPr>
            </w:pPr>
            <w:r w:rsidRPr="001E5C78">
              <w:rPr>
                <w:sz w:val="24"/>
                <w:szCs w:val="24"/>
              </w:rPr>
              <w:t>2020 – 2021</w:t>
            </w:r>
          </w:p>
        </w:tc>
        <w:tc>
          <w:tcPr>
            <w:tcW w:w="2235" w:type="dxa"/>
          </w:tcPr>
          <w:p w14:paraId="44AE30B1" w14:textId="77777777" w:rsidR="000A6BEA" w:rsidRPr="001E5C78" w:rsidRDefault="000A6BEA" w:rsidP="000A6BEA">
            <w:pPr>
              <w:pStyle w:val="BodyText"/>
              <w:spacing w:line="360" w:lineRule="auto"/>
              <w:jc w:val="both"/>
              <w:rPr>
                <w:bCs/>
                <w:sz w:val="24"/>
                <w:szCs w:val="24"/>
              </w:rPr>
            </w:pPr>
            <w:r w:rsidRPr="001E5C78">
              <w:rPr>
                <w:bCs/>
                <w:sz w:val="24"/>
                <w:szCs w:val="24"/>
              </w:rPr>
              <w:t>(2684)</w:t>
            </w:r>
          </w:p>
        </w:tc>
        <w:tc>
          <w:tcPr>
            <w:tcW w:w="2126" w:type="dxa"/>
          </w:tcPr>
          <w:p w14:paraId="698ED9BA" w14:textId="77777777" w:rsidR="000A6BEA" w:rsidRPr="001E5C78" w:rsidRDefault="000A6BEA" w:rsidP="000A6BEA">
            <w:pPr>
              <w:pStyle w:val="BodyText"/>
              <w:spacing w:line="360" w:lineRule="auto"/>
              <w:jc w:val="both"/>
              <w:rPr>
                <w:bCs/>
                <w:sz w:val="24"/>
                <w:szCs w:val="24"/>
              </w:rPr>
            </w:pPr>
            <w:r w:rsidRPr="001E5C78">
              <w:rPr>
                <w:bCs/>
                <w:sz w:val="24"/>
                <w:szCs w:val="24"/>
              </w:rPr>
              <w:t>78,007</w:t>
            </w:r>
          </w:p>
        </w:tc>
      </w:tr>
      <w:tr w:rsidR="000A6BEA" w:rsidRPr="001E5C78" w14:paraId="47068A5B" w14:textId="77777777" w:rsidTr="001B3580">
        <w:trPr>
          <w:jc w:val="center"/>
        </w:trPr>
        <w:tc>
          <w:tcPr>
            <w:tcW w:w="2159" w:type="dxa"/>
            <w:vAlign w:val="bottom"/>
          </w:tcPr>
          <w:p w14:paraId="48B17F25" w14:textId="77777777" w:rsidR="000A6BEA" w:rsidRPr="001E5C78" w:rsidRDefault="000A6BEA" w:rsidP="000A6BEA">
            <w:pPr>
              <w:pStyle w:val="BodyText"/>
              <w:spacing w:line="360" w:lineRule="auto"/>
              <w:jc w:val="both"/>
              <w:rPr>
                <w:bCs/>
                <w:sz w:val="24"/>
                <w:szCs w:val="24"/>
              </w:rPr>
            </w:pPr>
            <w:r w:rsidRPr="001E5C78">
              <w:rPr>
                <w:sz w:val="24"/>
                <w:szCs w:val="24"/>
              </w:rPr>
              <w:t>2021 – 2022</w:t>
            </w:r>
          </w:p>
        </w:tc>
        <w:tc>
          <w:tcPr>
            <w:tcW w:w="2235" w:type="dxa"/>
          </w:tcPr>
          <w:p w14:paraId="5C678642" w14:textId="77777777" w:rsidR="000A6BEA" w:rsidRPr="001E5C78" w:rsidRDefault="000A6BEA" w:rsidP="000A6BEA">
            <w:pPr>
              <w:pStyle w:val="BodyText"/>
              <w:spacing w:line="360" w:lineRule="auto"/>
              <w:jc w:val="both"/>
              <w:rPr>
                <w:bCs/>
                <w:sz w:val="24"/>
                <w:szCs w:val="24"/>
              </w:rPr>
            </w:pPr>
            <w:r w:rsidRPr="001E5C78">
              <w:rPr>
                <w:bCs/>
                <w:sz w:val="24"/>
                <w:szCs w:val="24"/>
              </w:rPr>
              <w:t>(2354)</w:t>
            </w:r>
          </w:p>
        </w:tc>
        <w:tc>
          <w:tcPr>
            <w:tcW w:w="2126" w:type="dxa"/>
          </w:tcPr>
          <w:p w14:paraId="0A966753" w14:textId="77777777" w:rsidR="000A6BEA" w:rsidRPr="001E5C78" w:rsidRDefault="000A6BEA" w:rsidP="000A6BEA">
            <w:pPr>
              <w:pStyle w:val="BodyText"/>
              <w:spacing w:line="360" w:lineRule="auto"/>
              <w:jc w:val="both"/>
              <w:rPr>
                <w:bCs/>
                <w:sz w:val="24"/>
                <w:szCs w:val="24"/>
              </w:rPr>
            </w:pPr>
            <w:r w:rsidRPr="001E5C78">
              <w:rPr>
                <w:bCs/>
                <w:sz w:val="24"/>
                <w:szCs w:val="24"/>
              </w:rPr>
              <w:t>75,653</w:t>
            </w:r>
          </w:p>
        </w:tc>
      </w:tr>
      <w:tr w:rsidR="000A6BEA" w:rsidRPr="001E5C78" w14:paraId="02E1932F" w14:textId="77777777" w:rsidTr="001B3580">
        <w:trPr>
          <w:jc w:val="center"/>
        </w:trPr>
        <w:tc>
          <w:tcPr>
            <w:tcW w:w="2159" w:type="dxa"/>
            <w:vAlign w:val="bottom"/>
          </w:tcPr>
          <w:p w14:paraId="60F6AF88" w14:textId="77777777" w:rsidR="000A6BEA" w:rsidRPr="001E5C78" w:rsidRDefault="000A6BEA" w:rsidP="000A6BEA">
            <w:pPr>
              <w:pStyle w:val="BodyText"/>
              <w:spacing w:line="360" w:lineRule="auto"/>
              <w:jc w:val="both"/>
              <w:rPr>
                <w:sz w:val="24"/>
                <w:szCs w:val="24"/>
              </w:rPr>
            </w:pPr>
            <w:r w:rsidRPr="001E5C78">
              <w:rPr>
                <w:sz w:val="24"/>
                <w:szCs w:val="24"/>
              </w:rPr>
              <w:t>2022 - 2023</w:t>
            </w:r>
          </w:p>
        </w:tc>
        <w:tc>
          <w:tcPr>
            <w:tcW w:w="2235" w:type="dxa"/>
          </w:tcPr>
          <w:p w14:paraId="72B8D283" w14:textId="77777777" w:rsidR="000A6BEA" w:rsidRPr="001E5C78" w:rsidRDefault="000A6BEA" w:rsidP="000A6BEA">
            <w:pPr>
              <w:pStyle w:val="BodyText"/>
              <w:spacing w:line="360" w:lineRule="auto"/>
              <w:jc w:val="both"/>
              <w:rPr>
                <w:bCs/>
                <w:sz w:val="24"/>
                <w:szCs w:val="24"/>
              </w:rPr>
            </w:pPr>
            <w:r w:rsidRPr="001E5C78">
              <w:rPr>
                <w:bCs/>
                <w:sz w:val="24"/>
                <w:szCs w:val="24"/>
              </w:rPr>
              <w:t>3124</w:t>
            </w:r>
          </w:p>
        </w:tc>
        <w:tc>
          <w:tcPr>
            <w:tcW w:w="2126" w:type="dxa"/>
          </w:tcPr>
          <w:p w14:paraId="3770F130" w14:textId="77777777" w:rsidR="000A6BEA" w:rsidRPr="001E5C78" w:rsidRDefault="000A6BEA" w:rsidP="000A6BEA">
            <w:pPr>
              <w:pStyle w:val="BodyText"/>
              <w:spacing w:line="360" w:lineRule="auto"/>
              <w:jc w:val="both"/>
              <w:rPr>
                <w:bCs/>
                <w:sz w:val="24"/>
                <w:szCs w:val="24"/>
              </w:rPr>
            </w:pPr>
            <w:r w:rsidRPr="001E5C78">
              <w:rPr>
                <w:bCs/>
                <w:sz w:val="24"/>
                <w:szCs w:val="24"/>
              </w:rPr>
              <w:t>78,777</w:t>
            </w:r>
          </w:p>
        </w:tc>
      </w:tr>
      <w:tr w:rsidR="000A6BEA" w:rsidRPr="001E5C78" w14:paraId="53DF74DE" w14:textId="77777777" w:rsidTr="001B3580">
        <w:trPr>
          <w:jc w:val="center"/>
        </w:trPr>
        <w:tc>
          <w:tcPr>
            <w:tcW w:w="2159" w:type="dxa"/>
            <w:vAlign w:val="bottom"/>
          </w:tcPr>
          <w:p w14:paraId="22D83643" w14:textId="77777777" w:rsidR="000A6BEA" w:rsidRPr="001E5C78" w:rsidRDefault="000A6BEA" w:rsidP="000A6BEA">
            <w:pPr>
              <w:pStyle w:val="BodyText"/>
              <w:spacing w:line="360" w:lineRule="auto"/>
              <w:jc w:val="both"/>
              <w:rPr>
                <w:sz w:val="24"/>
                <w:szCs w:val="24"/>
              </w:rPr>
            </w:pPr>
            <w:r w:rsidRPr="001E5C78">
              <w:rPr>
                <w:sz w:val="24"/>
                <w:szCs w:val="24"/>
              </w:rPr>
              <w:t>2023 - 2024</w:t>
            </w:r>
          </w:p>
        </w:tc>
        <w:tc>
          <w:tcPr>
            <w:tcW w:w="2235" w:type="dxa"/>
          </w:tcPr>
          <w:p w14:paraId="5BA6670E" w14:textId="77777777" w:rsidR="000A6BEA" w:rsidRPr="001E5C78" w:rsidRDefault="000A6BEA" w:rsidP="000A6BEA">
            <w:pPr>
              <w:pStyle w:val="BodyText"/>
              <w:spacing w:line="360" w:lineRule="auto"/>
              <w:jc w:val="both"/>
              <w:rPr>
                <w:bCs/>
                <w:sz w:val="24"/>
                <w:szCs w:val="24"/>
              </w:rPr>
            </w:pPr>
            <w:r w:rsidRPr="001E5C78">
              <w:rPr>
                <w:bCs/>
                <w:sz w:val="24"/>
                <w:szCs w:val="24"/>
              </w:rPr>
              <w:t>(1744)</w:t>
            </w:r>
          </w:p>
        </w:tc>
        <w:tc>
          <w:tcPr>
            <w:tcW w:w="2126" w:type="dxa"/>
          </w:tcPr>
          <w:p w14:paraId="19CC7634" w14:textId="77777777" w:rsidR="000A6BEA" w:rsidRPr="001E5C78" w:rsidRDefault="000A6BEA" w:rsidP="000A6BEA">
            <w:pPr>
              <w:pStyle w:val="BodyText"/>
              <w:spacing w:line="360" w:lineRule="auto"/>
              <w:jc w:val="both"/>
              <w:rPr>
                <w:bCs/>
                <w:sz w:val="24"/>
                <w:szCs w:val="24"/>
              </w:rPr>
            </w:pPr>
            <w:r w:rsidRPr="001E5C78">
              <w:rPr>
                <w:bCs/>
                <w:sz w:val="24"/>
                <w:szCs w:val="24"/>
              </w:rPr>
              <w:t>77,033</w:t>
            </w:r>
          </w:p>
        </w:tc>
      </w:tr>
      <w:tr w:rsidR="000A6BEA" w:rsidRPr="001E5C78" w14:paraId="7A0BA319" w14:textId="77777777" w:rsidTr="001B3580">
        <w:trPr>
          <w:jc w:val="center"/>
        </w:trPr>
        <w:tc>
          <w:tcPr>
            <w:tcW w:w="2159" w:type="dxa"/>
            <w:vAlign w:val="bottom"/>
          </w:tcPr>
          <w:p w14:paraId="3E934988" w14:textId="77777777" w:rsidR="000A6BEA" w:rsidRPr="001E5C78" w:rsidRDefault="000A6BEA" w:rsidP="000A6BEA">
            <w:pPr>
              <w:pStyle w:val="BodyText"/>
              <w:spacing w:line="360" w:lineRule="auto"/>
              <w:jc w:val="both"/>
              <w:rPr>
                <w:sz w:val="24"/>
                <w:szCs w:val="24"/>
              </w:rPr>
            </w:pPr>
            <w:r w:rsidRPr="001E5C78">
              <w:rPr>
                <w:b/>
                <w:sz w:val="24"/>
                <w:szCs w:val="24"/>
              </w:rPr>
              <w:t>Total</w:t>
            </w:r>
          </w:p>
        </w:tc>
        <w:tc>
          <w:tcPr>
            <w:tcW w:w="2235" w:type="dxa"/>
            <w:vAlign w:val="bottom"/>
          </w:tcPr>
          <w:p w14:paraId="3378BAED" w14:textId="77777777" w:rsidR="000A6BEA" w:rsidRPr="001E5C78" w:rsidRDefault="000A6BEA" w:rsidP="000A6BEA">
            <w:pPr>
              <w:pStyle w:val="BodyText"/>
              <w:spacing w:line="360" w:lineRule="auto"/>
              <w:jc w:val="both"/>
              <w:rPr>
                <w:bCs/>
                <w:sz w:val="24"/>
                <w:szCs w:val="24"/>
              </w:rPr>
            </w:pPr>
          </w:p>
        </w:tc>
        <w:tc>
          <w:tcPr>
            <w:tcW w:w="2126" w:type="dxa"/>
          </w:tcPr>
          <w:p w14:paraId="39A7EBBE" w14:textId="77777777" w:rsidR="000A6BEA" w:rsidRPr="001E5C78" w:rsidRDefault="000A6BEA" w:rsidP="000A6BEA">
            <w:pPr>
              <w:pStyle w:val="BodyText"/>
              <w:spacing w:line="360" w:lineRule="auto"/>
              <w:jc w:val="both"/>
              <w:rPr>
                <w:b/>
                <w:sz w:val="24"/>
                <w:szCs w:val="24"/>
              </w:rPr>
            </w:pPr>
            <w:r w:rsidRPr="001E5C78">
              <w:rPr>
                <w:b/>
                <w:sz w:val="24"/>
                <w:szCs w:val="24"/>
              </w:rPr>
              <w:t>3,90,161</w:t>
            </w:r>
            <w:r w:rsidRPr="001E5C78">
              <w:rPr>
                <w:b/>
                <w:sz w:val="24"/>
                <w:szCs w:val="24"/>
              </w:rPr>
              <w:tab/>
            </w:r>
          </w:p>
        </w:tc>
      </w:tr>
      <w:tr w:rsidR="000A6BEA" w:rsidRPr="001E5C78" w14:paraId="2F111D53" w14:textId="77777777" w:rsidTr="001B3580">
        <w:trPr>
          <w:jc w:val="center"/>
        </w:trPr>
        <w:tc>
          <w:tcPr>
            <w:tcW w:w="2159" w:type="dxa"/>
            <w:vAlign w:val="bottom"/>
          </w:tcPr>
          <w:p w14:paraId="2B7CF670" w14:textId="77777777" w:rsidR="000A6BEA" w:rsidRPr="001E5C78" w:rsidRDefault="000A6BEA" w:rsidP="000A6BEA">
            <w:pPr>
              <w:pStyle w:val="BodyText"/>
              <w:spacing w:line="360" w:lineRule="auto"/>
              <w:jc w:val="both"/>
              <w:rPr>
                <w:sz w:val="24"/>
                <w:szCs w:val="24"/>
              </w:rPr>
            </w:pPr>
            <w:r w:rsidRPr="001E5C78">
              <w:rPr>
                <w:b/>
                <w:sz w:val="24"/>
                <w:szCs w:val="24"/>
              </w:rPr>
              <w:t>CAGR</w:t>
            </w:r>
          </w:p>
        </w:tc>
        <w:tc>
          <w:tcPr>
            <w:tcW w:w="2235" w:type="dxa"/>
            <w:vAlign w:val="bottom"/>
          </w:tcPr>
          <w:p w14:paraId="7406E001" w14:textId="77777777" w:rsidR="000A6BEA" w:rsidRPr="001E5C78" w:rsidRDefault="000A6BEA" w:rsidP="000A6BEA">
            <w:pPr>
              <w:pStyle w:val="BodyText"/>
              <w:spacing w:line="360" w:lineRule="auto"/>
              <w:jc w:val="both"/>
              <w:rPr>
                <w:bCs/>
                <w:sz w:val="24"/>
                <w:szCs w:val="24"/>
              </w:rPr>
            </w:pPr>
          </w:p>
        </w:tc>
        <w:tc>
          <w:tcPr>
            <w:tcW w:w="2126" w:type="dxa"/>
          </w:tcPr>
          <w:p w14:paraId="46CC84D8" w14:textId="77777777" w:rsidR="000A6BEA" w:rsidRPr="001E5C78" w:rsidRDefault="000A6BEA" w:rsidP="000A6BEA">
            <w:pPr>
              <w:pStyle w:val="BodyText"/>
              <w:spacing w:line="360" w:lineRule="auto"/>
              <w:jc w:val="both"/>
              <w:rPr>
                <w:b/>
                <w:sz w:val="24"/>
                <w:szCs w:val="24"/>
              </w:rPr>
            </w:pPr>
            <w:r w:rsidRPr="001E5C78">
              <w:rPr>
                <w:b/>
                <w:sz w:val="24"/>
                <w:szCs w:val="24"/>
              </w:rPr>
              <w:t>-0.92%</w:t>
            </w:r>
          </w:p>
        </w:tc>
      </w:tr>
    </w:tbl>
    <w:p w14:paraId="3E9EBE3D" w14:textId="77777777" w:rsidR="000A6BEA" w:rsidRPr="001E5C78" w:rsidRDefault="000A6BEA" w:rsidP="000A6BEA">
      <w:pPr>
        <w:pStyle w:val="BodyText"/>
        <w:spacing w:line="360" w:lineRule="auto"/>
        <w:jc w:val="both"/>
        <w:rPr>
          <w:bCs/>
          <w:sz w:val="24"/>
          <w:szCs w:val="24"/>
        </w:rPr>
      </w:pPr>
      <w:r w:rsidRPr="001E5C78">
        <w:rPr>
          <w:b/>
          <w:sz w:val="24"/>
          <w:szCs w:val="24"/>
        </w:rPr>
        <w:t xml:space="preserve">                     Source</w:t>
      </w:r>
      <w:r w:rsidRPr="001E5C78">
        <w:rPr>
          <w:bCs/>
          <w:sz w:val="24"/>
          <w:szCs w:val="24"/>
        </w:rPr>
        <w:t xml:space="preserve">: </w:t>
      </w:r>
      <w:r w:rsidRPr="001E5C78">
        <w:rPr>
          <w:bCs/>
          <w:i/>
          <w:iCs/>
          <w:sz w:val="24"/>
          <w:szCs w:val="24"/>
        </w:rPr>
        <w:t>Compiled from www.rbi.org.in</w:t>
      </w:r>
    </w:p>
    <w:p w14:paraId="6AF4EFC4" w14:textId="77777777" w:rsidR="000A6BEA" w:rsidRPr="001E5C78" w:rsidRDefault="000A6BEA" w:rsidP="000A6BEA">
      <w:pPr>
        <w:spacing w:after="0" w:line="360" w:lineRule="auto"/>
        <w:rPr>
          <w:rFonts w:ascii="Times New Roman" w:hAnsi="Times New Roman" w:cs="Times New Roman"/>
          <w:bCs/>
          <w:sz w:val="24"/>
          <w:szCs w:val="24"/>
        </w:rPr>
      </w:pPr>
      <w:r w:rsidRPr="001E5C78">
        <w:rPr>
          <w:rFonts w:ascii="Times New Roman" w:hAnsi="Times New Roman" w:cs="Times New Roman"/>
          <w:bCs/>
          <w:sz w:val="24"/>
          <w:szCs w:val="24"/>
        </w:rPr>
        <w:t xml:space="preserve">Table 2 gives a clear picture of the growth in the number of ATMs installed onsite by Public Sector Banks during 2019-20 to 2023-24. In the year 2019-20 the total number of Onsite ATMs installed by the banks were 80,691 and it gradually decreases year by year and reached to 77,033 in the year 2023-24. The growth rate in terms of number of Onsite ATMs is -0.92%. The reasons for the tremendous decrease in the number of Onsite ATMs are that more transactions are done online by direct/standing order. This means there is less demand for ATMs. </w:t>
      </w:r>
    </w:p>
    <w:p w14:paraId="519F2897"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sz w:val="24"/>
          <w:szCs w:val="24"/>
        </w:rPr>
        <w:t>ATMs Offsite</w:t>
      </w:r>
    </w:p>
    <w:p w14:paraId="61E50265"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Cs/>
          <w:sz w:val="24"/>
          <w:szCs w:val="24"/>
        </w:rPr>
        <w:t xml:space="preserve">Another Green Banking (paperless) product offered by banks is Offsite ATMs. The following Table shows the cumulative values of number of </w:t>
      </w:r>
      <w:proofErr w:type="spellStart"/>
      <w:proofErr w:type="gramStart"/>
      <w:r w:rsidRPr="001E5C78">
        <w:rPr>
          <w:rFonts w:ascii="Times New Roman" w:hAnsi="Times New Roman" w:cs="Times New Roman"/>
          <w:bCs/>
          <w:sz w:val="24"/>
          <w:szCs w:val="24"/>
        </w:rPr>
        <w:t>Off site</w:t>
      </w:r>
      <w:proofErr w:type="spellEnd"/>
      <w:proofErr w:type="gramEnd"/>
      <w:r w:rsidRPr="001E5C78">
        <w:rPr>
          <w:rFonts w:ascii="Times New Roman" w:hAnsi="Times New Roman" w:cs="Times New Roman"/>
          <w:bCs/>
          <w:sz w:val="24"/>
          <w:szCs w:val="24"/>
        </w:rPr>
        <w:t xml:space="preserve"> ATMs of the Public Sector Banks as on 31</w:t>
      </w:r>
      <w:r w:rsidRPr="001E5C78">
        <w:rPr>
          <w:rFonts w:ascii="Times New Roman" w:hAnsi="Times New Roman" w:cs="Times New Roman"/>
          <w:bCs/>
          <w:sz w:val="24"/>
          <w:szCs w:val="24"/>
          <w:vertAlign w:val="superscript"/>
        </w:rPr>
        <w:t>st</w:t>
      </w:r>
      <w:r w:rsidRPr="001E5C78">
        <w:rPr>
          <w:rFonts w:ascii="Times New Roman" w:hAnsi="Times New Roman" w:cs="Times New Roman"/>
          <w:bCs/>
          <w:sz w:val="24"/>
          <w:szCs w:val="24"/>
        </w:rPr>
        <w:t xml:space="preserve"> March for the years 2019-20 to 2023-24. </w:t>
      </w:r>
    </w:p>
    <w:p w14:paraId="2999B8DB" w14:textId="77777777" w:rsidR="000A6BEA" w:rsidRPr="001E5C78" w:rsidRDefault="000A6BEA" w:rsidP="000A6BEA">
      <w:pPr>
        <w:pStyle w:val="BodyText"/>
        <w:spacing w:line="360" w:lineRule="auto"/>
        <w:jc w:val="both"/>
        <w:rPr>
          <w:b/>
          <w:sz w:val="24"/>
          <w:szCs w:val="24"/>
        </w:rPr>
      </w:pPr>
      <w:r w:rsidRPr="001E5C78">
        <w:rPr>
          <w:b/>
          <w:sz w:val="24"/>
          <w:szCs w:val="24"/>
        </w:rPr>
        <w:t>Table 3- ATMs Offsite as on 31</w:t>
      </w:r>
      <w:r w:rsidRPr="001E5C78">
        <w:rPr>
          <w:b/>
          <w:sz w:val="24"/>
          <w:szCs w:val="24"/>
          <w:vertAlign w:val="superscript"/>
        </w:rPr>
        <w:t>st</w:t>
      </w:r>
      <w:r w:rsidRPr="001E5C78">
        <w:rPr>
          <w:b/>
          <w:sz w:val="24"/>
          <w:szCs w:val="24"/>
        </w:rPr>
        <w:t xml:space="preserve"> March </w:t>
      </w:r>
    </w:p>
    <w:tbl>
      <w:tblPr>
        <w:tblStyle w:val="TableGrid"/>
        <w:tblW w:w="0" w:type="auto"/>
        <w:jc w:val="center"/>
        <w:tblLook w:val="04A0" w:firstRow="1" w:lastRow="0" w:firstColumn="1" w:lastColumn="0" w:noHBand="0" w:noVBand="1"/>
      </w:tblPr>
      <w:tblGrid>
        <w:gridCol w:w="2159"/>
        <w:gridCol w:w="2235"/>
        <w:gridCol w:w="2126"/>
      </w:tblGrid>
      <w:tr w:rsidR="000A6BEA" w:rsidRPr="001E5C78" w14:paraId="11BD202C" w14:textId="77777777" w:rsidTr="001B3580">
        <w:trPr>
          <w:jc w:val="center"/>
        </w:trPr>
        <w:tc>
          <w:tcPr>
            <w:tcW w:w="2159" w:type="dxa"/>
          </w:tcPr>
          <w:p w14:paraId="09556D13" w14:textId="77777777" w:rsidR="000A6BEA" w:rsidRPr="001E5C78" w:rsidRDefault="000A6BEA" w:rsidP="000A6BEA">
            <w:pPr>
              <w:pStyle w:val="BodyText"/>
              <w:spacing w:line="360" w:lineRule="auto"/>
              <w:jc w:val="both"/>
              <w:rPr>
                <w:b/>
                <w:sz w:val="24"/>
                <w:szCs w:val="24"/>
              </w:rPr>
            </w:pPr>
            <w:r w:rsidRPr="001E5C78">
              <w:rPr>
                <w:b/>
                <w:sz w:val="24"/>
                <w:szCs w:val="24"/>
              </w:rPr>
              <w:t>Year</w:t>
            </w:r>
          </w:p>
        </w:tc>
        <w:tc>
          <w:tcPr>
            <w:tcW w:w="2235" w:type="dxa"/>
          </w:tcPr>
          <w:p w14:paraId="2D461844" w14:textId="77777777" w:rsidR="000A6BEA" w:rsidRPr="001E5C78" w:rsidRDefault="000A6BEA" w:rsidP="000A6BEA">
            <w:pPr>
              <w:pStyle w:val="BodyText"/>
              <w:spacing w:line="360" w:lineRule="auto"/>
              <w:jc w:val="both"/>
              <w:rPr>
                <w:b/>
                <w:sz w:val="24"/>
                <w:szCs w:val="24"/>
              </w:rPr>
            </w:pPr>
            <w:r w:rsidRPr="001E5C78">
              <w:rPr>
                <w:b/>
                <w:sz w:val="24"/>
                <w:szCs w:val="24"/>
              </w:rPr>
              <w:t>Number Added</w:t>
            </w:r>
          </w:p>
        </w:tc>
        <w:tc>
          <w:tcPr>
            <w:tcW w:w="2126" w:type="dxa"/>
          </w:tcPr>
          <w:p w14:paraId="751DC28A" w14:textId="5373B45A" w:rsidR="000A6BEA" w:rsidRPr="001E5C78" w:rsidRDefault="004D4D01" w:rsidP="000A6BEA">
            <w:pPr>
              <w:pStyle w:val="BodyText"/>
              <w:spacing w:line="360" w:lineRule="auto"/>
              <w:jc w:val="both"/>
              <w:rPr>
                <w:b/>
                <w:sz w:val="24"/>
                <w:szCs w:val="24"/>
              </w:rPr>
            </w:pPr>
            <w:r w:rsidRPr="001E5C78">
              <w:rPr>
                <w:b/>
                <w:sz w:val="24"/>
                <w:szCs w:val="24"/>
              </w:rPr>
              <w:t>O</w:t>
            </w:r>
            <w:r w:rsidR="000A6BEA" w:rsidRPr="001E5C78">
              <w:rPr>
                <w:b/>
                <w:sz w:val="24"/>
                <w:szCs w:val="24"/>
              </w:rPr>
              <w:t>ffsite</w:t>
            </w:r>
          </w:p>
        </w:tc>
      </w:tr>
      <w:tr w:rsidR="000A6BEA" w:rsidRPr="001E5C78" w14:paraId="30D9C418" w14:textId="77777777" w:rsidTr="001B3580">
        <w:trPr>
          <w:jc w:val="center"/>
        </w:trPr>
        <w:tc>
          <w:tcPr>
            <w:tcW w:w="2159" w:type="dxa"/>
            <w:vAlign w:val="bottom"/>
          </w:tcPr>
          <w:p w14:paraId="1F87EB2A" w14:textId="77777777" w:rsidR="000A6BEA" w:rsidRPr="001E5C78" w:rsidRDefault="000A6BEA" w:rsidP="000A6BEA">
            <w:pPr>
              <w:pStyle w:val="BodyText"/>
              <w:spacing w:line="360" w:lineRule="auto"/>
              <w:jc w:val="both"/>
              <w:rPr>
                <w:bCs/>
                <w:sz w:val="24"/>
                <w:szCs w:val="24"/>
              </w:rPr>
            </w:pPr>
            <w:r w:rsidRPr="001E5C78">
              <w:rPr>
                <w:sz w:val="24"/>
                <w:szCs w:val="24"/>
              </w:rPr>
              <w:t>2019 – 2020</w:t>
            </w:r>
          </w:p>
        </w:tc>
        <w:tc>
          <w:tcPr>
            <w:tcW w:w="2235" w:type="dxa"/>
          </w:tcPr>
          <w:p w14:paraId="3C55600F" w14:textId="77777777" w:rsidR="000A6BEA" w:rsidRPr="001E5C78" w:rsidRDefault="000A6BEA" w:rsidP="000A6BEA">
            <w:pPr>
              <w:pStyle w:val="BodyText"/>
              <w:spacing w:line="360" w:lineRule="auto"/>
              <w:jc w:val="both"/>
              <w:rPr>
                <w:bCs/>
                <w:sz w:val="24"/>
                <w:szCs w:val="24"/>
              </w:rPr>
            </w:pPr>
            <w:r w:rsidRPr="001E5C78">
              <w:rPr>
                <w:bCs/>
                <w:sz w:val="24"/>
                <w:szCs w:val="24"/>
              </w:rPr>
              <w:t>--</w:t>
            </w:r>
          </w:p>
        </w:tc>
        <w:tc>
          <w:tcPr>
            <w:tcW w:w="2126" w:type="dxa"/>
          </w:tcPr>
          <w:p w14:paraId="3252E2F6" w14:textId="77777777" w:rsidR="000A6BEA" w:rsidRPr="001E5C78" w:rsidRDefault="000A6BEA" w:rsidP="000A6BEA">
            <w:pPr>
              <w:pStyle w:val="BodyText"/>
              <w:spacing w:line="360" w:lineRule="auto"/>
              <w:jc w:val="both"/>
              <w:rPr>
                <w:bCs/>
                <w:sz w:val="24"/>
                <w:szCs w:val="24"/>
              </w:rPr>
            </w:pPr>
            <w:r w:rsidRPr="001E5C78">
              <w:rPr>
                <w:bCs/>
                <w:sz w:val="24"/>
                <w:szCs w:val="24"/>
              </w:rPr>
              <w:t>57,855</w:t>
            </w:r>
          </w:p>
        </w:tc>
      </w:tr>
      <w:tr w:rsidR="000A6BEA" w:rsidRPr="001E5C78" w14:paraId="56813464" w14:textId="77777777" w:rsidTr="001B3580">
        <w:trPr>
          <w:jc w:val="center"/>
        </w:trPr>
        <w:tc>
          <w:tcPr>
            <w:tcW w:w="2159" w:type="dxa"/>
            <w:vAlign w:val="bottom"/>
          </w:tcPr>
          <w:p w14:paraId="2D44A68F" w14:textId="77777777" w:rsidR="000A6BEA" w:rsidRPr="001E5C78" w:rsidRDefault="000A6BEA" w:rsidP="000A6BEA">
            <w:pPr>
              <w:pStyle w:val="BodyText"/>
              <w:spacing w:line="360" w:lineRule="auto"/>
              <w:jc w:val="both"/>
              <w:rPr>
                <w:bCs/>
                <w:sz w:val="24"/>
                <w:szCs w:val="24"/>
              </w:rPr>
            </w:pPr>
            <w:r w:rsidRPr="001E5C78">
              <w:rPr>
                <w:sz w:val="24"/>
                <w:szCs w:val="24"/>
              </w:rPr>
              <w:t>2020 – 2021</w:t>
            </w:r>
          </w:p>
        </w:tc>
        <w:tc>
          <w:tcPr>
            <w:tcW w:w="2235" w:type="dxa"/>
          </w:tcPr>
          <w:p w14:paraId="3DB68D9F" w14:textId="77777777" w:rsidR="000A6BEA" w:rsidRPr="001E5C78" w:rsidRDefault="000A6BEA" w:rsidP="000A6BEA">
            <w:pPr>
              <w:pStyle w:val="BodyText"/>
              <w:spacing w:line="360" w:lineRule="auto"/>
              <w:jc w:val="both"/>
              <w:rPr>
                <w:bCs/>
                <w:sz w:val="24"/>
                <w:szCs w:val="24"/>
              </w:rPr>
            </w:pPr>
            <w:r w:rsidRPr="001E5C78">
              <w:rPr>
                <w:bCs/>
                <w:sz w:val="24"/>
                <w:szCs w:val="24"/>
              </w:rPr>
              <w:t>(1251)</w:t>
            </w:r>
          </w:p>
        </w:tc>
        <w:tc>
          <w:tcPr>
            <w:tcW w:w="2126" w:type="dxa"/>
          </w:tcPr>
          <w:p w14:paraId="1F63E627" w14:textId="77777777" w:rsidR="000A6BEA" w:rsidRPr="001E5C78" w:rsidRDefault="000A6BEA" w:rsidP="000A6BEA">
            <w:pPr>
              <w:pStyle w:val="BodyText"/>
              <w:spacing w:line="360" w:lineRule="auto"/>
              <w:jc w:val="both"/>
              <w:rPr>
                <w:bCs/>
                <w:sz w:val="24"/>
                <w:szCs w:val="24"/>
              </w:rPr>
            </w:pPr>
            <w:r w:rsidRPr="001E5C78">
              <w:rPr>
                <w:bCs/>
                <w:sz w:val="24"/>
                <w:szCs w:val="24"/>
              </w:rPr>
              <w:t>59,106</w:t>
            </w:r>
          </w:p>
        </w:tc>
      </w:tr>
      <w:tr w:rsidR="000A6BEA" w:rsidRPr="001E5C78" w14:paraId="6E77F822" w14:textId="77777777" w:rsidTr="001B3580">
        <w:trPr>
          <w:jc w:val="center"/>
        </w:trPr>
        <w:tc>
          <w:tcPr>
            <w:tcW w:w="2159" w:type="dxa"/>
            <w:vAlign w:val="bottom"/>
          </w:tcPr>
          <w:p w14:paraId="35C3D272" w14:textId="77777777" w:rsidR="000A6BEA" w:rsidRPr="001E5C78" w:rsidRDefault="000A6BEA" w:rsidP="000A6BEA">
            <w:pPr>
              <w:pStyle w:val="BodyText"/>
              <w:spacing w:line="360" w:lineRule="auto"/>
              <w:jc w:val="both"/>
              <w:rPr>
                <w:bCs/>
                <w:sz w:val="24"/>
                <w:szCs w:val="24"/>
              </w:rPr>
            </w:pPr>
            <w:r w:rsidRPr="001E5C78">
              <w:rPr>
                <w:sz w:val="24"/>
                <w:szCs w:val="24"/>
              </w:rPr>
              <w:t>2021 – 2022</w:t>
            </w:r>
          </w:p>
        </w:tc>
        <w:tc>
          <w:tcPr>
            <w:tcW w:w="2235" w:type="dxa"/>
          </w:tcPr>
          <w:p w14:paraId="346D2B64" w14:textId="77777777" w:rsidR="000A6BEA" w:rsidRPr="001E5C78" w:rsidRDefault="000A6BEA" w:rsidP="000A6BEA">
            <w:pPr>
              <w:pStyle w:val="BodyText"/>
              <w:spacing w:line="360" w:lineRule="auto"/>
              <w:jc w:val="both"/>
              <w:rPr>
                <w:bCs/>
                <w:sz w:val="24"/>
                <w:szCs w:val="24"/>
              </w:rPr>
            </w:pPr>
            <w:r w:rsidRPr="001E5C78">
              <w:rPr>
                <w:bCs/>
                <w:sz w:val="24"/>
                <w:szCs w:val="24"/>
              </w:rPr>
              <w:t>698</w:t>
            </w:r>
          </w:p>
        </w:tc>
        <w:tc>
          <w:tcPr>
            <w:tcW w:w="2126" w:type="dxa"/>
          </w:tcPr>
          <w:p w14:paraId="5B267C36" w14:textId="77777777" w:rsidR="000A6BEA" w:rsidRPr="001E5C78" w:rsidRDefault="000A6BEA" w:rsidP="000A6BEA">
            <w:pPr>
              <w:pStyle w:val="BodyText"/>
              <w:spacing w:line="360" w:lineRule="auto"/>
              <w:jc w:val="both"/>
              <w:rPr>
                <w:bCs/>
                <w:sz w:val="24"/>
                <w:szCs w:val="24"/>
              </w:rPr>
            </w:pPr>
            <w:r w:rsidRPr="001E5C78">
              <w:rPr>
                <w:bCs/>
                <w:sz w:val="24"/>
                <w:szCs w:val="24"/>
              </w:rPr>
              <w:t>59,804</w:t>
            </w:r>
          </w:p>
        </w:tc>
      </w:tr>
      <w:tr w:rsidR="000A6BEA" w:rsidRPr="001E5C78" w14:paraId="100EFD10" w14:textId="77777777" w:rsidTr="001B3580">
        <w:trPr>
          <w:jc w:val="center"/>
        </w:trPr>
        <w:tc>
          <w:tcPr>
            <w:tcW w:w="2159" w:type="dxa"/>
            <w:vAlign w:val="bottom"/>
          </w:tcPr>
          <w:p w14:paraId="0B772C5D" w14:textId="77777777" w:rsidR="000A6BEA" w:rsidRPr="001E5C78" w:rsidRDefault="000A6BEA" w:rsidP="000A6BEA">
            <w:pPr>
              <w:pStyle w:val="BodyText"/>
              <w:spacing w:line="360" w:lineRule="auto"/>
              <w:jc w:val="both"/>
              <w:rPr>
                <w:sz w:val="24"/>
                <w:szCs w:val="24"/>
              </w:rPr>
            </w:pPr>
            <w:r w:rsidRPr="001E5C78">
              <w:rPr>
                <w:sz w:val="24"/>
                <w:szCs w:val="24"/>
              </w:rPr>
              <w:t>2022 - 2023</w:t>
            </w:r>
          </w:p>
        </w:tc>
        <w:tc>
          <w:tcPr>
            <w:tcW w:w="2235" w:type="dxa"/>
          </w:tcPr>
          <w:p w14:paraId="75ED9092" w14:textId="77777777" w:rsidR="000A6BEA" w:rsidRPr="001E5C78" w:rsidRDefault="000A6BEA" w:rsidP="000A6BEA">
            <w:pPr>
              <w:pStyle w:val="BodyText"/>
              <w:spacing w:line="360" w:lineRule="auto"/>
              <w:jc w:val="both"/>
              <w:rPr>
                <w:bCs/>
                <w:sz w:val="24"/>
                <w:szCs w:val="24"/>
              </w:rPr>
            </w:pPr>
            <w:r w:rsidRPr="001E5C78">
              <w:rPr>
                <w:bCs/>
                <w:sz w:val="24"/>
                <w:szCs w:val="24"/>
              </w:rPr>
              <w:t>(158)</w:t>
            </w:r>
          </w:p>
        </w:tc>
        <w:tc>
          <w:tcPr>
            <w:tcW w:w="2126" w:type="dxa"/>
          </w:tcPr>
          <w:p w14:paraId="35D0385C" w14:textId="77777777" w:rsidR="000A6BEA" w:rsidRPr="001E5C78" w:rsidRDefault="000A6BEA" w:rsidP="000A6BEA">
            <w:pPr>
              <w:pStyle w:val="BodyText"/>
              <w:spacing w:line="360" w:lineRule="auto"/>
              <w:jc w:val="both"/>
              <w:rPr>
                <w:bCs/>
                <w:sz w:val="24"/>
                <w:szCs w:val="24"/>
              </w:rPr>
            </w:pPr>
            <w:r w:rsidRPr="001E5C78">
              <w:rPr>
                <w:bCs/>
                <w:sz w:val="24"/>
                <w:szCs w:val="24"/>
              </w:rPr>
              <w:t>59,646</w:t>
            </w:r>
          </w:p>
        </w:tc>
      </w:tr>
      <w:tr w:rsidR="000A6BEA" w:rsidRPr="001E5C78" w14:paraId="349B9641" w14:textId="77777777" w:rsidTr="001B3580">
        <w:trPr>
          <w:jc w:val="center"/>
        </w:trPr>
        <w:tc>
          <w:tcPr>
            <w:tcW w:w="2159" w:type="dxa"/>
            <w:vAlign w:val="bottom"/>
          </w:tcPr>
          <w:p w14:paraId="2A0F07E9" w14:textId="77777777" w:rsidR="000A6BEA" w:rsidRPr="001E5C78" w:rsidRDefault="000A6BEA" w:rsidP="000A6BEA">
            <w:pPr>
              <w:pStyle w:val="BodyText"/>
              <w:spacing w:line="360" w:lineRule="auto"/>
              <w:jc w:val="both"/>
              <w:rPr>
                <w:sz w:val="24"/>
                <w:szCs w:val="24"/>
              </w:rPr>
            </w:pPr>
            <w:r w:rsidRPr="001E5C78">
              <w:rPr>
                <w:sz w:val="24"/>
                <w:szCs w:val="24"/>
              </w:rPr>
              <w:t>2023 - 2024</w:t>
            </w:r>
          </w:p>
        </w:tc>
        <w:tc>
          <w:tcPr>
            <w:tcW w:w="2235" w:type="dxa"/>
          </w:tcPr>
          <w:p w14:paraId="1DAF38DC" w14:textId="77777777" w:rsidR="000A6BEA" w:rsidRPr="001E5C78" w:rsidRDefault="000A6BEA" w:rsidP="000A6BEA">
            <w:pPr>
              <w:pStyle w:val="BodyText"/>
              <w:spacing w:line="360" w:lineRule="auto"/>
              <w:jc w:val="both"/>
              <w:rPr>
                <w:bCs/>
                <w:sz w:val="24"/>
                <w:szCs w:val="24"/>
              </w:rPr>
            </w:pPr>
            <w:r w:rsidRPr="001E5C78">
              <w:rPr>
                <w:bCs/>
                <w:sz w:val="24"/>
                <w:szCs w:val="24"/>
              </w:rPr>
              <w:t>(1985)</w:t>
            </w:r>
          </w:p>
        </w:tc>
        <w:tc>
          <w:tcPr>
            <w:tcW w:w="2126" w:type="dxa"/>
          </w:tcPr>
          <w:p w14:paraId="662500C6" w14:textId="77777777" w:rsidR="000A6BEA" w:rsidRPr="001E5C78" w:rsidRDefault="000A6BEA" w:rsidP="000A6BEA">
            <w:pPr>
              <w:pStyle w:val="BodyText"/>
              <w:spacing w:line="360" w:lineRule="auto"/>
              <w:jc w:val="both"/>
              <w:rPr>
                <w:bCs/>
                <w:sz w:val="24"/>
                <w:szCs w:val="24"/>
              </w:rPr>
            </w:pPr>
            <w:r w:rsidRPr="001E5C78">
              <w:rPr>
                <w:bCs/>
                <w:sz w:val="24"/>
                <w:szCs w:val="24"/>
              </w:rPr>
              <w:t>57, 661</w:t>
            </w:r>
          </w:p>
        </w:tc>
      </w:tr>
      <w:tr w:rsidR="000A6BEA" w:rsidRPr="001E5C78" w14:paraId="6B77DCB5" w14:textId="77777777" w:rsidTr="001B3580">
        <w:trPr>
          <w:jc w:val="center"/>
        </w:trPr>
        <w:tc>
          <w:tcPr>
            <w:tcW w:w="2159" w:type="dxa"/>
            <w:vAlign w:val="bottom"/>
          </w:tcPr>
          <w:p w14:paraId="4FE00BC9" w14:textId="77777777" w:rsidR="000A6BEA" w:rsidRPr="001E5C78" w:rsidRDefault="000A6BEA" w:rsidP="000A6BEA">
            <w:pPr>
              <w:pStyle w:val="BodyText"/>
              <w:spacing w:line="360" w:lineRule="auto"/>
              <w:jc w:val="both"/>
              <w:rPr>
                <w:sz w:val="24"/>
                <w:szCs w:val="24"/>
              </w:rPr>
            </w:pPr>
            <w:r w:rsidRPr="001E5C78">
              <w:rPr>
                <w:b/>
                <w:sz w:val="24"/>
                <w:szCs w:val="24"/>
              </w:rPr>
              <w:t>Total</w:t>
            </w:r>
          </w:p>
        </w:tc>
        <w:tc>
          <w:tcPr>
            <w:tcW w:w="2235" w:type="dxa"/>
            <w:vAlign w:val="bottom"/>
          </w:tcPr>
          <w:p w14:paraId="6131057E" w14:textId="77777777" w:rsidR="000A6BEA" w:rsidRPr="001E5C78" w:rsidRDefault="000A6BEA" w:rsidP="000A6BEA">
            <w:pPr>
              <w:pStyle w:val="BodyText"/>
              <w:spacing w:line="360" w:lineRule="auto"/>
              <w:jc w:val="both"/>
              <w:rPr>
                <w:bCs/>
                <w:sz w:val="24"/>
                <w:szCs w:val="24"/>
              </w:rPr>
            </w:pPr>
          </w:p>
        </w:tc>
        <w:tc>
          <w:tcPr>
            <w:tcW w:w="2126" w:type="dxa"/>
          </w:tcPr>
          <w:p w14:paraId="30ACAD0F" w14:textId="77777777" w:rsidR="000A6BEA" w:rsidRPr="001E5C78" w:rsidRDefault="000A6BEA" w:rsidP="000A6BEA">
            <w:pPr>
              <w:pStyle w:val="BodyText"/>
              <w:spacing w:line="360" w:lineRule="auto"/>
              <w:jc w:val="both"/>
              <w:rPr>
                <w:b/>
                <w:sz w:val="24"/>
                <w:szCs w:val="24"/>
              </w:rPr>
            </w:pPr>
            <w:r w:rsidRPr="001E5C78">
              <w:rPr>
                <w:b/>
                <w:sz w:val="24"/>
                <w:szCs w:val="24"/>
              </w:rPr>
              <w:t>2,36,411</w:t>
            </w:r>
          </w:p>
        </w:tc>
      </w:tr>
      <w:tr w:rsidR="000A6BEA" w:rsidRPr="001E5C78" w14:paraId="659A4C91" w14:textId="77777777" w:rsidTr="001B3580">
        <w:trPr>
          <w:jc w:val="center"/>
        </w:trPr>
        <w:tc>
          <w:tcPr>
            <w:tcW w:w="2159" w:type="dxa"/>
            <w:vAlign w:val="bottom"/>
          </w:tcPr>
          <w:p w14:paraId="705AF7CC" w14:textId="77777777" w:rsidR="000A6BEA" w:rsidRPr="001E5C78" w:rsidRDefault="000A6BEA" w:rsidP="000A6BEA">
            <w:pPr>
              <w:pStyle w:val="BodyText"/>
              <w:spacing w:line="360" w:lineRule="auto"/>
              <w:jc w:val="both"/>
              <w:rPr>
                <w:sz w:val="24"/>
                <w:szCs w:val="24"/>
              </w:rPr>
            </w:pPr>
            <w:r w:rsidRPr="001E5C78">
              <w:rPr>
                <w:b/>
                <w:sz w:val="24"/>
                <w:szCs w:val="24"/>
              </w:rPr>
              <w:t>CAGR</w:t>
            </w:r>
          </w:p>
        </w:tc>
        <w:tc>
          <w:tcPr>
            <w:tcW w:w="2235" w:type="dxa"/>
            <w:vAlign w:val="bottom"/>
          </w:tcPr>
          <w:p w14:paraId="6CE14A9D" w14:textId="77777777" w:rsidR="000A6BEA" w:rsidRPr="001E5C78" w:rsidRDefault="000A6BEA" w:rsidP="000A6BEA">
            <w:pPr>
              <w:pStyle w:val="BodyText"/>
              <w:spacing w:line="360" w:lineRule="auto"/>
              <w:jc w:val="both"/>
              <w:rPr>
                <w:bCs/>
                <w:sz w:val="24"/>
                <w:szCs w:val="24"/>
              </w:rPr>
            </w:pPr>
          </w:p>
        </w:tc>
        <w:tc>
          <w:tcPr>
            <w:tcW w:w="2126" w:type="dxa"/>
          </w:tcPr>
          <w:p w14:paraId="19F84C78" w14:textId="77777777" w:rsidR="000A6BEA" w:rsidRPr="001E5C78" w:rsidRDefault="000A6BEA" w:rsidP="000A6BEA">
            <w:pPr>
              <w:pStyle w:val="BodyText"/>
              <w:spacing w:line="360" w:lineRule="auto"/>
              <w:jc w:val="both"/>
              <w:rPr>
                <w:b/>
                <w:sz w:val="24"/>
                <w:szCs w:val="24"/>
              </w:rPr>
            </w:pPr>
            <w:r w:rsidRPr="001E5C78">
              <w:rPr>
                <w:b/>
                <w:sz w:val="24"/>
                <w:szCs w:val="24"/>
              </w:rPr>
              <w:t>-0.07%</w:t>
            </w:r>
          </w:p>
        </w:tc>
      </w:tr>
    </w:tbl>
    <w:p w14:paraId="6B78409F" w14:textId="77777777" w:rsidR="000A6BEA" w:rsidRPr="001E5C78" w:rsidRDefault="000A6BEA" w:rsidP="000A6BEA">
      <w:pPr>
        <w:spacing w:after="0" w:line="360" w:lineRule="auto"/>
        <w:rPr>
          <w:rFonts w:ascii="Times New Roman" w:hAnsi="Times New Roman" w:cs="Times New Roman"/>
          <w:bCs/>
          <w:sz w:val="24"/>
          <w:szCs w:val="24"/>
        </w:rPr>
      </w:pPr>
      <w:r w:rsidRPr="001E5C78">
        <w:rPr>
          <w:rFonts w:ascii="Times New Roman" w:hAnsi="Times New Roman" w:cs="Times New Roman"/>
          <w:b/>
          <w:sz w:val="24"/>
          <w:szCs w:val="24"/>
        </w:rPr>
        <w:lastRenderedPageBreak/>
        <w:t xml:space="preserve">                     Source: </w:t>
      </w:r>
      <w:r w:rsidRPr="001E5C78">
        <w:rPr>
          <w:rFonts w:ascii="Times New Roman" w:hAnsi="Times New Roman" w:cs="Times New Roman"/>
          <w:bCs/>
          <w:sz w:val="24"/>
          <w:szCs w:val="24"/>
        </w:rPr>
        <w:t>compiled from www.rbi.org.in</w:t>
      </w:r>
    </w:p>
    <w:p w14:paraId="7F540DD1" w14:textId="77777777" w:rsidR="000A6BEA" w:rsidRPr="001E5C78" w:rsidRDefault="000A6BEA" w:rsidP="000A6BEA">
      <w:pPr>
        <w:spacing w:after="0" w:line="360" w:lineRule="auto"/>
        <w:rPr>
          <w:rFonts w:ascii="Times New Roman" w:hAnsi="Times New Roman" w:cs="Times New Roman"/>
          <w:bCs/>
          <w:sz w:val="24"/>
          <w:szCs w:val="24"/>
        </w:rPr>
      </w:pPr>
      <w:r w:rsidRPr="001E5C78">
        <w:rPr>
          <w:rFonts w:ascii="Times New Roman" w:hAnsi="Times New Roman" w:cs="Times New Roman"/>
          <w:bCs/>
          <w:sz w:val="24"/>
          <w:szCs w:val="24"/>
        </w:rPr>
        <w:t xml:space="preserve">It is clear from the above table that the number of ATMs installed offsite by Public Sector Banks during 2019-20 to 2023-24. In the year 2019-20 the total number of Offsite ATMs installed by the banks were 57,855 and it gradually decreased year by year.  The number of ATMs reached to 57, 661 till March 2024. The growth rate in terms of number of off-site ATMs is -0.07%.  The reasons for the decrease of ATMs due to rising costs in its installation, operation and maintenance, rationalization of branches as a cost cutting measures and, in these years, many public banks got merged for reducing branch operational cost. </w:t>
      </w:r>
    </w:p>
    <w:p w14:paraId="56A30715" w14:textId="77777777" w:rsidR="000A6BEA" w:rsidRPr="001E5C78" w:rsidRDefault="000A6BEA" w:rsidP="000A6BEA">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Conclusion</w:t>
      </w:r>
    </w:p>
    <w:p w14:paraId="475389B8" w14:textId="77777777" w:rsidR="000A6BEA" w:rsidRPr="001E5C78" w:rsidRDefault="000A6BEA" w:rsidP="000A6BEA">
      <w:pPr>
        <w:spacing w:after="0" w:line="360" w:lineRule="auto"/>
        <w:rPr>
          <w:rFonts w:ascii="Times New Roman" w:hAnsi="Times New Roman" w:cs="Times New Roman"/>
          <w:bCs/>
          <w:sz w:val="24"/>
          <w:szCs w:val="24"/>
        </w:rPr>
      </w:pPr>
      <w:r w:rsidRPr="001E5C78">
        <w:rPr>
          <w:rFonts w:ascii="Times New Roman" w:hAnsi="Times New Roman" w:cs="Times New Roman"/>
          <w:bCs/>
          <w:sz w:val="24"/>
          <w:szCs w:val="24"/>
        </w:rPr>
        <w:t>This paper discusses the changing landscape of ATM usage in India, with two key points:</w:t>
      </w:r>
    </w:p>
    <w:p w14:paraId="6AD7308E" w14:textId="77777777" w:rsidR="000A6BEA" w:rsidRPr="001E5C78" w:rsidRDefault="000A6BEA" w:rsidP="000A6BEA">
      <w:pPr>
        <w:pStyle w:val="ListParagraph"/>
        <w:widowControl w:val="0"/>
        <w:numPr>
          <w:ilvl w:val="0"/>
          <w:numId w:val="9"/>
        </w:numPr>
        <w:autoSpaceDE w:val="0"/>
        <w:autoSpaceDN w:val="0"/>
        <w:spacing w:after="0" w:line="360" w:lineRule="auto"/>
        <w:contextualSpacing w:val="0"/>
        <w:rPr>
          <w:bCs/>
          <w:sz w:val="24"/>
          <w:szCs w:val="24"/>
        </w:rPr>
      </w:pPr>
      <w:r w:rsidRPr="001E5C78">
        <w:rPr>
          <w:bCs/>
          <w:sz w:val="24"/>
          <w:szCs w:val="24"/>
        </w:rPr>
        <w:t>The RBI mandates banks to offer a minimum number of free ATM transactions for savings accounts. This is especially important in metro cities where the limit is at least 3 transactions for using ATMs of the banks exceeding this limit can incur fees.</w:t>
      </w:r>
    </w:p>
    <w:p w14:paraId="5C6EBA2F" w14:textId="77777777" w:rsidR="000A6BEA" w:rsidRPr="001E5C78" w:rsidRDefault="000A6BEA" w:rsidP="000A6BEA">
      <w:pPr>
        <w:pStyle w:val="ListParagraph"/>
        <w:widowControl w:val="0"/>
        <w:numPr>
          <w:ilvl w:val="0"/>
          <w:numId w:val="9"/>
        </w:numPr>
        <w:autoSpaceDE w:val="0"/>
        <w:autoSpaceDN w:val="0"/>
        <w:spacing w:after="0" w:line="360" w:lineRule="auto"/>
        <w:contextualSpacing w:val="0"/>
        <w:rPr>
          <w:bCs/>
          <w:sz w:val="24"/>
          <w:szCs w:val="24"/>
        </w:rPr>
      </w:pPr>
      <w:r w:rsidRPr="001E5C78">
        <w:rPr>
          <w:bCs/>
          <w:sz w:val="24"/>
          <w:szCs w:val="24"/>
        </w:rPr>
        <w:t>The cap on free cash transactions and interoperability may have discouraged banks from expanding their ATM networks.</w:t>
      </w:r>
    </w:p>
    <w:p w14:paraId="1EE98DFE" w14:textId="77777777" w:rsidR="000A6BEA" w:rsidRPr="001E5C78" w:rsidRDefault="000A6BEA" w:rsidP="000A6BEA">
      <w:pPr>
        <w:pStyle w:val="ListParagraph"/>
        <w:widowControl w:val="0"/>
        <w:numPr>
          <w:ilvl w:val="0"/>
          <w:numId w:val="9"/>
        </w:numPr>
        <w:autoSpaceDE w:val="0"/>
        <w:autoSpaceDN w:val="0"/>
        <w:spacing w:after="0" w:line="360" w:lineRule="auto"/>
        <w:contextualSpacing w:val="0"/>
        <w:rPr>
          <w:bCs/>
          <w:sz w:val="24"/>
          <w:szCs w:val="24"/>
        </w:rPr>
      </w:pPr>
      <w:r w:rsidRPr="001E5C78">
        <w:rPr>
          <w:bCs/>
          <w:sz w:val="24"/>
          <w:szCs w:val="24"/>
        </w:rPr>
        <w:t xml:space="preserve">The increasing popularity of UPI for digital transactions might be leading banks to focus on less ATMs due to lower cost and convenience. </w:t>
      </w:r>
    </w:p>
    <w:p w14:paraId="00F918DA" w14:textId="77777777" w:rsidR="000A6BEA" w:rsidRPr="001E5C78" w:rsidRDefault="000A6BEA" w:rsidP="000A6BEA">
      <w:pPr>
        <w:spacing w:after="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However, a segment of population still relies heavily on cash and may not have adopted UPI yet. This suggests, ATMs remain relevant for a portion of the population. </w:t>
      </w:r>
    </w:p>
    <w:p w14:paraId="6F3B12EC" w14:textId="77777777" w:rsidR="000A6BEA" w:rsidRPr="001E5C78" w:rsidRDefault="000A6BEA" w:rsidP="000A6BEA">
      <w:pPr>
        <w:spacing w:after="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This paper concludes that a potential slowdown in ATM growth due to changing regulations and user behavior, but acknowledges the continued need for cash access for some. </w:t>
      </w:r>
    </w:p>
    <w:p w14:paraId="4851DCA0" w14:textId="77777777" w:rsidR="000A6BEA" w:rsidRPr="001E5C78" w:rsidRDefault="000A6BEA" w:rsidP="000A6BEA">
      <w:pPr>
        <w:spacing w:after="0" w:line="360" w:lineRule="auto"/>
        <w:rPr>
          <w:rFonts w:ascii="Times New Roman" w:hAnsi="Times New Roman" w:cs="Times New Roman"/>
          <w:b/>
          <w:sz w:val="24"/>
          <w:szCs w:val="24"/>
        </w:rPr>
      </w:pPr>
      <w:r w:rsidRPr="001E5C78">
        <w:rPr>
          <w:rFonts w:ascii="Times New Roman" w:hAnsi="Times New Roman" w:cs="Times New Roman"/>
          <w:b/>
          <w:sz w:val="24"/>
          <w:szCs w:val="24"/>
        </w:rPr>
        <w:t>References</w:t>
      </w:r>
    </w:p>
    <w:p w14:paraId="0789B2EE" w14:textId="77777777" w:rsidR="000A6BEA" w:rsidRPr="001E5C78" w:rsidRDefault="000A6BEA" w:rsidP="000A6BEA">
      <w:pPr>
        <w:pStyle w:val="ListParagraph"/>
        <w:widowControl w:val="0"/>
        <w:numPr>
          <w:ilvl w:val="0"/>
          <w:numId w:val="7"/>
        </w:numPr>
        <w:autoSpaceDE w:val="0"/>
        <w:autoSpaceDN w:val="0"/>
        <w:spacing w:after="0" w:line="360" w:lineRule="auto"/>
        <w:contextualSpacing w:val="0"/>
        <w:rPr>
          <w:sz w:val="24"/>
          <w:szCs w:val="24"/>
        </w:rPr>
      </w:pPr>
      <w:r w:rsidRPr="001E5C78">
        <w:rPr>
          <w:sz w:val="24"/>
          <w:szCs w:val="24"/>
        </w:rPr>
        <w:t>Yogesh Kumawat and Manish Dubey (2017), “A Review Paper on ATM Transaction”, International Journal of Advance Research in Computer Science and Management Studies, Vol. 5, Issue 4, ISSN: 2321-7782.</w:t>
      </w:r>
    </w:p>
    <w:p w14:paraId="48A20EE8" w14:textId="77777777" w:rsidR="000A6BEA" w:rsidRPr="001E5C78" w:rsidRDefault="000A6BEA" w:rsidP="000A6BEA">
      <w:pPr>
        <w:pStyle w:val="ListParagraph"/>
        <w:widowControl w:val="0"/>
        <w:numPr>
          <w:ilvl w:val="0"/>
          <w:numId w:val="7"/>
        </w:numPr>
        <w:shd w:val="clear" w:color="auto" w:fill="FFFFFF"/>
        <w:autoSpaceDE w:val="0"/>
        <w:autoSpaceDN w:val="0"/>
        <w:spacing w:after="0" w:line="360" w:lineRule="auto"/>
        <w:contextualSpacing w:val="0"/>
        <w:rPr>
          <w:rFonts w:ascii="Arial" w:hAnsi="Arial" w:cs="Arial"/>
          <w:color w:val="111111"/>
          <w:sz w:val="24"/>
          <w:szCs w:val="24"/>
        </w:rPr>
      </w:pPr>
      <w:r w:rsidRPr="001E5C78">
        <w:rPr>
          <w:sz w:val="24"/>
          <w:szCs w:val="24"/>
        </w:rPr>
        <w:t xml:space="preserve">Ram Raj G (2018) “Growth and Development of ATM in India”, Asian Journal of Research in Banking and Finance, </w:t>
      </w:r>
      <w:r w:rsidRPr="001E5C78">
        <w:rPr>
          <w:rFonts w:ascii="Arial" w:hAnsi="Arial" w:cs="Arial"/>
          <w:color w:val="111111"/>
          <w:sz w:val="24"/>
          <w:szCs w:val="24"/>
        </w:rPr>
        <w:t>DOI:</w:t>
      </w:r>
      <w:hyperlink r:id="rId7" w:tgtFrame="_blank" w:history="1">
        <w:r w:rsidRPr="001E5C78">
          <w:rPr>
            <w:rStyle w:val="Hyperlink"/>
            <w:rFonts w:ascii="inherit" w:hAnsi="inherit" w:cs="Arial"/>
            <w:sz w:val="24"/>
            <w:szCs w:val="24"/>
            <w:u w:val="none"/>
            <w:bdr w:val="none" w:sz="0" w:space="0" w:color="auto" w:frame="1"/>
          </w:rPr>
          <w:t>10.5958/2249-7323.</w:t>
        </w:r>
        <w:proofErr w:type="gramStart"/>
        <w:r w:rsidRPr="001E5C78">
          <w:rPr>
            <w:rStyle w:val="Hyperlink"/>
            <w:rFonts w:ascii="inherit" w:hAnsi="inherit" w:cs="Arial"/>
            <w:sz w:val="24"/>
            <w:szCs w:val="24"/>
            <w:u w:val="none"/>
            <w:bdr w:val="none" w:sz="0" w:space="0" w:color="auto" w:frame="1"/>
          </w:rPr>
          <w:t>2018.00007.X</w:t>
        </w:r>
        <w:proofErr w:type="gramEnd"/>
      </w:hyperlink>
    </w:p>
    <w:p w14:paraId="0C22A7D6" w14:textId="77777777" w:rsidR="000A6BEA" w:rsidRPr="001E5C78" w:rsidRDefault="000A6BEA" w:rsidP="000A6BEA">
      <w:pPr>
        <w:pStyle w:val="ListParagraph"/>
        <w:widowControl w:val="0"/>
        <w:numPr>
          <w:ilvl w:val="0"/>
          <w:numId w:val="7"/>
        </w:numPr>
        <w:autoSpaceDE w:val="0"/>
        <w:autoSpaceDN w:val="0"/>
        <w:spacing w:after="0" w:line="360" w:lineRule="auto"/>
        <w:contextualSpacing w:val="0"/>
        <w:rPr>
          <w:sz w:val="24"/>
          <w:szCs w:val="24"/>
        </w:rPr>
      </w:pPr>
      <w:r w:rsidRPr="001E5C78">
        <w:rPr>
          <w:sz w:val="24"/>
          <w:szCs w:val="24"/>
        </w:rPr>
        <w:t>S. Geetha and K. Dhivya Bharathi (2019), “Automated Teller Machine: Usage and Issues – A conceptual Study”, IJRAR, Vol. 6, Issue 2, ISSN-2349-5138.</w:t>
      </w:r>
    </w:p>
    <w:p w14:paraId="288D7025" w14:textId="77777777" w:rsidR="000A6BEA" w:rsidRPr="001E5C78" w:rsidRDefault="000A6BEA" w:rsidP="000A6BEA">
      <w:pPr>
        <w:pStyle w:val="ListParagraph"/>
        <w:widowControl w:val="0"/>
        <w:numPr>
          <w:ilvl w:val="0"/>
          <w:numId w:val="7"/>
        </w:numPr>
        <w:autoSpaceDE w:val="0"/>
        <w:autoSpaceDN w:val="0"/>
        <w:spacing w:after="0" w:line="360" w:lineRule="auto"/>
        <w:contextualSpacing w:val="0"/>
        <w:rPr>
          <w:sz w:val="24"/>
          <w:szCs w:val="24"/>
        </w:rPr>
      </w:pPr>
      <w:r w:rsidRPr="001E5C78">
        <w:rPr>
          <w:sz w:val="24"/>
          <w:szCs w:val="24"/>
        </w:rPr>
        <w:t xml:space="preserve">Ravindra Devidas Kene and </w:t>
      </w:r>
      <w:proofErr w:type="spellStart"/>
      <w:r w:rsidRPr="001E5C78">
        <w:rPr>
          <w:sz w:val="24"/>
          <w:szCs w:val="24"/>
        </w:rPr>
        <w:t>Mulkalwar</w:t>
      </w:r>
      <w:proofErr w:type="spellEnd"/>
      <w:r w:rsidRPr="001E5C78">
        <w:rPr>
          <w:sz w:val="24"/>
          <w:szCs w:val="24"/>
        </w:rPr>
        <w:t xml:space="preserve"> (2023), “Bank and ATM Security: An Overview</w:t>
      </w:r>
      <w:proofErr w:type="gramStart"/>
      <w:r w:rsidRPr="001E5C78">
        <w:rPr>
          <w:sz w:val="24"/>
          <w:szCs w:val="24"/>
        </w:rPr>
        <w:t>”,  Conference</w:t>
      </w:r>
      <w:proofErr w:type="gramEnd"/>
      <w:r w:rsidRPr="001E5C78">
        <w:rPr>
          <w:sz w:val="24"/>
          <w:szCs w:val="24"/>
        </w:rPr>
        <w:t xml:space="preserve">: International conference on Academic Research and Innovation in Teaching and Arising Inclination in Professional Education. </w:t>
      </w:r>
    </w:p>
    <w:p w14:paraId="55140625" w14:textId="77777777" w:rsidR="000A6BEA" w:rsidRPr="001E5C78" w:rsidRDefault="000A6BEA" w:rsidP="000A6BEA">
      <w:pPr>
        <w:pStyle w:val="ListParagraph"/>
        <w:widowControl w:val="0"/>
        <w:numPr>
          <w:ilvl w:val="0"/>
          <w:numId w:val="7"/>
        </w:numPr>
        <w:autoSpaceDE w:val="0"/>
        <w:autoSpaceDN w:val="0"/>
        <w:spacing w:after="0" w:line="360" w:lineRule="auto"/>
        <w:contextualSpacing w:val="0"/>
        <w:rPr>
          <w:sz w:val="24"/>
          <w:szCs w:val="24"/>
        </w:rPr>
      </w:pPr>
      <w:r w:rsidRPr="001E5C78">
        <w:rPr>
          <w:sz w:val="24"/>
          <w:szCs w:val="24"/>
        </w:rPr>
        <w:lastRenderedPageBreak/>
        <w:t xml:space="preserve">Gitanjali Mehta (2024), </w:t>
      </w:r>
      <w:proofErr w:type="gramStart"/>
      <w:r w:rsidRPr="001E5C78">
        <w:rPr>
          <w:sz w:val="24"/>
          <w:szCs w:val="24"/>
        </w:rPr>
        <w:t>“ A</w:t>
      </w:r>
      <w:proofErr w:type="gramEnd"/>
      <w:r w:rsidRPr="001E5C78">
        <w:rPr>
          <w:sz w:val="24"/>
          <w:szCs w:val="24"/>
        </w:rPr>
        <w:t xml:space="preserve"> Review Paper on ATM Security”, </w:t>
      </w:r>
      <w:proofErr w:type="spellStart"/>
      <w:r w:rsidRPr="001E5C78">
        <w:rPr>
          <w:sz w:val="24"/>
          <w:szCs w:val="24"/>
        </w:rPr>
        <w:t>Jounal</w:t>
      </w:r>
      <w:proofErr w:type="spellEnd"/>
      <w:r w:rsidRPr="001E5C78">
        <w:rPr>
          <w:sz w:val="24"/>
          <w:szCs w:val="24"/>
        </w:rPr>
        <w:t xml:space="preserve"> of Emerging Technologies and Innovative Research”, Vol. 11, Issue 7, ISSN: 2349-5162.</w:t>
      </w:r>
    </w:p>
    <w:p w14:paraId="7C3C96F3" w14:textId="77777777" w:rsidR="000A6BEA" w:rsidRPr="001E5C78" w:rsidRDefault="000A6BEA" w:rsidP="000A6BEA">
      <w:pPr>
        <w:pStyle w:val="ListParagraph"/>
        <w:widowControl w:val="0"/>
        <w:numPr>
          <w:ilvl w:val="0"/>
          <w:numId w:val="7"/>
        </w:numPr>
        <w:autoSpaceDE w:val="0"/>
        <w:autoSpaceDN w:val="0"/>
        <w:spacing w:after="0" w:line="360" w:lineRule="auto"/>
        <w:contextualSpacing w:val="0"/>
        <w:rPr>
          <w:sz w:val="24"/>
          <w:szCs w:val="24"/>
        </w:rPr>
      </w:pPr>
      <w:hyperlink r:id="rId8" w:history="1">
        <w:r w:rsidRPr="001E5C78">
          <w:rPr>
            <w:rStyle w:val="Hyperlink"/>
            <w:sz w:val="24"/>
            <w:szCs w:val="24"/>
            <w:u w:val="none"/>
          </w:rPr>
          <w:t>www.rbi.org.in</w:t>
        </w:r>
      </w:hyperlink>
      <w:r w:rsidRPr="001E5C78">
        <w:rPr>
          <w:sz w:val="24"/>
          <w:szCs w:val="24"/>
        </w:rPr>
        <w:t xml:space="preserve">   </w:t>
      </w:r>
    </w:p>
    <w:p w14:paraId="3B77DC7E" w14:textId="77777777" w:rsidR="000A6BEA" w:rsidRPr="001E5C78" w:rsidRDefault="000A6BEA" w:rsidP="000A6BEA">
      <w:pPr>
        <w:pStyle w:val="ListParagraph"/>
        <w:widowControl w:val="0"/>
        <w:numPr>
          <w:ilvl w:val="0"/>
          <w:numId w:val="7"/>
        </w:numPr>
        <w:autoSpaceDE w:val="0"/>
        <w:autoSpaceDN w:val="0"/>
        <w:spacing w:after="0" w:line="360" w:lineRule="auto"/>
        <w:contextualSpacing w:val="0"/>
        <w:rPr>
          <w:sz w:val="24"/>
          <w:szCs w:val="24"/>
        </w:rPr>
      </w:pPr>
      <w:hyperlink r:id="rId9" w:history="1">
        <w:r w:rsidRPr="001E5C78">
          <w:rPr>
            <w:rStyle w:val="Hyperlink"/>
            <w:i/>
            <w:iCs/>
            <w:sz w:val="24"/>
            <w:szCs w:val="24"/>
            <w:u w:val="none"/>
          </w:rPr>
          <w:t>www.ibef.org</w:t>
        </w:r>
      </w:hyperlink>
    </w:p>
    <w:p w14:paraId="1A067A13" w14:textId="77777777" w:rsidR="007D58E0" w:rsidRDefault="007D58E0" w:rsidP="000A6BEA">
      <w:pPr>
        <w:spacing w:after="0" w:line="360" w:lineRule="auto"/>
      </w:pPr>
    </w:p>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028F"/>
    <w:multiLevelType w:val="hybridMultilevel"/>
    <w:tmpl w:val="FF9CB770"/>
    <w:lvl w:ilvl="0" w:tplc="4009000B">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50701EB"/>
    <w:multiLevelType w:val="hybridMultilevel"/>
    <w:tmpl w:val="6A7C889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67151A9"/>
    <w:multiLevelType w:val="hybridMultilevel"/>
    <w:tmpl w:val="2D6E2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B103D"/>
    <w:multiLevelType w:val="hybridMultilevel"/>
    <w:tmpl w:val="2CF4E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F2FDE"/>
    <w:multiLevelType w:val="hybridMultilevel"/>
    <w:tmpl w:val="1E506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A7E44"/>
    <w:multiLevelType w:val="hybridMultilevel"/>
    <w:tmpl w:val="5008DB0E"/>
    <w:lvl w:ilvl="0" w:tplc="4009000B">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0942E97"/>
    <w:multiLevelType w:val="hybridMultilevel"/>
    <w:tmpl w:val="2218417E"/>
    <w:lvl w:ilvl="0" w:tplc="4009000B">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7CD433C7"/>
    <w:multiLevelType w:val="hybridMultilevel"/>
    <w:tmpl w:val="5950C868"/>
    <w:lvl w:ilvl="0" w:tplc="4009000B">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7F1238C3"/>
    <w:multiLevelType w:val="hybridMultilevel"/>
    <w:tmpl w:val="812E2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220247">
    <w:abstractNumId w:val="5"/>
  </w:num>
  <w:num w:numId="2" w16cid:durableId="1880311905">
    <w:abstractNumId w:val="6"/>
  </w:num>
  <w:num w:numId="3" w16cid:durableId="1455830612">
    <w:abstractNumId w:val="0"/>
  </w:num>
  <w:num w:numId="4" w16cid:durableId="947003547">
    <w:abstractNumId w:val="1"/>
  </w:num>
  <w:num w:numId="5" w16cid:durableId="320277973">
    <w:abstractNumId w:val="7"/>
  </w:num>
  <w:num w:numId="6" w16cid:durableId="1210800588">
    <w:abstractNumId w:val="4"/>
  </w:num>
  <w:num w:numId="7" w16cid:durableId="617218922">
    <w:abstractNumId w:val="3"/>
  </w:num>
  <w:num w:numId="8" w16cid:durableId="1463498865">
    <w:abstractNumId w:val="2"/>
  </w:num>
  <w:num w:numId="9" w16cid:durableId="1010763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9B"/>
    <w:rsid w:val="000A6BEA"/>
    <w:rsid w:val="00127048"/>
    <w:rsid w:val="002A2137"/>
    <w:rsid w:val="004D4D01"/>
    <w:rsid w:val="007D58E0"/>
    <w:rsid w:val="00857C9B"/>
    <w:rsid w:val="00E5387C"/>
    <w:rsid w:val="00E83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66BB"/>
  <w15:chartTrackingRefBased/>
  <w15:docId w15:val="{B165FCF8-A71F-4F5A-AADC-0D806297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EA"/>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BEA"/>
    <w:pPr>
      <w:ind w:left="720"/>
      <w:contextualSpacing/>
    </w:pPr>
  </w:style>
  <w:style w:type="character" w:styleId="Hyperlink">
    <w:name w:val="Hyperlink"/>
    <w:basedOn w:val="DefaultParagraphFont"/>
    <w:uiPriority w:val="99"/>
    <w:unhideWhenUsed/>
    <w:rsid w:val="000A6BEA"/>
    <w:rPr>
      <w:color w:val="0563C1" w:themeColor="hyperlink"/>
      <w:u w:val="single"/>
    </w:rPr>
  </w:style>
  <w:style w:type="paragraph" w:styleId="BodyText">
    <w:name w:val="Body Text"/>
    <w:basedOn w:val="Normal"/>
    <w:link w:val="BodyTextChar"/>
    <w:uiPriority w:val="1"/>
    <w:qFormat/>
    <w:rsid w:val="000A6BEA"/>
    <w:pPr>
      <w:widowControl w:val="0"/>
      <w:autoSpaceDE w:val="0"/>
      <w:autoSpaceDN w:val="0"/>
      <w:spacing w:after="0" w:line="240" w:lineRule="auto"/>
      <w:jc w:val="left"/>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0A6BEA"/>
    <w:rPr>
      <w:rFonts w:ascii="Times New Roman" w:eastAsia="Times New Roman" w:hAnsi="Times New Roman" w:cs="Times New Roman"/>
      <w:kern w:val="0"/>
      <w:sz w:val="23"/>
      <w:szCs w:val="23"/>
      <w:lang w:val="en-US"/>
      <w14:ligatures w14:val="none"/>
    </w:rPr>
  </w:style>
  <w:style w:type="table" w:styleId="TableGrid">
    <w:name w:val="Table Grid"/>
    <w:basedOn w:val="TableNormal"/>
    <w:uiPriority w:val="59"/>
    <w:rsid w:val="000A6BEA"/>
    <w:pPr>
      <w:spacing w:after="0" w:line="240" w:lineRule="auto"/>
    </w:pPr>
    <w:rPr>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 TargetMode="External"/><Relationship Id="rId3" Type="http://schemas.openxmlformats.org/officeDocument/2006/relationships/settings" Target="settings.xml"/><Relationship Id="rId7" Type="http://schemas.openxmlformats.org/officeDocument/2006/relationships/hyperlink" Target="http://dx.doi.org/10.5958/2249-7323.2018.00007.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ef.org" TargetMode="External"/><Relationship Id="rId11" Type="http://schemas.openxmlformats.org/officeDocument/2006/relationships/theme" Target="theme/theme1.xml"/><Relationship Id="rId5" Type="http://schemas.openxmlformats.org/officeDocument/2006/relationships/hyperlink" Target="mailto:nandurirajyalaxm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7</cp:revision>
  <dcterms:created xsi:type="dcterms:W3CDTF">2024-08-28T06:34:00Z</dcterms:created>
  <dcterms:modified xsi:type="dcterms:W3CDTF">2024-08-28T06:37:00Z</dcterms:modified>
</cp:coreProperties>
</file>