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563A" w14:textId="77777777" w:rsidR="00C67E6D" w:rsidRDefault="00C67E6D" w:rsidP="00C67E6D">
      <w:pPr>
        <w:rPr>
          <w:rFonts w:ascii="Times New Roman" w:hAnsi="Times New Roman" w:cs="Times New Roman"/>
          <w:b/>
          <w:bCs/>
          <w:sz w:val="24"/>
          <w:szCs w:val="24"/>
        </w:rPr>
      </w:pPr>
      <w:r>
        <w:rPr>
          <w:rFonts w:ascii="Times New Roman" w:hAnsi="Times New Roman" w:cs="Times New Roman"/>
          <w:b/>
          <w:bCs/>
          <w:sz w:val="24"/>
          <w:szCs w:val="24"/>
        </w:rPr>
        <w:t>Chapter 04</w:t>
      </w:r>
    </w:p>
    <w:p w14:paraId="28C5B787" w14:textId="77777777" w:rsidR="00C67E6D" w:rsidRDefault="00C67E6D" w:rsidP="00C67E6D">
      <w:pPr>
        <w:spacing w:after="0"/>
        <w:jc w:val="center"/>
        <w:rPr>
          <w:rFonts w:ascii="Times New Roman" w:hAnsi="Times New Roman" w:cs="Times New Roman"/>
          <w:b/>
          <w:bCs/>
          <w:sz w:val="24"/>
          <w:szCs w:val="24"/>
        </w:rPr>
      </w:pPr>
      <w:r w:rsidRPr="00FA218A">
        <w:rPr>
          <w:rFonts w:ascii="Times New Roman" w:hAnsi="Times New Roman" w:cs="Times New Roman"/>
          <w:b/>
          <w:bCs/>
          <w:sz w:val="24"/>
          <w:szCs w:val="24"/>
        </w:rPr>
        <w:t>Buccal Drug Delivery Systems: An In-Depth Exploration of Bioadhesion, Permeability, and Formulation Strategies</w:t>
      </w:r>
    </w:p>
    <w:p w14:paraId="441E8252" w14:textId="77777777" w:rsidR="00C67E6D" w:rsidRDefault="00C67E6D" w:rsidP="00C67E6D">
      <w:pPr>
        <w:spacing w:after="0"/>
        <w:rPr>
          <w:rFonts w:ascii="Times New Roman" w:hAnsi="Times New Roman" w:cs="Times New Roman"/>
          <w:b/>
          <w:bCs/>
          <w:sz w:val="24"/>
          <w:szCs w:val="24"/>
        </w:rPr>
      </w:pPr>
    </w:p>
    <w:p w14:paraId="617A5A2E" w14:textId="77777777" w:rsidR="00C67E6D" w:rsidRDefault="00C67E6D" w:rsidP="00C67E6D">
      <w:pPr>
        <w:spacing w:after="0"/>
        <w:jc w:val="center"/>
        <w:rPr>
          <w:rFonts w:ascii="Times New Roman" w:hAnsi="Times New Roman" w:cs="Times New Roman"/>
          <w:sz w:val="24"/>
          <w:szCs w:val="24"/>
          <w:vertAlign w:val="superscript"/>
        </w:rPr>
      </w:pPr>
      <w:r w:rsidRPr="00032184">
        <w:rPr>
          <w:rFonts w:ascii="Times New Roman" w:hAnsi="Times New Roman" w:cs="Times New Roman"/>
          <w:sz w:val="24"/>
          <w:szCs w:val="24"/>
        </w:rPr>
        <w:t>Suvarna Jagannath Shelke</w:t>
      </w:r>
      <w:r>
        <w:rPr>
          <w:rFonts w:ascii="Times New Roman" w:hAnsi="Times New Roman" w:cs="Times New Roman"/>
          <w:sz w:val="24"/>
          <w:szCs w:val="24"/>
        </w:rPr>
        <w:t xml:space="preserve"> </w:t>
      </w:r>
      <w:proofErr w:type="gramStart"/>
      <w:r w:rsidRPr="00682501">
        <w:rPr>
          <w:rFonts w:ascii="Times New Roman" w:hAnsi="Times New Roman" w:cs="Times New Roman"/>
          <w:sz w:val="24"/>
          <w:szCs w:val="24"/>
          <w:vertAlign w:val="superscript"/>
        </w:rPr>
        <w:t>1,*</w:t>
      </w:r>
      <w:proofErr w:type="gramEnd"/>
      <w:r>
        <w:rPr>
          <w:rFonts w:ascii="Times New Roman" w:hAnsi="Times New Roman" w:cs="Times New Roman"/>
          <w:sz w:val="24"/>
          <w:szCs w:val="24"/>
        </w:rPr>
        <w:t xml:space="preserve">, </w:t>
      </w:r>
      <w:r w:rsidRPr="00682501">
        <w:rPr>
          <w:rFonts w:ascii="Times New Roman" w:hAnsi="Times New Roman" w:cs="Times New Roman"/>
          <w:sz w:val="24"/>
          <w:szCs w:val="24"/>
        </w:rPr>
        <w:t xml:space="preserve">Sheetal </w:t>
      </w:r>
      <w:proofErr w:type="spellStart"/>
      <w:r w:rsidRPr="00682501">
        <w:rPr>
          <w:rFonts w:ascii="Times New Roman" w:hAnsi="Times New Roman" w:cs="Times New Roman"/>
          <w:sz w:val="24"/>
          <w:szCs w:val="24"/>
        </w:rPr>
        <w:t>Zumberrao</w:t>
      </w:r>
      <w:proofErr w:type="spellEnd"/>
      <w:r w:rsidRPr="00682501">
        <w:rPr>
          <w:rFonts w:ascii="Times New Roman" w:hAnsi="Times New Roman" w:cs="Times New Roman"/>
          <w:sz w:val="24"/>
          <w:szCs w:val="24"/>
        </w:rPr>
        <w:t xml:space="preserve"> Godse</w:t>
      </w:r>
      <w:r>
        <w:rPr>
          <w:rFonts w:ascii="Times New Roman" w:hAnsi="Times New Roman" w:cs="Times New Roman"/>
          <w:sz w:val="24"/>
          <w:szCs w:val="24"/>
        </w:rPr>
        <w:t xml:space="preserve"> </w:t>
      </w:r>
      <w:r w:rsidRPr="00682501">
        <w:rPr>
          <w:rFonts w:ascii="Times New Roman" w:hAnsi="Times New Roman" w:cs="Times New Roman"/>
          <w:sz w:val="24"/>
          <w:szCs w:val="24"/>
          <w:vertAlign w:val="superscript"/>
        </w:rPr>
        <w:t>2</w:t>
      </w:r>
      <w:r>
        <w:rPr>
          <w:rFonts w:ascii="Times New Roman" w:hAnsi="Times New Roman" w:cs="Times New Roman"/>
          <w:sz w:val="24"/>
          <w:szCs w:val="24"/>
        </w:rPr>
        <w:t>, M</w:t>
      </w:r>
      <w:r w:rsidRPr="00682501">
        <w:rPr>
          <w:rFonts w:ascii="Times New Roman" w:hAnsi="Times New Roman" w:cs="Times New Roman"/>
          <w:sz w:val="24"/>
          <w:szCs w:val="24"/>
        </w:rPr>
        <w:t xml:space="preserve">onali Nitin </w:t>
      </w:r>
      <w:proofErr w:type="spellStart"/>
      <w:r w:rsidRPr="00682501">
        <w:rPr>
          <w:rFonts w:ascii="Times New Roman" w:hAnsi="Times New Roman" w:cs="Times New Roman"/>
          <w:sz w:val="24"/>
          <w:szCs w:val="24"/>
        </w:rPr>
        <w:t>Birari</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6255F0">
        <w:rPr>
          <w:rFonts w:ascii="Times New Roman" w:hAnsi="Times New Roman" w:cs="Times New Roman"/>
          <w:sz w:val="24"/>
          <w:szCs w:val="24"/>
        </w:rPr>
        <w:t>Nilesh Madhukar Nikam</w:t>
      </w:r>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p>
    <w:p w14:paraId="2DE2811C" w14:textId="77777777" w:rsidR="00C67E6D" w:rsidRDefault="00C67E6D" w:rsidP="00C67E6D">
      <w:pPr>
        <w:spacing w:after="0"/>
        <w:rPr>
          <w:rFonts w:ascii="Times New Roman" w:hAnsi="Times New Roman" w:cs="Times New Roman"/>
          <w:sz w:val="24"/>
          <w:szCs w:val="24"/>
        </w:rPr>
      </w:pPr>
    </w:p>
    <w:p w14:paraId="657FE650" w14:textId="77777777" w:rsidR="00C67E6D" w:rsidRDefault="00C67E6D" w:rsidP="00C67E6D">
      <w:pPr>
        <w:spacing w:after="0"/>
        <w:rPr>
          <w:rFonts w:ascii="Times New Roman" w:hAnsi="Times New Roman" w:cs="Times New Roman"/>
          <w:i/>
          <w:iCs/>
          <w:sz w:val="24"/>
          <w:szCs w:val="24"/>
        </w:rPr>
      </w:pPr>
      <w:r w:rsidRPr="00682501">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 </w:t>
      </w:r>
      <w:r w:rsidRPr="00A936EA">
        <w:rPr>
          <w:rFonts w:ascii="Times New Roman" w:hAnsi="Times New Roman" w:cs="Times New Roman"/>
          <w:i/>
          <w:iCs/>
          <w:sz w:val="24"/>
          <w:szCs w:val="24"/>
        </w:rPr>
        <w:t>Assistant Professor, SMBT College of Pharmacy, Nashik, Maharashtra</w:t>
      </w:r>
    </w:p>
    <w:p w14:paraId="76B36E6A" w14:textId="77777777" w:rsidR="00C67E6D" w:rsidRPr="00A936EA" w:rsidRDefault="00C67E6D" w:rsidP="00C67E6D">
      <w:pPr>
        <w:spacing w:after="0"/>
        <w:rPr>
          <w:rFonts w:ascii="Times New Roman" w:hAnsi="Times New Roman" w:cs="Times New Roman"/>
          <w:i/>
          <w:iCs/>
          <w:sz w:val="24"/>
          <w:szCs w:val="24"/>
        </w:rPr>
      </w:pPr>
      <w:r w:rsidRPr="00682501">
        <w:rPr>
          <w:rFonts w:ascii="Times New Roman" w:hAnsi="Times New Roman" w:cs="Times New Roman"/>
          <w:i/>
          <w:iCs/>
          <w:sz w:val="24"/>
          <w:szCs w:val="24"/>
          <w:vertAlign w:val="superscript"/>
        </w:rPr>
        <w:t>2</w:t>
      </w:r>
      <w:r>
        <w:rPr>
          <w:rFonts w:ascii="Times New Roman" w:hAnsi="Times New Roman" w:cs="Times New Roman"/>
          <w:i/>
          <w:iCs/>
          <w:sz w:val="24"/>
          <w:szCs w:val="24"/>
        </w:rPr>
        <w:t xml:space="preserve"> </w:t>
      </w:r>
      <w:r w:rsidRPr="00682501">
        <w:rPr>
          <w:rFonts w:ascii="Times New Roman" w:hAnsi="Times New Roman" w:cs="Times New Roman"/>
          <w:i/>
          <w:iCs/>
          <w:sz w:val="24"/>
          <w:szCs w:val="24"/>
        </w:rPr>
        <w:t>Assistant Professor</w:t>
      </w:r>
      <w:r>
        <w:rPr>
          <w:rFonts w:ascii="Times New Roman" w:hAnsi="Times New Roman" w:cs="Times New Roman"/>
          <w:i/>
          <w:iCs/>
          <w:sz w:val="24"/>
          <w:szCs w:val="24"/>
        </w:rPr>
        <w:t xml:space="preserve">, </w:t>
      </w:r>
      <w:r w:rsidRPr="00682501">
        <w:rPr>
          <w:rFonts w:ascii="Times New Roman" w:hAnsi="Times New Roman" w:cs="Times New Roman"/>
          <w:i/>
          <w:iCs/>
          <w:sz w:val="24"/>
          <w:szCs w:val="24"/>
        </w:rPr>
        <w:t>JMCT Institute of Pharmacy Nashik</w:t>
      </w:r>
    </w:p>
    <w:p w14:paraId="5C9FD32A" w14:textId="77777777" w:rsidR="00C67E6D" w:rsidRDefault="00C67E6D" w:rsidP="00C67E6D">
      <w:pPr>
        <w:spacing w:after="0"/>
        <w:rPr>
          <w:rFonts w:ascii="Times New Roman" w:hAnsi="Times New Roman" w:cs="Times New Roman"/>
          <w:sz w:val="24"/>
          <w:szCs w:val="24"/>
        </w:rPr>
      </w:pPr>
    </w:p>
    <w:p w14:paraId="7A74D96E" w14:textId="77777777" w:rsidR="00C67E6D" w:rsidRDefault="00C67E6D" w:rsidP="00C67E6D">
      <w:pPr>
        <w:spacing w:after="0"/>
        <w:rPr>
          <w:rFonts w:ascii="Times New Roman" w:hAnsi="Times New Roman" w:cs="Times New Roman"/>
          <w:sz w:val="24"/>
          <w:szCs w:val="24"/>
        </w:rPr>
      </w:pPr>
    </w:p>
    <w:p w14:paraId="6FC655BB" w14:textId="77777777" w:rsidR="00C67E6D" w:rsidRDefault="00C67E6D" w:rsidP="00C67E6D">
      <w:pPr>
        <w:spacing w:after="0"/>
        <w:rPr>
          <w:rFonts w:ascii="Times New Roman" w:hAnsi="Times New Roman" w:cs="Times New Roman"/>
          <w:b/>
          <w:bCs/>
          <w:sz w:val="24"/>
          <w:szCs w:val="24"/>
        </w:rPr>
      </w:pPr>
      <w:r w:rsidRPr="00CA0BB0">
        <w:rPr>
          <w:rFonts w:ascii="Times New Roman" w:hAnsi="Times New Roman" w:cs="Times New Roman"/>
          <w:b/>
          <w:bCs/>
          <w:sz w:val="24"/>
          <w:szCs w:val="24"/>
        </w:rPr>
        <w:t>*Corresponding Author:</w:t>
      </w:r>
    </w:p>
    <w:p w14:paraId="26D3E20B" w14:textId="77777777" w:rsidR="00C67E6D" w:rsidRPr="00E45486" w:rsidRDefault="00C67E6D" w:rsidP="00C67E6D">
      <w:pPr>
        <w:spacing w:after="0"/>
        <w:rPr>
          <w:rFonts w:ascii="Times New Roman" w:hAnsi="Times New Roman" w:cs="Times New Roman"/>
          <w:sz w:val="24"/>
          <w:szCs w:val="24"/>
        </w:rPr>
      </w:pPr>
      <w:r w:rsidRPr="00E45486">
        <w:rPr>
          <w:rFonts w:ascii="Times New Roman" w:hAnsi="Times New Roman" w:cs="Times New Roman"/>
          <w:sz w:val="24"/>
          <w:szCs w:val="24"/>
        </w:rPr>
        <w:t>Suvarna Jagannath Shelke</w:t>
      </w:r>
    </w:p>
    <w:p w14:paraId="29938442" w14:textId="77777777" w:rsidR="00C67E6D" w:rsidRPr="00A936EA" w:rsidRDefault="00C67E6D" w:rsidP="00C67E6D">
      <w:pPr>
        <w:spacing w:after="0"/>
        <w:rPr>
          <w:rFonts w:ascii="Times New Roman" w:hAnsi="Times New Roman" w:cs="Times New Roman"/>
          <w:b/>
          <w:bCs/>
          <w:sz w:val="24"/>
          <w:szCs w:val="24"/>
        </w:rPr>
      </w:pPr>
      <w:r w:rsidRPr="00A936EA">
        <w:rPr>
          <w:rFonts w:ascii="Times New Roman" w:hAnsi="Times New Roman" w:cs="Times New Roman"/>
          <w:sz w:val="24"/>
          <w:szCs w:val="24"/>
        </w:rPr>
        <w:t>Assistant Professor, SMBT College of Pharmacy, Nashik, Maharashtra</w:t>
      </w:r>
    </w:p>
    <w:p w14:paraId="5EA1E640" w14:textId="77777777" w:rsidR="00C67E6D" w:rsidRPr="00EA3F9A" w:rsidRDefault="00C67E6D" w:rsidP="00B32E6A">
      <w:pPr>
        <w:spacing w:line="360" w:lineRule="auto"/>
        <w:jc w:val="center"/>
        <w:rPr>
          <w:rFonts w:ascii="Times New Roman" w:hAnsi="Times New Roman" w:cs="Times New Roman"/>
          <w:b/>
          <w:sz w:val="24"/>
          <w:szCs w:val="24"/>
        </w:rPr>
      </w:pPr>
    </w:p>
    <w:p w14:paraId="2DF50F63" w14:textId="77777777" w:rsidR="00C67E6D" w:rsidRDefault="00C67E6D">
      <w:pPr>
        <w:rPr>
          <w:rFonts w:ascii="Times New Roman" w:hAnsi="Times New Roman" w:cs="Times New Roman"/>
          <w:b/>
          <w:sz w:val="24"/>
          <w:szCs w:val="24"/>
        </w:rPr>
      </w:pPr>
      <w:r>
        <w:rPr>
          <w:rFonts w:ascii="Times New Roman" w:hAnsi="Times New Roman" w:cs="Times New Roman"/>
          <w:b/>
          <w:sz w:val="24"/>
          <w:szCs w:val="24"/>
        </w:rPr>
        <w:br w:type="page"/>
      </w:r>
    </w:p>
    <w:p w14:paraId="00C5880C" w14:textId="219A0D18" w:rsidR="001433DD" w:rsidRPr="00EA3F9A" w:rsidRDefault="001433DD" w:rsidP="00B32E6A">
      <w:p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lastRenderedPageBreak/>
        <w:t>Abstract</w:t>
      </w:r>
    </w:p>
    <w:p w14:paraId="3500E763" w14:textId="77777777" w:rsidR="001433DD" w:rsidRPr="00EA3F9A" w:rsidRDefault="001433DD" w:rsidP="00B32E6A">
      <w:p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The Buccal Drug Delivery System (BDDS) has garnered much interest as a potentially effective method of administering medicinal drugs because of its distinct benefits. The complex relationships between permeability, buccal medication delivery, and bioadhesion are examined in detail in this extensive study. Enhancing medication absorption and retention in the buccal cavity is mostly dependent on bioadhesion. The intricate physiology of the mucosal membrane and the several bioadhesive mechanisms—hydration, electrostatic contacts, and covalent interactions, among others—are examined to highlight their significance for the efficacy of BDDS. Drug absorption is significantly influenced by permeability via the buccal mucosa. This article explores the physiological and anatomical properties of the buccal mucosa that affect permeability as well as methods to maximize medication absorption.</w:t>
      </w:r>
    </w:p>
    <w:p w14:paraId="7EB98F30" w14:textId="77777777" w:rsidR="000C139F" w:rsidRPr="00EA3F9A" w:rsidRDefault="000C139F" w:rsidP="00B32E6A">
      <w:p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Introduction</w:t>
      </w:r>
    </w:p>
    <w:p w14:paraId="2FB7220E" w14:textId="77777777" w:rsidR="00983A98" w:rsidRPr="00EA3F9A" w:rsidRDefault="000C139F" w:rsidP="00B32E6A">
      <w:p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As a substitute delivery method for drugs, the buccal drug delivery system has drawn a lot of interest lately. A prolonged release profile, prevention of first-pass metabolism, and improved patient compliance are just a few benefits of this non-invasive method. The complexities of buccal drug distribution are covered in detail in this chapter, with particular attention paid to formulation techniques, permeability, and bioadhesion.</w:t>
      </w:r>
    </w:p>
    <w:p w14:paraId="1FA24DD4" w14:textId="77777777" w:rsidR="000A0683" w:rsidRPr="00EA3F9A" w:rsidRDefault="000A0683" w:rsidP="00B32E6A">
      <w:pPr>
        <w:pStyle w:val="ListParagraph"/>
        <w:numPr>
          <w:ilvl w:val="0"/>
          <w:numId w:val="9"/>
        </w:numPr>
        <w:spacing w:line="360" w:lineRule="auto"/>
        <w:ind w:left="527" w:hanging="357"/>
        <w:jc w:val="both"/>
        <w:rPr>
          <w:rFonts w:ascii="Times New Roman" w:hAnsi="Times New Roman" w:cs="Times New Roman"/>
          <w:b/>
          <w:sz w:val="24"/>
          <w:szCs w:val="24"/>
        </w:rPr>
      </w:pPr>
      <w:r w:rsidRPr="00EA3F9A">
        <w:rPr>
          <w:rFonts w:ascii="Times New Roman" w:hAnsi="Times New Roman" w:cs="Times New Roman"/>
          <w:b/>
          <w:sz w:val="24"/>
          <w:szCs w:val="24"/>
        </w:rPr>
        <w:t>An Overview of the Structure of the Oral Mucosa in the Oral Cavity</w:t>
      </w:r>
    </w:p>
    <w:p w14:paraId="30907038" w14:textId="77777777" w:rsidR="000A0683" w:rsidRPr="00EA3F9A" w:rsidRDefault="000A0683" w:rsidP="00B32E6A">
      <w:p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 xml:space="preserve">Mastication, speech, and the start of the digestive process are just a few of the physiological processes carried out by the oral cavity, an intricate and dynamic anatomical area. A specialized mucous membrane that borders the mouth cavity, the oral mucosa protects underlying tissues, aids in sensation, and facilitates the absorption of certain chemicals. The buccal, sublingual, and gingival areas make up the three basic regions that make up the oral </w:t>
      </w:r>
      <w:proofErr w:type="gramStart"/>
      <w:r w:rsidRPr="00EA3F9A">
        <w:rPr>
          <w:rFonts w:ascii="Times New Roman" w:hAnsi="Times New Roman" w:cs="Times New Roman"/>
          <w:sz w:val="24"/>
          <w:szCs w:val="24"/>
        </w:rPr>
        <w:t>mucosa</w:t>
      </w:r>
      <w:r w:rsidR="00C83177" w:rsidRPr="00EA3F9A">
        <w:rPr>
          <w:rFonts w:ascii="Times New Roman" w:hAnsi="Times New Roman" w:cs="Times New Roman"/>
          <w:sz w:val="24"/>
          <w:szCs w:val="24"/>
        </w:rPr>
        <w:t>(</w:t>
      </w:r>
      <w:proofErr w:type="gramEnd"/>
      <w:r w:rsidR="00C83177" w:rsidRPr="00EA3F9A">
        <w:rPr>
          <w:rFonts w:ascii="Times New Roman" w:hAnsi="Times New Roman" w:cs="Times New Roman"/>
          <w:sz w:val="24"/>
          <w:szCs w:val="24"/>
        </w:rPr>
        <w:t>1)</w:t>
      </w:r>
    </w:p>
    <w:p w14:paraId="302DE2A5" w14:textId="77777777" w:rsidR="000A0683" w:rsidRPr="00EA3F9A" w:rsidRDefault="000A0683" w:rsidP="00B32E6A">
      <w:pPr>
        <w:pStyle w:val="ListParagraph"/>
        <w:numPr>
          <w:ilvl w:val="0"/>
          <w:numId w:val="1"/>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 xml:space="preserve">Buccal </w:t>
      </w:r>
      <w:proofErr w:type="spellStart"/>
      <w:r w:rsidRPr="00EA3F9A">
        <w:rPr>
          <w:rFonts w:ascii="Times New Roman" w:hAnsi="Times New Roman" w:cs="Times New Roman"/>
          <w:b/>
          <w:sz w:val="24"/>
          <w:szCs w:val="24"/>
        </w:rPr>
        <w:t>Muccosa</w:t>
      </w:r>
      <w:proofErr w:type="spellEnd"/>
    </w:p>
    <w:p w14:paraId="6B5CA6A9" w14:textId="77777777" w:rsidR="000A0683" w:rsidRPr="00EA3F9A" w:rsidRDefault="000A0683" w:rsidP="00B32E6A">
      <w:pPr>
        <w:pStyle w:val="ListParagraph"/>
        <w:numPr>
          <w:ilvl w:val="0"/>
          <w:numId w:val="3"/>
        </w:numPr>
        <w:spacing w:after="0" w:line="360" w:lineRule="auto"/>
        <w:jc w:val="both"/>
        <w:rPr>
          <w:rFonts w:ascii="Times New Roman" w:hAnsi="Times New Roman" w:cs="Times New Roman"/>
          <w:sz w:val="24"/>
          <w:szCs w:val="24"/>
        </w:rPr>
      </w:pPr>
      <w:r w:rsidRPr="00EA3F9A">
        <w:rPr>
          <w:rFonts w:ascii="Times New Roman" w:hAnsi="Times New Roman" w:cs="Times New Roman"/>
          <w:b/>
          <w:sz w:val="24"/>
          <w:szCs w:val="24"/>
        </w:rPr>
        <w:t>Location</w:t>
      </w:r>
      <w:r w:rsidRPr="00EA3F9A">
        <w:rPr>
          <w:rFonts w:ascii="Times New Roman" w:hAnsi="Times New Roman" w:cs="Times New Roman"/>
          <w:sz w:val="24"/>
          <w:szCs w:val="24"/>
        </w:rPr>
        <w:t>: The lateral walls of the oral cavity are formed by the buccal mucosa, which borders the inner cheek.</w:t>
      </w:r>
    </w:p>
    <w:p w14:paraId="5C728F9D" w14:textId="77777777" w:rsidR="000A0683" w:rsidRPr="00EA3F9A" w:rsidRDefault="000A0683" w:rsidP="00B32E6A">
      <w:pPr>
        <w:pStyle w:val="ListParagraph"/>
        <w:numPr>
          <w:ilvl w:val="0"/>
          <w:numId w:val="3"/>
        </w:numPr>
        <w:spacing w:after="0"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Structural characteristics</w:t>
      </w:r>
    </w:p>
    <w:p w14:paraId="31FC5B5E" w14:textId="77777777" w:rsidR="000A0683" w:rsidRPr="00EA3F9A" w:rsidRDefault="000A0683" w:rsidP="00B32E6A">
      <w:pPr>
        <w:spacing w:after="0" w:line="360" w:lineRule="auto"/>
        <w:ind w:left="1400"/>
        <w:jc w:val="both"/>
        <w:rPr>
          <w:rFonts w:ascii="Times New Roman" w:hAnsi="Times New Roman" w:cs="Times New Roman"/>
          <w:sz w:val="24"/>
          <w:szCs w:val="24"/>
        </w:rPr>
      </w:pPr>
      <w:r w:rsidRPr="00EA3F9A">
        <w:rPr>
          <w:rFonts w:ascii="Times New Roman" w:hAnsi="Times New Roman" w:cs="Times New Roman"/>
          <w:b/>
          <w:sz w:val="24"/>
          <w:szCs w:val="24"/>
        </w:rPr>
        <w:lastRenderedPageBreak/>
        <w:t>Squamous Epithelium Stratified:</w:t>
      </w:r>
      <w:r w:rsidRPr="00EA3F9A">
        <w:rPr>
          <w:rFonts w:ascii="Times New Roman" w:hAnsi="Times New Roman" w:cs="Times New Roman"/>
          <w:sz w:val="24"/>
          <w:szCs w:val="24"/>
        </w:rPr>
        <w:t xml:space="preserve"> The primary component of the buccal mucosa is a stratified squamous epithelium that protects against chemical and mechanical harm.</w:t>
      </w:r>
    </w:p>
    <w:p w14:paraId="3949FD1D" w14:textId="77777777" w:rsidR="000A0683" w:rsidRPr="00EA3F9A" w:rsidRDefault="000A0683" w:rsidP="00B32E6A">
      <w:pPr>
        <w:spacing w:after="0" w:line="360" w:lineRule="auto"/>
        <w:ind w:left="1400"/>
        <w:jc w:val="both"/>
        <w:rPr>
          <w:rFonts w:ascii="Times New Roman" w:hAnsi="Times New Roman" w:cs="Times New Roman"/>
          <w:sz w:val="24"/>
          <w:szCs w:val="24"/>
        </w:rPr>
      </w:pPr>
      <w:r w:rsidRPr="00EA3F9A">
        <w:rPr>
          <w:rFonts w:ascii="Times New Roman" w:hAnsi="Times New Roman" w:cs="Times New Roman"/>
          <w:sz w:val="24"/>
          <w:szCs w:val="24"/>
        </w:rPr>
        <w:t>Connective Tissue: The connective tissue layer, which lies underneath the epithelium, is home to small salivary glands, blood vessels, and nerves.</w:t>
      </w:r>
    </w:p>
    <w:p w14:paraId="668024D0" w14:textId="77777777" w:rsidR="000A0683" w:rsidRPr="00EA3F9A" w:rsidRDefault="000A0683" w:rsidP="00B32E6A">
      <w:pPr>
        <w:spacing w:after="0" w:line="360" w:lineRule="auto"/>
        <w:ind w:left="1400"/>
        <w:jc w:val="both"/>
        <w:rPr>
          <w:rFonts w:ascii="Times New Roman" w:hAnsi="Times New Roman" w:cs="Times New Roman"/>
          <w:sz w:val="24"/>
          <w:szCs w:val="24"/>
        </w:rPr>
      </w:pPr>
      <w:r w:rsidRPr="00EA3F9A">
        <w:rPr>
          <w:rFonts w:ascii="Times New Roman" w:hAnsi="Times New Roman" w:cs="Times New Roman"/>
          <w:sz w:val="24"/>
          <w:szCs w:val="24"/>
        </w:rPr>
        <w:t>Masticatory Mucosa: The buccal mucosa is a kind of mucosa that is used in chewing and is distinguished by its resistance to abrasion and friction</w:t>
      </w:r>
      <w:r w:rsidR="00F810EA" w:rsidRPr="00EA3F9A">
        <w:rPr>
          <w:rFonts w:ascii="Times New Roman" w:hAnsi="Times New Roman" w:cs="Times New Roman"/>
          <w:sz w:val="24"/>
          <w:szCs w:val="24"/>
        </w:rPr>
        <w:t xml:space="preserve"> (2)</w:t>
      </w:r>
      <w:r w:rsidRPr="00EA3F9A">
        <w:rPr>
          <w:rFonts w:ascii="Times New Roman" w:hAnsi="Times New Roman" w:cs="Times New Roman"/>
          <w:sz w:val="24"/>
          <w:szCs w:val="24"/>
        </w:rPr>
        <w:t>.</w:t>
      </w:r>
    </w:p>
    <w:p w14:paraId="5D113340" w14:textId="77777777" w:rsidR="005930F1" w:rsidRPr="00EA3F9A" w:rsidRDefault="006F77DC" w:rsidP="00B32E6A">
      <w:pPr>
        <w:pStyle w:val="ListParagraph"/>
        <w:numPr>
          <w:ilvl w:val="0"/>
          <w:numId w:val="1"/>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Sublingual Mucosa</w:t>
      </w:r>
    </w:p>
    <w:p w14:paraId="77E80978" w14:textId="77777777" w:rsidR="006F77DC" w:rsidRPr="00EA3F9A" w:rsidRDefault="006F77DC" w:rsidP="00B32E6A">
      <w:pPr>
        <w:pStyle w:val="ListParagraph"/>
        <w:numPr>
          <w:ilvl w:val="0"/>
          <w:numId w:val="4"/>
        </w:numPr>
        <w:spacing w:after="0" w:line="360" w:lineRule="auto"/>
        <w:jc w:val="both"/>
        <w:rPr>
          <w:rFonts w:ascii="Times New Roman" w:hAnsi="Times New Roman" w:cs="Times New Roman"/>
          <w:sz w:val="24"/>
          <w:szCs w:val="24"/>
        </w:rPr>
      </w:pPr>
      <w:r w:rsidRPr="00EA3F9A">
        <w:rPr>
          <w:rFonts w:ascii="Times New Roman" w:hAnsi="Times New Roman" w:cs="Times New Roman"/>
          <w:b/>
          <w:sz w:val="24"/>
          <w:szCs w:val="24"/>
        </w:rPr>
        <w:t>Location:</w:t>
      </w:r>
      <w:r w:rsidRPr="00EA3F9A">
        <w:rPr>
          <w:rFonts w:ascii="Times New Roman" w:hAnsi="Times New Roman" w:cs="Times New Roman"/>
          <w:sz w:val="24"/>
          <w:szCs w:val="24"/>
        </w:rPr>
        <w:t xml:space="preserve"> The sublingual mucosa covers the floor of the mouth and is located beneath the tongue.</w:t>
      </w:r>
    </w:p>
    <w:p w14:paraId="1BC03E07" w14:textId="77777777" w:rsidR="006F77DC" w:rsidRPr="00EA3F9A" w:rsidRDefault="006F77DC" w:rsidP="00B32E6A">
      <w:pPr>
        <w:pStyle w:val="ListParagraph"/>
        <w:numPr>
          <w:ilvl w:val="0"/>
          <w:numId w:val="4"/>
        </w:numPr>
        <w:spacing w:after="0"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Structural characteristics</w:t>
      </w:r>
    </w:p>
    <w:p w14:paraId="391848B8" w14:textId="77777777" w:rsidR="006F77DC" w:rsidRPr="00EA3F9A" w:rsidRDefault="006F77DC" w:rsidP="00B32E6A">
      <w:pPr>
        <w:spacing w:after="0" w:line="360" w:lineRule="auto"/>
        <w:ind w:left="1400"/>
        <w:jc w:val="both"/>
        <w:rPr>
          <w:rFonts w:ascii="Times New Roman" w:hAnsi="Times New Roman" w:cs="Times New Roman"/>
          <w:sz w:val="24"/>
          <w:szCs w:val="24"/>
        </w:rPr>
      </w:pPr>
      <w:r w:rsidRPr="00EA3F9A">
        <w:rPr>
          <w:rFonts w:ascii="Times New Roman" w:hAnsi="Times New Roman" w:cs="Times New Roman"/>
          <w:b/>
          <w:sz w:val="24"/>
          <w:szCs w:val="24"/>
        </w:rPr>
        <w:t>Thin Epithelium</w:t>
      </w:r>
      <w:r w:rsidRPr="00EA3F9A">
        <w:rPr>
          <w:rFonts w:ascii="Times New Roman" w:hAnsi="Times New Roman" w:cs="Times New Roman"/>
          <w:sz w:val="24"/>
          <w:szCs w:val="24"/>
        </w:rPr>
        <w:t>: In comparison to other areas of the oral mucosa, the sublingual region's epithelium is comparatively thin.</w:t>
      </w:r>
    </w:p>
    <w:p w14:paraId="73AA7AD4" w14:textId="77777777" w:rsidR="00313D01" w:rsidRPr="00EA3F9A" w:rsidRDefault="006F77DC" w:rsidP="00B32E6A">
      <w:pPr>
        <w:spacing w:after="0" w:line="360" w:lineRule="auto"/>
        <w:ind w:left="1400"/>
        <w:jc w:val="both"/>
        <w:rPr>
          <w:rFonts w:ascii="Times New Roman" w:hAnsi="Times New Roman" w:cs="Times New Roman"/>
          <w:sz w:val="24"/>
          <w:szCs w:val="24"/>
        </w:rPr>
      </w:pPr>
      <w:r w:rsidRPr="00EA3F9A">
        <w:rPr>
          <w:rFonts w:ascii="Times New Roman" w:hAnsi="Times New Roman" w:cs="Times New Roman"/>
          <w:b/>
          <w:sz w:val="24"/>
          <w:szCs w:val="24"/>
        </w:rPr>
        <w:t>Vascular Network</w:t>
      </w:r>
      <w:r w:rsidRPr="00EA3F9A">
        <w:rPr>
          <w:rFonts w:ascii="Times New Roman" w:hAnsi="Times New Roman" w:cs="Times New Roman"/>
          <w:sz w:val="24"/>
          <w:szCs w:val="24"/>
        </w:rPr>
        <w:t>: Due to the sublingual mucosa's high level of vascularization, some medications—particularly those taken under the tongue—can be absorbed well.</w:t>
      </w:r>
    </w:p>
    <w:p w14:paraId="6E371BDC" w14:textId="77777777" w:rsidR="00FF19C0" w:rsidRPr="00EA3F9A" w:rsidRDefault="005930F1" w:rsidP="00B32E6A">
      <w:pPr>
        <w:pStyle w:val="ListParagraph"/>
        <w:numPr>
          <w:ilvl w:val="0"/>
          <w:numId w:val="1"/>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Gingival Mucosa</w:t>
      </w:r>
    </w:p>
    <w:p w14:paraId="5334C912" w14:textId="77777777" w:rsidR="00FF19C0" w:rsidRPr="00EA3F9A" w:rsidRDefault="00FF19C0" w:rsidP="00B32E6A">
      <w:pPr>
        <w:pStyle w:val="ListParagraph"/>
        <w:numPr>
          <w:ilvl w:val="0"/>
          <w:numId w:val="5"/>
        </w:numPr>
        <w:spacing w:after="0" w:line="360" w:lineRule="auto"/>
        <w:jc w:val="both"/>
        <w:rPr>
          <w:rFonts w:ascii="Times New Roman" w:hAnsi="Times New Roman" w:cs="Times New Roman"/>
          <w:sz w:val="24"/>
          <w:szCs w:val="24"/>
        </w:rPr>
      </w:pPr>
      <w:r w:rsidRPr="00EA3F9A">
        <w:rPr>
          <w:rFonts w:ascii="Times New Roman" w:hAnsi="Times New Roman" w:cs="Times New Roman"/>
          <w:b/>
          <w:sz w:val="24"/>
          <w:szCs w:val="24"/>
        </w:rPr>
        <w:t>Location</w:t>
      </w:r>
      <w:r w:rsidRPr="00EA3F9A">
        <w:rPr>
          <w:rFonts w:ascii="Times New Roman" w:hAnsi="Times New Roman" w:cs="Times New Roman"/>
          <w:sz w:val="24"/>
          <w:szCs w:val="24"/>
        </w:rPr>
        <w:t>: The gums are formed by the gingival mucosa, which surrounds and shields the teeth.</w:t>
      </w:r>
    </w:p>
    <w:p w14:paraId="2B12A503" w14:textId="77777777" w:rsidR="001A4EE7" w:rsidRPr="00EA3F9A" w:rsidRDefault="00FF19C0" w:rsidP="00B32E6A">
      <w:pPr>
        <w:spacing w:after="0" w:line="360" w:lineRule="auto"/>
        <w:ind w:left="1000" w:firstLine="440"/>
        <w:jc w:val="both"/>
        <w:rPr>
          <w:rFonts w:ascii="Times New Roman" w:hAnsi="Times New Roman" w:cs="Times New Roman"/>
          <w:sz w:val="24"/>
          <w:szCs w:val="24"/>
        </w:rPr>
      </w:pPr>
      <w:r w:rsidRPr="00EA3F9A">
        <w:rPr>
          <w:rFonts w:ascii="Times New Roman" w:hAnsi="Times New Roman" w:cs="Times New Roman"/>
          <w:sz w:val="24"/>
          <w:szCs w:val="24"/>
        </w:rPr>
        <w:t>The structural elements include</w:t>
      </w:r>
    </w:p>
    <w:p w14:paraId="05512608" w14:textId="77777777" w:rsidR="00FF19C0" w:rsidRPr="00EA3F9A" w:rsidRDefault="00FF19C0" w:rsidP="00B32E6A">
      <w:pPr>
        <w:spacing w:after="0" w:line="360" w:lineRule="auto"/>
        <w:ind w:left="1440"/>
        <w:jc w:val="both"/>
        <w:rPr>
          <w:rFonts w:ascii="Times New Roman" w:hAnsi="Times New Roman" w:cs="Times New Roman"/>
          <w:sz w:val="24"/>
          <w:szCs w:val="24"/>
        </w:rPr>
      </w:pPr>
      <w:r w:rsidRPr="00EA3F9A">
        <w:rPr>
          <w:rFonts w:ascii="Times New Roman" w:hAnsi="Times New Roman" w:cs="Times New Roman"/>
          <w:b/>
          <w:sz w:val="24"/>
          <w:szCs w:val="24"/>
        </w:rPr>
        <w:t>Gingival Epithelium</w:t>
      </w:r>
      <w:r w:rsidRPr="00EA3F9A">
        <w:rPr>
          <w:rFonts w:ascii="Times New Roman" w:hAnsi="Times New Roman" w:cs="Times New Roman"/>
          <w:sz w:val="24"/>
          <w:szCs w:val="24"/>
        </w:rPr>
        <w:t>: The stratified squamous epithelium covering the gingiva is keratinized and provides resistance against the mechanical stress caused by brushing and biting.</w:t>
      </w:r>
    </w:p>
    <w:p w14:paraId="152CAE64" w14:textId="77777777" w:rsidR="00834AFF" w:rsidRPr="00EA3F9A" w:rsidRDefault="00FF19C0" w:rsidP="00B32E6A">
      <w:pPr>
        <w:spacing w:after="0" w:line="360" w:lineRule="auto"/>
        <w:ind w:left="1440"/>
        <w:jc w:val="both"/>
        <w:rPr>
          <w:rFonts w:ascii="Times New Roman" w:hAnsi="Times New Roman" w:cs="Times New Roman"/>
          <w:sz w:val="24"/>
          <w:szCs w:val="24"/>
        </w:rPr>
      </w:pPr>
      <w:r w:rsidRPr="00EA3F9A">
        <w:rPr>
          <w:rFonts w:ascii="Times New Roman" w:hAnsi="Times New Roman" w:cs="Times New Roman"/>
          <w:b/>
          <w:sz w:val="24"/>
          <w:szCs w:val="24"/>
        </w:rPr>
        <w:t>Gingival Sulcus</w:t>
      </w:r>
      <w:r w:rsidRPr="00EA3F9A">
        <w:rPr>
          <w:rFonts w:ascii="Times New Roman" w:hAnsi="Times New Roman" w:cs="Times New Roman"/>
          <w:sz w:val="24"/>
          <w:szCs w:val="24"/>
        </w:rPr>
        <w:t xml:space="preserve">: The junctional epithelium fuses the gingiva to the tooth in this area, which is referred to as the gingival </w:t>
      </w:r>
      <w:proofErr w:type="gramStart"/>
      <w:r w:rsidRPr="00EA3F9A">
        <w:rPr>
          <w:rFonts w:ascii="Times New Roman" w:hAnsi="Times New Roman" w:cs="Times New Roman"/>
          <w:sz w:val="24"/>
          <w:szCs w:val="24"/>
        </w:rPr>
        <w:t>sulcus</w:t>
      </w:r>
      <w:r w:rsidR="00F810EA" w:rsidRPr="00EA3F9A">
        <w:rPr>
          <w:rFonts w:ascii="Times New Roman" w:hAnsi="Times New Roman" w:cs="Times New Roman"/>
          <w:sz w:val="24"/>
          <w:szCs w:val="24"/>
        </w:rPr>
        <w:t>(</w:t>
      </w:r>
      <w:proofErr w:type="gramEnd"/>
      <w:r w:rsidR="00F810EA" w:rsidRPr="00EA3F9A">
        <w:rPr>
          <w:rFonts w:ascii="Times New Roman" w:hAnsi="Times New Roman" w:cs="Times New Roman"/>
          <w:sz w:val="24"/>
          <w:szCs w:val="24"/>
        </w:rPr>
        <w:t>3,2)</w:t>
      </w:r>
      <w:r w:rsidRPr="00EA3F9A">
        <w:rPr>
          <w:rFonts w:ascii="Times New Roman" w:hAnsi="Times New Roman" w:cs="Times New Roman"/>
          <w:sz w:val="24"/>
          <w:szCs w:val="24"/>
        </w:rPr>
        <w:t>.</w:t>
      </w:r>
    </w:p>
    <w:p w14:paraId="6E2AEF9E" w14:textId="77777777" w:rsidR="002740AF" w:rsidRPr="00EA3F9A" w:rsidRDefault="002740AF" w:rsidP="00B32E6A">
      <w:pPr>
        <w:spacing w:after="0" w:line="360" w:lineRule="auto"/>
        <w:ind w:left="1440"/>
        <w:jc w:val="both"/>
        <w:rPr>
          <w:rFonts w:ascii="Times New Roman" w:hAnsi="Times New Roman" w:cs="Times New Roman"/>
          <w:sz w:val="24"/>
          <w:szCs w:val="24"/>
        </w:rPr>
      </w:pPr>
    </w:p>
    <w:p w14:paraId="00377092" w14:textId="77777777" w:rsidR="002740AF" w:rsidRPr="00EA3F9A" w:rsidRDefault="003A22A1" w:rsidP="00B32E6A">
      <w:pPr>
        <w:spacing w:after="0" w:line="360" w:lineRule="auto"/>
        <w:ind w:left="1440"/>
        <w:jc w:val="both"/>
        <w:rPr>
          <w:rFonts w:ascii="Times New Roman" w:hAnsi="Times New Roman" w:cs="Times New Roman"/>
          <w:sz w:val="24"/>
          <w:szCs w:val="24"/>
        </w:rPr>
      </w:pPr>
      <w:r w:rsidRPr="00EA3F9A">
        <w:rPr>
          <w:rFonts w:ascii="Times New Roman" w:hAnsi="Times New Roman" w:cs="Times New Roman"/>
          <w:noProof/>
          <w:sz w:val="24"/>
          <w:szCs w:val="24"/>
        </w:rPr>
        <w:lastRenderedPageBreak/>
        <w:drawing>
          <wp:inline distT="0" distB="0" distL="0" distR="0" wp14:anchorId="6C802266" wp14:editId="247F7F7A">
            <wp:extent cx="4436701" cy="2838450"/>
            <wp:effectExtent l="0" t="0" r="0" b="0"/>
            <wp:docPr id="1" name="Picture 0" descr="Untitl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1).png"/>
                    <pic:cNvPicPr/>
                  </pic:nvPicPr>
                  <pic:blipFill rotWithShape="1">
                    <a:blip r:embed="rId5"/>
                    <a:srcRect b="4016"/>
                    <a:stretch/>
                  </pic:blipFill>
                  <pic:spPr bwMode="auto">
                    <a:xfrm>
                      <a:off x="0" y="0"/>
                      <a:ext cx="4437054" cy="2838676"/>
                    </a:xfrm>
                    <a:prstGeom prst="rect">
                      <a:avLst/>
                    </a:prstGeom>
                    <a:ln>
                      <a:noFill/>
                    </a:ln>
                    <a:extLst>
                      <a:ext uri="{53640926-AAD7-44D8-BBD7-CCE9431645EC}">
                        <a14:shadowObscured xmlns:a14="http://schemas.microsoft.com/office/drawing/2010/main"/>
                      </a:ext>
                    </a:extLst>
                  </pic:spPr>
                </pic:pic>
              </a:graphicData>
            </a:graphic>
          </wp:inline>
        </w:drawing>
      </w:r>
    </w:p>
    <w:p w14:paraId="69E6415E" w14:textId="77777777" w:rsidR="00834AFF" w:rsidRPr="00EA3F9A" w:rsidRDefault="00834AFF" w:rsidP="00B32E6A">
      <w:pPr>
        <w:spacing w:after="0" w:line="360" w:lineRule="auto"/>
        <w:ind w:left="680"/>
        <w:jc w:val="both"/>
        <w:rPr>
          <w:rFonts w:ascii="Times New Roman" w:hAnsi="Times New Roman" w:cs="Times New Roman"/>
          <w:sz w:val="24"/>
          <w:szCs w:val="24"/>
        </w:rPr>
      </w:pPr>
    </w:p>
    <w:p w14:paraId="4166930F" w14:textId="77777777" w:rsidR="00115F78" w:rsidRPr="00EA3F9A" w:rsidRDefault="00834AFF" w:rsidP="00B32E6A">
      <w:p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 xml:space="preserve">             </w:t>
      </w:r>
      <w:r w:rsidR="00115F78" w:rsidRPr="00EA3F9A">
        <w:rPr>
          <w:rFonts w:ascii="Times New Roman" w:hAnsi="Times New Roman" w:cs="Times New Roman"/>
          <w:b/>
          <w:sz w:val="24"/>
          <w:szCs w:val="24"/>
        </w:rPr>
        <w:t>The oral mucosa serves several functional purposes.</w:t>
      </w:r>
    </w:p>
    <w:p w14:paraId="17247B7F" w14:textId="77777777" w:rsidR="00115F78" w:rsidRPr="00EA3F9A" w:rsidRDefault="00115F78" w:rsidP="00B32E6A">
      <w:pPr>
        <w:pStyle w:val="ListParagraph"/>
        <w:numPr>
          <w:ilvl w:val="0"/>
          <w:numId w:val="2"/>
        </w:num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 xml:space="preserve">First, it provides protection against physical trauma, pathogens, and chemical irritants. </w:t>
      </w:r>
    </w:p>
    <w:p w14:paraId="6DA270D4" w14:textId="77777777" w:rsidR="00115F78" w:rsidRPr="00EA3F9A" w:rsidRDefault="00115F78" w:rsidP="00B32E6A">
      <w:pPr>
        <w:pStyle w:val="ListParagraph"/>
        <w:numPr>
          <w:ilvl w:val="0"/>
          <w:numId w:val="2"/>
        </w:num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 xml:space="preserve">Secondly, it contains nerves that contribute to touch, temperature, and pain perception, all of which are necessary for normal oral function. </w:t>
      </w:r>
    </w:p>
    <w:p w14:paraId="0BCF6FFA" w14:textId="77777777" w:rsidR="00115F78" w:rsidRPr="00EA3F9A" w:rsidRDefault="00115F78" w:rsidP="00B32E6A">
      <w:pPr>
        <w:pStyle w:val="ListParagraph"/>
        <w:numPr>
          <w:ilvl w:val="0"/>
          <w:numId w:val="2"/>
        </w:num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Lastly, saliva is secreted by small salivary glands in the connective tissue layer, which lubricates the oral cavity and aids in digestion.</w:t>
      </w:r>
    </w:p>
    <w:p w14:paraId="30078025" w14:textId="77777777" w:rsidR="00115F78" w:rsidRPr="00EA3F9A" w:rsidRDefault="00115F78" w:rsidP="00B32E6A">
      <w:p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For the purpose of creating efficient drug delivery systems that target the buccal, sublingual, and gingival mucosa, it is essential to comprehend their unique properties. The differences in vascularity, mechanical robustness, and epithelium thickness affect which medication formulations are best for achieving the best absorption and therapeutic results.</w:t>
      </w:r>
    </w:p>
    <w:p w14:paraId="2ACBD95E" w14:textId="77777777" w:rsidR="00516204" w:rsidRPr="00EA3F9A" w:rsidRDefault="00516204" w:rsidP="00B32E6A">
      <w:p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The Buccal Mucosa's Physiology</w:t>
      </w:r>
    </w:p>
    <w:p w14:paraId="695EC164" w14:textId="77777777" w:rsidR="00115F78" w:rsidRPr="00EA3F9A" w:rsidRDefault="00516204" w:rsidP="00B32E6A">
      <w:p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 xml:space="preserve">Understanding medication absorption and administration via this route requires an understanding of the physiology of the buccal mucosa. The buccal mucosa differs from other mucosal surfaces in that it has specific characteristics that impact things like lymphatic drainage, blood flow, and medication </w:t>
      </w:r>
      <w:proofErr w:type="gramStart"/>
      <w:r w:rsidRPr="00EA3F9A">
        <w:rPr>
          <w:rFonts w:ascii="Times New Roman" w:hAnsi="Times New Roman" w:cs="Times New Roman"/>
          <w:sz w:val="24"/>
          <w:szCs w:val="24"/>
        </w:rPr>
        <w:t>absorption</w:t>
      </w:r>
      <w:r w:rsidR="00F810EA" w:rsidRPr="00EA3F9A">
        <w:rPr>
          <w:rFonts w:ascii="Times New Roman" w:hAnsi="Times New Roman" w:cs="Times New Roman"/>
          <w:sz w:val="24"/>
          <w:szCs w:val="24"/>
        </w:rPr>
        <w:t>(</w:t>
      </w:r>
      <w:proofErr w:type="gramEnd"/>
      <w:r w:rsidR="00F810EA" w:rsidRPr="00EA3F9A">
        <w:rPr>
          <w:rFonts w:ascii="Times New Roman" w:hAnsi="Times New Roman" w:cs="Times New Roman"/>
          <w:sz w:val="24"/>
          <w:szCs w:val="24"/>
        </w:rPr>
        <w:t>4)</w:t>
      </w:r>
      <w:r w:rsidRPr="00EA3F9A">
        <w:rPr>
          <w:rFonts w:ascii="Times New Roman" w:hAnsi="Times New Roman" w:cs="Times New Roman"/>
          <w:sz w:val="24"/>
          <w:szCs w:val="24"/>
        </w:rPr>
        <w:t>.</w:t>
      </w:r>
    </w:p>
    <w:p w14:paraId="732DF5C9" w14:textId="77777777" w:rsidR="00516204" w:rsidRPr="00EA3F9A" w:rsidRDefault="00516204" w:rsidP="00B32E6A">
      <w:pPr>
        <w:pStyle w:val="ListParagraph"/>
        <w:numPr>
          <w:ilvl w:val="0"/>
          <w:numId w:val="7"/>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Supply of Blood to the Buccal Mucosa</w:t>
      </w:r>
    </w:p>
    <w:p w14:paraId="453B25C4" w14:textId="77777777" w:rsidR="00516204" w:rsidRPr="00EA3F9A" w:rsidRDefault="00516204" w:rsidP="00B32E6A">
      <w:pPr>
        <w:pStyle w:val="ListParagraph"/>
        <w:numPr>
          <w:ilvl w:val="0"/>
          <w:numId w:val="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lastRenderedPageBreak/>
        <w:t>Arterial Supply</w:t>
      </w:r>
      <w:r w:rsidRPr="00EA3F9A">
        <w:rPr>
          <w:rFonts w:ascii="Times New Roman" w:hAnsi="Times New Roman" w:cs="Times New Roman"/>
          <w:sz w:val="24"/>
          <w:szCs w:val="24"/>
        </w:rPr>
        <w:t>: The buccal artery, in particular, is the major branch of the external carotid artery that supplies blood to the buccal mucosa. The vascular network makes sure that the mucosal tissues receive enough oxygen and nourishment.</w:t>
      </w:r>
    </w:p>
    <w:p w14:paraId="0924B2E3" w14:textId="77777777" w:rsidR="007845CA" w:rsidRPr="00EA3F9A" w:rsidRDefault="00516204" w:rsidP="00B32E6A">
      <w:pPr>
        <w:pStyle w:val="ListParagraph"/>
        <w:numPr>
          <w:ilvl w:val="0"/>
          <w:numId w:val="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Microcirculation</w:t>
      </w:r>
      <w:r w:rsidRPr="00EA3F9A">
        <w:rPr>
          <w:rFonts w:ascii="Times New Roman" w:hAnsi="Times New Roman" w:cs="Times New Roman"/>
          <w:sz w:val="24"/>
          <w:szCs w:val="24"/>
        </w:rPr>
        <w:t>: The buccal mucosa has a highly developed microvasculature, which promotes effective medication absorption. Drugs that penetrate the buccal epithelium are rapidly delivered throughout the body thanks to capillaries in the submucosa.</w:t>
      </w:r>
    </w:p>
    <w:p w14:paraId="5FEF6A68" w14:textId="77777777" w:rsidR="007845CA" w:rsidRPr="00EA3F9A" w:rsidRDefault="007845CA" w:rsidP="00B32E6A">
      <w:pPr>
        <w:pStyle w:val="ListParagraph"/>
        <w:numPr>
          <w:ilvl w:val="0"/>
          <w:numId w:val="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Lymphatic Drainage</w:t>
      </w:r>
      <w:r w:rsidRPr="00EA3F9A">
        <w:rPr>
          <w:rFonts w:ascii="Times New Roman" w:hAnsi="Times New Roman" w:cs="Times New Roman"/>
          <w:sz w:val="24"/>
          <w:szCs w:val="24"/>
        </w:rPr>
        <w:t>: Regional lymph nodes, especially the submandibular and deep cervical lymph nodes, receive lymphatic veins from the buccal mucosa. An important part of the clearing process for ingested compounds is lymphatic drainage, which helps with the general systemic distribution and medication removal.</w:t>
      </w:r>
    </w:p>
    <w:p w14:paraId="7ED1FD9B" w14:textId="77777777" w:rsidR="007845CA" w:rsidRPr="00EA3F9A" w:rsidRDefault="007845CA" w:rsidP="00B32E6A">
      <w:pPr>
        <w:pStyle w:val="ListParagraph"/>
        <w:numPr>
          <w:ilvl w:val="0"/>
          <w:numId w:val="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Macromolecule Transport</w:t>
      </w:r>
      <w:r w:rsidRPr="00EA3F9A">
        <w:rPr>
          <w:rFonts w:ascii="Times New Roman" w:hAnsi="Times New Roman" w:cs="Times New Roman"/>
          <w:sz w:val="24"/>
          <w:szCs w:val="24"/>
        </w:rPr>
        <w:t xml:space="preserve">: Particulate materials and large molecules may be carried by the lymphatic system, which may have an impact on the pharmacokinetics of some medications taken buccal </w:t>
      </w:r>
      <w:proofErr w:type="gramStart"/>
      <w:r w:rsidRPr="00EA3F9A">
        <w:rPr>
          <w:rFonts w:ascii="Times New Roman" w:hAnsi="Times New Roman" w:cs="Times New Roman"/>
          <w:sz w:val="24"/>
          <w:szCs w:val="24"/>
        </w:rPr>
        <w:t>route</w:t>
      </w:r>
      <w:r w:rsidR="00A6053C" w:rsidRPr="00EA3F9A">
        <w:rPr>
          <w:rFonts w:ascii="Times New Roman" w:hAnsi="Times New Roman" w:cs="Times New Roman"/>
          <w:sz w:val="24"/>
          <w:szCs w:val="24"/>
        </w:rPr>
        <w:t>(</w:t>
      </w:r>
      <w:proofErr w:type="gramEnd"/>
      <w:r w:rsidR="00A6053C" w:rsidRPr="00EA3F9A">
        <w:rPr>
          <w:rFonts w:ascii="Times New Roman" w:hAnsi="Times New Roman" w:cs="Times New Roman"/>
          <w:sz w:val="24"/>
          <w:szCs w:val="24"/>
        </w:rPr>
        <w:t>5)</w:t>
      </w:r>
      <w:r w:rsidRPr="00EA3F9A">
        <w:rPr>
          <w:rFonts w:ascii="Times New Roman" w:hAnsi="Times New Roman" w:cs="Times New Roman"/>
          <w:sz w:val="24"/>
          <w:szCs w:val="24"/>
        </w:rPr>
        <w:t>.</w:t>
      </w:r>
    </w:p>
    <w:p w14:paraId="58FB1DBE" w14:textId="77777777" w:rsidR="007845CA" w:rsidRPr="00EA3F9A" w:rsidRDefault="007845CA" w:rsidP="00B32E6A">
      <w:pPr>
        <w:pStyle w:val="ListParagraph"/>
        <w:numPr>
          <w:ilvl w:val="0"/>
          <w:numId w:val="7"/>
        </w:numPr>
        <w:spacing w:after="0"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Partic</w:t>
      </w:r>
      <w:r w:rsidR="006D187B" w:rsidRPr="00EA3F9A">
        <w:rPr>
          <w:rFonts w:ascii="Times New Roman" w:hAnsi="Times New Roman" w:cs="Times New Roman"/>
          <w:b/>
          <w:sz w:val="24"/>
          <w:szCs w:val="24"/>
        </w:rPr>
        <w:t>ulars Affecting Drug Absorption</w:t>
      </w:r>
    </w:p>
    <w:p w14:paraId="34B0D45F" w14:textId="77777777" w:rsidR="007845CA" w:rsidRPr="00EA3F9A" w:rsidRDefault="007845CA" w:rsidP="00B32E6A">
      <w:pPr>
        <w:pStyle w:val="ListParagraph"/>
        <w:numPr>
          <w:ilvl w:val="0"/>
          <w:numId w:val="6"/>
        </w:numPr>
        <w:spacing w:line="360" w:lineRule="auto"/>
        <w:ind w:left="1378" w:hanging="357"/>
        <w:jc w:val="both"/>
        <w:rPr>
          <w:rFonts w:ascii="Times New Roman" w:hAnsi="Times New Roman" w:cs="Times New Roman"/>
          <w:sz w:val="24"/>
          <w:szCs w:val="24"/>
        </w:rPr>
      </w:pPr>
      <w:r w:rsidRPr="00EA3F9A">
        <w:rPr>
          <w:rFonts w:ascii="Times New Roman" w:hAnsi="Times New Roman" w:cs="Times New Roman"/>
          <w:b/>
          <w:sz w:val="24"/>
          <w:szCs w:val="24"/>
        </w:rPr>
        <w:t>Stratified Squamous Epithelium</w:t>
      </w:r>
      <w:r w:rsidRPr="00EA3F9A">
        <w:rPr>
          <w:rFonts w:ascii="Times New Roman" w:hAnsi="Times New Roman" w:cs="Times New Roman"/>
          <w:sz w:val="24"/>
          <w:szCs w:val="24"/>
        </w:rPr>
        <w:t xml:space="preserve">: </w:t>
      </w:r>
      <w:r w:rsidR="001A125F" w:rsidRPr="00EA3F9A">
        <w:rPr>
          <w:rFonts w:ascii="Times New Roman" w:hAnsi="Times New Roman" w:cs="Times New Roman"/>
          <w:sz w:val="24"/>
          <w:szCs w:val="24"/>
        </w:rPr>
        <w:t xml:space="preserve"> </w:t>
      </w:r>
      <w:r w:rsidRPr="00EA3F9A">
        <w:rPr>
          <w:rFonts w:ascii="Times New Roman" w:hAnsi="Times New Roman" w:cs="Times New Roman"/>
          <w:sz w:val="24"/>
          <w:szCs w:val="24"/>
        </w:rPr>
        <w:t>Acting as a barrier of defense, a stratified squamous epithelium covers the buccal mucosa. Drug penetration is possible, nevertheless, since this epithelium is thinner than the skin.</w:t>
      </w:r>
    </w:p>
    <w:p w14:paraId="7ED00BE3" w14:textId="77777777" w:rsidR="007845CA" w:rsidRPr="00EA3F9A" w:rsidRDefault="007845CA" w:rsidP="00B32E6A">
      <w:pPr>
        <w:pStyle w:val="ListParagraph"/>
        <w:numPr>
          <w:ilvl w:val="0"/>
          <w:numId w:val="6"/>
        </w:numPr>
        <w:spacing w:line="360" w:lineRule="auto"/>
        <w:ind w:left="1378" w:hanging="357"/>
        <w:jc w:val="both"/>
        <w:rPr>
          <w:rFonts w:ascii="Times New Roman" w:hAnsi="Times New Roman" w:cs="Times New Roman"/>
          <w:sz w:val="24"/>
          <w:szCs w:val="24"/>
        </w:rPr>
      </w:pPr>
      <w:r w:rsidRPr="00EA3F9A">
        <w:rPr>
          <w:rFonts w:ascii="Times New Roman" w:hAnsi="Times New Roman" w:cs="Times New Roman"/>
          <w:b/>
          <w:sz w:val="24"/>
          <w:szCs w:val="24"/>
        </w:rPr>
        <w:t>Tight Junction Presence</w:t>
      </w:r>
      <w:r w:rsidRPr="00EA3F9A">
        <w:rPr>
          <w:rFonts w:ascii="Times New Roman" w:hAnsi="Times New Roman" w:cs="Times New Roman"/>
          <w:sz w:val="24"/>
          <w:szCs w:val="24"/>
        </w:rPr>
        <w:t>: Paracellular transport is restricted by tight junctions between epithelial cells; nonetheless, certain medications can take advantage of these junctions by using permeation enhancers or suitable formulation techniques.</w:t>
      </w:r>
    </w:p>
    <w:p w14:paraId="0E64F955" w14:textId="77777777" w:rsidR="007845CA" w:rsidRPr="00EA3F9A" w:rsidRDefault="007845CA" w:rsidP="00B32E6A">
      <w:pPr>
        <w:pStyle w:val="ListParagraph"/>
        <w:numPr>
          <w:ilvl w:val="0"/>
          <w:numId w:val="6"/>
        </w:numPr>
        <w:spacing w:line="360" w:lineRule="auto"/>
        <w:ind w:left="1378" w:hanging="357"/>
        <w:jc w:val="both"/>
        <w:rPr>
          <w:rFonts w:ascii="Times New Roman" w:hAnsi="Times New Roman" w:cs="Times New Roman"/>
          <w:sz w:val="24"/>
          <w:szCs w:val="24"/>
        </w:rPr>
      </w:pPr>
      <w:r w:rsidRPr="00EA3F9A">
        <w:rPr>
          <w:rFonts w:ascii="Times New Roman" w:hAnsi="Times New Roman" w:cs="Times New Roman"/>
          <w:b/>
          <w:sz w:val="24"/>
          <w:szCs w:val="24"/>
        </w:rPr>
        <w:t>Rich Blood Supply</w:t>
      </w:r>
      <w:r w:rsidRPr="00EA3F9A">
        <w:rPr>
          <w:rFonts w:ascii="Times New Roman" w:hAnsi="Times New Roman" w:cs="Times New Roman"/>
          <w:sz w:val="24"/>
          <w:szCs w:val="24"/>
        </w:rPr>
        <w:t>: Drugs can reach the systemic circulation without first going through the liver's first-pass metabolism because to the buccal mucosa's substantial vascularization, which facilitates quick drug absorption.</w:t>
      </w:r>
    </w:p>
    <w:p w14:paraId="52BDDAB7" w14:textId="77777777" w:rsidR="007845CA" w:rsidRPr="00EA3F9A" w:rsidRDefault="007845CA" w:rsidP="00B32E6A">
      <w:pPr>
        <w:pStyle w:val="ListParagraph"/>
        <w:numPr>
          <w:ilvl w:val="0"/>
          <w:numId w:val="6"/>
        </w:numPr>
        <w:spacing w:line="360" w:lineRule="auto"/>
        <w:ind w:left="1378" w:hanging="357"/>
        <w:jc w:val="both"/>
        <w:rPr>
          <w:rFonts w:ascii="Times New Roman" w:hAnsi="Times New Roman" w:cs="Times New Roman"/>
          <w:sz w:val="24"/>
          <w:szCs w:val="24"/>
        </w:rPr>
      </w:pPr>
      <w:r w:rsidRPr="00EA3F9A">
        <w:rPr>
          <w:rFonts w:ascii="Times New Roman" w:hAnsi="Times New Roman" w:cs="Times New Roman"/>
          <w:b/>
          <w:sz w:val="24"/>
          <w:szCs w:val="24"/>
        </w:rPr>
        <w:t>Moist Environment</w:t>
      </w:r>
      <w:r w:rsidRPr="00EA3F9A">
        <w:rPr>
          <w:rFonts w:ascii="Times New Roman" w:hAnsi="Times New Roman" w:cs="Times New Roman"/>
          <w:sz w:val="24"/>
          <w:szCs w:val="24"/>
        </w:rPr>
        <w:t>: Saliva continuously hydrates the buccal mucosa, which promotes medication absorption and disintegration.</w:t>
      </w:r>
    </w:p>
    <w:p w14:paraId="587C7818" w14:textId="77777777" w:rsidR="007845CA" w:rsidRPr="00EA3F9A" w:rsidRDefault="005378B2" w:rsidP="00B32E6A">
      <w:pPr>
        <w:pStyle w:val="ListParagraph"/>
        <w:numPr>
          <w:ilvl w:val="0"/>
          <w:numId w:val="7"/>
        </w:numPr>
        <w:spacing w:line="360" w:lineRule="auto"/>
        <w:ind w:left="0" w:firstLine="357"/>
        <w:jc w:val="both"/>
        <w:rPr>
          <w:rFonts w:ascii="Times New Roman" w:hAnsi="Times New Roman" w:cs="Times New Roman"/>
          <w:b/>
          <w:sz w:val="24"/>
          <w:szCs w:val="24"/>
        </w:rPr>
      </w:pPr>
      <w:r w:rsidRPr="00EA3F9A">
        <w:rPr>
          <w:rFonts w:ascii="Times New Roman" w:hAnsi="Times New Roman" w:cs="Times New Roman"/>
          <w:b/>
          <w:sz w:val="24"/>
          <w:szCs w:val="24"/>
        </w:rPr>
        <w:t>Mechanisms of Drug Absorption</w:t>
      </w:r>
    </w:p>
    <w:p w14:paraId="3A1813D9" w14:textId="77777777" w:rsidR="007845CA" w:rsidRPr="00EA3F9A" w:rsidRDefault="007845CA" w:rsidP="00B32E6A">
      <w:pPr>
        <w:spacing w:line="360" w:lineRule="auto"/>
        <w:ind w:left="1304"/>
        <w:jc w:val="both"/>
        <w:rPr>
          <w:rFonts w:ascii="Times New Roman" w:hAnsi="Times New Roman" w:cs="Times New Roman"/>
          <w:sz w:val="24"/>
          <w:szCs w:val="24"/>
        </w:rPr>
      </w:pPr>
      <w:r w:rsidRPr="00EA3F9A">
        <w:rPr>
          <w:rFonts w:ascii="Times New Roman" w:hAnsi="Times New Roman" w:cs="Times New Roman"/>
          <w:sz w:val="24"/>
          <w:szCs w:val="24"/>
        </w:rPr>
        <w:lastRenderedPageBreak/>
        <w:t>Small, lipophilic compounds have the ability to passively diffuse across the buccal epithelium.</w:t>
      </w:r>
    </w:p>
    <w:p w14:paraId="48BE5196" w14:textId="77777777" w:rsidR="007845CA" w:rsidRPr="00EA3F9A" w:rsidRDefault="007845CA" w:rsidP="00B32E6A">
      <w:pPr>
        <w:spacing w:line="360" w:lineRule="auto"/>
        <w:ind w:left="1304"/>
        <w:jc w:val="both"/>
        <w:rPr>
          <w:rFonts w:ascii="Times New Roman" w:hAnsi="Times New Roman" w:cs="Times New Roman"/>
          <w:sz w:val="24"/>
          <w:szCs w:val="24"/>
        </w:rPr>
      </w:pPr>
      <w:r w:rsidRPr="00EA3F9A">
        <w:rPr>
          <w:rFonts w:ascii="Times New Roman" w:hAnsi="Times New Roman" w:cs="Times New Roman"/>
          <w:sz w:val="24"/>
          <w:szCs w:val="24"/>
        </w:rPr>
        <w:t>Facilitated Transport: Some medications may be more easily absorbed when certain transporters on epithelial cells are present.</w:t>
      </w:r>
    </w:p>
    <w:p w14:paraId="484CB498" w14:textId="77777777" w:rsidR="005060B1" w:rsidRPr="00EA3F9A" w:rsidRDefault="007845CA" w:rsidP="00B32E6A">
      <w:pPr>
        <w:spacing w:line="360" w:lineRule="auto"/>
        <w:ind w:left="1304"/>
        <w:jc w:val="both"/>
        <w:rPr>
          <w:rFonts w:ascii="Times New Roman" w:hAnsi="Times New Roman" w:cs="Times New Roman"/>
          <w:sz w:val="24"/>
          <w:szCs w:val="24"/>
        </w:rPr>
      </w:pPr>
      <w:r w:rsidRPr="00EA3F9A">
        <w:rPr>
          <w:rFonts w:ascii="Times New Roman" w:hAnsi="Times New Roman" w:cs="Times New Roman"/>
          <w:sz w:val="24"/>
          <w:szCs w:val="24"/>
        </w:rPr>
        <w:t>Ionization and pH: Drug absorption can be greatly impacted by a drug's ionization state as well as the pH of the buccal environment.</w:t>
      </w:r>
    </w:p>
    <w:p w14:paraId="41B90189" w14:textId="77777777" w:rsidR="005060B1" w:rsidRPr="00EA3F9A" w:rsidRDefault="005060B1" w:rsidP="00B32E6A">
      <w:pPr>
        <w:spacing w:line="360" w:lineRule="auto"/>
        <w:ind w:left="1304"/>
        <w:jc w:val="both"/>
        <w:rPr>
          <w:rFonts w:ascii="Times New Roman" w:hAnsi="Times New Roman" w:cs="Times New Roman"/>
          <w:sz w:val="24"/>
          <w:szCs w:val="24"/>
        </w:rPr>
      </w:pPr>
      <w:r w:rsidRPr="00EA3F9A">
        <w:rPr>
          <w:rFonts w:ascii="Times New Roman" w:hAnsi="Times New Roman" w:cs="Times New Roman"/>
          <w:sz w:val="24"/>
          <w:szCs w:val="24"/>
        </w:rPr>
        <w:t xml:space="preserve">It is essential to comprehend these physiological aspects while developing buccal medication delivery devices. For formulation techniques to improve medication absorption, achieve therapeutic efficacy, and guarantee patient safety, they must take into account the special qualities of the buccal </w:t>
      </w:r>
      <w:proofErr w:type="gramStart"/>
      <w:r w:rsidRPr="00EA3F9A">
        <w:rPr>
          <w:rFonts w:ascii="Times New Roman" w:hAnsi="Times New Roman" w:cs="Times New Roman"/>
          <w:sz w:val="24"/>
          <w:szCs w:val="24"/>
        </w:rPr>
        <w:t>mucosa</w:t>
      </w:r>
      <w:r w:rsidR="00A6053C" w:rsidRPr="00EA3F9A">
        <w:rPr>
          <w:rFonts w:ascii="Times New Roman" w:hAnsi="Times New Roman" w:cs="Times New Roman"/>
          <w:sz w:val="24"/>
          <w:szCs w:val="24"/>
        </w:rPr>
        <w:t>(</w:t>
      </w:r>
      <w:proofErr w:type="gramEnd"/>
      <w:r w:rsidR="00A6053C" w:rsidRPr="00EA3F9A">
        <w:rPr>
          <w:rFonts w:ascii="Times New Roman" w:hAnsi="Times New Roman" w:cs="Times New Roman"/>
          <w:sz w:val="24"/>
          <w:szCs w:val="24"/>
        </w:rPr>
        <w:t>7)</w:t>
      </w:r>
      <w:r w:rsidRPr="00EA3F9A">
        <w:rPr>
          <w:rFonts w:ascii="Times New Roman" w:hAnsi="Times New Roman" w:cs="Times New Roman"/>
          <w:sz w:val="24"/>
          <w:szCs w:val="24"/>
        </w:rPr>
        <w:t>.</w:t>
      </w:r>
    </w:p>
    <w:p w14:paraId="717CC832" w14:textId="77777777" w:rsidR="003270AE" w:rsidRPr="00EA3F9A" w:rsidRDefault="003270AE" w:rsidP="00B32E6A">
      <w:pPr>
        <w:spacing w:line="360" w:lineRule="auto"/>
        <w:ind w:left="1304"/>
        <w:jc w:val="both"/>
        <w:rPr>
          <w:rFonts w:ascii="Times New Roman" w:hAnsi="Times New Roman" w:cs="Times New Roman"/>
          <w:sz w:val="24"/>
          <w:szCs w:val="24"/>
        </w:rPr>
      </w:pPr>
      <w:r w:rsidRPr="00EA3F9A">
        <w:rPr>
          <w:rFonts w:ascii="Times New Roman" w:hAnsi="Times New Roman" w:cs="Times New Roman"/>
          <w:noProof/>
          <w:sz w:val="24"/>
          <w:szCs w:val="24"/>
        </w:rPr>
        <w:drawing>
          <wp:inline distT="0" distB="0" distL="0" distR="0" wp14:anchorId="4F3B48E6" wp14:editId="6448BB2F">
            <wp:extent cx="4624705" cy="3371850"/>
            <wp:effectExtent l="0" t="0" r="0" b="0"/>
            <wp:docPr id="2" name="Picture 1" descr="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png"/>
                    <pic:cNvPicPr/>
                  </pic:nvPicPr>
                  <pic:blipFill rotWithShape="1">
                    <a:blip r:embed="rId6"/>
                    <a:srcRect b="6596"/>
                    <a:stretch/>
                  </pic:blipFill>
                  <pic:spPr bwMode="auto">
                    <a:xfrm>
                      <a:off x="0" y="0"/>
                      <a:ext cx="4627561" cy="3373932"/>
                    </a:xfrm>
                    <a:prstGeom prst="rect">
                      <a:avLst/>
                    </a:prstGeom>
                    <a:ln>
                      <a:noFill/>
                    </a:ln>
                    <a:extLst>
                      <a:ext uri="{53640926-AAD7-44D8-BBD7-CCE9431645EC}">
                        <a14:shadowObscured xmlns:a14="http://schemas.microsoft.com/office/drawing/2010/main"/>
                      </a:ext>
                    </a:extLst>
                  </pic:spPr>
                </pic:pic>
              </a:graphicData>
            </a:graphic>
          </wp:inline>
        </w:drawing>
      </w:r>
    </w:p>
    <w:p w14:paraId="5B1927CA" w14:textId="77777777" w:rsidR="003270AE" w:rsidRPr="00EA3F9A" w:rsidRDefault="003270AE" w:rsidP="00B32E6A">
      <w:pPr>
        <w:spacing w:line="360" w:lineRule="auto"/>
        <w:ind w:left="1304"/>
        <w:jc w:val="both"/>
        <w:rPr>
          <w:rFonts w:ascii="Times New Roman" w:hAnsi="Times New Roman" w:cs="Times New Roman"/>
          <w:sz w:val="24"/>
          <w:szCs w:val="24"/>
        </w:rPr>
      </w:pPr>
    </w:p>
    <w:p w14:paraId="6F185383" w14:textId="77777777" w:rsidR="00115F78" w:rsidRPr="00EA3F9A" w:rsidRDefault="00906C8B" w:rsidP="00B32E6A">
      <w:pPr>
        <w:pStyle w:val="ListParagraph"/>
        <w:numPr>
          <w:ilvl w:val="0"/>
          <w:numId w:val="9"/>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 xml:space="preserve">Bioadhesion in </w:t>
      </w:r>
      <w:proofErr w:type="spellStart"/>
      <w:r w:rsidRPr="00EA3F9A">
        <w:rPr>
          <w:rFonts w:ascii="Times New Roman" w:hAnsi="Times New Roman" w:cs="Times New Roman"/>
          <w:b/>
          <w:sz w:val="24"/>
          <w:szCs w:val="24"/>
        </w:rPr>
        <w:t>bucal</w:t>
      </w:r>
      <w:proofErr w:type="spellEnd"/>
      <w:r w:rsidRPr="00EA3F9A">
        <w:rPr>
          <w:rFonts w:ascii="Times New Roman" w:hAnsi="Times New Roman" w:cs="Times New Roman"/>
          <w:b/>
          <w:sz w:val="24"/>
          <w:szCs w:val="24"/>
        </w:rPr>
        <w:t xml:space="preserve"> cavity</w:t>
      </w:r>
    </w:p>
    <w:p w14:paraId="1348AE58" w14:textId="77777777" w:rsidR="00E577C4" w:rsidRPr="00EA3F9A" w:rsidRDefault="003617AC" w:rsidP="00B32E6A">
      <w:p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 xml:space="preserve">Mechanisms of bioadhesion: A key component of buccal drug delivery systems, bioadhesion is the capacity of a substance to stick to biological tissues. The establishment of robust and continuous contact between the drug delivery system and the buccal mucosa is critical to the </w:t>
      </w:r>
      <w:r w:rsidRPr="00EA3F9A">
        <w:rPr>
          <w:rFonts w:ascii="Times New Roman" w:hAnsi="Times New Roman" w:cs="Times New Roman"/>
          <w:sz w:val="24"/>
          <w:szCs w:val="24"/>
        </w:rPr>
        <w:lastRenderedPageBreak/>
        <w:t>efficacy of these devices. Physical and chemical interactions can be used to classify bioadhesion processes.</w:t>
      </w:r>
    </w:p>
    <w:p w14:paraId="66553338" w14:textId="77777777" w:rsidR="00080926" w:rsidRPr="00EA3F9A" w:rsidRDefault="00E577C4" w:rsidP="00B32E6A">
      <w:pPr>
        <w:spacing w:line="360" w:lineRule="auto"/>
        <w:jc w:val="both"/>
        <w:rPr>
          <w:rFonts w:ascii="Times New Roman" w:hAnsi="Times New Roman" w:cs="Times New Roman"/>
          <w:sz w:val="24"/>
          <w:szCs w:val="24"/>
        </w:rPr>
      </w:pPr>
      <w:proofErr w:type="spellStart"/>
      <w:r w:rsidRPr="00EA3F9A">
        <w:rPr>
          <w:rFonts w:ascii="Times New Roman" w:hAnsi="Times New Roman" w:cs="Times New Roman"/>
          <w:sz w:val="24"/>
          <w:szCs w:val="24"/>
        </w:rPr>
        <w:t>Physica</w:t>
      </w:r>
      <w:proofErr w:type="spellEnd"/>
      <w:r w:rsidR="00015C16" w:rsidRPr="00EA3F9A">
        <w:rPr>
          <w:rFonts w:ascii="Times New Roman" w:hAnsi="Times New Roman" w:cs="Times New Roman"/>
          <w:sz w:val="24"/>
          <w:szCs w:val="24"/>
        </w:rPr>
        <w:t xml:space="preserve"> </w:t>
      </w:r>
      <w:proofErr w:type="gramStart"/>
      <w:r w:rsidR="00015C16" w:rsidRPr="00EA3F9A">
        <w:rPr>
          <w:rFonts w:ascii="Times New Roman" w:hAnsi="Times New Roman" w:cs="Times New Roman"/>
          <w:sz w:val="24"/>
          <w:szCs w:val="24"/>
        </w:rPr>
        <w:t xml:space="preserve">Interactions </w:t>
      </w:r>
      <w:r w:rsidRPr="00EA3F9A">
        <w:rPr>
          <w:rFonts w:ascii="Times New Roman" w:hAnsi="Times New Roman" w:cs="Times New Roman"/>
          <w:sz w:val="24"/>
          <w:szCs w:val="24"/>
        </w:rPr>
        <w:t>:</w:t>
      </w:r>
      <w:proofErr w:type="gramEnd"/>
      <w:r w:rsidRPr="00EA3F9A">
        <w:rPr>
          <w:rFonts w:ascii="Times New Roman" w:hAnsi="Times New Roman" w:cs="Times New Roman"/>
          <w:sz w:val="24"/>
          <w:szCs w:val="24"/>
        </w:rPr>
        <w:t xml:space="preserve"> </w:t>
      </w:r>
    </w:p>
    <w:p w14:paraId="6D9ACF98" w14:textId="77777777" w:rsidR="004C5AB1" w:rsidRPr="00EA3F9A" w:rsidRDefault="00E577C4" w:rsidP="00B32E6A">
      <w:pPr>
        <w:pStyle w:val="ListParagraph"/>
        <w:numPr>
          <w:ilvl w:val="0"/>
          <w:numId w:val="10"/>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Van der Waals Forces:</w:t>
      </w:r>
    </w:p>
    <w:p w14:paraId="671AFBC5" w14:textId="77777777" w:rsidR="00E577C4" w:rsidRPr="00EA3F9A" w:rsidRDefault="00E577C4" w:rsidP="00B32E6A">
      <w:pPr>
        <w:pStyle w:val="ListParagraph"/>
        <w:spacing w:line="360" w:lineRule="auto"/>
        <w:jc w:val="both"/>
        <w:rPr>
          <w:rFonts w:ascii="Times New Roman" w:hAnsi="Times New Roman" w:cs="Times New Roman"/>
          <w:b/>
          <w:sz w:val="24"/>
          <w:szCs w:val="24"/>
        </w:rPr>
      </w:pPr>
      <w:r w:rsidRPr="00EA3F9A">
        <w:rPr>
          <w:rFonts w:ascii="Times New Roman" w:hAnsi="Times New Roman" w:cs="Times New Roman"/>
          <w:sz w:val="24"/>
          <w:szCs w:val="24"/>
        </w:rPr>
        <w:t>Van der Waals forces are a type of weak attraction that exist between molecules. These pressures are involved in the first contact between the mucoadhesive substance and the mucosal surface in the context of bioadhesion.</w:t>
      </w:r>
      <w:r w:rsidR="004C5AB1" w:rsidRPr="00EA3F9A">
        <w:rPr>
          <w:rFonts w:ascii="Times New Roman" w:hAnsi="Times New Roman" w:cs="Times New Roman"/>
          <w:sz w:val="24"/>
          <w:szCs w:val="24"/>
        </w:rPr>
        <w:t xml:space="preserve"> </w:t>
      </w:r>
      <w:r w:rsidRPr="00EA3F9A">
        <w:rPr>
          <w:rFonts w:ascii="Times New Roman" w:hAnsi="Times New Roman" w:cs="Times New Roman"/>
          <w:sz w:val="24"/>
          <w:szCs w:val="24"/>
        </w:rPr>
        <w:t>The initial contact is made possible by Van der Waals forces, which also facilitate subsequent interactions.</w:t>
      </w:r>
    </w:p>
    <w:p w14:paraId="113990A8" w14:textId="77777777" w:rsidR="004C5AB1" w:rsidRPr="00EA3F9A" w:rsidRDefault="00E577C4" w:rsidP="00B32E6A">
      <w:pPr>
        <w:pStyle w:val="ListParagraph"/>
        <w:numPr>
          <w:ilvl w:val="0"/>
          <w:numId w:val="10"/>
        </w:numPr>
        <w:spacing w:line="360" w:lineRule="auto"/>
        <w:ind w:left="0" w:firstLine="357"/>
        <w:jc w:val="both"/>
        <w:rPr>
          <w:rFonts w:ascii="Times New Roman" w:hAnsi="Times New Roman" w:cs="Times New Roman"/>
          <w:b/>
          <w:sz w:val="24"/>
          <w:szCs w:val="24"/>
        </w:rPr>
      </w:pPr>
      <w:r w:rsidRPr="00EA3F9A">
        <w:rPr>
          <w:rFonts w:ascii="Times New Roman" w:hAnsi="Times New Roman" w:cs="Times New Roman"/>
          <w:b/>
          <w:sz w:val="24"/>
          <w:szCs w:val="24"/>
        </w:rPr>
        <w:t>Bonding of Hydrogen:</w:t>
      </w:r>
    </w:p>
    <w:p w14:paraId="686F3992" w14:textId="77777777" w:rsidR="00015C16" w:rsidRPr="00EA3F9A" w:rsidRDefault="00E577C4" w:rsidP="00B32E6A">
      <w:pPr>
        <w:pStyle w:val="ListParagraph"/>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The creation of hydrogen bridges between mucoadhesive polymer and mucosal glycoproteins is known as hydrogen bonding.</w:t>
      </w:r>
      <w:r w:rsidR="004C5AB1" w:rsidRPr="00EA3F9A">
        <w:rPr>
          <w:rFonts w:ascii="Times New Roman" w:hAnsi="Times New Roman" w:cs="Times New Roman"/>
          <w:sz w:val="24"/>
          <w:szCs w:val="24"/>
        </w:rPr>
        <w:t xml:space="preserve"> </w:t>
      </w:r>
      <w:r w:rsidRPr="00EA3F9A">
        <w:rPr>
          <w:rFonts w:ascii="Times New Roman" w:hAnsi="Times New Roman" w:cs="Times New Roman"/>
          <w:sz w:val="24"/>
          <w:szCs w:val="24"/>
        </w:rPr>
        <w:t>By strengthening the adhesion and creating a stronger relationship between the drug delivery system and the buccal mucosa, hydrogen bonding improves adhesion.</w:t>
      </w:r>
    </w:p>
    <w:p w14:paraId="0E008D41" w14:textId="77777777" w:rsidR="00015C16" w:rsidRPr="00EA3F9A" w:rsidRDefault="00015C16" w:rsidP="00B32E6A">
      <w:pPr>
        <w:pStyle w:val="ListParagraph"/>
        <w:spacing w:line="360" w:lineRule="auto"/>
        <w:jc w:val="both"/>
        <w:rPr>
          <w:rFonts w:ascii="Times New Roman" w:hAnsi="Times New Roman" w:cs="Times New Roman"/>
          <w:sz w:val="24"/>
          <w:szCs w:val="24"/>
        </w:rPr>
      </w:pPr>
    </w:p>
    <w:p w14:paraId="4637A9B7" w14:textId="77777777" w:rsidR="00E577C4" w:rsidRPr="00EA3F9A" w:rsidRDefault="003A3A9D" w:rsidP="00B32E6A">
      <w:pPr>
        <w:pStyle w:val="ListParagraph"/>
        <w:numPr>
          <w:ilvl w:val="0"/>
          <w:numId w:val="10"/>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E</w:t>
      </w:r>
      <w:r w:rsidR="00015C16" w:rsidRPr="00EA3F9A">
        <w:rPr>
          <w:rFonts w:ascii="Times New Roman" w:hAnsi="Times New Roman" w:cs="Times New Roman"/>
          <w:b/>
          <w:sz w:val="24"/>
          <w:szCs w:val="24"/>
        </w:rPr>
        <w:t>lectrostatic interactions:</w:t>
      </w:r>
      <w:r w:rsidR="00015C16" w:rsidRPr="00EA3F9A">
        <w:rPr>
          <w:rFonts w:ascii="Times New Roman" w:hAnsi="Times New Roman" w:cs="Times New Roman"/>
          <w:sz w:val="24"/>
          <w:szCs w:val="24"/>
        </w:rPr>
        <w:t xml:space="preserve"> </w:t>
      </w:r>
      <w:r w:rsidR="00E577C4" w:rsidRPr="00EA3F9A">
        <w:rPr>
          <w:rFonts w:ascii="Times New Roman" w:hAnsi="Times New Roman" w:cs="Times New Roman"/>
          <w:sz w:val="24"/>
          <w:szCs w:val="24"/>
        </w:rPr>
        <w:t xml:space="preserve">refers to the attraction that exists between negatively and positively charged objects. Mucosal surfaces with opposing charges can interact with polymers with charged </w:t>
      </w:r>
      <w:proofErr w:type="spellStart"/>
      <w:proofErr w:type="gramStart"/>
      <w:r w:rsidR="00E577C4" w:rsidRPr="00EA3F9A">
        <w:rPr>
          <w:rFonts w:ascii="Times New Roman" w:hAnsi="Times New Roman" w:cs="Times New Roman"/>
          <w:sz w:val="24"/>
          <w:szCs w:val="24"/>
        </w:rPr>
        <w:t>groups.The</w:t>
      </w:r>
      <w:proofErr w:type="spellEnd"/>
      <w:proofErr w:type="gramEnd"/>
      <w:r w:rsidR="00E577C4" w:rsidRPr="00EA3F9A">
        <w:rPr>
          <w:rFonts w:ascii="Times New Roman" w:hAnsi="Times New Roman" w:cs="Times New Roman"/>
          <w:sz w:val="24"/>
          <w:szCs w:val="24"/>
        </w:rPr>
        <w:t xml:space="preserve"> drug delivery system's sticky qualities can be improved by taking advantage of this interaction, which promotes mucoadhesion</w:t>
      </w:r>
      <w:r w:rsidR="00A50B27" w:rsidRPr="00EA3F9A">
        <w:rPr>
          <w:rFonts w:ascii="Times New Roman" w:hAnsi="Times New Roman" w:cs="Times New Roman"/>
          <w:sz w:val="24"/>
          <w:szCs w:val="24"/>
        </w:rPr>
        <w:t>(7,8)</w:t>
      </w:r>
      <w:r w:rsidR="00E577C4" w:rsidRPr="00EA3F9A">
        <w:rPr>
          <w:rFonts w:ascii="Times New Roman" w:hAnsi="Times New Roman" w:cs="Times New Roman"/>
          <w:sz w:val="24"/>
          <w:szCs w:val="24"/>
        </w:rPr>
        <w:t>.</w:t>
      </w:r>
    </w:p>
    <w:p w14:paraId="6076A6AC" w14:textId="77777777" w:rsidR="00E577C4" w:rsidRPr="00EA3F9A" w:rsidRDefault="00E577C4"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Chemicals</w:t>
      </w:r>
      <w:r w:rsidR="00015C16" w:rsidRPr="00EA3F9A">
        <w:rPr>
          <w:rFonts w:ascii="Times New Roman" w:hAnsi="Times New Roman" w:cs="Times New Roman"/>
          <w:b/>
          <w:sz w:val="24"/>
          <w:szCs w:val="24"/>
        </w:rPr>
        <w:t xml:space="preserve"> Interactions</w:t>
      </w:r>
      <w:r w:rsidRPr="00EA3F9A">
        <w:rPr>
          <w:rFonts w:ascii="Times New Roman" w:hAnsi="Times New Roman" w:cs="Times New Roman"/>
          <w:sz w:val="24"/>
          <w:szCs w:val="24"/>
        </w:rPr>
        <w:t>:</w:t>
      </w:r>
    </w:p>
    <w:p w14:paraId="42E5027B" w14:textId="77777777" w:rsidR="00E577C4" w:rsidRPr="00EA3F9A" w:rsidRDefault="009B73DA" w:rsidP="00B32E6A">
      <w:p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 xml:space="preserve">Covalent Bonds: </w:t>
      </w:r>
    </w:p>
    <w:p w14:paraId="669CF509" w14:textId="77777777" w:rsidR="00E577C4" w:rsidRPr="00EA3F9A" w:rsidRDefault="00E577C4" w:rsidP="00B32E6A">
      <w:p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 xml:space="preserve">Covalent bonds are formed when components of the mucosal surface share electrons with the mucoadhesive </w:t>
      </w:r>
      <w:proofErr w:type="spellStart"/>
      <w:proofErr w:type="gramStart"/>
      <w:r w:rsidRPr="00EA3F9A">
        <w:rPr>
          <w:rFonts w:ascii="Times New Roman" w:hAnsi="Times New Roman" w:cs="Times New Roman"/>
          <w:sz w:val="24"/>
          <w:szCs w:val="24"/>
        </w:rPr>
        <w:t>polymer.Covalent</w:t>
      </w:r>
      <w:proofErr w:type="spellEnd"/>
      <w:proofErr w:type="gramEnd"/>
      <w:r w:rsidRPr="00EA3F9A">
        <w:rPr>
          <w:rFonts w:ascii="Times New Roman" w:hAnsi="Times New Roman" w:cs="Times New Roman"/>
          <w:sz w:val="24"/>
          <w:szCs w:val="24"/>
        </w:rPr>
        <w:t xml:space="preserve"> bonds have the potential to promote sustained adherence, but they are less prevalent in bioadhesive systems since they need reversible interactions.</w:t>
      </w:r>
    </w:p>
    <w:p w14:paraId="2E7137A2" w14:textId="77777777" w:rsidR="00C440C7" w:rsidRPr="00EA3F9A" w:rsidRDefault="00C440C7" w:rsidP="00B32E6A">
      <w:p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 xml:space="preserve">Ionic Interactions: </w:t>
      </w:r>
    </w:p>
    <w:p w14:paraId="487001C4" w14:textId="77777777" w:rsidR="004561A3" w:rsidRPr="00EA3F9A" w:rsidRDefault="00E577C4" w:rsidP="00B32E6A">
      <w:p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The mucoadhesive polymer and mucosal surface are subject to ionic interactions between charged groups. These exchanges could be reversible.</w:t>
      </w:r>
      <w:r w:rsidR="009B73DA" w:rsidRPr="00EA3F9A">
        <w:rPr>
          <w:rFonts w:ascii="Times New Roman" w:hAnsi="Times New Roman" w:cs="Times New Roman"/>
          <w:sz w:val="24"/>
          <w:szCs w:val="24"/>
        </w:rPr>
        <w:t xml:space="preserve"> </w:t>
      </w:r>
      <w:r w:rsidRPr="00EA3F9A">
        <w:rPr>
          <w:rFonts w:ascii="Times New Roman" w:hAnsi="Times New Roman" w:cs="Times New Roman"/>
          <w:sz w:val="24"/>
          <w:szCs w:val="24"/>
        </w:rPr>
        <w:t>Following drug release, the drug delivery system can separate thanks to ionic interactions, which offer a dynamic adhesion mechanism.</w:t>
      </w:r>
    </w:p>
    <w:p w14:paraId="0C0093B9" w14:textId="77777777" w:rsidR="004561A3" w:rsidRPr="00EA3F9A" w:rsidRDefault="00C440C7" w:rsidP="00B32E6A">
      <w:p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lastRenderedPageBreak/>
        <w:t xml:space="preserve">Mucoadhesive </w:t>
      </w:r>
      <w:r w:rsidR="004561A3" w:rsidRPr="00EA3F9A">
        <w:rPr>
          <w:rFonts w:ascii="Times New Roman" w:hAnsi="Times New Roman" w:cs="Times New Roman"/>
          <w:b/>
          <w:sz w:val="24"/>
          <w:szCs w:val="24"/>
        </w:rPr>
        <w:t>Significance in Drug D</w:t>
      </w:r>
      <w:r w:rsidRPr="00EA3F9A">
        <w:rPr>
          <w:rFonts w:ascii="Times New Roman" w:hAnsi="Times New Roman" w:cs="Times New Roman"/>
          <w:b/>
          <w:sz w:val="24"/>
          <w:szCs w:val="24"/>
        </w:rPr>
        <w:t>elivery</w:t>
      </w:r>
    </w:p>
    <w:p w14:paraId="0D2FD9AE" w14:textId="77777777" w:rsidR="00EF2E5B" w:rsidRPr="00EA3F9A" w:rsidRDefault="004561A3" w:rsidP="00B32E6A">
      <w:p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Mucoadhesive qualities ensure longer contact for medication absorption by extending the residence duration of drug delivery systems on the buccal mucosa.</w:t>
      </w:r>
      <w:r w:rsidR="00C440C7" w:rsidRPr="00EA3F9A">
        <w:rPr>
          <w:rFonts w:ascii="Times New Roman" w:hAnsi="Times New Roman" w:cs="Times New Roman"/>
          <w:sz w:val="24"/>
          <w:szCs w:val="24"/>
        </w:rPr>
        <w:t xml:space="preserve"> </w:t>
      </w:r>
      <w:r w:rsidRPr="00EA3F9A">
        <w:rPr>
          <w:rFonts w:ascii="Times New Roman" w:hAnsi="Times New Roman" w:cs="Times New Roman"/>
          <w:sz w:val="24"/>
          <w:szCs w:val="24"/>
        </w:rPr>
        <w:t>Drug bioavailability is improved and sustained drug release is possible with a longer residence duration. Better medication absorption across the buccal epithelium is achieved when there is more contact between the mucosa and the drug delivery device.</w:t>
      </w:r>
      <w:r w:rsidR="00C440C7" w:rsidRPr="00EA3F9A">
        <w:rPr>
          <w:rFonts w:ascii="Times New Roman" w:hAnsi="Times New Roman" w:cs="Times New Roman"/>
          <w:sz w:val="24"/>
          <w:szCs w:val="24"/>
        </w:rPr>
        <w:t xml:space="preserve"> </w:t>
      </w:r>
      <w:r w:rsidRPr="00EA3F9A">
        <w:rPr>
          <w:rFonts w:ascii="Times New Roman" w:hAnsi="Times New Roman" w:cs="Times New Roman"/>
          <w:sz w:val="24"/>
          <w:szCs w:val="24"/>
        </w:rPr>
        <w:t xml:space="preserve">Lower variability in medication plasma concentrations and enhanced therapeutic effectiveness are the results of increased drug </w:t>
      </w:r>
      <w:proofErr w:type="gramStart"/>
      <w:r w:rsidRPr="00EA3F9A">
        <w:rPr>
          <w:rFonts w:ascii="Times New Roman" w:hAnsi="Times New Roman" w:cs="Times New Roman"/>
          <w:sz w:val="24"/>
          <w:szCs w:val="24"/>
        </w:rPr>
        <w:t>absorption</w:t>
      </w:r>
      <w:r w:rsidR="00A50B27" w:rsidRPr="00EA3F9A">
        <w:rPr>
          <w:rFonts w:ascii="Times New Roman" w:hAnsi="Times New Roman" w:cs="Times New Roman"/>
          <w:sz w:val="24"/>
          <w:szCs w:val="24"/>
        </w:rPr>
        <w:t>(</w:t>
      </w:r>
      <w:proofErr w:type="gramEnd"/>
      <w:r w:rsidR="00A50B27" w:rsidRPr="00EA3F9A">
        <w:rPr>
          <w:rFonts w:ascii="Times New Roman" w:hAnsi="Times New Roman" w:cs="Times New Roman"/>
          <w:sz w:val="24"/>
          <w:szCs w:val="24"/>
        </w:rPr>
        <w:t>9)</w:t>
      </w:r>
      <w:r w:rsidRPr="00EA3F9A">
        <w:rPr>
          <w:rFonts w:ascii="Times New Roman" w:hAnsi="Times New Roman" w:cs="Times New Roman"/>
          <w:sz w:val="24"/>
          <w:szCs w:val="24"/>
        </w:rPr>
        <w:t>.</w:t>
      </w:r>
    </w:p>
    <w:p w14:paraId="7FBEA7E5" w14:textId="77777777" w:rsidR="00FF2CF5" w:rsidRPr="00EA3F9A" w:rsidRDefault="00FF2CF5" w:rsidP="00B32E6A">
      <w:p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Factor Influencing Bioadhesion:</w:t>
      </w:r>
    </w:p>
    <w:p w14:paraId="503C0B87" w14:textId="77777777" w:rsidR="00C50325" w:rsidRPr="00EA3F9A" w:rsidRDefault="006A4BD8" w:rsidP="00B32E6A">
      <w:pPr>
        <w:pStyle w:val="ListParagraph"/>
        <w:numPr>
          <w:ilvl w:val="0"/>
          <w:numId w:val="12"/>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Material Properties:</w:t>
      </w:r>
    </w:p>
    <w:p w14:paraId="2A932651" w14:textId="77777777" w:rsidR="00222FB3" w:rsidRPr="00EA3F9A" w:rsidRDefault="00222FB3" w:rsidP="00B32E6A">
      <w:pPr>
        <w:pStyle w:val="ListParagraph"/>
        <w:spacing w:line="360" w:lineRule="auto"/>
        <w:ind w:left="834"/>
        <w:jc w:val="both"/>
        <w:rPr>
          <w:rFonts w:ascii="Times New Roman" w:hAnsi="Times New Roman" w:cs="Times New Roman"/>
          <w:b/>
          <w:sz w:val="24"/>
          <w:szCs w:val="24"/>
        </w:rPr>
      </w:pPr>
    </w:p>
    <w:p w14:paraId="6A31B6F5" w14:textId="77777777" w:rsidR="006A4BD8" w:rsidRPr="00EA3F9A" w:rsidRDefault="006A4BD8" w:rsidP="00B32E6A">
      <w:pPr>
        <w:pStyle w:val="ListParagraph"/>
        <w:numPr>
          <w:ilvl w:val="0"/>
          <w:numId w:val="11"/>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Polymer kind:</w:t>
      </w:r>
      <w:r w:rsidRPr="00EA3F9A">
        <w:rPr>
          <w:rFonts w:ascii="Times New Roman" w:hAnsi="Times New Roman" w:cs="Times New Roman"/>
          <w:sz w:val="24"/>
          <w:szCs w:val="24"/>
        </w:rPr>
        <w:t xml:space="preserve"> Bioadhesion is greatly influenced by the kind of polymer utilized in the formulation. Since they interact with mucosal surfaces, mucoadhesive polymers such as chitosan, cellulose derivatives, and carbomers are often used.</w:t>
      </w:r>
    </w:p>
    <w:p w14:paraId="1044C46D" w14:textId="77777777" w:rsidR="006A4BD8" w:rsidRPr="00EA3F9A" w:rsidRDefault="006A4BD8" w:rsidP="00B32E6A">
      <w:pPr>
        <w:pStyle w:val="ListParagraph"/>
        <w:numPr>
          <w:ilvl w:val="0"/>
          <w:numId w:val="11"/>
        </w:num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 xml:space="preserve"> </w:t>
      </w:r>
      <w:r w:rsidRPr="00EA3F9A">
        <w:rPr>
          <w:rFonts w:ascii="Times New Roman" w:hAnsi="Times New Roman" w:cs="Times New Roman"/>
          <w:b/>
          <w:sz w:val="24"/>
          <w:szCs w:val="24"/>
        </w:rPr>
        <w:t>Molecular Weight of the Polymer:</w:t>
      </w:r>
      <w:r w:rsidRPr="00EA3F9A">
        <w:rPr>
          <w:rFonts w:ascii="Times New Roman" w:hAnsi="Times New Roman" w:cs="Times New Roman"/>
          <w:sz w:val="24"/>
          <w:szCs w:val="24"/>
        </w:rPr>
        <w:t xml:space="preserve"> Polymers with a higher molecular weight often have superior bioadhesive qualities. Prolonged contact with the mucosa is encouraged by longer polymer chains, which also increase mucoadhesive strength.</w:t>
      </w:r>
    </w:p>
    <w:p w14:paraId="393040E5" w14:textId="77777777" w:rsidR="006A4BD8" w:rsidRPr="00EA3F9A" w:rsidRDefault="006A4BD8" w:rsidP="00B32E6A">
      <w:pPr>
        <w:pStyle w:val="ListParagraph"/>
        <w:numPr>
          <w:ilvl w:val="0"/>
          <w:numId w:val="11"/>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Polymer Concentration:</w:t>
      </w:r>
      <w:r w:rsidRPr="00EA3F9A">
        <w:rPr>
          <w:rFonts w:ascii="Times New Roman" w:hAnsi="Times New Roman" w:cs="Times New Roman"/>
          <w:sz w:val="24"/>
          <w:szCs w:val="24"/>
        </w:rPr>
        <w:t xml:space="preserve"> Adhesive strength is influenced by the amount of mucoadhesive polymer in the formulation. More concentrations usually lead to more bioadhesion.</w:t>
      </w:r>
    </w:p>
    <w:p w14:paraId="0B366CFB" w14:textId="77777777" w:rsidR="00662661" w:rsidRPr="00EA3F9A" w:rsidRDefault="00662661" w:rsidP="00B32E6A">
      <w:pPr>
        <w:pStyle w:val="ListParagraph"/>
        <w:numPr>
          <w:ilvl w:val="0"/>
          <w:numId w:val="11"/>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Chemical Structure:</w:t>
      </w:r>
      <w:r w:rsidRPr="00EA3F9A">
        <w:rPr>
          <w:rFonts w:ascii="Times New Roman" w:hAnsi="Times New Roman" w:cs="Times New Roman"/>
          <w:sz w:val="24"/>
          <w:szCs w:val="24"/>
        </w:rPr>
        <w:t xml:space="preserve"> The kind and intensity of contacts with mucosal surfaces are dictated by the mucoadhesive polymer's chemical structure. Functional groups that form hydrogen bonds, such hydroxyl or amino groups, can improve adhesion.</w:t>
      </w:r>
    </w:p>
    <w:p w14:paraId="41FFA037" w14:textId="77777777" w:rsidR="006602BB" w:rsidRPr="00EA3F9A" w:rsidRDefault="00AE2C8F" w:rsidP="00B32E6A">
      <w:pPr>
        <w:pStyle w:val="ListParagraph"/>
        <w:numPr>
          <w:ilvl w:val="0"/>
          <w:numId w:val="11"/>
        </w:num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 xml:space="preserve"> </w:t>
      </w:r>
      <w:r w:rsidRPr="00EA3F9A">
        <w:rPr>
          <w:rFonts w:ascii="Times New Roman" w:hAnsi="Times New Roman" w:cs="Times New Roman"/>
          <w:b/>
          <w:sz w:val="24"/>
          <w:szCs w:val="24"/>
        </w:rPr>
        <w:t>Establishing cross-links:</w:t>
      </w:r>
      <w:r w:rsidR="00FF2CF5" w:rsidRPr="00EA3F9A">
        <w:rPr>
          <w:rFonts w:ascii="Times New Roman" w:hAnsi="Times New Roman" w:cs="Times New Roman"/>
          <w:b/>
          <w:sz w:val="24"/>
          <w:szCs w:val="24"/>
        </w:rPr>
        <w:t xml:space="preserve"> </w:t>
      </w:r>
      <w:r w:rsidR="00662661" w:rsidRPr="00EA3F9A">
        <w:rPr>
          <w:rFonts w:ascii="Times New Roman" w:hAnsi="Times New Roman" w:cs="Times New Roman"/>
          <w:sz w:val="24"/>
          <w:szCs w:val="24"/>
        </w:rPr>
        <w:t xml:space="preserve">The stability of the mucoadhesive system can be improved by crosslinking within the polymer matrix, which affects the strength and persistence of </w:t>
      </w:r>
      <w:proofErr w:type="gramStart"/>
      <w:r w:rsidR="00662661" w:rsidRPr="00EA3F9A">
        <w:rPr>
          <w:rFonts w:ascii="Times New Roman" w:hAnsi="Times New Roman" w:cs="Times New Roman"/>
          <w:sz w:val="24"/>
          <w:szCs w:val="24"/>
        </w:rPr>
        <w:t>adhesion</w:t>
      </w:r>
      <w:r w:rsidR="00A50B27" w:rsidRPr="00EA3F9A">
        <w:rPr>
          <w:rFonts w:ascii="Times New Roman" w:hAnsi="Times New Roman" w:cs="Times New Roman"/>
          <w:sz w:val="24"/>
          <w:szCs w:val="24"/>
        </w:rPr>
        <w:t>(</w:t>
      </w:r>
      <w:proofErr w:type="gramEnd"/>
      <w:r w:rsidR="00A50B27" w:rsidRPr="00EA3F9A">
        <w:rPr>
          <w:rFonts w:ascii="Times New Roman" w:hAnsi="Times New Roman" w:cs="Times New Roman"/>
          <w:sz w:val="24"/>
          <w:szCs w:val="24"/>
        </w:rPr>
        <w:t>10)</w:t>
      </w:r>
      <w:r w:rsidR="00662661" w:rsidRPr="00EA3F9A">
        <w:rPr>
          <w:rFonts w:ascii="Times New Roman" w:hAnsi="Times New Roman" w:cs="Times New Roman"/>
          <w:sz w:val="24"/>
          <w:szCs w:val="24"/>
        </w:rPr>
        <w:t>.</w:t>
      </w:r>
    </w:p>
    <w:p w14:paraId="06B23F51" w14:textId="77777777" w:rsidR="00222FB3" w:rsidRPr="00EA3F9A" w:rsidRDefault="006602BB" w:rsidP="00B32E6A">
      <w:pPr>
        <w:pStyle w:val="ListParagraph"/>
        <w:numPr>
          <w:ilvl w:val="0"/>
          <w:numId w:val="12"/>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Physiological Factors:</w:t>
      </w:r>
    </w:p>
    <w:p w14:paraId="7F33B806" w14:textId="77777777" w:rsidR="00222FB3" w:rsidRPr="00EA3F9A" w:rsidRDefault="00222FB3" w:rsidP="00B32E6A">
      <w:pPr>
        <w:spacing w:after="0" w:line="360" w:lineRule="auto"/>
        <w:jc w:val="both"/>
        <w:rPr>
          <w:rFonts w:ascii="Times New Roman" w:hAnsi="Times New Roman" w:cs="Times New Roman"/>
          <w:b/>
          <w:sz w:val="24"/>
          <w:szCs w:val="24"/>
        </w:rPr>
      </w:pPr>
      <w:r w:rsidRPr="00EA3F9A">
        <w:rPr>
          <w:rFonts w:ascii="Times New Roman" w:hAnsi="Times New Roman" w:cs="Times New Roman"/>
          <w:b/>
          <w:sz w:val="24"/>
          <w:szCs w:val="24"/>
        </w:rPr>
        <w:lastRenderedPageBreak/>
        <w:t xml:space="preserve"> </w:t>
      </w:r>
      <w:r w:rsidR="006602BB" w:rsidRPr="00EA3F9A">
        <w:rPr>
          <w:rFonts w:ascii="Times New Roman" w:hAnsi="Times New Roman" w:cs="Times New Roman"/>
          <w:b/>
          <w:sz w:val="24"/>
          <w:szCs w:val="24"/>
        </w:rPr>
        <w:t>Mucosal Surface Characteristics:</w:t>
      </w:r>
      <w:r w:rsidR="006602BB" w:rsidRPr="00EA3F9A">
        <w:rPr>
          <w:rFonts w:ascii="Times New Roman" w:hAnsi="Times New Roman" w:cs="Times New Roman"/>
          <w:sz w:val="24"/>
          <w:szCs w:val="24"/>
        </w:rPr>
        <w:t xml:space="preserve"> Individual differences exist in the composition and topography of the buccal mucosa. The degree of hydration, surface charge, and roughness can all affect how well mucoadhesive systems interact.</w:t>
      </w:r>
    </w:p>
    <w:p w14:paraId="7E27C7D2" w14:textId="77777777" w:rsidR="006602BB" w:rsidRPr="00EA3F9A" w:rsidRDefault="006602BB" w:rsidP="00B32E6A">
      <w:pPr>
        <w:spacing w:after="0" w:line="360" w:lineRule="auto"/>
        <w:jc w:val="both"/>
        <w:rPr>
          <w:rFonts w:ascii="Times New Roman" w:hAnsi="Times New Roman" w:cs="Times New Roman"/>
          <w:sz w:val="24"/>
          <w:szCs w:val="24"/>
        </w:rPr>
      </w:pPr>
      <w:r w:rsidRPr="00EA3F9A">
        <w:rPr>
          <w:rFonts w:ascii="Times New Roman" w:hAnsi="Times New Roman" w:cs="Times New Roman"/>
          <w:sz w:val="24"/>
          <w:szCs w:val="24"/>
        </w:rPr>
        <w:t xml:space="preserve"> </w:t>
      </w:r>
      <w:r w:rsidRPr="00EA3F9A">
        <w:rPr>
          <w:rFonts w:ascii="Times New Roman" w:hAnsi="Times New Roman" w:cs="Times New Roman"/>
          <w:b/>
          <w:sz w:val="24"/>
          <w:szCs w:val="24"/>
        </w:rPr>
        <w:t>Saliva composition:</w:t>
      </w:r>
      <w:r w:rsidRPr="00EA3F9A">
        <w:rPr>
          <w:rFonts w:ascii="Times New Roman" w:hAnsi="Times New Roman" w:cs="Times New Roman"/>
          <w:sz w:val="24"/>
          <w:szCs w:val="24"/>
        </w:rPr>
        <w:t xml:space="preserve"> The adhesive qualities of saliva are influenced by its composition, which includes its mucin concentration and viscosity. Saliva has properties that can either help or inhibit bioadhesion.</w:t>
      </w:r>
    </w:p>
    <w:p w14:paraId="5729B70D" w14:textId="77777777" w:rsidR="00222FB3" w:rsidRPr="00EA3F9A" w:rsidRDefault="00222FB3" w:rsidP="00B32E6A">
      <w:pPr>
        <w:spacing w:after="0" w:line="360" w:lineRule="auto"/>
        <w:jc w:val="both"/>
        <w:rPr>
          <w:rFonts w:ascii="Times New Roman" w:hAnsi="Times New Roman" w:cs="Times New Roman"/>
          <w:b/>
          <w:sz w:val="24"/>
          <w:szCs w:val="24"/>
        </w:rPr>
      </w:pPr>
    </w:p>
    <w:p w14:paraId="76605FFC" w14:textId="77777777" w:rsidR="00222FB3" w:rsidRPr="00EA3F9A" w:rsidRDefault="00210634" w:rsidP="00B32E6A">
      <w:pPr>
        <w:pStyle w:val="ListParagraph"/>
        <w:numPr>
          <w:ilvl w:val="0"/>
          <w:numId w:val="12"/>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 xml:space="preserve">Formulation Factors: </w:t>
      </w:r>
    </w:p>
    <w:p w14:paraId="6A4F46D2" w14:textId="77777777" w:rsidR="00210634" w:rsidRPr="00EA3F9A" w:rsidRDefault="00210634"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Drug Properties:</w:t>
      </w:r>
      <w:r w:rsidRPr="00EA3F9A">
        <w:rPr>
          <w:rFonts w:ascii="Times New Roman" w:hAnsi="Times New Roman" w:cs="Times New Roman"/>
          <w:sz w:val="24"/>
          <w:szCs w:val="24"/>
        </w:rPr>
        <w:t xml:space="preserve"> The drug's size, charge, and lipophilicity are among its physicochemical characteristics that affect how it interacts with mucoadhesive polymers and the mucosal surface.</w:t>
      </w:r>
    </w:p>
    <w:p w14:paraId="7E5CE54A" w14:textId="77777777" w:rsidR="00210634" w:rsidRPr="00EA3F9A" w:rsidRDefault="00222FB3"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Drug</w:t>
      </w:r>
      <w:r w:rsidR="00210634" w:rsidRPr="00EA3F9A">
        <w:rPr>
          <w:rFonts w:ascii="Times New Roman" w:hAnsi="Times New Roman" w:cs="Times New Roman"/>
          <w:b/>
          <w:sz w:val="24"/>
          <w:szCs w:val="24"/>
        </w:rPr>
        <w:t xml:space="preserve"> Loading:</w:t>
      </w:r>
      <w:r w:rsidR="00210634" w:rsidRPr="00EA3F9A">
        <w:rPr>
          <w:rFonts w:ascii="Times New Roman" w:hAnsi="Times New Roman" w:cs="Times New Roman"/>
          <w:sz w:val="24"/>
          <w:szCs w:val="24"/>
        </w:rPr>
        <w:t xml:space="preserve"> Bioadhesion may be impacted by the quantity of medicine included in the mucoadhesive formulation. Adhesion strength and rheological characteristics may change with high drug loading</w:t>
      </w:r>
      <w:r w:rsidR="003B1192" w:rsidRPr="00EA3F9A">
        <w:rPr>
          <w:rFonts w:ascii="Times New Roman" w:hAnsi="Times New Roman" w:cs="Times New Roman"/>
          <w:sz w:val="24"/>
          <w:szCs w:val="24"/>
        </w:rPr>
        <w:t xml:space="preserve"> </w:t>
      </w:r>
      <w:r w:rsidR="00177164" w:rsidRPr="00EA3F9A">
        <w:rPr>
          <w:rFonts w:ascii="Times New Roman" w:hAnsi="Times New Roman" w:cs="Times New Roman"/>
          <w:sz w:val="24"/>
          <w:szCs w:val="24"/>
        </w:rPr>
        <w:t>(10,11)</w:t>
      </w:r>
      <w:r w:rsidR="00210634" w:rsidRPr="00EA3F9A">
        <w:rPr>
          <w:rFonts w:ascii="Times New Roman" w:hAnsi="Times New Roman" w:cs="Times New Roman"/>
          <w:sz w:val="24"/>
          <w:szCs w:val="24"/>
        </w:rPr>
        <w:t>.</w:t>
      </w:r>
    </w:p>
    <w:p w14:paraId="4CD54384" w14:textId="77777777" w:rsidR="00E0701E" w:rsidRPr="00EA3F9A" w:rsidRDefault="00856539" w:rsidP="00B32E6A">
      <w:pPr>
        <w:pStyle w:val="ListParagraph"/>
        <w:numPr>
          <w:ilvl w:val="0"/>
          <w:numId w:val="12"/>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Patient-Related Factors</w:t>
      </w:r>
      <w:r w:rsidR="00E0701E" w:rsidRPr="00EA3F9A">
        <w:rPr>
          <w:rFonts w:ascii="Times New Roman" w:hAnsi="Times New Roman" w:cs="Times New Roman"/>
          <w:b/>
          <w:sz w:val="24"/>
          <w:szCs w:val="24"/>
        </w:rPr>
        <w:t>:</w:t>
      </w:r>
    </w:p>
    <w:p w14:paraId="2C8BEDB4" w14:textId="77777777" w:rsidR="00E0701E" w:rsidRPr="00EA3F9A" w:rsidRDefault="00E0701E"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Individual Variability:</w:t>
      </w:r>
      <w:r w:rsidRPr="00EA3F9A">
        <w:rPr>
          <w:rFonts w:ascii="Times New Roman" w:hAnsi="Times New Roman" w:cs="Times New Roman"/>
          <w:sz w:val="24"/>
          <w:szCs w:val="24"/>
        </w:rPr>
        <w:t xml:space="preserve"> Due to variations in salivary content, mucosal features, and oral physiology, bioadhesive systems may behave differently in different people.</w:t>
      </w:r>
    </w:p>
    <w:p w14:paraId="0F2AE890" w14:textId="77777777" w:rsidR="00A16E4B" w:rsidRPr="00EA3F9A" w:rsidRDefault="00E0701E"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Patient Compliance:</w:t>
      </w:r>
      <w:r w:rsidRPr="00EA3F9A">
        <w:rPr>
          <w:rFonts w:ascii="Times New Roman" w:hAnsi="Times New Roman" w:cs="Times New Roman"/>
          <w:sz w:val="24"/>
          <w:szCs w:val="24"/>
        </w:rPr>
        <w:t xml:space="preserve"> The efficacy of the mucoadhesive system may be impacted by patient acceptability and convenience of administration. Convenience and comfort have a role in patient compliance.</w:t>
      </w:r>
    </w:p>
    <w:p w14:paraId="7C288B70" w14:textId="77777777" w:rsidR="00A16E4B" w:rsidRPr="00EA3F9A" w:rsidRDefault="00A16E4B" w:rsidP="00B32E6A">
      <w:p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Buccal Drug Delivery Using Bioadhesive Polymers</w:t>
      </w:r>
    </w:p>
    <w:p w14:paraId="3A7A518E" w14:textId="77777777" w:rsidR="00A16E4B" w:rsidRPr="00EA3F9A" w:rsidRDefault="00C96D18" w:rsidP="00B32E6A">
      <w:pPr>
        <w:pStyle w:val="ListParagraph"/>
        <w:numPr>
          <w:ilvl w:val="0"/>
          <w:numId w:val="14"/>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Natural Polymer</w:t>
      </w:r>
    </w:p>
    <w:p w14:paraId="019796D2" w14:textId="77777777" w:rsidR="00C96D18" w:rsidRPr="00EA3F9A" w:rsidRDefault="00C96D18" w:rsidP="00B32E6A">
      <w:pPr>
        <w:pStyle w:val="ListParagraph"/>
        <w:numPr>
          <w:ilvl w:val="0"/>
          <w:numId w:val="14"/>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Synthetic Polymer</w:t>
      </w:r>
    </w:p>
    <w:p w14:paraId="2F81AEC9" w14:textId="77777777" w:rsidR="00A16E4B" w:rsidRPr="00EA3F9A" w:rsidRDefault="006E0C21"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1. Natural</w:t>
      </w:r>
      <w:r w:rsidR="00A16E4B" w:rsidRPr="00EA3F9A">
        <w:rPr>
          <w:rFonts w:ascii="Times New Roman" w:hAnsi="Times New Roman" w:cs="Times New Roman"/>
          <w:b/>
          <w:sz w:val="24"/>
          <w:szCs w:val="24"/>
        </w:rPr>
        <w:t xml:space="preserve"> Polymers:</w:t>
      </w:r>
    </w:p>
    <w:p w14:paraId="1D1B2D37" w14:textId="77777777" w:rsidR="00A16E4B" w:rsidRPr="00EA3F9A" w:rsidRDefault="00C96D18" w:rsidP="00B32E6A">
      <w:pPr>
        <w:pStyle w:val="ListParagraph"/>
        <w:numPr>
          <w:ilvl w:val="0"/>
          <w:numId w:val="13"/>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Chitosan:</w:t>
      </w:r>
      <w:r w:rsidRPr="00EA3F9A">
        <w:rPr>
          <w:rFonts w:ascii="Times New Roman" w:hAnsi="Times New Roman" w:cs="Times New Roman"/>
          <w:sz w:val="24"/>
          <w:szCs w:val="24"/>
        </w:rPr>
        <w:t xml:space="preserve"> </w:t>
      </w:r>
      <w:r w:rsidR="00A16E4B" w:rsidRPr="00EA3F9A">
        <w:rPr>
          <w:rFonts w:ascii="Times New Roman" w:hAnsi="Times New Roman" w:cs="Times New Roman"/>
          <w:sz w:val="24"/>
          <w:szCs w:val="24"/>
        </w:rPr>
        <w:t>Made from the polysaccharide chitin, which is present in the exoskeleton of crustaceans. Electrostatic and hydrogen bonding interactions between positively charged amino groups and negatively charged mucosal surfaces are made possible.</w:t>
      </w:r>
      <w:r w:rsidRPr="00EA3F9A">
        <w:rPr>
          <w:rFonts w:ascii="Times New Roman" w:hAnsi="Times New Roman" w:cs="Times New Roman"/>
          <w:sz w:val="24"/>
          <w:szCs w:val="24"/>
        </w:rPr>
        <w:t xml:space="preserve"> It is used for </w:t>
      </w:r>
      <w:r w:rsidR="00A16E4B" w:rsidRPr="00EA3F9A">
        <w:rPr>
          <w:rFonts w:ascii="Times New Roman" w:hAnsi="Times New Roman" w:cs="Times New Roman"/>
          <w:sz w:val="24"/>
          <w:szCs w:val="24"/>
        </w:rPr>
        <w:t>prolonged medication release, used in gels, pills, and buccal films.</w:t>
      </w:r>
    </w:p>
    <w:p w14:paraId="36A24DF1" w14:textId="77777777" w:rsidR="00A16E4B" w:rsidRPr="00EA3F9A" w:rsidRDefault="00C96D18" w:rsidP="00B32E6A">
      <w:pPr>
        <w:pStyle w:val="ListParagraph"/>
        <w:numPr>
          <w:ilvl w:val="0"/>
          <w:numId w:val="13"/>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lastRenderedPageBreak/>
        <w:t>S</w:t>
      </w:r>
      <w:r w:rsidR="00A16E4B" w:rsidRPr="00EA3F9A">
        <w:rPr>
          <w:rFonts w:ascii="Times New Roman" w:hAnsi="Times New Roman" w:cs="Times New Roman"/>
          <w:b/>
          <w:sz w:val="24"/>
          <w:szCs w:val="24"/>
        </w:rPr>
        <w:t xml:space="preserve">odium </w:t>
      </w:r>
      <w:proofErr w:type="gramStart"/>
      <w:r w:rsidR="00A16E4B" w:rsidRPr="00EA3F9A">
        <w:rPr>
          <w:rFonts w:ascii="Times New Roman" w:hAnsi="Times New Roman" w:cs="Times New Roman"/>
          <w:b/>
          <w:sz w:val="24"/>
          <w:szCs w:val="24"/>
        </w:rPr>
        <w:t>alginate</w:t>
      </w:r>
      <w:r w:rsidRPr="00EA3F9A">
        <w:rPr>
          <w:rFonts w:ascii="Times New Roman" w:hAnsi="Times New Roman" w:cs="Times New Roman"/>
          <w:b/>
          <w:sz w:val="24"/>
          <w:szCs w:val="24"/>
        </w:rPr>
        <w:t xml:space="preserve"> :</w:t>
      </w:r>
      <w:r w:rsidRPr="00EA3F9A">
        <w:rPr>
          <w:rFonts w:ascii="Times New Roman" w:hAnsi="Times New Roman" w:cs="Times New Roman"/>
          <w:sz w:val="24"/>
          <w:szCs w:val="24"/>
        </w:rPr>
        <w:t>It</w:t>
      </w:r>
      <w:proofErr w:type="gramEnd"/>
      <w:r w:rsidRPr="00EA3F9A">
        <w:rPr>
          <w:rFonts w:ascii="Times New Roman" w:hAnsi="Times New Roman" w:cs="Times New Roman"/>
          <w:sz w:val="24"/>
          <w:szCs w:val="24"/>
        </w:rPr>
        <w:t xml:space="preserve"> is used for</w:t>
      </w:r>
      <w:r w:rsidR="00A16E4B" w:rsidRPr="00EA3F9A">
        <w:rPr>
          <w:rFonts w:ascii="Times New Roman" w:hAnsi="Times New Roman" w:cs="Times New Roman"/>
          <w:sz w:val="24"/>
          <w:szCs w:val="24"/>
        </w:rPr>
        <w:t xml:space="preserve"> films and mucoadhesive patches for controlled medication release.</w:t>
      </w:r>
    </w:p>
    <w:p w14:paraId="0B94E62A" w14:textId="77777777" w:rsidR="00A16E4B" w:rsidRPr="00EA3F9A" w:rsidRDefault="00C96D18" w:rsidP="00B32E6A">
      <w:pPr>
        <w:pStyle w:val="ListParagraph"/>
        <w:numPr>
          <w:ilvl w:val="0"/>
          <w:numId w:val="13"/>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Hyaluronic acid:</w:t>
      </w:r>
      <w:r w:rsidRPr="00EA3F9A">
        <w:rPr>
          <w:rFonts w:ascii="Times New Roman" w:hAnsi="Times New Roman" w:cs="Times New Roman"/>
          <w:sz w:val="24"/>
          <w:szCs w:val="24"/>
        </w:rPr>
        <w:t xml:space="preserve"> It </w:t>
      </w:r>
      <w:r w:rsidR="00A16E4B" w:rsidRPr="00EA3F9A">
        <w:rPr>
          <w:rFonts w:ascii="Times New Roman" w:hAnsi="Times New Roman" w:cs="Times New Roman"/>
          <w:sz w:val="24"/>
          <w:szCs w:val="24"/>
        </w:rPr>
        <w:t>Promotes mucoadhesion by forming hydro</w:t>
      </w:r>
      <w:r w:rsidR="004E680B" w:rsidRPr="00EA3F9A">
        <w:rPr>
          <w:rFonts w:ascii="Times New Roman" w:hAnsi="Times New Roman" w:cs="Times New Roman"/>
          <w:sz w:val="24"/>
          <w:szCs w:val="24"/>
        </w:rPr>
        <w:t xml:space="preserve">gels with a high water </w:t>
      </w:r>
      <w:proofErr w:type="spellStart"/>
      <w:proofErr w:type="gramStart"/>
      <w:r w:rsidR="004E680B" w:rsidRPr="00EA3F9A">
        <w:rPr>
          <w:rFonts w:ascii="Times New Roman" w:hAnsi="Times New Roman" w:cs="Times New Roman"/>
          <w:sz w:val="24"/>
          <w:szCs w:val="24"/>
        </w:rPr>
        <w:t>content.</w:t>
      </w:r>
      <w:r w:rsidR="00A16E4B" w:rsidRPr="00EA3F9A">
        <w:rPr>
          <w:rFonts w:ascii="Times New Roman" w:hAnsi="Times New Roman" w:cs="Times New Roman"/>
          <w:sz w:val="24"/>
          <w:szCs w:val="24"/>
        </w:rPr>
        <w:t>Because</w:t>
      </w:r>
      <w:proofErr w:type="spellEnd"/>
      <w:proofErr w:type="gramEnd"/>
      <w:r w:rsidR="00A16E4B" w:rsidRPr="00EA3F9A">
        <w:rPr>
          <w:rFonts w:ascii="Times New Roman" w:hAnsi="Times New Roman" w:cs="Times New Roman"/>
          <w:sz w:val="24"/>
          <w:szCs w:val="24"/>
        </w:rPr>
        <w:t xml:space="preserve"> of its biocompatibility and capacity to hold moisture, buccal medication administration uses it.</w:t>
      </w:r>
    </w:p>
    <w:p w14:paraId="6A4E9FB0" w14:textId="77777777" w:rsidR="00A16E4B" w:rsidRPr="00EA3F9A" w:rsidRDefault="006E0C21" w:rsidP="00B32E6A">
      <w:p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 xml:space="preserve">2. </w:t>
      </w:r>
      <w:r w:rsidRPr="00EA3F9A">
        <w:rPr>
          <w:rFonts w:ascii="Times New Roman" w:hAnsi="Times New Roman" w:cs="Times New Roman"/>
          <w:b/>
          <w:sz w:val="24"/>
          <w:szCs w:val="24"/>
        </w:rPr>
        <w:t xml:space="preserve">Synthetic </w:t>
      </w:r>
      <w:r w:rsidR="00A16E4B" w:rsidRPr="00EA3F9A">
        <w:rPr>
          <w:rFonts w:ascii="Times New Roman" w:hAnsi="Times New Roman" w:cs="Times New Roman"/>
          <w:b/>
          <w:sz w:val="24"/>
          <w:szCs w:val="24"/>
        </w:rPr>
        <w:t>Polymers:</w:t>
      </w:r>
    </w:p>
    <w:p w14:paraId="6551193F" w14:textId="77777777" w:rsidR="00A16E4B" w:rsidRPr="00EA3F9A" w:rsidRDefault="006E0C21"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P</w:t>
      </w:r>
      <w:r w:rsidR="00A16E4B" w:rsidRPr="00EA3F9A">
        <w:rPr>
          <w:rFonts w:ascii="Times New Roman" w:hAnsi="Times New Roman" w:cs="Times New Roman"/>
          <w:b/>
          <w:sz w:val="24"/>
          <w:szCs w:val="24"/>
        </w:rPr>
        <w:t>oly</w:t>
      </w:r>
      <w:r w:rsidRPr="00EA3F9A">
        <w:rPr>
          <w:rFonts w:ascii="Times New Roman" w:hAnsi="Times New Roman" w:cs="Times New Roman"/>
          <w:b/>
          <w:sz w:val="24"/>
          <w:szCs w:val="24"/>
        </w:rPr>
        <w:t xml:space="preserve"> </w:t>
      </w:r>
      <w:r w:rsidR="00A16E4B" w:rsidRPr="00EA3F9A">
        <w:rPr>
          <w:rFonts w:ascii="Times New Roman" w:hAnsi="Times New Roman" w:cs="Times New Roman"/>
          <w:b/>
          <w:sz w:val="24"/>
          <w:szCs w:val="24"/>
        </w:rPr>
        <w:t>(acrylic acid) (PAA)</w:t>
      </w:r>
      <w:r w:rsidRPr="00EA3F9A">
        <w:rPr>
          <w:rFonts w:ascii="Times New Roman" w:hAnsi="Times New Roman" w:cs="Times New Roman"/>
          <w:b/>
          <w:sz w:val="24"/>
          <w:szCs w:val="24"/>
        </w:rPr>
        <w:t>:</w:t>
      </w:r>
      <w:r w:rsidRPr="00EA3F9A">
        <w:rPr>
          <w:rFonts w:ascii="Times New Roman" w:hAnsi="Times New Roman" w:cs="Times New Roman"/>
          <w:sz w:val="24"/>
          <w:szCs w:val="24"/>
        </w:rPr>
        <w:t xml:space="preserve"> I</w:t>
      </w:r>
      <w:r w:rsidR="00A16E4B" w:rsidRPr="00EA3F9A">
        <w:rPr>
          <w:rFonts w:ascii="Times New Roman" w:hAnsi="Times New Roman" w:cs="Times New Roman"/>
          <w:sz w:val="24"/>
          <w:szCs w:val="24"/>
        </w:rPr>
        <w:t>nclude the formation of hydrogen bonds with mucosal surfaces.</w:t>
      </w:r>
      <w:r w:rsidRPr="00EA3F9A">
        <w:rPr>
          <w:rFonts w:ascii="Times New Roman" w:hAnsi="Times New Roman" w:cs="Times New Roman"/>
          <w:sz w:val="24"/>
          <w:szCs w:val="24"/>
        </w:rPr>
        <w:t xml:space="preserve"> </w:t>
      </w:r>
      <w:r w:rsidR="00A16E4B" w:rsidRPr="00EA3F9A">
        <w:rPr>
          <w:rFonts w:ascii="Times New Roman" w:hAnsi="Times New Roman" w:cs="Times New Roman"/>
          <w:sz w:val="24"/>
          <w:szCs w:val="24"/>
        </w:rPr>
        <w:t>Because of its bioadhesive and prolonged release qualities, it is included into buccal films and patches.</w:t>
      </w:r>
    </w:p>
    <w:p w14:paraId="73427ED1" w14:textId="77777777" w:rsidR="00A16E4B" w:rsidRPr="00EA3F9A" w:rsidRDefault="006E0C21"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P</w:t>
      </w:r>
      <w:r w:rsidR="00A16E4B" w:rsidRPr="00EA3F9A">
        <w:rPr>
          <w:rFonts w:ascii="Times New Roman" w:hAnsi="Times New Roman" w:cs="Times New Roman"/>
          <w:b/>
          <w:sz w:val="24"/>
          <w:szCs w:val="24"/>
        </w:rPr>
        <w:t>olyvinylpyrrolidone (PVP)</w:t>
      </w:r>
      <w:r w:rsidRPr="00EA3F9A">
        <w:rPr>
          <w:rFonts w:ascii="Times New Roman" w:hAnsi="Times New Roman" w:cs="Times New Roman"/>
          <w:b/>
          <w:sz w:val="24"/>
          <w:szCs w:val="24"/>
        </w:rPr>
        <w:t>:</w:t>
      </w:r>
      <w:r w:rsidRPr="00EA3F9A">
        <w:rPr>
          <w:rFonts w:ascii="Times New Roman" w:hAnsi="Times New Roman" w:cs="Times New Roman"/>
          <w:sz w:val="24"/>
          <w:szCs w:val="24"/>
        </w:rPr>
        <w:t xml:space="preserve"> C</w:t>
      </w:r>
      <w:r w:rsidR="00A16E4B" w:rsidRPr="00EA3F9A">
        <w:rPr>
          <w:rFonts w:ascii="Times New Roman" w:hAnsi="Times New Roman" w:cs="Times New Roman"/>
          <w:sz w:val="24"/>
          <w:szCs w:val="24"/>
        </w:rPr>
        <w:t>reate a cohesive and flexible coating on the mucosal surface.</w:t>
      </w:r>
      <w:r w:rsidRPr="00EA3F9A">
        <w:rPr>
          <w:rFonts w:ascii="Times New Roman" w:hAnsi="Times New Roman" w:cs="Times New Roman"/>
          <w:sz w:val="24"/>
          <w:szCs w:val="24"/>
        </w:rPr>
        <w:t xml:space="preserve"> </w:t>
      </w:r>
      <w:r w:rsidR="00A16E4B" w:rsidRPr="00EA3F9A">
        <w:rPr>
          <w:rFonts w:ascii="Times New Roman" w:hAnsi="Times New Roman" w:cs="Times New Roman"/>
          <w:sz w:val="24"/>
          <w:szCs w:val="24"/>
        </w:rPr>
        <w:t>Because of its mucoadhesive and film-forming properties, it is used in buccal patches and tablets.</w:t>
      </w:r>
    </w:p>
    <w:p w14:paraId="59081E92" w14:textId="77777777" w:rsidR="00B964FC" w:rsidRPr="00EA3F9A" w:rsidRDefault="00A16E4B"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Polyethylene Glycol (PEG):</w:t>
      </w:r>
      <w:r w:rsidRPr="00EA3F9A">
        <w:rPr>
          <w:rFonts w:ascii="Times New Roman" w:hAnsi="Times New Roman" w:cs="Times New Roman"/>
          <w:sz w:val="24"/>
          <w:szCs w:val="24"/>
        </w:rPr>
        <w:t xml:space="preserve"> Bioadhesive Properties: Promotes mucoadhesion by increasing formulation </w:t>
      </w:r>
      <w:proofErr w:type="spellStart"/>
      <w:proofErr w:type="gramStart"/>
      <w:r w:rsidRPr="00EA3F9A">
        <w:rPr>
          <w:rFonts w:ascii="Times New Roman" w:hAnsi="Times New Roman" w:cs="Times New Roman"/>
          <w:sz w:val="24"/>
          <w:szCs w:val="24"/>
        </w:rPr>
        <w:t>viscosity.To</w:t>
      </w:r>
      <w:proofErr w:type="spellEnd"/>
      <w:proofErr w:type="gramEnd"/>
      <w:r w:rsidRPr="00EA3F9A">
        <w:rPr>
          <w:rFonts w:ascii="Times New Roman" w:hAnsi="Times New Roman" w:cs="Times New Roman"/>
          <w:sz w:val="24"/>
          <w:szCs w:val="24"/>
        </w:rPr>
        <w:t xml:space="preserve"> increase adhesive strength, combine this polymer with others in buccal formulations</w:t>
      </w:r>
      <w:r w:rsidR="002D7195" w:rsidRPr="00EA3F9A">
        <w:rPr>
          <w:rFonts w:ascii="Times New Roman" w:hAnsi="Times New Roman" w:cs="Times New Roman"/>
          <w:sz w:val="24"/>
          <w:szCs w:val="24"/>
        </w:rPr>
        <w:t>(12, 13, 14)</w:t>
      </w:r>
      <w:r w:rsidRPr="00EA3F9A">
        <w:rPr>
          <w:rFonts w:ascii="Times New Roman" w:hAnsi="Times New Roman" w:cs="Times New Roman"/>
          <w:sz w:val="24"/>
          <w:szCs w:val="24"/>
        </w:rPr>
        <w:t>.</w:t>
      </w:r>
    </w:p>
    <w:p w14:paraId="2789B09D" w14:textId="77777777" w:rsidR="00B964FC" w:rsidRPr="00EA3F9A" w:rsidRDefault="00B964FC" w:rsidP="00B32E6A">
      <w:pPr>
        <w:pStyle w:val="ListParagraph"/>
        <w:numPr>
          <w:ilvl w:val="0"/>
          <w:numId w:val="9"/>
        </w:numPr>
        <w:spacing w:line="360" w:lineRule="auto"/>
        <w:jc w:val="both"/>
        <w:rPr>
          <w:rFonts w:ascii="Times New Roman" w:hAnsi="Times New Roman" w:cs="Times New Roman"/>
          <w:b/>
          <w:color w:val="0F0F0F"/>
          <w:sz w:val="24"/>
          <w:szCs w:val="24"/>
        </w:rPr>
      </w:pPr>
      <w:r w:rsidRPr="00EA3F9A">
        <w:rPr>
          <w:rFonts w:ascii="Times New Roman" w:hAnsi="Times New Roman" w:cs="Times New Roman"/>
          <w:b/>
          <w:color w:val="0F0F0F"/>
          <w:sz w:val="24"/>
          <w:szCs w:val="24"/>
        </w:rPr>
        <w:t>Permeability Across Buccal Mucosa</w:t>
      </w:r>
    </w:p>
    <w:p w14:paraId="68494E40" w14:textId="77777777" w:rsidR="00B964FC" w:rsidRPr="00EA3F9A" w:rsidRDefault="00B964FC" w:rsidP="00B32E6A">
      <w:p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 xml:space="preserve">One essential component of buccal medication delivery systems is permeability across the buccal mucosa. Drugs' bioavailability, effectiveness, and therapeutic results are influenced by their capacity to cross the mucosal barrier. The permeability across the buccal mucosa is influenced by many </w:t>
      </w:r>
      <w:proofErr w:type="gramStart"/>
      <w:r w:rsidRPr="00EA3F9A">
        <w:rPr>
          <w:rFonts w:ascii="Times New Roman" w:hAnsi="Times New Roman" w:cs="Times New Roman"/>
          <w:sz w:val="24"/>
          <w:szCs w:val="24"/>
        </w:rPr>
        <w:t>factors</w:t>
      </w:r>
      <w:r w:rsidR="00CF0F44" w:rsidRPr="00EA3F9A">
        <w:rPr>
          <w:rFonts w:ascii="Times New Roman" w:hAnsi="Times New Roman" w:cs="Times New Roman"/>
          <w:sz w:val="24"/>
          <w:szCs w:val="24"/>
        </w:rPr>
        <w:t>(</w:t>
      </w:r>
      <w:proofErr w:type="gramEnd"/>
      <w:r w:rsidR="00CF0F44" w:rsidRPr="00EA3F9A">
        <w:rPr>
          <w:rFonts w:ascii="Times New Roman" w:hAnsi="Times New Roman" w:cs="Times New Roman"/>
          <w:sz w:val="24"/>
          <w:szCs w:val="24"/>
        </w:rPr>
        <w:t>15)</w:t>
      </w:r>
      <w:r w:rsidRPr="00EA3F9A">
        <w:rPr>
          <w:rFonts w:ascii="Times New Roman" w:hAnsi="Times New Roman" w:cs="Times New Roman"/>
          <w:sz w:val="24"/>
          <w:szCs w:val="24"/>
        </w:rPr>
        <w:t>:</w:t>
      </w:r>
    </w:p>
    <w:p w14:paraId="5F4BD792" w14:textId="77777777" w:rsidR="00B964FC" w:rsidRPr="00EA3F9A" w:rsidRDefault="00B964FC"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Epithelial Structure</w:t>
      </w:r>
      <w:r w:rsidR="00592CF4" w:rsidRPr="00EA3F9A">
        <w:rPr>
          <w:rFonts w:ascii="Times New Roman" w:hAnsi="Times New Roman" w:cs="Times New Roman"/>
          <w:sz w:val="24"/>
          <w:szCs w:val="24"/>
        </w:rPr>
        <w:t xml:space="preserve">: </w:t>
      </w:r>
      <w:r w:rsidRPr="00EA3F9A">
        <w:rPr>
          <w:rFonts w:ascii="Times New Roman" w:hAnsi="Times New Roman" w:cs="Times New Roman"/>
          <w:sz w:val="24"/>
          <w:szCs w:val="24"/>
        </w:rPr>
        <w:t>Stratified squamous epithelium, which is less keratinized than skin epithelium, makes up the buccal mucosa. This increases the permeability of the buccal mucosa to several medications.</w:t>
      </w:r>
    </w:p>
    <w:p w14:paraId="7B99F293" w14:textId="77777777" w:rsidR="00B964FC" w:rsidRPr="00EA3F9A" w:rsidRDefault="00B964FC"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Junctions between cells:</w:t>
      </w:r>
      <w:r w:rsidR="00592CF4" w:rsidRPr="00EA3F9A">
        <w:rPr>
          <w:rFonts w:ascii="Times New Roman" w:hAnsi="Times New Roman" w:cs="Times New Roman"/>
          <w:sz w:val="24"/>
          <w:szCs w:val="24"/>
        </w:rPr>
        <w:t xml:space="preserve"> </w:t>
      </w:r>
      <w:r w:rsidRPr="00EA3F9A">
        <w:rPr>
          <w:rFonts w:ascii="Times New Roman" w:hAnsi="Times New Roman" w:cs="Times New Roman"/>
          <w:sz w:val="24"/>
          <w:szCs w:val="24"/>
        </w:rPr>
        <w:t>Transport between cells within an epithelium is controlled by tight junctions. The tightness of these junctions can affect the permeability of the buccal mucosa, facilitating or obstructing the transfer of medications between cells.</w:t>
      </w:r>
    </w:p>
    <w:p w14:paraId="5BFBD8E0" w14:textId="77777777" w:rsidR="00B964FC" w:rsidRPr="00EA3F9A" w:rsidRDefault="00B964FC"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lastRenderedPageBreak/>
        <w:t>Mucus Layer:</w:t>
      </w:r>
      <w:r w:rsidRPr="00EA3F9A">
        <w:rPr>
          <w:rFonts w:ascii="Times New Roman" w:hAnsi="Times New Roman" w:cs="Times New Roman"/>
          <w:sz w:val="24"/>
          <w:szCs w:val="24"/>
        </w:rPr>
        <w:t xml:space="preserve"> The buccal mucosa's mucus layer serves two purposes. It functions as a reservoir for prolonged drug release as well as a barrier that prevents drug penetration, particularly in the case of mucoadhesive formulations.</w:t>
      </w:r>
    </w:p>
    <w:p w14:paraId="67BC03BB" w14:textId="77777777" w:rsidR="00B964FC" w:rsidRPr="00EA3F9A" w:rsidRDefault="00B964FC"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Blood Supply:</w:t>
      </w:r>
      <w:r w:rsidRPr="00EA3F9A">
        <w:rPr>
          <w:rFonts w:ascii="Times New Roman" w:hAnsi="Times New Roman" w:cs="Times New Roman"/>
          <w:sz w:val="24"/>
          <w:szCs w:val="24"/>
        </w:rPr>
        <w:t xml:space="preserve"> Drugs are rapidly absorbed into the circulation thanks to the buccal mucosa's extensive vascular network. Small, lipophilic substances can enter the bloodstream through the submucosal blood arteries.</w:t>
      </w:r>
    </w:p>
    <w:p w14:paraId="32E80E87" w14:textId="77777777" w:rsidR="00B964FC" w:rsidRPr="00EA3F9A" w:rsidRDefault="00B964FC"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Lipophilicity:</w:t>
      </w:r>
      <w:r w:rsidRPr="00EA3F9A">
        <w:rPr>
          <w:rFonts w:ascii="Times New Roman" w:hAnsi="Times New Roman" w:cs="Times New Roman"/>
          <w:sz w:val="24"/>
          <w:szCs w:val="24"/>
        </w:rPr>
        <w:t xml:space="preserve"> Because the cell membranes of lipophilic medicines are lipid-rich, these medications often exhibit increased permeability across the buccal mucosa.</w:t>
      </w:r>
    </w:p>
    <w:p w14:paraId="0B82129C" w14:textId="77777777" w:rsidR="00B964FC" w:rsidRPr="00EA3F9A" w:rsidRDefault="00B964FC"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Molecular Size:</w:t>
      </w:r>
      <w:r w:rsidRPr="00EA3F9A">
        <w:rPr>
          <w:rFonts w:ascii="Times New Roman" w:hAnsi="Times New Roman" w:cs="Times New Roman"/>
          <w:sz w:val="24"/>
          <w:szCs w:val="24"/>
        </w:rPr>
        <w:t xml:space="preserve"> Because they can fit through the narrow gaps between cells, small molecules are more permeable than bigger ones.</w:t>
      </w:r>
    </w:p>
    <w:p w14:paraId="18109BAE" w14:textId="77777777" w:rsidR="00B964FC" w:rsidRPr="00EA3F9A" w:rsidRDefault="00CD6297"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p</w:t>
      </w:r>
      <w:r w:rsidR="00B964FC" w:rsidRPr="00EA3F9A">
        <w:rPr>
          <w:rFonts w:ascii="Times New Roman" w:hAnsi="Times New Roman" w:cs="Times New Roman"/>
          <w:b/>
          <w:sz w:val="24"/>
          <w:szCs w:val="24"/>
        </w:rPr>
        <w:t>H and Ionization:</w:t>
      </w:r>
      <w:r w:rsidR="00B964FC" w:rsidRPr="00EA3F9A">
        <w:rPr>
          <w:rFonts w:ascii="Times New Roman" w:hAnsi="Times New Roman" w:cs="Times New Roman"/>
          <w:sz w:val="24"/>
          <w:szCs w:val="24"/>
        </w:rPr>
        <w:t xml:space="preserve"> Drug ionization can be impacted by the pH of the buccal environment. Electrostatic interactions may cause altered permeability in ionized medicines. For the best possible medication absorption, buccal administration systems might need to take the mouth cavity's physiological pH into account.</w:t>
      </w:r>
    </w:p>
    <w:p w14:paraId="50310DBE" w14:textId="77777777" w:rsidR="00B964FC" w:rsidRPr="00EA3F9A" w:rsidRDefault="00B964FC"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Drug Concentration:</w:t>
      </w:r>
      <w:r w:rsidRPr="00EA3F9A">
        <w:rPr>
          <w:rFonts w:ascii="Times New Roman" w:hAnsi="Times New Roman" w:cs="Times New Roman"/>
          <w:sz w:val="24"/>
          <w:szCs w:val="24"/>
        </w:rPr>
        <w:t xml:space="preserve"> Through concentration-driven mechanisms such passive diffusion, higher drug concentrations can improve drug permeability.</w:t>
      </w:r>
    </w:p>
    <w:p w14:paraId="04E92052" w14:textId="77777777" w:rsidR="00B964FC" w:rsidRPr="00EA3F9A" w:rsidRDefault="00B964FC"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Enhancers of Permeation:</w:t>
      </w:r>
      <w:r w:rsidR="00CD6297" w:rsidRPr="00EA3F9A">
        <w:rPr>
          <w:rFonts w:ascii="Times New Roman" w:hAnsi="Times New Roman" w:cs="Times New Roman"/>
          <w:sz w:val="24"/>
          <w:szCs w:val="24"/>
        </w:rPr>
        <w:t xml:space="preserve"> </w:t>
      </w:r>
      <w:r w:rsidRPr="00EA3F9A">
        <w:rPr>
          <w:rFonts w:ascii="Times New Roman" w:hAnsi="Times New Roman" w:cs="Times New Roman"/>
          <w:sz w:val="24"/>
          <w:szCs w:val="24"/>
        </w:rPr>
        <w:t>To increase medication permeability across the buccal mucosa, permeation enhancers are frequently used. These enhancers have the ability to change the mucosal membrane's structure, allowing more medications to flow through.</w:t>
      </w:r>
    </w:p>
    <w:p w14:paraId="7E89ABA6" w14:textId="77777777" w:rsidR="00B964FC" w:rsidRPr="00EA3F9A" w:rsidRDefault="00B964FC"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Vehicle Formulation:</w:t>
      </w:r>
      <w:r w:rsidRPr="00EA3F9A">
        <w:rPr>
          <w:rFonts w:ascii="Times New Roman" w:hAnsi="Times New Roman" w:cs="Times New Roman"/>
          <w:sz w:val="24"/>
          <w:szCs w:val="24"/>
        </w:rPr>
        <w:t xml:space="preserve"> Permeability may be impacted by how the drug delivery system is formulated. Gel formulations, for example, may improve medication absorption and contact time.</w:t>
      </w:r>
    </w:p>
    <w:p w14:paraId="028AF28C" w14:textId="77777777" w:rsidR="00B964FC" w:rsidRPr="00EA3F9A" w:rsidRDefault="00B964FC"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Drug Metabolism in Buccal Tissues:</w:t>
      </w:r>
      <w:r w:rsidRPr="00EA3F9A">
        <w:rPr>
          <w:rFonts w:ascii="Times New Roman" w:hAnsi="Times New Roman" w:cs="Times New Roman"/>
          <w:sz w:val="24"/>
          <w:szCs w:val="24"/>
        </w:rPr>
        <w:t xml:space="preserve"> Drugs can be metabolized by the enzymes found in buccal tissues. The bioavailability of several medications taken via buccal administration may be impacted by this metabolic activity.</w:t>
      </w:r>
    </w:p>
    <w:p w14:paraId="2787A66C" w14:textId="77777777" w:rsidR="00B964FC" w:rsidRPr="00EA3F9A" w:rsidRDefault="00B964FC"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Disease States:</w:t>
      </w:r>
      <w:r w:rsidRPr="00EA3F9A">
        <w:rPr>
          <w:rFonts w:ascii="Times New Roman" w:hAnsi="Times New Roman" w:cs="Times New Roman"/>
          <w:sz w:val="24"/>
          <w:szCs w:val="24"/>
        </w:rPr>
        <w:t xml:space="preserve"> The buccal mucosa's permeability may change as a result of specific illnesses or diseases. Drug absorption may be impacted by oral cavity diseases or inflammation.</w:t>
      </w:r>
    </w:p>
    <w:p w14:paraId="1A08549B" w14:textId="77777777" w:rsidR="00B964FC" w:rsidRPr="00EA3F9A" w:rsidRDefault="00CD6297" w:rsidP="00B32E6A">
      <w:p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lastRenderedPageBreak/>
        <w:t>T</w:t>
      </w:r>
      <w:r w:rsidR="00B964FC" w:rsidRPr="00EA3F9A">
        <w:rPr>
          <w:rFonts w:ascii="Times New Roman" w:hAnsi="Times New Roman" w:cs="Times New Roman"/>
          <w:b/>
          <w:sz w:val="24"/>
          <w:szCs w:val="24"/>
        </w:rPr>
        <w:t>emperature</w:t>
      </w:r>
      <w:r w:rsidRPr="00EA3F9A">
        <w:rPr>
          <w:rFonts w:ascii="Times New Roman" w:hAnsi="Times New Roman" w:cs="Times New Roman"/>
          <w:b/>
          <w:sz w:val="24"/>
          <w:szCs w:val="24"/>
        </w:rPr>
        <w:t>:</w:t>
      </w:r>
      <w:r w:rsidRPr="00EA3F9A">
        <w:rPr>
          <w:rFonts w:ascii="Times New Roman" w:hAnsi="Times New Roman" w:cs="Times New Roman"/>
          <w:sz w:val="24"/>
          <w:szCs w:val="24"/>
        </w:rPr>
        <w:t xml:space="preserve"> </w:t>
      </w:r>
      <w:r w:rsidR="00B964FC" w:rsidRPr="00EA3F9A">
        <w:rPr>
          <w:rFonts w:ascii="Times New Roman" w:hAnsi="Times New Roman" w:cs="Times New Roman"/>
          <w:sz w:val="24"/>
          <w:szCs w:val="24"/>
        </w:rPr>
        <w:t xml:space="preserve">Drug permeability can be impacted by temperature because it can change the fluidity of cell membranes. Increased warmth may improve medication dispersion across the buccal </w:t>
      </w:r>
      <w:proofErr w:type="gramStart"/>
      <w:r w:rsidR="00B964FC" w:rsidRPr="00EA3F9A">
        <w:rPr>
          <w:rFonts w:ascii="Times New Roman" w:hAnsi="Times New Roman" w:cs="Times New Roman"/>
          <w:sz w:val="24"/>
          <w:szCs w:val="24"/>
        </w:rPr>
        <w:t>mucosa</w:t>
      </w:r>
      <w:r w:rsidR="00014286" w:rsidRPr="00EA3F9A">
        <w:rPr>
          <w:rFonts w:ascii="Times New Roman" w:hAnsi="Times New Roman" w:cs="Times New Roman"/>
          <w:sz w:val="24"/>
          <w:szCs w:val="24"/>
        </w:rPr>
        <w:t>(</w:t>
      </w:r>
      <w:proofErr w:type="gramEnd"/>
      <w:r w:rsidR="00014286" w:rsidRPr="00EA3F9A">
        <w:rPr>
          <w:rFonts w:ascii="Times New Roman" w:hAnsi="Times New Roman" w:cs="Times New Roman"/>
          <w:sz w:val="24"/>
          <w:szCs w:val="24"/>
        </w:rPr>
        <w:t>16,17)</w:t>
      </w:r>
      <w:r w:rsidR="00B964FC" w:rsidRPr="00EA3F9A">
        <w:rPr>
          <w:rFonts w:ascii="Times New Roman" w:hAnsi="Times New Roman" w:cs="Times New Roman"/>
          <w:sz w:val="24"/>
          <w:szCs w:val="24"/>
        </w:rPr>
        <w:t>.</w:t>
      </w:r>
    </w:p>
    <w:p w14:paraId="4CA280D8" w14:textId="77777777" w:rsidR="008F7BB1" w:rsidRPr="00EA3F9A" w:rsidRDefault="00730E1F" w:rsidP="00B32E6A">
      <w:pPr>
        <w:pStyle w:val="ListParagraph"/>
        <w:numPr>
          <w:ilvl w:val="0"/>
          <w:numId w:val="9"/>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Formulation Strategies for drug delivery system</w:t>
      </w:r>
    </w:p>
    <w:p w14:paraId="1135C3B3" w14:textId="77777777" w:rsidR="009553FE" w:rsidRPr="00EA3F9A" w:rsidRDefault="009553FE" w:rsidP="00B32E6A">
      <w:pPr>
        <w:pStyle w:val="ListParagraph"/>
        <w:spacing w:line="360" w:lineRule="auto"/>
        <w:ind w:left="834"/>
        <w:jc w:val="both"/>
        <w:rPr>
          <w:rFonts w:ascii="Times New Roman" w:hAnsi="Times New Roman" w:cs="Times New Roman"/>
          <w:b/>
          <w:sz w:val="24"/>
          <w:szCs w:val="24"/>
        </w:rPr>
      </w:pPr>
    </w:p>
    <w:p w14:paraId="56A16CB6" w14:textId="77777777" w:rsidR="008F7BB1" w:rsidRPr="00EA3F9A" w:rsidRDefault="008F7BB1" w:rsidP="00B32E6A">
      <w:pPr>
        <w:pStyle w:val="ListParagraph"/>
        <w:numPr>
          <w:ilvl w:val="0"/>
          <w:numId w:val="1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Dosage</w:t>
      </w:r>
      <w:r w:rsidR="00730E1F" w:rsidRPr="00EA3F9A">
        <w:rPr>
          <w:rFonts w:ascii="Times New Roman" w:hAnsi="Times New Roman" w:cs="Times New Roman"/>
          <w:b/>
          <w:sz w:val="24"/>
          <w:szCs w:val="24"/>
        </w:rPr>
        <w:t xml:space="preserve"> Form</w:t>
      </w:r>
      <w:r w:rsidRPr="00EA3F9A">
        <w:rPr>
          <w:rFonts w:ascii="Times New Roman" w:hAnsi="Times New Roman" w:cs="Times New Roman"/>
          <w:b/>
          <w:sz w:val="24"/>
          <w:szCs w:val="24"/>
        </w:rPr>
        <w:t>:</w:t>
      </w:r>
      <w:r w:rsidR="00730E1F" w:rsidRPr="00EA3F9A">
        <w:rPr>
          <w:rFonts w:ascii="Times New Roman" w:hAnsi="Times New Roman" w:cs="Times New Roman"/>
          <w:sz w:val="24"/>
          <w:szCs w:val="24"/>
        </w:rPr>
        <w:t xml:space="preserve"> </w:t>
      </w:r>
      <w:r w:rsidRPr="00EA3F9A">
        <w:rPr>
          <w:rFonts w:ascii="Times New Roman" w:hAnsi="Times New Roman" w:cs="Times New Roman"/>
          <w:sz w:val="24"/>
          <w:szCs w:val="24"/>
        </w:rPr>
        <w:t>Films, Gels, Tablets, and Patches: Provide regulated medication release, extended residence duration, and convenience of administration.</w:t>
      </w:r>
    </w:p>
    <w:p w14:paraId="09D47549" w14:textId="77777777" w:rsidR="008F7BB1" w:rsidRPr="00EA3F9A" w:rsidRDefault="008F7BB1" w:rsidP="00B32E6A">
      <w:pPr>
        <w:pStyle w:val="ListParagraph"/>
        <w:numPr>
          <w:ilvl w:val="0"/>
          <w:numId w:val="1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Selecting Polymers:</w:t>
      </w:r>
      <w:r w:rsidR="00730E1F" w:rsidRPr="00EA3F9A">
        <w:rPr>
          <w:rFonts w:ascii="Times New Roman" w:hAnsi="Times New Roman" w:cs="Times New Roman"/>
          <w:sz w:val="24"/>
          <w:szCs w:val="24"/>
        </w:rPr>
        <w:t xml:space="preserve"> </w:t>
      </w:r>
      <w:r w:rsidRPr="00EA3F9A">
        <w:rPr>
          <w:rFonts w:ascii="Times New Roman" w:hAnsi="Times New Roman" w:cs="Times New Roman"/>
          <w:sz w:val="24"/>
          <w:szCs w:val="24"/>
        </w:rPr>
        <w:t xml:space="preserve">Chitosan and </w:t>
      </w:r>
      <w:proofErr w:type="gramStart"/>
      <w:r w:rsidRPr="00EA3F9A">
        <w:rPr>
          <w:rFonts w:ascii="Times New Roman" w:hAnsi="Times New Roman" w:cs="Times New Roman"/>
          <w:sz w:val="24"/>
          <w:szCs w:val="24"/>
        </w:rPr>
        <w:t>poly(</w:t>
      </w:r>
      <w:proofErr w:type="gramEnd"/>
      <w:r w:rsidRPr="00EA3F9A">
        <w:rPr>
          <w:rFonts w:ascii="Times New Roman" w:hAnsi="Times New Roman" w:cs="Times New Roman"/>
          <w:sz w:val="24"/>
          <w:szCs w:val="24"/>
        </w:rPr>
        <w:t>acrylic acid) are examples of natural and synthetic polymers that improve adherence for prolonged medication release.</w:t>
      </w:r>
    </w:p>
    <w:p w14:paraId="36A42BF7" w14:textId="77777777" w:rsidR="008F7BB1" w:rsidRPr="00EA3F9A" w:rsidRDefault="004E590E" w:rsidP="00B32E6A">
      <w:pPr>
        <w:pStyle w:val="ListParagraph"/>
        <w:numPr>
          <w:ilvl w:val="0"/>
          <w:numId w:val="15"/>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Techniques for Enhancement:</w:t>
      </w:r>
      <w:r w:rsidR="00730E1F" w:rsidRPr="00EA3F9A">
        <w:rPr>
          <w:rFonts w:ascii="Times New Roman" w:hAnsi="Times New Roman" w:cs="Times New Roman"/>
          <w:b/>
          <w:sz w:val="24"/>
          <w:szCs w:val="24"/>
        </w:rPr>
        <w:t xml:space="preserve"> </w:t>
      </w:r>
      <w:r w:rsidR="008F7BB1" w:rsidRPr="00EA3F9A">
        <w:rPr>
          <w:rFonts w:ascii="Times New Roman" w:hAnsi="Times New Roman" w:cs="Times New Roman"/>
          <w:sz w:val="24"/>
          <w:szCs w:val="24"/>
        </w:rPr>
        <w:t>Enhancers of Permeation: Increase a drug's capacity to pass through the mucosal barrier.</w:t>
      </w:r>
    </w:p>
    <w:p w14:paraId="53377048" w14:textId="77777777" w:rsidR="008F7BB1" w:rsidRPr="00EA3F9A" w:rsidRDefault="004E590E" w:rsidP="00B32E6A">
      <w:pPr>
        <w:pStyle w:val="ListParagraph"/>
        <w:numPr>
          <w:ilvl w:val="0"/>
          <w:numId w:val="1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Cutting-edge technologies:</w:t>
      </w:r>
      <w:r w:rsidR="00730E1F" w:rsidRPr="00EA3F9A">
        <w:rPr>
          <w:rFonts w:ascii="Times New Roman" w:hAnsi="Times New Roman" w:cs="Times New Roman"/>
          <w:sz w:val="24"/>
          <w:szCs w:val="24"/>
        </w:rPr>
        <w:t xml:space="preserve"> </w:t>
      </w:r>
      <w:r w:rsidR="008F7BB1" w:rsidRPr="00EA3F9A">
        <w:rPr>
          <w:rFonts w:ascii="Times New Roman" w:hAnsi="Times New Roman" w:cs="Times New Roman"/>
          <w:sz w:val="24"/>
          <w:szCs w:val="24"/>
        </w:rPr>
        <w:t>Improve medication solubility, stability, and targeted delivery with nanoparticles and liposomes.</w:t>
      </w:r>
    </w:p>
    <w:p w14:paraId="10DB53EC" w14:textId="77777777" w:rsidR="008F7BB1" w:rsidRPr="00EA3F9A" w:rsidRDefault="008F7BB1" w:rsidP="00B32E6A">
      <w:pPr>
        <w:pStyle w:val="ListParagraph"/>
        <w:numPr>
          <w:ilvl w:val="0"/>
          <w:numId w:val="1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Formulations</w:t>
      </w:r>
      <w:r w:rsidR="004E590E" w:rsidRPr="00EA3F9A">
        <w:rPr>
          <w:rFonts w:ascii="Times New Roman" w:hAnsi="Times New Roman" w:cs="Times New Roman"/>
          <w:b/>
          <w:sz w:val="24"/>
          <w:szCs w:val="24"/>
        </w:rPr>
        <w:t xml:space="preserve"> Suitable for Patients:</w:t>
      </w:r>
      <w:r w:rsidR="00730E1F" w:rsidRPr="00EA3F9A">
        <w:rPr>
          <w:rFonts w:ascii="Times New Roman" w:hAnsi="Times New Roman" w:cs="Times New Roman"/>
          <w:sz w:val="24"/>
          <w:szCs w:val="24"/>
        </w:rPr>
        <w:t xml:space="preserve"> </w:t>
      </w:r>
      <w:r w:rsidRPr="00EA3F9A">
        <w:rPr>
          <w:rFonts w:ascii="Times New Roman" w:hAnsi="Times New Roman" w:cs="Times New Roman"/>
          <w:sz w:val="24"/>
          <w:szCs w:val="24"/>
        </w:rPr>
        <w:t>Oral disintegrating tablets and fast-dissolving films: Boost adherence with quick and easy administration.</w:t>
      </w:r>
    </w:p>
    <w:p w14:paraId="492F4F70" w14:textId="77777777" w:rsidR="008F7BB1" w:rsidRPr="00EA3F9A" w:rsidRDefault="008F7BB1" w:rsidP="00B32E6A">
      <w:pPr>
        <w:pStyle w:val="ListParagraph"/>
        <w:numPr>
          <w:ilvl w:val="0"/>
          <w:numId w:val="1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Systems of Adaptive Release:</w:t>
      </w:r>
      <w:r w:rsidR="00730E1F" w:rsidRPr="00EA3F9A">
        <w:rPr>
          <w:rFonts w:ascii="Times New Roman" w:hAnsi="Times New Roman" w:cs="Times New Roman"/>
          <w:sz w:val="24"/>
          <w:szCs w:val="24"/>
        </w:rPr>
        <w:t xml:space="preserve"> </w:t>
      </w:r>
      <w:r w:rsidRPr="00EA3F9A">
        <w:rPr>
          <w:rFonts w:ascii="Times New Roman" w:hAnsi="Times New Roman" w:cs="Times New Roman"/>
          <w:sz w:val="24"/>
          <w:szCs w:val="24"/>
        </w:rPr>
        <w:t>Optimizing treatment results through controlled medication release is made possible by responsive hydrogels.</w:t>
      </w:r>
    </w:p>
    <w:p w14:paraId="37075933" w14:textId="77777777" w:rsidR="008F7BB1" w:rsidRPr="00EA3F9A" w:rsidRDefault="008F7BB1" w:rsidP="00B32E6A">
      <w:pPr>
        <w:pStyle w:val="ListParagraph"/>
        <w:numPr>
          <w:ilvl w:val="0"/>
          <w:numId w:val="1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Combination Products:</w:t>
      </w:r>
      <w:r w:rsidRPr="00EA3F9A">
        <w:rPr>
          <w:rFonts w:ascii="Times New Roman" w:hAnsi="Times New Roman" w:cs="Times New Roman"/>
          <w:sz w:val="24"/>
          <w:szCs w:val="24"/>
        </w:rPr>
        <w:t xml:space="preserve"> Create medications with complimentary effects to increase their effectiveness.</w:t>
      </w:r>
    </w:p>
    <w:p w14:paraId="2FF5C761" w14:textId="77777777" w:rsidR="008F7BB1" w:rsidRPr="00EA3F9A" w:rsidRDefault="008F7BB1" w:rsidP="00B32E6A">
      <w:pPr>
        <w:pStyle w:val="ListParagraph"/>
        <w:numPr>
          <w:ilvl w:val="0"/>
          <w:numId w:val="1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Stabilizers and antioxidants:</w:t>
      </w:r>
      <w:r w:rsidRPr="00EA3F9A">
        <w:rPr>
          <w:rFonts w:ascii="Times New Roman" w:hAnsi="Times New Roman" w:cs="Times New Roman"/>
          <w:sz w:val="24"/>
          <w:szCs w:val="24"/>
        </w:rPr>
        <w:t xml:space="preserve"> guarantee medication stability by halting deterioration.</w:t>
      </w:r>
    </w:p>
    <w:p w14:paraId="02EEA384" w14:textId="77777777" w:rsidR="008F7BB1" w:rsidRPr="00EA3F9A" w:rsidRDefault="008F7BB1" w:rsidP="00B32E6A">
      <w:pPr>
        <w:pStyle w:val="ListParagraph"/>
        <w:numPr>
          <w:ilvl w:val="0"/>
          <w:numId w:val="1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Tasting-Making Methods:</w:t>
      </w:r>
      <w:r w:rsidR="00730E1F" w:rsidRPr="00EA3F9A">
        <w:rPr>
          <w:rFonts w:ascii="Times New Roman" w:hAnsi="Times New Roman" w:cs="Times New Roman"/>
          <w:sz w:val="24"/>
          <w:szCs w:val="24"/>
        </w:rPr>
        <w:t xml:space="preserve"> </w:t>
      </w:r>
      <w:r w:rsidRPr="00EA3F9A">
        <w:rPr>
          <w:rFonts w:ascii="Times New Roman" w:hAnsi="Times New Roman" w:cs="Times New Roman"/>
          <w:sz w:val="24"/>
          <w:szCs w:val="24"/>
        </w:rPr>
        <w:t xml:space="preserve">Masking technologies and flavoring agents can help patients accept medications that are delivered </w:t>
      </w:r>
      <w:proofErr w:type="spellStart"/>
      <w:r w:rsidRPr="00EA3F9A">
        <w:rPr>
          <w:rFonts w:ascii="Times New Roman" w:hAnsi="Times New Roman" w:cs="Times New Roman"/>
          <w:sz w:val="24"/>
          <w:szCs w:val="24"/>
        </w:rPr>
        <w:t>buccaly</w:t>
      </w:r>
      <w:proofErr w:type="spellEnd"/>
      <w:r w:rsidRPr="00EA3F9A">
        <w:rPr>
          <w:rFonts w:ascii="Times New Roman" w:hAnsi="Times New Roman" w:cs="Times New Roman"/>
          <w:sz w:val="24"/>
          <w:szCs w:val="24"/>
        </w:rPr>
        <w:t>.</w:t>
      </w:r>
    </w:p>
    <w:p w14:paraId="1803B92D" w14:textId="77777777" w:rsidR="008F7BB1" w:rsidRPr="00EA3F9A" w:rsidRDefault="008F7BB1" w:rsidP="00B32E6A">
      <w:pPr>
        <w:pStyle w:val="ListParagraph"/>
        <w:numPr>
          <w:ilvl w:val="0"/>
          <w:numId w:val="1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Technologies for Microfabrication:</w:t>
      </w:r>
      <w:r w:rsidR="00730E1F" w:rsidRPr="00EA3F9A">
        <w:rPr>
          <w:rFonts w:ascii="Times New Roman" w:hAnsi="Times New Roman" w:cs="Times New Roman"/>
          <w:sz w:val="24"/>
          <w:szCs w:val="24"/>
        </w:rPr>
        <w:t xml:space="preserve"> </w:t>
      </w:r>
      <w:r w:rsidRPr="00EA3F9A">
        <w:rPr>
          <w:rFonts w:ascii="Times New Roman" w:hAnsi="Times New Roman" w:cs="Times New Roman"/>
          <w:sz w:val="24"/>
          <w:szCs w:val="24"/>
        </w:rPr>
        <w:t>Microneedles and microdevices: Provide exact control over the kinetics of medication release.</w:t>
      </w:r>
    </w:p>
    <w:p w14:paraId="61E3ABFE" w14:textId="77777777" w:rsidR="008F7BB1" w:rsidRPr="00EA3F9A" w:rsidRDefault="008F7BB1" w:rsidP="00B32E6A">
      <w:pPr>
        <w:pStyle w:val="ListParagraph"/>
        <w:numPr>
          <w:ilvl w:val="0"/>
          <w:numId w:val="1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Regulatory Aspects to Take into Account:</w:t>
      </w:r>
      <w:r w:rsidR="00730E1F" w:rsidRPr="00EA3F9A">
        <w:rPr>
          <w:rFonts w:ascii="Times New Roman" w:hAnsi="Times New Roman" w:cs="Times New Roman"/>
          <w:sz w:val="24"/>
          <w:szCs w:val="24"/>
        </w:rPr>
        <w:t xml:space="preserve"> </w:t>
      </w:r>
      <w:r w:rsidRPr="00EA3F9A">
        <w:rPr>
          <w:rFonts w:ascii="Times New Roman" w:hAnsi="Times New Roman" w:cs="Times New Roman"/>
          <w:sz w:val="24"/>
          <w:szCs w:val="24"/>
        </w:rPr>
        <w:t>Adherence to Regulations: Guarantee effectiveness and safety, hasten approval.</w:t>
      </w:r>
    </w:p>
    <w:p w14:paraId="764A2C67" w14:textId="77777777" w:rsidR="008F7BB1" w:rsidRPr="00EA3F9A" w:rsidRDefault="008F7BB1" w:rsidP="00B32E6A">
      <w:pPr>
        <w:pStyle w:val="ListParagraph"/>
        <w:numPr>
          <w:ilvl w:val="0"/>
          <w:numId w:val="1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Customized Formulations:</w:t>
      </w:r>
      <w:r w:rsidRPr="00EA3F9A">
        <w:rPr>
          <w:rFonts w:ascii="Times New Roman" w:hAnsi="Times New Roman" w:cs="Times New Roman"/>
          <w:sz w:val="24"/>
          <w:szCs w:val="24"/>
        </w:rPr>
        <w:t xml:space="preserve"> Take into account aspects unique to each patient to improve treatment results.</w:t>
      </w:r>
    </w:p>
    <w:p w14:paraId="1696524C" w14:textId="77777777" w:rsidR="00132739" w:rsidRPr="00EA3F9A" w:rsidRDefault="00C075C9" w:rsidP="00B32E6A">
      <w:pPr>
        <w:pStyle w:val="ListParagraph"/>
        <w:numPr>
          <w:ilvl w:val="0"/>
          <w:numId w:val="15"/>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Adherence to Regulatory Bodies:</w:t>
      </w:r>
      <w:r w:rsidR="00730E1F" w:rsidRPr="00EA3F9A">
        <w:rPr>
          <w:rFonts w:ascii="Times New Roman" w:hAnsi="Times New Roman" w:cs="Times New Roman"/>
          <w:sz w:val="24"/>
          <w:szCs w:val="24"/>
        </w:rPr>
        <w:t xml:space="preserve"> </w:t>
      </w:r>
      <w:r w:rsidRPr="00EA3F9A">
        <w:rPr>
          <w:rFonts w:ascii="Times New Roman" w:hAnsi="Times New Roman" w:cs="Times New Roman"/>
          <w:sz w:val="24"/>
          <w:szCs w:val="24"/>
        </w:rPr>
        <w:t>For buccal medication delivery systems to be approved, compliance with regulations established by regulatory organizations like the FDA and EMA is essential</w:t>
      </w:r>
      <w:r w:rsidR="00BA4D0B" w:rsidRPr="00EA3F9A">
        <w:rPr>
          <w:rFonts w:ascii="Times New Roman" w:hAnsi="Times New Roman" w:cs="Times New Roman"/>
          <w:sz w:val="24"/>
          <w:szCs w:val="24"/>
        </w:rPr>
        <w:t xml:space="preserve"> </w:t>
      </w:r>
      <w:r w:rsidR="00EE6D51" w:rsidRPr="00EA3F9A">
        <w:rPr>
          <w:rFonts w:ascii="Times New Roman" w:hAnsi="Times New Roman" w:cs="Times New Roman"/>
          <w:sz w:val="24"/>
          <w:szCs w:val="24"/>
        </w:rPr>
        <w:t>(18)</w:t>
      </w:r>
      <w:r w:rsidRPr="00EA3F9A">
        <w:rPr>
          <w:rFonts w:ascii="Times New Roman" w:hAnsi="Times New Roman" w:cs="Times New Roman"/>
          <w:sz w:val="24"/>
          <w:szCs w:val="24"/>
        </w:rPr>
        <w:t>.</w:t>
      </w:r>
    </w:p>
    <w:p w14:paraId="1FDFF039" w14:textId="77777777" w:rsidR="00024E69" w:rsidRPr="00EA3F9A" w:rsidRDefault="00024E69" w:rsidP="00B32E6A">
      <w:pPr>
        <w:pStyle w:val="ListParagraph"/>
        <w:spacing w:line="360" w:lineRule="auto"/>
        <w:jc w:val="both"/>
        <w:rPr>
          <w:rFonts w:ascii="Times New Roman" w:hAnsi="Times New Roman" w:cs="Times New Roman"/>
          <w:sz w:val="24"/>
          <w:szCs w:val="24"/>
        </w:rPr>
      </w:pPr>
    </w:p>
    <w:p w14:paraId="6D0F808A" w14:textId="77777777" w:rsidR="00132739" w:rsidRPr="00EA3F9A" w:rsidRDefault="00132739" w:rsidP="00B32E6A">
      <w:pPr>
        <w:pStyle w:val="ListParagraph"/>
        <w:numPr>
          <w:ilvl w:val="0"/>
          <w:numId w:val="9"/>
        </w:numPr>
        <w:spacing w:line="360" w:lineRule="auto"/>
        <w:jc w:val="both"/>
        <w:rPr>
          <w:rFonts w:ascii="Times New Roman" w:hAnsi="Times New Roman" w:cs="Times New Roman"/>
          <w:sz w:val="24"/>
          <w:szCs w:val="24"/>
        </w:rPr>
      </w:pPr>
      <w:r w:rsidRPr="00EA3F9A">
        <w:rPr>
          <w:rFonts w:ascii="Times New Roman" w:hAnsi="Times New Roman" w:cs="Times New Roman"/>
          <w:b/>
          <w:sz w:val="24"/>
          <w:szCs w:val="24"/>
        </w:rPr>
        <w:t>Regulatory Consideration and Future Perspective in Buccal Drug Delivery System</w:t>
      </w:r>
    </w:p>
    <w:p w14:paraId="06C31311" w14:textId="77777777" w:rsidR="00115F78" w:rsidRPr="00EA3F9A" w:rsidRDefault="00C075C9" w:rsidP="00B32E6A">
      <w:pPr>
        <w:spacing w:line="360" w:lineRule="auto"/>
        <w:jc w:val="both"/>
        <w:rPr>
          <w:rFonts w:ascii="Times New Roman" w:hAnsi="Times New Roman" w:cs="Times New Roman"/>
          <w:sz w:val="24"/>
          <w:szCs w:val="24"/>
        </w:rPr>
      </w:pPr>
      <w:r w:rsidRPr="00EA3F9A">
        <w:rPr>
          <w:rFonts w:ascii="Times New Roman" w:hAnsi="Times New Roman" w:cs="Times New Roman"/>
          <w:sz w:val="24"/>
          <w:szCs w:val="24"/>
        </w:rPr>
        <w:t>Getting regulatory clearance requires meeting strict requirements for quality, safety, and efficacy.</w:t>
      </w:r>
      <w:r w:rsidR="00730E1F" w:rsidRPr="00EA3F9A">
        <w:rPr>
          <w:rFonts w:ascii="Times New Roman" w:hAnsi="Times New Roman" w:cs="Times New Roman"/>
          <w:sz w:val="24"/>
          <w:szCs w:val="24"/>
        </w:rPr>
        <w:t xml:space="preserve"> </w:t>
      </w:r>
      <w:r w:rsidRPr="00EA3F9A">
        <w:rPr>
          <w:rFonts w:ascii="Times New Roman" w:hAnsi="Times New Roman" w:cs="Times New Roman"/>
          <w:sz w:val="24"/>
          <w:szCs w:val="24"/>
        </w:rPr>
        <w:t>Clinical and preclinical data must be meticulously documented.</w:t>
      </w:r>
      <w:r w:rsidR="00132739" w:rsidRPr="00EA3F9A">
        <w:rPr>
          <w:rFonts w:ascii="Times New Roman" w:hAnsi="Times New Roman" w:cs="Times New Roman"/>
          <w:sz w:val="24"/>
          <w:szCs w:val="24"/>
        </w:rPr>
        <w:t xml:space="preserve"> </w:t>
      </w:r>
      <w:r w:rsidRPr="00EA3F9A">
        <w:rPr>
          <w:rFonts w:ascii="Times New Roman" w:hAnsi="Times New Roman" w:cs="Times New Roman"/>
          <w:sz w:val="24"/>
          <w:szCs w:val="24"/>
        </w:rPr>
        <w:t>Regulatory submissions need thorough testing for safety, bioavailability, and stability.</w:t>
      </w:r>
      <w:r w:rsidR="00132739" w:rsidRPr="00EA3F9A">
        <w:rPr>
          <w:rFonts w:ascii="Times New Roman" w:hAnsi="Times New Roman" w:cs="Times New Roman"/>
          <w:sz w:val="24"/>
          <w:szCs w:val="24"/>
        </w:rPr>
        <w:t xml:space="preserve"> </w:t>
      </w:r>
      <w:r w:rsidRPr="00EA3F9A">
        <w:rPr>
          <w:rFonts w:ascii="Times New Roman" w:hAnsi="Times New Roman" w:cs="Times New Roman"/>
          <w:sz w:val="24"/>
          <w:szCs w:val="24"/>
        </w:rPr>
        <w:t>Maintaining quality control procedures and ensuring uniformity in manufacturing operations are crucial.</w:t>
      </w:r>
      <w:r w:rsidR="00132739" w:rsidRPr="00EA3F9A">
        <w:rPr>
          <w:rFonts w:ascii="Times New Roman" w:hAnsi="Times New Roman" w:cs="Times New Roman"/>
          <w:sz w:val="24"/>
          <w:szCs w:val="24"/>
        </w:rPr>
        <w:t xml:space="preserve"> </w:t>
      </w:r>
      <w:r w:rsidRPr="00EA3F9A">
        <w:rPr>
          <w:rFonts w:ascii="Times New Roman" w:hAnsi="Times New Roman" w:cs="Times New Roman"/>
          <w:sz w:val="24"/>
          <w:szCs w:val="24"/>
        </w:rPr>
        <w:t xml:space="preserve">For regulatory compliance, adherence to Good Manufacturing Practices (GMP) is </w:t>
      </w:r>
      <w:proofErr w:type="gramStart"/>
      <w:r w:rsidRPr="00EA3F9A">
        <w:rPr>
          <w:rFonts w:ascii="Times New Roman" w:hAnsi="Times New Roman" w:cs="Times New Roman"/>
          <w:sz w:val="24"/>
          <w:szCs w:val="24"/>
        </w:rPr>
        <w:t>essential</w:t>
      </w:r>
      <w:r w:rsidR="00E85D4C" w:rsidRPr="00EA3F9A">
        <w:rPr>
          <w:rFonts w:ascii="Times New Roman" w:hAnsi="Times New Roman" w:cs="Times New Roman"/>
          <w:sz w:val="24"/>
          <w:szCs w:val="24"/>
        </w:rPr>
        <w:t>(</w:t>
      </w:r>
      <w:proofErr w:type="gramEnd"/>
      <w:r w:rsidR="00E85D4C" w:rsidRPr="00EA3F9A">
        <w:rPr>
          <w:rFonts w:ascii="Times New Roman" w:hAnsi="Times New Roman" w:cs="Times New Roman"/>
          <w:sz w:val="24"/>
          <w:szCs w:val="24"/>
        </w:rPr>
        <w:t>19)</w:t>
      </w:r>
      <w:r w:rsidRPr="00EA3F9A">
        <w:rPr>
          <w:rFonts w:ascii="Times New Roman" w:hAnsi="Times New Roman" w:cs="Times New Roman"/>
          <w:sz w:val="24"/>
          <w:szCs w:val="24"/>
        </w:rPr>
        <w:t>.</w:t>
      </w:r>
    </w:p>
    <w:p w14:paraId="04BF1A11" w14:textId="77777777" w:rsidR="00C075C9" w:rsidRPr="00EA3F9A" w:rsidRDefault="00C075C9" w:rsidP="00B32E6A">
      <w:pPr>
        <w:spacing w:line="360" w:lineRule="auto"/>
        <w:jc w:val="both"/>
        <w:rPr>
          <w:rFonts w:ascii="Times New Roman" w:hAnsi="Times New Roman" w:cs="Times New Roman"/>
          <w:sz w:val="24"/>
          <w:szCs w:val="24"/>
        </w:rPr>
      </w:pPr>
    </w:p>
    <w:p w14:paraId="3257BC11" w14:textId="77777777" w:rsidR="00C075C9" w:rsidRPr="00EA3F9A" w:rsidRDefault="00C075C9" w:rsidP="00B32E6A">
      <w:pPr>
        <w:pStyle w:val="ListParagraph"/>
        <w:numPr>
          <w:ilvl w:val="0"/>
          <w:numId w:val="9"/>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Future Developments and Trends: Nanotechnology Progress:</w:t>
      </w:r>
    </w:p>
    <w:p w14:paraId="6AD6B35C" w14:textId="77777777" w:rsidR="00132739" w:rsidRPr="00EA3F9A" w:rsidRDefault="00132739" w:rsidP="00B32E6A">
      <w:pPr>
        <w:pStyle w:val="ListParagraph"/>
        <w:spacing w:line="360" w:lineRule="auto"/>
        <w:ind w:left="834"/>
        <w:jc w:val="both"/>
        <w:rPr>
          <w:rFonts w:ascii="Times New Roman" w:hAnsi="Times New Roman" w:cs="Times New Roman"/>
          <w:b/>
          <w:sz w:val="24"/>
          <w:szCs w:val="24"/>
        </w:rPr>
      </w:pPr>
    </w:p>
    <w:p w14:paraId="49ABD2CC" w14:textId="77777777" w:rsidR="00132739" w:rsidRPr="00EA3F9A" w:rsidRDefault="00132739" w:rsidP="00B32E6A">
      <w:pPr>
        <w:pStyle w:val="ListParagraph"/>
        <w:numPr>
          <w:ilvl w:val="0"/>
          <w:numId w:val="16"/>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Nanotechnology Advancement</w:t>
      </w:r>
    </w:p>
    <w:p w14:paraId="5FC2B80B" w14:textId="77777777" w:rsidR="00132739" w:rsidRPr="00EA3F9A" w:rsidRDefault="00132739" w:rsidP="00B32E6A">
      <w:pPr>
        <w:pStyle w:val="ListParagraph"/>
        <w:spacing w:line="360" w:lineRule="auto"/>
        <w:ind w:left="1554"/>
        <w:jc w:val="both"/>
        <w:rPr>
          <w:rFonts w:ascii="Times New Roman" w:hAnsi="Times New Roman" w:cs="Times New Roman"/>
          <w:sz w:val="24"/>
          <w:szCs w:val="24"/>
        </w:rPr>
      </w:pPr>
      <w:r w:rsidRPr="00EA3F9A">
        <w:rPr>
          <w:rFonts w:ascii="Times New Roman" w:hAnsi="Times New Roman" w:cs="Times New Roman"/>
          <w:sz w:val="24"/>
          <w:szCs w:val="24"/>
        </w:rPr>
        <w:t>Nanocarrier research and development should continue to improve medication transport, targeting, and therapeutic results.</w:t>
      </w:r>
    </w:p>
    <w:p w14:paraId="4C1B7954" w14:textId="77777777" w:rsidR="00132739" w:rsidRPr="00EA3F9A" w:rsidRDefault="00132739" w:rsidP="00B32E6A">
      <w:pPr>
        <w:pStyle w:val="ListParagraph"/>
        <w:spacing w:line="360" w:lineRule="auto"/>
        <w:ind w:left="1554"/>
        <w:jc w:val="both"/>
        <w:rPr>
          <w:rFonts w:ascii="Times New Roman" w:hAnsi="Times New Roman" w:cs="Times New Roman"/>
          <w:sz w:val="24"/>
          <w:szCs w:val="24"/>
        </w:rPr>
      </w:pPr>
      <w:r w:rsidRPr="00EA3F9A">
        <w:rPr>
          <w:rFonts w:ascii="Times New Roman" w:hAnsi="Times New Roman" w:cs="Times New Roman"/>
          <w:sz w:val="24"/>
          <w:szCs w:val="24"/>
        </w:rPr>
        <w:t>combining materials at the nanoscale to solve issues with medication stability and absorption.</w:t>
      </w:r>
    </w:p>
    <w:p w14:paraId="550A649B" w14:textId="77777777" w:rsidR="008A30C9" w:rsidRPr="00EA3F9A" w:rsidRDefault="008A30C9" w:rsidP="00B32E6A">
      <w:pPr>
        <w:pStyle w:val="ListParagraph"/>
        <w:spacing w:line="360" w:lineRule="auto"/>
        <w:ind w:left="1554"/>
        <w:jc w:val="both"/>
        <w:rPr>
          <w:rFonts w:ascii="Times New Roman" w:hAnsi="Times New Roman" w:cs="Times New Roman"/>
          <w:sz w:val="24"/>
          <w:szCs w:val="24"/>
        </w:rPr>
      </w:pPr>
    </w:p>
    <w:p w14:paraId="0AC26707" w14:textId="77777777" w:rsidR="008A30C9" w:rsidRPr="00EA3F9A" w:rsidRDefault="008A30C9" w:rsidP="00B32E6A">
      <w:pPr>
        <w:pStyle w:val="ListParagraph"/>
        <w:spacing w:line="360" w:lineRule="auto"/>
        <w:ind w:left="1554"/>
        <w:jc w:val="both"/>
        <w:rPr>
          <w:rFonts w:ascii="Times New Roman" w:hAnsi="Times New Roman" w:cs="Times New Roman"/>
          <w:sz w:val="24"/>
          <w:szCs w:val="24"/>
        </w:rPr>
      </w:pPr>
    </w:p>
    <w:p w14:paraId="5EF72D6A" w14:textId="77777777" w:rsidR="00132739" w:rsidRPr="00EA3F9A" w:rsidRDefault="00132739" w:rsidP="00B32E6A">
      <w:pPr>
        <w:pStyle w:val="ListParagraph"/>
        <w:numPr>
          <w:ilvl w:val="0"/>
          <w:numId w:val="16"/>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Advanced Drug Delivery System</w:t>
      </w:r>
    </w:p>
    <w:p w14:paraId="4B962C59" w14:textId="77777777" w:rsidR="00132739" w:rsidRPr="00EA3F9A" w:rsidRDefault="00132739" w:rsidP="00B32E6A">
      <w:pPr>
        <w:pStyle w:val="ListParagraph"/>
        <w:spacing w:line="360" w:lineRule="auto"/>
        <w:ind w:left="1554"/>
        <w:jc w:val="both"/>
        <w:rPr>
          <w:rFonts w:ascii="Times New Roman" w:hAnsi="Times New Roman" w:cs="Times New Roman"/>
          <w:sz w:val="24"/>
          <w:szCs w:val="24"/>
        </w:rPr>
      </w:pPr>
      <w:r w:rsidRPr="00EA3F9A">
        <w:rPr>
          <w:rFonts w:ascii="Times New Roman" w:hAnsi="Times New Roman" w:cs="Times New Roman"/>
          <w:sz w:val="24"/>
          <w:szCs w:val="24"/>
        </w:rPr>
        <w:t>Study of cutting-edge drug delivery technologies, including as hydrogels, implanted controlled-release devices, and smart polymers.</w:t>
      </w:r>
    </w:p>
    <w:p w14:paraId="5B30414D" w14:textId="77777777" w:rsidR="00132739" w:rsidRPr="00EA3F9A" w:rsidRDefault="00132739" w:rsidP="00B32E6A">
      <w:pPr>
        <w:pStyle w:val="ListParagraph"/>
        <w:spacing w:line="360" w:lineRule="auto"/>
        <w:ind w:left="1554"/>
        <w:jc w:val="both"/>
        <w:rPr>
          <w:rFonts w:ascii="Times New Roman" w:hAnsi="Times New Roman" w:cs="Times New Roman"/>
          <w:sz w:val="24"/>
          <w:szCs w:val="24"/>
        </w:rPr>
      </w:pPr>
      <w:r w:rsidRPr="00EA3F9A">
        <w:rPr>
          <w:rFonts w:ascii="Times New Roman" w:hAnsi="Times New Roman" w:cs="Times New Roman"/>
          <w:sz w:val="24"/>
          <w:szCs w:val="24"/>
        </w:rPr>
        <w:t>using 3D printing technology to create customized, demand-driven medication distribution systems.</w:t>
      </w:r>
    </w:p>
    <w:p w14:paraId="6546012F" w14:textId="77777777" w:rsidR="008A30C9" w:rsidRPr="00EA3F9A" w:rsidRDefault="008A30C9" w:rsidP="00B32E6A">
      <w:pPr>
        <w:pStyle w:val="ListParagraph"/>
        <w:spacing w:line="360" w:lineRule="auto"/>
        <w:ind w:left="1554"/>
        <w:jc w:val="both"/>
        <w:rPr>
          <w:rFonts w:ascii="Times New Roman" w:hAnsi="Times New Roman" w:cs="Times New Roman"/>
          <w:sz w:val="24"/>
          <w:szCs w:val="24"/>
        </w:rPr>
      </w:pPr>
    </w:p>
    <w:p w14:paraId="49A85C96" w14:textId="77777777" w:rsidR="00132739" w:rsidRPr="00EA3F9A" w:rsidRDefault="00132739" w:rsidP="00B32E6A">
      <w:pPr>
        <w:pStyle w:val="ListParagraph"/>
        <w:numPr>
          <w:ilvl w:val="0"/>
          <w:numId w:val="16"/>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Innovation Dosage forms</w:t>
      </w:r>
    </w:p>
    <w:p w14:paraId="5AF4D1A3" w14:textId="77777777" w:rsidR="008A30C9" w:rsidRPr="00EA3F9A" w:rsidRDefault="008A30C9" w:rsidP="00B32E6A">
      <w:pPr>
        <w:pStyle w:val="ListParagraph"/>
        <w:spacing w:line="360" w:lineRule="auto"/>
        <w:ind w:left="1554"/>
        <w:jc w:val="both"/>
        <w:rPr>
          <w:rFonts w:ascii="Times New Roman" w:hAnsi="Times New Roman" w:cs="Times New Roman"/>
          <w:sz w:val="24"/>
          <w:szCs w:val="24"/>
        </w:rPr>
      </w:pPr>
      <w:r w:rsidRPr="00EA3F9A">
        <w:rPr>
          <w:rFonts w:ascii="Times New Roman" w:hAnsi="Times New Roman" w:cs="Times New Roman"/>
          <w:sz w:val="24"/>
          <w:szCs w:val="24"/>
        </w:rPr>
        <w:t>Improvements in dose forms, such as smart buccal films, mucoadhesive nanoparticles, and microneedle patches.</w:t>
      </w:r>
    </w:p>
    <w:p w14:paraId="7D1B50AC" w14:textId="77777777" w:rsidR="008A30C9" w:rsidRPr="00EA3F9A" w:rsidRDefault="008A30C9" w:rsidP="00B32E6A">
      <w:pPr>
        <w:pStyle w:val="ListParagraph"/>
        <w:spacing w:line="360" w:lineRule="auto"/>
        <w:ind w:left="1554"/>
        <w:jc w:val="both"/>
        <w:rPr>
          <w:rFonts w:ascii="Times New Roman" w:hAnsi="Times New Roman" w:cs="Times New Roman"/>
          <w:sz w:val="24"/>
          <w:szCs w:val="24"/>
        </w:rPr>
      </w:pPr>
      <w:r w:rsidRPr="00EA3F9A">
        <w:rPr>
          <w:rFonts w:ascii="Times New Roman" w:hAnsi="Times New Roman" w:cs="Times New Roman"/>
          <w:sz w:val="24"/>
          <w:szCs w:val="24"/>
        </w:rPr>
        <w:t>investigating novel materials and configurations to achieve better medication release profiles.</w:t>
      </w:r>
    </w:p>
    <w:p w14:paraId="1BF2DD5C" w14:textId="77777777" w:rsidR="00132739" w:rsidRPr="00EA3F9A" w:rsidRDefault="00132739" w:rsidP="00B32E6A">
      <w:pPr>
        <w:pStyle w:val="ListParagraph"/>
        <w:spacing w:line="360" w:lineRule="auto"/>
        <w:ind w:left="1554"/>
        <w:jc w:val="both"/>
        <w:rPr>
          <w:rFonts w:ascii="Times New Roman" w:hAnsi="Times New Roman" w:cs="Times New Roman"/>
          <w:b/>
          <w:sz w:val="24"/>
          <w:szCs w:val="24"/>
        </w:rPr>
      </w:pPr>
    </w:p>
    <w:p w14:paraId="4F22C419" w14:textId="77777777" w:rsidR="00132739" w:rsidRPr="00EA3F9A" w:rsidRDefault="00132739" w:rsidP="00B32E6A">
      <w:pPr>
        <w:pStyle w:val="ListParagraph"/>
        <w:numPr>
          <w:ilvl w:val="0"/>
          <w:numId w:val="16"/>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Digital Health and Data Integration</w:t>
      </w:r>
    </w:p>
    <w:p w14:paraId="03C9DD56" w14:textId="77777777" w:rsidR="008A30C9" w:rsidRPr="00EA3F9A" w:rsidRDefault="008A30C9" w:rsidP="00B32E6A">
      <w:pPr>
        <w:pStyle w:val="ListParagraph"/>
        <w:spacing w:line="360" w:lineRule="auto"/>
        <w:ind w:left="1554"/>
        <w:jc w:val="both"/>
        <w:rPr>
          <w:rFonts w:ascii="Times New Roman" w:hAnsi="Times New Roman" w:cs="Times New Roman"/>
          <w:sz w:val="24"/>
          <w:szCs w:val="24"/>
        </w:rPr>
      </w:pPr>
      <w:r w:rsidRPr="00EA3F9A">
        <w:rPr>
          <w:rFonts w:ascii="Times New Roman" w:hAnsi="Times New Roman" w:cs="Times New Roman"/>
          <w:sz w:val="24"/>
          <w:szCs w:val="24"/>
        </w:rPr>
        <w:lastRenderedPageBreak/>
        <w:t>Integration of digital health technologies to track treatment compliance, general health, and patient adherence.</w:t>
      </w:r>
    </w:p>
    <w:p w14:paraId="723CCF15" w14:textId="77777777" w:rsidR="008A30C9" w:rsidRPr="00EA3F9A" w:rsidRDefault="008A30C9" w:rsidP="00B32E6A">
      <w:pPr>
        <w:pStyle w:val="ListParagraph"/>
        <w:spacing w:line="360" w:lineRule="auto"/>
        <w:ind w:left="1554"/>
        <w:jc w:val="both"/>
        <w:rPr>
          <w:rFonts w:ascii="Times New Roman" w:hAnsi="Times New Roman" w:cs="Times New Roman"/>
          <w:sz w:val="24"/>
          <w:szCs w:val="24"/>
        </w:rPr>
      </w:pPr>
      <w:r w:rsidRPr="00EA3F9A">
        <w:rPr>
          <w:rFonts w:ascii="Times New Roman" w:hAnsi="Times New Roman" w:cs="Times New Roman"/>
          <w:sz w:val="24"/>
          <w:szCs w:val="24"/>
        </w:rPr>
        <w:t>using big data analytics to get understanding of the results of buccal drug delivery.</w:t>
      </w:r>
    </w:p>
    <w:p w14:paraId="21E1443A" w14:textId="77777777" w:rsidR="008A30C9" w:rsidRPr="00EA3F9A" w:rsidRDefault="008A30C9" w:rsidP="00B32E6A">
      <w:pPr>
        <w:pStyle w:val="ListParagraph"/>
        <w:spacing w:line="360" w:lineRule="auto"/>
        <w:ind w:left="1554"/>
        <w:jc w:val="both"/>
        <w:rPr>
          <w:rFonts w:ascii="Times New Roman" w:hAnsi="Times New Roman" w:cs="Times New Roman"/>
          <w:b/>
          <w:sz w:val="24"/>
          <w:szCs w:val="24"/>
        </w:rPr>
      </w:pPr>
    </w:p>
    <w:p w14:paraId="5A03389D" w14:textId="77777777" w:rsidR="00132739" w:rsidRPr="00EA3F9A" w:rsidRDefault="00132739" w:rsidP="00B32E6A">
      <w:pPr>
        <w:pStyle w:val="ListParagraph"/>
        <w:numPr>
          <w:ilvl w:val="0"/>
          <w:numId w:val="16"/>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Patient focus Approaches</w:t>
      </w:r>
    </w:p>
    <w:p w14:paraId="489FCD2E" w14:textId="77777777" w:rsidR="008A30C9" w:rsidRPr="00EA3F9A" w:rsidRDefault="008A30C9" w:rsidP="00B32E6A">
      <w:pPr>
        <w:pStyle w:val="ListParagraph"/>
        <w:spacing w:line="360" w:lineRule="auto"/>
        <w:ind w:left="1554"/>
        <w:jc w:val="both"/>
        <w:rPr>
          <w:rFonts w:ascii="Times New Roman" w:hAnsi="Times New Roman" w:cs="Times New Roman"/>
          <w:sz w:val="24"/>
          <w:szCs w:val="24"/>
        </w:rPr>
      </w:pPr>
      <w:r w:rsidRPr="00EA3F9A">
        <w:rPr>
          <w:rFonts w:ascii="Times New Roman" w:hAnsi="Times New Roman" w:cs="Times New Roman"/>
          <w:sz w:val="24"/>
          <w:szCs w:val="24"/>
        </w:rPr>
        <w:t>Concentrate on creating formulations that are more palatable to patients and have better taste masking and acceptance.</w:t>
      </w:r>
    </w:p>
    <w:p w14:paraId="358F3800" w14:textId="77777777" w:rsidR="008A30C9" w:rsidRPr="00EA3F9A" w:rsidRDefault="008A30C9" w:rsidP="00B32E6A">
      <w:pPr>
        <w:pStyle w:val="ListParagraph"/>
        <w:spacing w:line="360" w:lineRule="auto"/>
        <w:ind w:left="1554"/>
        <w:jc w:val="both"/>
        <w:rPr>
          <w:rFonts w:ascii="Times New Roman" w:hAnsi="Times New Roman" w:cs="Times New Roman"/>
          <w:sz w:val="24"/>
          <w:szCs w:val="24"/>
        </w:rPr>
      </w:pPr>
      <w:r w:rsidRPr="00EA3F9A">
        <w:rPr>
          <w:rFonts w:ascii="Times New Roman" w:hAnsi="Times New Roman" w:cs="Times New Roman"/>
          <w:sz w:val="24"/>
          <w:szCs w:val="24"/>
        </w:rPr>
        <w:t>When creating buccal drug delivery systems, patient preferences and lifestyles are taken into account.</w:t>
      </w:r>
    </w:p>
    <w:p w14:paraId="52642D1E" w14:textId="77777777" w:rsidR="008A30C9" w:rsidRPr="00EA3F9A" w:rsidRDefault="008A30C9" w:rsidP="00B32E6A">
      <w:pPr>
        <w:pStyle w:val="ListParagraph"/>
        <w:spacing w:line="360" w:lineRule="auto"/>
        <w:ind w:left="1554"/>
        <w:jc w:val="both"/>
        <w:rPr>
          <w:rFonts w:ascii="Times New Roman" w:hAnsi="Times New Roman" w:cs="Times New Roman"/>
          <w:sz w:val="24"/>
          <w:szCs w:val="24"/>
        </w:rPr>
      </w:pPr>
    </w:p>
    <w:p w14:paraId="6823BEEC" w14:textId="77777777" w:rsidR="00132739" w:rsidRPr="00EA3F9A" w:rsidRDefault="00132739" w:rsidP="00B32E6A">
      <w:pPr>
        <w:pStyle w:val="ListParagraph"/>
        <w:numPr>
          <w:ilvl w:val="0"/>
          <w:numId w:val="16"/>
        </w:num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Environment Technology</w:t>
      </w:r>
    </w:p>
    <w:p w14:paraId="3E605A92" w14:textId="77777777" w:rsidR="008A30C9" w:rsidRPr="00EA3F9A" w:rsidRDefault="008A30C9" w:rsidP="00B32E6A">
      <w:pPr>
        <w:pStyle w:val="ListParagraph"/>
        <w:spacing w:line="360" w:lineRule="auto"/>
        <w:ind w:left="1554"/>
        <w:jc w:val="both"/>
        <w:rPr>
          <w:rFonts w:ascii="Times New Roman" w:hAnsi="Times New Roman" w:cs="Times New Roman"/>
          <w:sz w:val="24"/>
          <w:szCs w:val="24"/>
        </w:rPr>
      </w:pPr>
      <w:r w:rsidRPr="00EA3F9A">
        <w:rPr>
          <w:rFonts w:ascii="Times New Roman" w:hAnsi="Times New Roman" w:cs="Times New Roman"/>
          <w:sz w:val="24"/>
          <w:szCs w:val="24"/>
        </w:rPr>
        <w:t>Emphasis on sustainable production methods and eco-friendly materials.</w:t>
      </w:r>
    </w:p>
    <w:p w14:paraId="117F7007" w14:textId="77777777" w:rsidR="00132739" w:rsidRPr="00EA3F9A" w:rsidRDefault="008A30C9" w:rsidP="00B32E6A">
      <w:pPr>
        <w:pStyle w:val="ListParagraph"/>
        <w:spacing w:line="360" w:lineRule="auto"/>
        <w:ind w:left="1554"/>
        <w:jc w:val="both"/>
        <w:rPr>
          <w:rFonts w:ascii="Times New Roman" w:hAnsi="Times New Roman" w:cs="Times New Roman"/>
          <w:b/>
          <w:sz w:val="24"/>
          <w:szCs w:val="24"/>
        </w:rPr>
      </w:pPr>
      <w:r w:rsidRPr="00EA3F9A">
        <w:rPr>
          <w:rFonts w:ascii="Times New Roman" w:hAnsi="Times New Roman" w:cs="Times New Roman"/>
          <w:sz w:val="24"/>
          <w:szCs w:val="24"/>
        </w:rPr>
        <w:t xml:space="preserve">investigating environmentally friendly and biodegradable polymers for oral medication </w:t>
      </w:r>
      <w:proofErr w:type="gramStart"/>
      <w:r w:rsidRPr="00EA3F9A">
        <w:rPr>
          <w:rFonts w:ascii="Times New Roman" w:hAnsi="Times New Roman" w:cs="Times New Roman"/>
          <w:sz w:val="24"/>
          <w:szCs w:val="24"/>
        </w:rPr>
        <w:t>administration</w:t>
      </w:r>
      <w:r w:rsidR="00E85D4C" w:rsidRPr="00EA3F9A">
        <w:rPr>
          <w:rFonts w:ascii="Times New Roman" w:hAnsi="Times New Roman" w:cs="Times New Roman"/>
          <w:sz w:val="24"/>
          <w:szCs w:val="24"/>
        </w:rPr>
        <w:t>(</w:t>
      </w:r>
      <w:proofErr w:type="gramEnd"/>
      <w:r w:rsidR="00E85D4C" w:rsidRPr="00EA3F9A">
        <w:rPr>
          <w:rFonts w:ascii="Times New Roman" w:hAnsi="Times New Roman" w:cs="Times New Roman"/>
          <w:sz w:val="24"/>
          <w:szCs w:val="24"/>
        </w:rPr>
        <w:t>19, 20)</w:t>
      </w:r>
      <w:r w:rsidRPr="00EA3F9A">
        <w:rPr>
          <w:rFonts w:ascii="Times New Roman" w:hAnsi="Times New Roman" w:cs="Times New Roman"/>
          <w:b/>
          <w:sz w:val="24"/>
          <w:szCs w:val="24"/>
        </w:rPr>
        <w:t>.</w:t>
      </w:r>
    </w:p>
    <w:p w14:paraId="60F97FFA" w14:textId="77777777" w:rsidR="00467242" w:rsidRPr="00EA3F9A" w:rsidRDefault="00467242" w:rsidP="00B32E6A">
      <w:p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Conclusion</w:t>
      </w:r>
    </w:p>
    <w:p w14:paraId="45D1F429" w14:textId="3D98D4A1" w:rsidR="00E34A19" w:rsidRPr="00EA3F9A" w:rsidRDefault="00382AFF" w:rsidP="00B32E6A">
      <w:pPr>
        <w:spacing w:line="360" w:lineRule="auto"/>
        <w:jc w:val="both"/>
        <w:rPr>
          <w:rFonts w:ascii="Times New Roman" w:hAnsi="Times New Roman" w:cs="Times New Roman"/>
          <w:sz w:val="24"/>
          <w:szCs w:val="24"/>
        </w:rPr>
      </w:pPr>
      <w:r w:rsidRPr="00382AFF">
        <w:rPr>
          <w:rFonts w:ascii="Times New Roman" w:hAnsi="Times New Roman" w:cs="Times New Roman"/>
          <w:sz w:val="24"/>
          <w:szCs w:val="24"/>
        </w:rPr>
        <w:t>the buccal drug delivery system has emerged as a promising alternative for drug administration, offering advantages such as prolonged release, avoidance of first-pass metabolism, and enhanced patient compliance. This chapter provides a comprehensive overview of the structure of the oral mucosa in the oral cavity, focusing on the buccal, sublingual, and gingival mucosa. Understanding the unique properties of these mucosal regions is crucial for developing efficient drug delivery systems.</w:t>
      </w:r>
      <w:r>
        <w:rPr>
          <w:rFonts w:ascii="Times New Roman" w:hAnsi="Times New Roman" w:cs="Times New Roman"/>
          <w:sz w:val="24"/>
          <w:szCs w:val="24"/>
        </w:rPr>
        <w:t xml:space="preserve"> </w:t>
      </w:r>
      <w:r w:rsidRPr="00382AFF">
        <w:rPr>
          <w:rFonts w:ascii="Times New Roman" w:hAnsi="Times New Roman" w:cs="Times New Roman"/>
          <w:sz w:val="24"/>
          <w:szCs w:val="24"/>
        </w:rPr>
        <w:t>The physiology of the buccal mucosa, including blood supply, permeability, and drug absorption mechanisms, is discussed in detail. The role of bioadhesion in buccal drug delivery is emphasized, with physical and chemical interactions playing a key role in ensuring continuous contact between the drug delivery system and the buccal mucosa.</w:t>
      </w:r>
      <w:r>
        <w:rPr>
          <w:rFonts w:ascii="Times New Roman" w:hAnsi="Times New Roman" w:cs="Times New Roman"/>
          <w:sz w:val="24"/>
          <w:szCs w:val="24"/>
        </w:rPr>
        <w:t xml:space="preserve"> </w:t>
      </w:r>
      <w:r w:rsidRPr="00382AFF">
        <w:rPr>
          <w:rFonts w:ascii="Times New Roman" w:hAnsi="Times New Roman" w:cs="Times New Roman"/>
          <w:sz w:val="24"/>
          <w:szCs w:val="24"/>
        </w:rPr>
        <w:t>Factors influencing bioadhesion, such as material properties, physiological factors, formulation factors, and patient-related factors, are highlighted. The use of both natural and synthetic polymers in buccal drug delivery, along with permeability across the buccal mucosa, is explored. Various formulation strategies, including dosage forms, polymer selection, enhancement techniques, and cutting-edge technologies, are presented to optimize drug delivery efficiency.</w:t>
      </w:r>
      <w:r>
        <w:rPr>
          <w:rFonts w:ascii="Times New Roman" w:hAnsi="Times New Roman" w:cs="Times New Roman"/>
          <w:sz w:val="24"/>
          <w:szCs w:val="24"/>
        </w:rPr>
        <w:t xml:space="preserve"> </w:t>
      </w:r>
      <w:r w:rsidRPr="00382AFF">
        <w:rPr>
          <w:rFonts w:ascii="Times New Roman" w:hAnsi="Times New Roman" w:cs="Times New Roman"/>
          <w:sz w:val="24"/>
          <w:szCs w:val="24"/>
        </w:rPr>
        <w:t xml:space="preserve">Regulatory </w:t>
      </w:r>
      <w:r w:rsidRPr="00382AFF">
        <w:rPr>
          <w:rFonts w:ascii="Times New Roman" w:hAnsi="Times New Roman" w:cs="Times New Roman"/>
          <w:sz w:val="24"/>
          <w:szCs w:val="24"/>
        </w:rPr>
        <w:lastRenderedPageBreak/>
        <w:t>considerations for buccal drug delivery systems are discussed, emphasizing the importance of meeting quality, safety, and efficacy requirements. Future developments and trends in buccal drug delivery, including nanotechnology advancements, innovative dosage forms, digital health integration, patient-focused approaches, and environmentally friendly technologies, are explored.</w:t>
      </w:r>
      <w:r>
        <w:rPr>
          <w:rFonts w:ascii="Times New Roman" w:hAnsi="Times New Roman" w:cs="Times New Roman"/>
          <w:sz w:val="24"/>
          <w:szCs w:val="24"/>
        </w:rPr>
        <w:t xml:space="preserve"> </w:t>
      </w:r>
      <w:r w:rsidRPr="00382AFF">
        <w:rPr>
          <w:rFonts w:ascii="Times New Roman" w:hAnsi="Times New Roman" w:cs="Times New Roman"/>
          <w:sz w:val="24"/>
          <w:szCs w:val="24"/>
        </w:rPr>
        <w:t>In the evolving landscape of pharmaceuticals, buccal drug delivery systems hold great potential for addressing challenges associated with traditional drug administration routes. Continued research, technological advancements, and adherence to regulatory standards will contribute to the further development and implementation of effective buccal drug delivery systems, ultimately enhancing patient outcomes and treatment options.</w:t>
      </w:r>
    </w:p>
    <w:p w14:paraId="3FC1CC43" w14:textId="77777777" w:rsidR="00C67E6D" w:rsidRDefault="00C67E6D" w:rsidP="00B32E6A">
      <w:pPr>
        <w:spacing w:line="360" w:lineRule="auto"/>
        <w:jc w:val="both"/>
        <w:rPr>
          <w:rFonts w:ascii="Times New Roman" w:hAnsi="Times New Roman" w:cs="Times New Roman"/>
          <w:b/>
          <w:sz w:val="24"/>
          <w:szCs w:val="24"/>
        </w:rPr>
      </w:pPr>
    </w:p>
    <w:p w14:paraId="2290AA9A" w14:textId="2D5C0F40" w:rsidR="00115F78" w:rsidRPr="00EA3F9A" w:rsidRDefault="00C83177" w:rsidP="00B32E6A">
      <w:pPr>
        <w:spacing w:line="360" w:lineRule="auto"/>
        <w:jc w:val="both"/>
        <w:rPr>
          <w:rFonts w:ascii="Times New Roman" w:hAnsi="Times New Roman" w:cs="Times New Roman"/>
          <w:b/>
          <w:sz w:val="24"/>
          <w:szCs w:val="24"/>
        </w:rPr>
      </w:pPr>
      <w:r w:rsidRPr="00EA3F9A">
        <w:rPr>
          <w:rFonts w:ascii="Times New Roman" w:hAnsi="Times New Roman" w:cs="Times New Roman"/>
          <w:b/>
          <w:sz w:val="24"/>
          <w:szCs w:val="24"/>
        </w:rPr>
        <w:t>References</w:t>
      </w:r>
    </w:p>
    <w:p w14:paraId="22EDAA64" w14:textId="77777777" w:rsidR="00C83177" w:rsidRPr="00EA3F9A" w:rsidRDefault="00C83177"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t xml:space="preserve">Chinna Reddy, P., Chaitanya, K. S. C., &amp; Madhusudan Rao, Y. (2011). A review on bioadhesive buccal drug delivery systems: current status of formulation and evaluation methods. </w:t>
      </w:r>
      <w:r w:rsidRPr="00EA3F9A">
        <w:rPr>
          <w:rFonts w:ascii="Times New Roman" w:eastAsia="Times New Roman" w:hAnsi="Times New Roman" w:cs="Times New Roman"/>
          <w:i/>
          <w:iCs/>
          <w:sz w:val="24"/>
          <w:szCs w:val="24"/>
        </w:rPr>
        <w:t>DARU Journal of Pharmaceutical Sciences</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19</w:t>
      </w:r>
      <w:r w:rsidRPr="00EA3F9A">
        <w:rPr>
          <w:rFonts w:ascii="Times New Roman" w:eastAsia="Times New Roman" w:hAnsi="Times New Roman" w:cs="Times New Roman"/>
          <w:sz w:val="24"/>
          <w:szCs w:val="24"/>
        </w:rPr>
        <w:t>(6), 385. /</w:t>
      </w:r>
      <w:proofErr w:type="spellStart"/>
      <w:r w:rsidRPr="00EA3F9A">
        <w:rPr>
          <w:rFonts w:ascii="Times New Roman" w:eastAsia="Times New Roman" w:hAnsi="Times New Roman" w:cs="Times New Roman"/>
          <w:sz w:val="24"/>
          <w:szCs w:val="24"/>
        </w:rPr>
        <w:t>pmc</w:t>
      </w:r>
      <w:proofErr w:type="spellEnd"/>
      <w:r w:rsidRPr="00EA3F9A">
        <w:rPr>
          <w:rFonts w:ascii="Times New Roman" w:eastAsia="Times New Roman" w:hAnsi="Times New Roman" w:cs="Times New Roman"/>
          <w:sz w:val="24"/>
          <w:szCs w:val="24"/>
        </w:rPr>
        <w:t>/articles/PMC3436075/</w:t>
      </w:r>
    </w:p>
    <w:p w14:paraId="12AE8D02" w14:textId="77777777" w:rsidR="00F810EA" w:rsidRPr="00EA3F9A" w:rsidRDefault="00F810EA" w:rsidP="00B32E6A">
      <w:pPr>
        <w:pStyle w:val="ListParagraph"/>
        <w:numPr>
          <w:ilvl w:val="0"/>
          <w:numId w:val="17"/>
        </w:numPr>
        <w:spacing w:after="0" w:line="360" w:lineRule="auto"/>
        <w:jc w:val="both"/>
        <w:rPr>
          <w:rFonts w:ascii="Times New Roman" w:eastAsia="Times New Roman" w:hAnsi="Times New Roman" w:cs="Times New Roman"/>
          <w:sz w:val="24"/>
          <w:szCs w:val="24"/>
        </w:rPr>
      </w:pPr>
      <w:proofErr w:type="spellStart"/>
      <w:r w:rsidRPr="00EA3F9A">
        <w:rPr>
          <w:rFonts w:ascii="Times New Roman" w:eastAsia="Times New Roman" w:hAnsi="Times New Roman" w:cs="Times New Roman"/>
          <w:sz w:val="24"/>
          <w:szCs w:val="24"/>
        </w:rPr>
        <w:t>Wanasathop</w:t>
      </w:r>
      <w:proofErr w:type="spellEnd"/>
      <w:r w:rsidRPr="00EA3F9A">
        <w:rPr>
          <w:rFonts w:ascii="Times New Roman" w:eastAsia="Times New Roman" w:hAnsi="Times New Roman" w:cs="Times New Roman"/>
          <w:sz w:val="24"/>
          <w:szCs w:val="24"/>
        </w:rPr>
        <w:t xml:space="preserve">, A., Patel, P. B., Choi, H. A., &amp; Li, S. K. (2021). Permeability of Buccal Mucosa. </w:t>
      </w:r>
      <w:r w:rsidRPr="00EA3F9A">
        <w:rPr>
          <w:rFonts w:ascii="Times New Roman" w:eastAsia="Times New Roman" w:hAnsi="Times New Roman" w:cs="Times New Roman"/>
          <w:i/>
          <w:iCs/>
          <w:sz w:val="24"/>
          <w:szCs w:val="24"/>
        </w:rPr>
        <w:t>Pharmaceutics</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13</w:t>
      </w:r>
      <w:r w:rsidRPr="00EA3F9A">
        <w:rPr>
          <w:rFonts w:ascii="Times New Roman" w:eastAsia="Times New Roman" w:hAnsi="Times New Roman" w:cs="Times New Roman"/>
          <w:sz w:val="24"/>
          <w:szCs w:val="24"/>
        </w:rPr>
        <w:t>(11). https://doi.org/10.3390/PHARMACEUTICS13111814</w:t>
      </w:r>
    </w:p>
    <w:p w14:paraId="4D642E90" w14:textId="77777777" w:rsidR="00F810EA" w:rsidRPr="00EA3F9A" w:rsidRDefault="00F810EA"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t xml:space="preserve">Hao, J., &amp; Heng, P. W. S. (2003). Buccal delivery systems. </w:t>
      </w:r>
      <w:r w:rsidRPr="00EA3F9A">
        <w:rPr>
          <w:rFonts w:ascii="Times New Roman" w:eastAsia="Times New Roman" w:hAnsi="Times New Roman" w:cs="Times New Roman"/>
          <w:i/>
          <w:iCs/>
          <w:sz w:val="24"/>
          <w:szCs w:val="24"/>
        </w:rPr>
        <w:t>Drug Development and Industrial Pharmacy</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29</w:t>
      </w:r>
      <w:r w:rsidRPr="00EA3F9A">
        <w:rPr>
          <w:rFonts w:ascii="Times New Roman" w:eastAsia="Times New Roman" w:hAnsi="Times New Roman" w:cs="Times New Roman"/>
          <w:sz w:val="24"/>
          <w:szCs w:val="24"/>
        </w:rPr>
        <w:t>(8), 821–832. https://doi.org/10.1081/DDC-120024178</w:t>
      </w:r>
    </w:p>
    <w:p w14:paraId="175B23EE" w14:textId="77777777" w:rsidR="00A6053C" w:rsidRPr="00EA3F9A" w:rsidRDefault="00A6053C"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t xml:space="preserve">Kamrani, P., &amp; Sadiq, N. M. (2023). Anatomy, Head and Neck, Oral Cavity (Mouth). </w:t>
      </w:r>
      <w:proofErr w:type="spellStart"/>
      <w:r w:rsidRPr="00EA3F9A">
        <w:rPr>
          <w:rFonts w:ascii="Times New Roman" w:eastAsia="Times New Roman" w:hAnsi="Times New Roman" w:cs="Times New Roman"/>
          <w:i/>
          <w:iCs/>
          <w:sz w:val="24"/>
          <w:szCs w:val="24"/>
        </w:rPr>
        <w:t>StatPearls</w:t>
      </w:r>
      <w:proofErr w:type="spellEnd"/>
      <w:r w:rsidRPr="00EA3F9A">
        <w:rPr>
          <w:rFonts w:ascii="Times New Roman" w:eastAsia="Times New Roman" w:hAnsi="Times New Roman" w:cs="Times New Roman"/>
          <w:sz w:val="24"/>
          <w:szCs w:val="24"/>
        </w:rPr>
        <w:t>. https://www.ncbi.nlm.nih.gov/books/NBK545271/</w:t>
      </w:r>
    </w:p>
    <w:p w14:paraId="1E7E1E3B" w14:textId="77777777" w:rsidR="00A6053C" w:rsidRPr="00EA3F9A" w:rsidRDefault="00A6053C"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t xml:space="preserve">Shum, J., Blanco, A., Guo, S., Marruffo, J., &amp; Melville, J. C. (2017). Early buccal mucosa cancer. </w:t>
      </w:r>
      <w:r w:rsidRPr="00EA3F9A">
        <w:rPr>
          <w:rFonts w:ascii="Times New Roman" w:eastAsia="Times New Roman" w:hAnsi="Times New Roman" w:cs="Times New Roman"/>
          <w:i/>
          <w:iCs/>
          <w:sz w:val="24"/>
          <w:szCs w:val="24"/>
        </w:rPr>
        <w:t>Oral, Head and Neck Oncology and Reconstructive Surgery</w:t>
      </w:r>
      <w:r w:rsidRPr="00EA3F9A">
        <w:rPr>
          <w:rFonts w:ascii="Times New Roman" w:eastAsia="Times New Roman" w:hAnsi="Times New Roman" w:cs="Times New Roman"/>
          <w:sz w:val="24"/>
          <w:szCs w:val="24"/>
        </w:rPr>
        <w:t>, 532–543. https://doi.org/10.1016/B978-0-323-26568-3.00025-7</w:t>
      </w:r>
    </w:p>
    <w:p w14:paraId="675A7CD2" w14:textId="77777777" w:rsidR="00A6053C" w:rsidRPr="00EA3F9A" w:rsidRDefault="00A6053C"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t xml:space="preserve">El-Say, K. M., &amp; Ahmed, T. A. (2022). Buccal Route of Drug Delivery. </w:t>
      </w:r>
      <w:r w:rsidRPr="00EA3F9A">
        <w:rPr>
          <w:rFonts w:ascii="Times New Roman" w:eastAsia="Times New Roman" w:hAnsi="Times New Roman" w:cs="Times New Roman"/>
          <w:i/>
          <w:iCs/>
          <w:sz w:val="24"/>
          <w:szCs w:val="24"/>
        </w:rPr>
        <w:t>The ADME Encyclopedia</w:t>
      </w:r>
      <w:r w:rsidRPr="00EA3F9A">
        <w:rPr>
          <w:rFonts w:ascii="Times New Roman" w:eastAsia="Times New Roman" w:hAnsi="Times New Roman" w:cs="Times New Roman"/>
          <w:sz w:val="24"/>
          <w:szCs w:val="24"/>
        </w:rPr>
        <w:t>, 222–231. https://doi.org/10.1007/978-3-030-84860-6_12</w:t>
      </w:r>
    </w:p>
    <w:p w14:paraId="157377C2" w14:textId="77777777" w:rsidR="00A6053C" w:rsidRPr="00EA3F9A" w:rsidRDefault="00A6053C"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lang w:val="de-DE"/>
        </w:rPr>
        <w:t xml:space="preserve">Sudhakar, Y., Kuotsu, K., &amp; Bandyopadhyay, A. K. (2006). </w:t>
      </w:r>
      <w:r w:rsidRPr="00EA3F9A">
        <w:rPr>
          <w:rFonts w:ascii="Times New Roman" w:eastAsia="Times New Roman" w:hAnsi="Times New Roman" w:cs="Times New Roman"/>
          <w:sz w:val="24"/>
          <w:szCs w:val="24"/>
        </w:rPr>
        <w:t xml:space="preserve">Buccal bioadhesive drug delivery — A promising option for orally less efficient drugs. </w:t>
      </w:r>
      <w:r w:rsidRPr="00EA3F9A">
        <w:rPr>
          <w:rFonts w:ascii="Times New Roman" w:eastAsia="Times New Roman" w:hAnsi="Times New Roman" w:cs="Times New Roman"/>
          <w:i/>
          <w:iCs/>
          <w:sz w:val="24"/>
          <w:szCs w:val="24"/>
        </w:rPr>
        <w:t>Journal of Controlled Release</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114</w:t>
      </w:r>
      <w:r w:rsidRPr="00EA3F9A">
        <w:rPr>
          <w:rFonts w:ascii="Times New Roman" w:eastAsia="Times New Roman" w:hAnsi="Times New Roman" w:cs="Times New Roman"/>
          <w:sz w:val="24"/>
          <w:szCs w:val="24"/>
        </w:rPr>
        <w:t>(1), 15–40. https://doi.org/10.1016/J.JCONREL.2006.04.012</w:t>
      </w:r>
    </w:p>
    <w:p w14:paraId="09C5FD6F" w14:textId="77777777" w:rsidR="00A6053C" w:rsidRPr="00EA3F9A" w:rsidRDefault="00A6053C"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lastRenderedPageBreak/>
        <w:t xml:space="preserve">Zeng, Y., Gao, Y., He, L., Ge, W., Liu, J., Yu, Y., &amp; Xie, X. (2023). Multifunctional polysaccharide composited microneedle for oral ulcers healing. </w:t>
      </w:r>
      <w:r w:rsidRPr="00EA3F9A">
        <w:rPr>
          <w:rFonts w:ascii="Times New Roman" w:eastAsia="Times New Roman" w:hAnsi="Times New Roman" w:cs="Times New Roman"/>
          <w:i/>
          <w:iCs/>
          <w:sz w:val="24"/>
          <w:szCs w:val="24"/>
        </w:rPr>
        <w:t>Materials Today Bio</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22</w:t>
      </w:r>
      <w:r w:rsidRPr="00EA3F9A">
        <w:rPr>
          <w:rFonts w:ascii="Times New Roman" w:eastAsia="Times New Roman" w:hAnsi="Times New Roman" w:cs="Times New Roman"/>
          <w:sz w:val="24"/>
          <w:szCs w:val="24"/>
        </w:rPr>
        <w:t>. https://doi.org/10.1016/j.mtbio.2023.100782</w:t>
      </w:r>
    </w:p>
    <w:p w14:paraId="0B984865" w14:textId="77777777" w:rsidR="00A6053C" w:rsidRPr="00EA3F9A" w:rsidRDefault="00A6053C"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t xml:space="preserve">Maciej Serda, Becker, F. G., Cleary, M., Team, R. M., Holtermann, H., The, D., Agenda, N., Science, P., </w:t>
      </w:r>
      <w:proofErr w:type="spellStart"/>
      <w:r w:rsidRPr="00EA3F9A">
        <w:rPr>
          <w:rFonts w:ascii="Times New Roman" w:eastAsia="Times New Roman" w:hAnsi="Times New Roman" w:cs="Times New Roman"/>
          <w:sz w:val="24"/>
          <w:szCs w:val="24"/>
        </w:rPr>
        <w:t>Sk</w:t>
      </w:r>
      <w:proofErr w:type="spellEnd"/>
      <w:r w:rsidRPr="00EA3F9A">
        <w:rPr>
          <w:rFonts w:ascii="Times New Roman" w:eastAsia="Times New Roman" w:hAnsi="Times New Roman" w:cs="Times New Roman"/>
          <w:sz w:val="24"/>
          <w:szCs w:val="24"/>
        </w:rPr>
        <w:t xml:space="preserve">, S. K., Hinnebusch, R., Hinnebusch A, R., Rabinovich, I., Olmert, Y., </w:t>
      </w:r>
      <w:proofErr w:type="spellStart"/>
      <w:r w:rsidRPr="00EA3F9A">
        <w:rPr>
          <w:rFonts w:ascii="Times New Roman" w:eastAsia="Times New Roman" w:hAnsi="Times New Roman" w:cs="Times New Roman"/>
          <w:sz w:val="24"/>
          <w:szCs w:val="24"/>
        </w:rPr>
        <w:t>Uld</w:t>
      </w:r>
      <w:proofErr w:type="spellEnd"/>
      <w:r w:rsidRPr="00EA3F9A">
        <w:rPr>
          <w:rFonts w:ascii="Times New Roman" w:eastAsia="Times New Roman" w:hAnsi="Times New Roman" w:cs="Times New Roman"/>
          <w:sz w:val="24"/>
          <w:szCs w:val="24"/>
        </w:rPr>
        <w:t xml:space="preserve">, D. Q. G. L. Q., Ri, W. K. H. U., </w:t>
      </w:r>
      <w:proofErr w:type="spellStart"/>
      <w:r w:rsidRPr="00EA3F9A">
        <w:rPr>
          <w:rFonts w:ascii="Times New Roman" w:eastAsia="Times New Roman" w:hAnsi="Times New Roman" w:cs="Times New Roman"/>
          <w:sz w:val="24"/>
          <w:szCs w:val="24"/>
        </w:rPr>
        <w:t>Lq</w:t>
      </w:r>
      <w:proofErr w:type="spellEnd"/>
      <w:r w:rsidRPr="00EA3F9A">
        <w:rPr>
          <w:rFonts w:ascii="Times New Roman" w:eastAsia="Times New Roman" w:hAnsi="Times New Roman" w:cs="Times New Roman"/>
          <w:sz w:val="24"/>
          <w:szCs w:val="24"/>
        </w:rPr>
        <w:t xml:space="preserve">, V., </w:t>
      </w:r>
      <w:proofErr w:type="spellStart"/>
      <w:r w:rsidRPr="00EA3F9A">
        <w:rPr>
          <w:rFonts w:ascii="Times New Roman" w:eastAsia="Times New Roman" w:hAnsi="Times New Roman" w:cs="Times New Roman"/>
          <w:sz w:val="24"/>
          <w:szCs w:val="24"/>
        </w:rPr>
        <w:t>Frxqwu</w:t>
      </w:r>
      <w:proofErr w:type="spellEnd"/>
      <w:r w:rsidRPr="00EA3F9A">
        <w:rPr>
          <w:rFonts w:ascii="Times New Roman" w:eastAsia="Times New Roman" w:hAnsi="Times New Roman" w:cs="Times New Roman"/>
          <w:sz w:val="24"/>
          <w:szCs w:val="24"/>
        </w:rPr>
        <w:t xml:space="preserve">, W. K. H., </w:t>
      </w:r>
      <w:proofErr w:type="spellStart"/>
      <w:r w:rsidRPr="00EA3F9A">
        <w:rPr>
          <w:rFonts w:ascii="Times New Roman" w:eastAsia="Times New Roman" w:hAnsi="Times New Roman" w:cs="Times New Roman"/>
          <w:sz w:val="24"/>
          <w:szCs w:val="24"/>
        </w:rPr>
        <w:t>Zklfk</w:t>
      </w:r>
      <w:proofErr w:type="spellEnd"/>
      <w:r w:rsidRPr="00EA3F9A">
        <w:rPr>
          <w:rFonts w:ascii="Times New Roman" w:eastAsia="Times New Roman" w:hAnsi="Times New Roman" w:cs="Times New Roman"/>
          <w:sz w:val="24"/>
          <w:szCs w:val="24"/>
        </w:rPr>
        <w:t xml:space="preserve">, E., </w:t>
      </w:r>
      <w:proofErr w:type="spellStart"/>
      <w:r w:rsidRPr="00EA3F9A">
        <w:rPr>
          <w:rFonts w:ascii="Times New Roman" w:eastAsia="Times New Roman" w:hAnsi="Times New Roman" w:cs="Times New Roman"/>
          <w:sz w:val="24"/>
          <w:szCs w:val="24"/>
        </w:rPr>
        <w:t>Edvhg</w:t>
      </w:r>
      <w:proofErr w:type="spellEnd"/>
      <w:r w:rsidRPr="00EA3F9A">
        <w:rPr>
          <w:rFonts w:ascii="Times New Roman" w:eastAsia="Times New Roman" w:hAnsi="Times New Roman" w:cs="Times New Roman"/>
          <w:sz w:val="24"/>
          <w:szCs w:val="24"/>
        </w:rPr>
        <w:t xml:space="preserve">, L. v, … </w:t>
      </w:r>
      <w:proofErr w:type="spellStart"/>
      <w:r w:rsidRPr="00EA3F9A">
        <w:rPr>
          <w:rFonts w:ascii="Times New Roman" w:eastAsia="Times New Roman" w:hAnsi="Times New Roman" w:cs="Times New Roman"/>
          <w:sz w:val="24"/>
          <w:szCs w:val="24"/>
        </w:rPr>
        <w:t>فاطمی</w:t>
      </w:r>
      <w:proofErr w:type="spellEnd"/>
      <w:r w:rsidRPr="00EA3F9A">
        <w:rPr>
          <w:rFonts w:ascii="Times New Roman" w:eastAsia="Times New Roman" w:hAnsi="Times New Roman" w:cs="Times New Roman"/>
          <w:sz w:val="24"/>
          <w:szCs w:val="24"/>
        </w:rPr>
        <w:t xml:space="preserve">, ح. (2013). </w:t>
      </w:r>
      <w:proofErr w:type="spellStart"/>
      <w:r w:rsidRPr="00EA3F9A">
        <w:rPr>
          <w:rFonts w:ascii="Times New Roman" w:eastAsia="Times New Roman" w:hAnsi="Times New Roman" w:cs="Times New Roman"/>
          <w:sz w:val="24"/>
          <w:szCs w:val="24"/>
        </w:rPr>
        <w:t>Synteza</w:t>
      </w:r>
      <w:proofErr w:type="spellEnd"/>
      <w:r w:rsidRPr="00EA3F9A">
        <w:rPr>
          <w:rFonts w:ascii="Times New Roman" w:eastAsia="Times New Roman" w:hAnsi="Times New Roman" w:cs="Times New Roman"/>
          <w:sz w:val="24"/>
          <w:szCs w:val="24"/>
        </w:rPr>
        <w:t xml:space="preserve"> </w:t>
      </w:r>
      <w:proofErr w:type="spellStart"/>
      <w:r w:rsidRPr="00EA3F9A">
        <w:rPr>
          <w:rFonts w:ascii="Times New Roman" w:eastAsia="Times New Roman" w:hAnsi="Times New Roman" w:cs="Times New Roman"/>
          <w:sz w:val="24"/>
          <w:szCs w:val="24"/>
        </w:rPr>
        <w:t>i</w:t>
      </w:r>
      <w:proofErr w:type="spellEnd"/>
      <w:r w:rsidRPr="00EA3F9A">
        <w:rPr>
          <w:rFonts w:ascii="Times New Roman" w:eastAsia="Times New Roman" w:hAnsi="Times New Roman" w:cs="Times New Roman"/>
          <w:sz w:val="24"/>
          <w:szCs w:val="24"/>
        </w:rPr>
        <w:t xml:space="preserve"> </w:t>
      </w:r>
      <w:proofErr w:type="spellStart"/>
      <w:r w:rsidRPr="00EA3F9A">
        <w:rPr>
          <w:rFonts w:ascii="Times New Roman" w:eastAsia="Times New Roman" w:hAnsi="Times New Roman" w:cs="Times New Roman"/>
          <w:sz w:val="24"/>
          <w:szCs w:val="24"/>
        </w:rPr>
        <w:t>aktywność</w:t>
      </w:r>
      <w:proofErr w:type="spellEnd"/>
      <w:r w:rsidRPr="00EA3F9A">
        <w:rPr>
          <w:rFonts w:ascii="Times New Roman" w:eastAsia="Times New Roman" w:hAnsi="Times New Roman" w:cs="Times New Roman"/>
          <w:sz w:val="24"/>
          <w:szCs w:val="24"/>
        </w:rPr>
        <w:t xml:space="preserve"> </w:t>
      </w:r>
      <w:proofErr w:type="spellStart"/>
      <w:r w:rsidRPr="00EA3F9A">
        <w:rPr>
          <w:rFonts w:ascii="Times New Roman" w:eastAsia="Times New Roman" w:hAnsi="Times New Roman" w:cs="Times New Roman"/>
          <w:sz w:val="24"/>
          <w:szCs w:val="24"/>
        </w:rPr>
        <w:t>biologiczna</w:t>
      </w:r>
      <w:proofErr w:type="spellEnd"/>
      <w:r w:rsidRPr="00EA3F9A">
        <w:rPr>
          <w:rFonts w:ascii="Times New Roman" w:eastAsia="Times New Roman" w:hAnsi="Times New Roman" w:cs="Times New Roman"/>
          <w:sz w:val="24"/>
          <w:szCs w:val="24"/>
        </w:rPr>
        <w:t xml:space="preserve"> </w:t>
      </w:r>
      <w:proofErr w:type="spellStart"/>
      <w:r w:rsidRPr="00EA3F9A">
        <w:rPr>
          <w:rFonts w:ascii="Times New Roman" w:eastAsia="Times New Roman" w:hAnsi="Times New Roman" w:cs="Times New Roman"/>
          <w:sz w:val="24"/>
          <w:szCs w:val="24"/>
        </w:rPr>
        <w:t>nowych</w:t>
      </w:r>
      <w:proofErr w:type="spellEnd"/>
      <w:r w:rsidRPr="00EA3F9A">
        <w:rPr>
          <w:rFonts w:ascii="Times New Roman" w:eastAsia="Times New Roman" w:hAnsi="Times New Roman" w:cs="Times New Roman"/>
          <w:sz w:val="24"/>
          <w:szCs w:val="24"/>
        </w:rPr>
        <w:t xml:space="preserve"> </w:t>
      </w:r>
      <w:proofErr w:type="spellStart"/>
      <w:r w:rsidRPr="00EA3F9A">
        <w:rPr>
          <w:rFonts w:ascii="Times New Roman" w:eastAsia="Times New Roman" w:hAnsi="Times New Roman" w:cs="Times New Roman"/>
          <w:sz w:val="24"/>
          <w:szCs w:val="24"/>
        </w:rPr>
        <w:t>analogów</w:t>
      </w:r>
      <w:proofErr w:type="spellEnd"/>
      <w:r w:rsidRPr="00EA3F9A">
        <w:rPr>
          <w:rFonts w:ascii="Times New Roman" w:eastAsia="Times New Roman" w:hAnsi="Times New Roman" w:cs="Times New Roman"/>
          <w:sz w:val="24"/>
          <w:szCs w:val="24"/>
        </w:rPr>
        <w:t xml:space="preserve"> </w:t>
      </w:r>
      <w:proofErr w:type="spellStart"/>
      <w:r w:rsidRPr="00EA3F9A">
        <w:rPr>
          <w:rFonts w:ascii="Times New Roman" w:eastAsia="Times New Roman" w:hAnsi="Times New Roman" w:cs="Times New Roman"/>
          <w:sz w:val="24"/>
          <w:szCs w:val="24"/>
        </w:rPr>
        <w:t>tiosemikarbazonowych</w:t>
      </w:r>
      <w:proofErr w:type="spellEnd"/>
      <w:r w:rsidRPr="00EA3F9A">
        <w:rPr>
          <w:rFonts w:ascii="Times New Roman" w:eastAsia="Times New Roman" w:hAnsi="Times New Roman" w:cs="Times New Roman"/>
          <w:sz w:val="24"/>
          <w:szCs w:val="24"/>
        </w:rPr>
        <w:t xml:space="preserve"> </w:t>
      </w:r>
      <w:proofErr w:type="spellStart"/>
      <w:r w:rsidRPr="00EA3F9A">
        <w:rPr>
          <w:rFonts w:ascii="Times New Roman" w:eastAsia="Times New Roman" w:hAnsi="Times New Roman" w:cs="Times New Roman"/>
          <w:sz w:val="24"/>
          <w:szCs w:val="24"/>
        </w:rPr>
        <w:t>chelatorów</w:t>
      </w:r>
      <w:proofErr w:type="spellEnd"/>
      <w:r w:rsidRPr="00EA3F9A">
        <w:rPr>
          <w:rFonts w:ascii="Times New Roman" w:eastAsia="Times New Roman" w:hAnsi="Times New Roman" w:cs="Times New Roman"/>
          <w:sz w:val="24"/>
          <w:szCs w:val="24"/>
        </w:rPr>
        <w:t xml:space="preserve"> </w:t>
      </w:r>
      <w:proofErr w:type="spellStart"/>
      <w:r w:rsidRPr="00EA3F9A">
        <w:rPr>
          <w:rFonts w:ascii="Times New Roman" w:eastAsia="Times New Roman" w:hAnsi="Times New Roman" w:cs="Times New Roman"/>
          <w:sz w:val="24"/>
          <w:szCs w:val="24"/>
        </w:rPr>
        <w:t>żelaza</w:t>
      </w:r>
      <w:proofErr w:type="spellEnd"/>
      <w:r w:rsidRPr="00EA3F9A">
        <w:rPr>
          <w:rFonts w:ascii="Times New Roman" w:eastAsia="Times New Roman" w:hAnsi="Times New Roman" w:cs="Times New Roman"/>
          <w:sz w:val="24"/>
          <w:szCs w:val="24"/>
        </w:rPr>
        <w:t xml:space="preserve">. </w:t>
      </w:r>
      <w:proofErr w:type="spellStart"/>
      <w:r w:rsidRPr="00EA3F9A">
        <w:rPr>
          <w:rFonts w:ascii="Times New Roman" w:eastAsia="Times New Roman" w:hAnsi="Times New Roman" w:cs="Times New Roman"/>
          <w:i/>
          <w:iCs/>
          <w:sz w:val="24"/>
          <w:szCs w:val="24"/>
        </w:rPr>
        <w:t>Uniwersytet</w:t>
      </w:r>
      <w:proofErr w:type="spellEnd"/>
      <w:r w:rsidRPr="00EA3F9A">
        <w:rPr>
          <w:rFonts w:ascii="Times New Roman" w:eastAsia="Times New Roman" w:hAnsi="Times New Roman" w:cs="Times New Roman"/>
          <w:i/>
          <w:iCs/>
          <w:sz w:val="24"/>
          <w:szCs w:val="24"/>
        </w:rPr>
        <w:t xml:space="preserve"> Śląski</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7</w:t>
      </w:r>
      <w:r w:rsidRPr="00EA3F9A">
        <w:rPr>
          <w:rFonts w:ascii="Times New Roman" w:eastAsia="Times New Roman" w:hAnsi="Times New Roman" w:cs="Times New Roman"/>
          <w:sz w:val="24"/>
          <w:szCs w:val="24"/>
        </w:rPr>
        <w:t>(1), 343–354. https://doi.org/10.2/JQUERY.MIN.JS</w:t>
      </w:r>
    </w:p>
    <w:p w14:paraId="6C1DFF97" w14:textId="77777777" w:rsidR="00A6053C" w:rsidRPr="00EA3F9A" w:rsidRDefault="00A6053C"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t xml:space="preserve">Singh, B., Sharma, V., Kumar, R., &amp; Sharma, D. (2023). Designing biphasic gels from dietary fiber sterculia gum by green approach using high energy radiation for biomedical applications. </w:t>
      </w:r>
      <w:r w:rsidRPr="00EA3F9A">
        <w:rPr>
          <w:rFonts w:ascii="Times New Roman" w:eastAsia="Times New Roman" w:hAnsi="Times New Roman" w:cs="Times New Roman"/>
          <w:i/>
          <w:iCs/>
          <w:sz w:val="24"/>
          <w:szCs w:val="24"/>
        </w:rPr>
        <w:t>Food Hydrocolloids for Health</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3</w:t>
      </w:r>
      <w:r w:rsidRPr="00EA3F9A">
        <w:rPr>
          <w:rFonts w:ascii="Times New Roman" w:eastAsia="Times New Roman" w:hAnsi="Times New Roman" w:cs="Times New Roman"/>
          <w:sz w:val="24"/>
          <w:szCs w:val="24"/>
        </w:rPr>
        <w:t>. https://doi.org/10.1016/j.fhfh.2023.100137</w:t>
      </w:r>
    </w:p>
    <w:p w14:paraId="55E326D6" w14:textId="77777777" w:rsidR="00177164" w:rsidRPr="00EA3F9A" w:rsidRDefault="00177164" w:rsidP="00B32E6A">
      <w:pPr>
        <w:pStyle w:val="ListParagraph"/>
        <w:numPr>
          <w:ilvl w:val="0"/>
          <w:numId w:val="17"/>
        </w:numPr>
        <w:spacing w:after="0" w:line="360" w:lineRule="auto"/>
        <w:jc w:val="both"/>
        <w:rPr>
          <w:rFonts w:ascii="Times New Roman" w:eastAsia="Times New Roman" w:hAnsi="Times New Roman" w:cs="Times New Roman"/>
          <w:sz w:val="24"/>
          <w:szCs w:val="24"/>
        </w:rPr>
      </w:pPr>
      <w:proofErr w:type="spellStart"/>
      <w:r w:rsidRPr="00EA3F9A">
        <w:rPr>
          <w:rFonts w:ascii="Times New Roman" w:eastAsia="Times New Roman" w:hAnsi="Times New Roman" w:cs="Times New Roman"/>
          <w:sz w:val="24"/>
          <w:szCs w:val="24"/>
        </w:rPr>
        <w:t>Boddupalli</w:t>
      </w:r>
      <w:proofErr w:type="spellEnd"/>
      <w:r w:rsidRPr="00EA3F9A">
        <w:rPr>
          <w:rFonts w:ascii="Times New Roman" w:eastAsia="Times New Roman" w:hAnsi="Times New Roman" w:cs="Times New Roman"/>
          <w:sz w:val="24"/>
          <w:szCs w:val="24"/>
        </w:rPr>
        <w:t xml:space="preserve">, B. M., Mohammed, Z. N. K., Nath A., R., &amp; Banji, D. (2010). Mucoadhesive drug delivery system: An overview. </w:t>
      </w:r>
      <w:r w:rsidRPr="00EA3F9A">
        <w:rPr>
          <w:rFonts w:ascii="Times New Roman" w:eastAsia="Times New Roman" w:hAnsi="Times New Roman" w:cs="Times New Roman"/>
          <w:i/>
          <w:iCs/>
          <w:sz w:val="24"/>
          <w:szCs w:val="24"/>
        </w:rPr>
        <w:t>Journal of Advanced Pharmaceutical Technology &amp; Research</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1</w:t>
      </w:r>
      <w:r w:rsidRPr="00EA3F9A">
        <w:rPr>
          <w:rFonts w:ascii="Times New Roman" w:eastAsia="Times New Roman" w:hAnsi="Times New Roman" w:cs="Times New Roman"/>
          <w:sz w:val="24"/>
          <w:szCs w:val="24"/>
        </w:rPr>
        <w:t>(4), 381. https://doi.org/10.4103/0110-5558.76436</w:t>
      </w:r>
    </w:p>
    <w:p w14:paraId="0655B7A3" w14:textId="77777777" w:rsidR="00E5550E" w:rsidRPr="00EA3F9A" w:rsidRDefault="00E5550E"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t xml:space="preserve">Kumar, K., Dhawan, N., Sharma, H., Vaidya, S., &amp; Vaidya, B. (2014). Bioadhesive polymers: Novel tool for drug delivery. </w:t>
      </w:r>
      <w:r w:rsidRPr="00EA3F9A">
        <w:rPr>
          <w:rFonts w:ascii="Times New Roman" w:eastAsia="Times New Roman" w:hAnsi="Times New Roman" w:cs="Times New Roman"/>
          <w:i/>
          <w:iCs/>
          <w:sz w:val="24"/>
          <w:szCs w:val="24"/>
        </w:rPr>
        <w:t>Artificial Cells, Nanomedicine, and Biotechnology</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42</w:t>
      </w:r>
      <w:r w:rsidRPr="00EA3F9A">
        <w:rPr>
          <w:rFonts w:ascii="Times New Roman" w:eastAsia="Times New Roman" w:hAnsi="Times New Roman" w:cs="Times New Roman"/>
          <w:sz w:val="24"/>
          <w:szCs w:val="24"/>
        </w:rPr>
        <w:t>(4), 274–283. https://doi.org/10.3109/21691401.2013.815194</w:t>
      </w:r>
    </w:p>
    <w:p w14:paraId="21729E2A" w14:textId="77777777" w:rsidR="00C83177" w:rsidRPr="00EA3F9A" w:rsidRDefault="00E5550E"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t xml:space="preserve">Andrews, G. P., Laverty, T. P., &amp; Jones, D. S. (2009). Mucoadhesive polymeric platforms for controlled drug delivery. </w:t>
      </w:r>
      <w:r w:rsidRPr="00EA3F9A">
        <w:rPr>
          <w:rFonts w:ascii="Times New Roman" w:eastAsia="Times New Roman" w:hAnsi="Times New Roman" w:cs="Times New Roman"/>
          <w:i/>
          <w:iCs/>
          <w:sz w:val="24"/>
          <w:szCs w:val="24"/>
        </w:rPr>
        <w:t>European Journal of Pharmaceutics and Biopharmaceutics</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71</w:t>
      </w:r>
      <w:r w:rsidRPr="00EA3F9A">
        <w:rPr>
          <w:rFonts w:ascii="Times New Roman" w:eastAsia="Times New Roman" w:hAnsi="Times New Roman" w:cs="Times New Roman"/>
          <w:sz w:val="24"/>
          <w:szCs w:val="24"/>
        </w:rPr>
        <w:t>(3), 505–518. https://doi.org/10.1016/J.EJPB.2008.09.028</w:t>
      </w:r>
    </w:p>
    <w:p w14:paraId="452A82B4" w14:textId="77777777" w:rsidR="00E5550E" w:rsidRPr="00EA3F9A" w:rsidRDefault="00E5550E"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lang w:val="de-DE"/>
        </w:rPr>
        <w:t xml:space="preserve">Bogataj, M., Mrhar, A., &amp; Korošec, L. (1999). </w:t>
      </w:r>
      <w:r w:rsidRPr="00EA3F9A">
        <w:rPr>
          <w:rFonts w:ascii="Times New Roman" w:eastAsia="Times New Roman" w:hAnsi="Times New Roman" w:cs="Times New Roman"/>
          <w:sz w:val="24"/>
          <w:szCs w:val="24"/>
        </w:rPr>
        <w:t xml:space="preserve">Influence of physicochemical and biological parameters on drug release from microspheres adhered on vesical and intestinal mucosa. </w:t>
      </w:r>
      <w:r w:rsidRPr="00EA3F9A">
        <w:rPr>
          <w:rFonts w:ascii="Times New Roman" w:eastAsia="Times New Roman" w:hAnsi="Times New Roman" w:cs="Times New Roman"/>
          <w:i/>
          <w:iCs/>
          <w:sz w:val="24"/>
          <w:szCs w:val="24"/>
        </w:rPr>
        <w:t>International Journal of Pharmaceutics</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177</w:t>
      </w:r>
      <w:r w:rsidRPr="00EA3F9A">
        <w:rPr>
          <w:rFonts w:ascii="Times New Roman" w:eastAsia="Times New Roman" w:hAnsi="Times New Roman" w:cs="Times New Roman"/>
          <w:sz w:val="24"/>
          <w:szCs w:val="24"/>
        </w:rPr>
        <w:t xml:space="preserve">(2), 211–220. </w:t>
      </w:r>
      <w:hyperlink r:id="rId7" w:history="1">
        <w:r w:rsidR="002D7195" w:rsidRPr="00EA3F9A">
          <w:rPr>
            <w:rStyle w:val="Hyperlink"/>
            <w:rFonts w:ascii="Times New Roman" w:eastAsia="Times New Roman" w:hAnsi="Times New Roman" w:cs="Times New Roman"/>
            <w:sz w:val="24"/>
            <w:szCs w:val="24"/>
          </w:rPr>
          <w:t>https://doi.org/10.1016/S0378-5173(98)00341-X</w:t>
        </w:r>
      </w:hyperlink>
    </w:p>
    <w:p w14:paraId="0AE51E3E" w14:textId="77777777" w:rsidR="002D7195" w:rsidRPr="00EA3F9A" w:rsidRDefault="002D7195" w:rsidP="00B32E6A">
      <w:pPr>
        <w:pStyle w:val="ListParagraph"/>
        <w:numPr>
          <w:ilvl w:val="0"/>
          <w:numId w:val="17"/>
        </w:numPr>
        <w:spacing w:after="0" w:line="360" w:lineRule="auto"/>
        <w:jc w:val="both"/>
        <w:rPr>
          <w:rFonts w:ascii="Times New Roman" w:eastAsia="Times New Roman" w:hAnsi="Times New Roman" w:cs="Times New Roman"/>
          <w:sz w:val="24"/>
          <w:szCs w:val="24"/>
        </w:rPr>
      </w:pPr>
      <w:proofErr w:type="spellStart"/>
      <w:r w:rsidRPr="00EA3F9A">
        <w:rPr>
          <w:rFonts w:ascii="Times New Roman" w:eastAsia="Times New Roman" w:hAnsi="Times New Roman" w:cs="Times New Roman"/>
          <w:sz w:val="24"/>
          <w:szCs w:val="24"/>
        </w:rPr>
        <w:t>Wanasathop</w:t>
      </w:r>
      <w:proofErr w:type="spellEnd"/>
      <w:r w:rsidRPr="00EA3F9A">
        <w:rPr>
          <w:rFonts w:ascii="Times New Roman" w:eastAsia="Times New Roman" w:hAnsi="Times New Roman" w:cs="Times New Roman"/>
          <w:sz w:val="24"/>
          <w:szCs w:val="24"/>
        </w:rPr>
        <w:t xml:space="preserve">, A., Patel, P. B., Choi, H. A., &amp; Li, S. K. (2021). Permeability of Buccal Mucosa. </w:t>
      </w:r>
      <w:r w:rsidRPr="00EA3F9A">
        <w:rPr>
          <w:rFonts w:ascii="Times New Roman" w:eastAsia="Times New Roman" w:hAnsi="Times New Roman" w:cs="Times New Roman"/>
          <w:i/>
          <w:iCs/>
          <w:sz w:val="24"/>
          <w:szCs w:val="24"/>
        </w:rPr>
        <w:t>Pharmaceutics</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13</w:t>
      </w:r>
      <w:r w:rsidRPr="00EA3F9A">
        <w:rPr>
          <w:rFonts w:ascii="Times New Roman" w:eastAsia="Times New Roman" w:hAnsi="Times New Roman" w:cs="Times New Roman"/>
          <w:sz w:val="24"/>
          <w:szCs w:val="24"/>
        </w:rPr>
        <w:t>(11). https://doi.org/10.3390/PHARMACEUTICS13111814</w:t>
      </w:r>
    </w:p>
    <w:p w14:paraId="12C5E4C0" w14:textId="77777777" w:rsidR="002D7195" w:rsidRPr="00EA3F9A" w:rsidRDefault="002D7195"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lang w:val="de-DE"/>
        </w:rPr>
        <w:lastRenderedPageBreak/>
        <w:t xml:space="preserve">Birudaraj, R., Mahalingam, R., Li, X., &amp; Jasti, B. R. (2005). </w:t>
      </w:r>
      <w:r w:rsidRPr="00EA3F9A">
        <w:rPr>
          <w:rFonts w:ascii="Times New Roman" w:eastAsia="Times New Roman" w:hAnsi="Times New Roman" w:cs="Times New Roman"/>
          <w:sz w:val="24"/>
          <w:szCs w:val="24"/>
        </w:rPr>
        <w:t xml:space="preserve">Advances in buccal drug delivery. </w:t>
      </w:r>
      <w:r w:rsidRPr="00EA3F9A">
        <w:rPr>
          <w:rFonts w:ascii="Times New Roman" w:eastAsia="Times New Roman" w:hAnsi="Times New Roman" w:cs="Times New Roman"/>
          <w:i/>
          <w:iCs/>
          <w:sz w:val="24"/>
          <w:szCs w:val="24"/>
        </w:rPr>
        <w:t>Critical Reviews in Therapeutic Drug Carrier Systems</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22</w:t>
      </w:r>
      <w:r w:rsidRPr="00EA3F9A">
        <w:rPr>
          <w:rFonts w:ascii="Times New Roman" w:eastAsia="Times New Roman" w:hAnsi="Times New Roman" w:cs="Times New Roman"/>
          <w:sz w:val="24"/>
          <w:szCs w:val="24"/>
        </w:rPr>
        <w:t xml:space="preserve">(3), 295–330. </w:t>
      </w:r>
      <w:hyperlink r:id="rId8" w:history="1">
        <w:r w:rsidR="00CF0F44" w:rsidRPr="00EA3F9A">
          <w:rPr>
            <w:rStyle w:val="Hyperlink"/>
            <w:rFonts w:ascii="Times New Roman" w:eastAsia="Times New Roman" w:hAnsi="Times New Roman" w:cs="Times New Roman"/>
            <w:sz w:val="24"/>
            <w:szCs w:val="24"/>
          </w:rPr>
          <w:t>https://doi.org/10.1615/CRITREVTHERDRUGCARRIERSYST.V22.I3.20</w:t>
        </w:r>
      </w:hyperlink>
    </w:p>
    <w:p w14:paraId="4CE56461" w14:textId="77777777" w:rsidR="00CF0F44" w:rsidRPr="00EA3F9A" w:rsidRDefault="00CF0F44"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lang w:val="de-DE"/>
        </w:rPr>
        <w:t xml:space="preserve">Kokate, A., Li, X., &amp; Jasti, B. (2008). </w:t>
      </w:r>
      <w:r w:rsidRPr="00EA3F9A">
        <w:rPr>
          <w:rFonts w:ascii="Times New Roman" w:eastAsia="Times New Roman" w:hAnsi="Times New Roman" w:cs="Times New Roman"/>
          <w:sz w:val="24"/>
          <w:szCs w:val="24"/>
        </w:rPr>
        <w:t xml:space="preserve">Effect of Drug Lipophilicity and Ionization on Permeability Across the Buccal Mucosa: A Technical Note. </w:t>
      </w:r>
      <w:r w:rsidRPr="00EA3F9A">
        <w:rPr>
          <w:rFonts w:ascii="Times New Roman" w:eastAsia="Times New Roman" w:hAnsi="Times New Roman" w:cs="Times New Roman"/>
          <w:i/>
          <w:iCs/>
          <w:sz w:val="24"/>
          <w:szCs w:val="24"/>
        </w:rPr>
        <w:t xml:space="preserve">AAPS </w:t>
      </w:r>
      <w:proofErr w:type="spellStart"/>
      <w:r w:rsidRPr="00EA3F9A">
        <w:rPr>
          <w:rFonts w:ascii="Times New Roman" w:eastAsia="Times New Roman" w:hAnsi="Times New Roman" w:cs="Times New Roman"/>
          <w:i/>
          <w:iCs/>
          <w:sz w:val="24"/>
          <w:szCs w:val="24"/>
        </w:rPr>
        <w:t>PharmSciTech</w:t>
      </w:r>
      <w:proofErr w:type="spellEnd"/>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9</w:t>
      </w:r>
      <w:r w:rsidRPr="00EA3F9A">
        <w:rPr>
          <w:rFonts w:ascii="Times New Roman" w:eastAsia="Times New Roman" w:hAnsi="Times New Roman" w:cs="Times New Roman"/>
          <w:sz w:val="24"/>
          <w:szCs w:val="24"/>
        </w:rPr>
        <w:t>(2), 501. https://doi.org/10.1208/S12249-008-9071-7</w:t>
      </w:r>
    </w:p>
    <w:p w14:paraId="1748B3C9" w14:textId="77777777" w:rsidR="00014286" w:rsidRPr="00EA3F9A" w:rsidRDefault="00014286"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t xml:space="preserve">Patel, P., Patel, H., Panchal, S., &amp; Mehta, T. (2012). Formulation strategies for drug delivery of tacrolimus: An overview. </w:t>
      </w:r>
      <w:r w:rsidRPr="00EA3F9A">
        <w:rPr>
          <w:rFonts w:ascii="Times New Roman" w:eastAsia="Times New Roman" w:hAnsi="Times New Roman" w:cs="Times New Roman"/>
          <w:i/>
          <w:iCs/>
          <w:sz w:val="24"/>
          <w:szCs w:val="24"/>
        </w:rPr>
        <w:t>International Journal of Pharmaceutical Investigation</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2</w:t>
      </w:r>
      <w:r w:rsidRPr="00EA3F9A">
        <w:rPr>
          <w:rFonts w:ascii="Times New Roman" w:eastAsia="Times New Roman" w:hAnsi="Times New Roman" w:cs="Times New Roman"/>
          <w:sz w:val="24"/>
          <w:szCs w:val="24"/>
        </w:rPr>
        <w:t>(4), 169. https://doi.org/10.4103/2230-973X.106981</w:t>
      </w:r>
    </w:p>
    <w:p w14:paraId="5B25D1A0" w14:textId="77777777" w:rsidR="00513D35" w:rsidRPr="00EA3F9A" w:rsidRDefault="00513D35"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t xml:space="preserve">Ali, S. A., </w:t>
      </w:r>
      <w:proofErr w:type="spellStart"/>
      <w:r w:rsidRPr="00EA3F9A">
        <w:rPr>
          <w:rFonts w:ascii="Times New Roman" w:eastAsia="Times New Roman" w:hAnsi="Times New Roman" w:cs="Times New Roman"/>
          <w:sz w:val="24"/>
          <w:szCs w:val="24"/>
        </w:rPr>
        <w:t>Alhakamy</w:t>
      </w:r>
      <w:proofErr w:type="spellEnd"/>
      <w:r w:rsidRPr="00EA3F9A">
        <w:rPr>
          <w:rFonts w:ascii="Times New Roman" w:eastAsia="Times New Roman" w:hAnsi="Times New Roman" w:cs="Times New Roman"/>
          <w:sz w:val="24"/>
          <w:szCs w:val="24"/>
        </w:rPr>
        <w:t xml:space="preserve">, N. A., Hosny, K. M., </w:t>
      </w:r>
      <w:proofErr w:type="spellStart"/>
      <w:r w:rsidRPr="00EA3F9A">
        <w:rPr>
          <w:rFonts w:ascii="Times New Roman" w:eastAsia="Times New Roman" w:hAnsi="Times New Roman" w:cs="Times New Roman"/>
          <w:sz w:val="24"/>
          <w:szCs w:val="24"/>
        </w:rPr>
        <w:t>Alfayez</w:t>
      </w:r>
      <w:proofErr w:type="spellEnd"/>
      <w:r w:rsidRPr="00EA3F9A">
        <w:rPr>
          <w:rFonts w:ascii="Times New Roman" w:eastAsia="Times New Roman" w:hAnsi="Times New Roman" w:cs="Times New Roman"/>
          <w:sz w:val="24"/>
          <w:szCs w:val="24"/>
        </w:rPr>
        <w:t xml:space="preserve">, E., </w:t>
      </w:r>
      <w:proofErr w:type="spellStart"/>
      <w:r w:rsidRPr="00EA3F9A">
        <w:rPr>
          <w:rFonts w:ascii="Times New Roman" w:eastAsia="Times New Roman" w:hAnsi="Times New Roman" w:cs="Times New Roman"/>
          <w:sz w:val="24"/>
          <w:szCs w:val="24"/>
        </w:rPr>
        <w:t>Bukhary</w:t>
      </w:r>
      <w:proofErr w:type="spellEnd"/>
      <w:r w:rsidRPr="00EA3F9A">
        <w:rPr>
          <w:rFonts w:ascii="Times New Roman" w:eastAsia="Times New Roman" w:hAnsi="Times New Roman" w:cs="Times New Roman"/>
          <w:sz w:val="24"/>
          <w:szCs w:val="24"/>
        </w:rPr>
        <w:t xml:space="preserve">, D. M., </w:t>
      </w:r>
      <w:proofErr w:type="spellStart"/>
      <w:r w:rsidRPr="00EA3F9A">
        <w:rPr>
          <w:rFonts w:ascii="Times New Roman" w:eastAsia="Times New Roman" w:hAnsi="Times New Roman" w:cs="Times New Roman"/>
          <w:sz w:val="24"/>
          <w:szCs w:val="24"/>
        </w:rPr>
        <w:t>Safhi</w:t>
      </w:r>
      <w:proofErr w:type="spellEnd"/>
      <w:r w:rsidRPr="00EA3F9A">
        <w:rPr>
          <w:rFonts w:ascii="Times New Roman" w:eastAsia="Times New Roman" w:hAnsi="Times New Roman" w:cs="Times New Roman"/>
          <w:sz w:val="24"/>
          <w:szCs w:val="24"/>
        </w:rPr>
        <w:t xml:space="preserve">, A. Y., Badr, M. Y., Mushtaq, R. Y., Alharbi, M., </w:t>
      </w:r>
      <w:proofErr w:type="spellStart"/>
      <w:r w:rsidRPr="00EA3F9A">
        <w:rPr>
          <w:rFonts w:ascii="Times New Roman" w:eastAsia="Times New Roman" w:hAnsi="Times New Roman" w:cs="Times New Roman"/>
          <w:sz w:val="24"/>
          <w:szCs w:val="24"/>
        </w:rPr>
        <w:t>Huwaimel</w:t>
      </w:r>
      <w:proofErr w:type="spellEnd"/>
      <w:r w:rsidRPr="00EA3F9A">
        <w:rPr>
          <w:rFonts w:ascii="Times New Roman" w:eastAsia="Times New Roman" w:hAnsi="Times New Roman" w:cs="Times New Roman"/>
          <w:sz w:val="24"/>
          <w:szCs w:val="24"/>
        </w:rPr>
        <w:t xml:space="preserve">, B., Alissa, M., Alshehri, S., Alamri, A. H., &amp; Alqahtani, T. (2022). Rapid oral transmucosal delivery of zaleplon–lavender oil utilizing self-nanoemulsifying lyophilized tablets technology: development, optimization and pharmacokinetic evaluation. </w:t>
      </w:r>
      <w:r w:rsidRPr="00EA3F9A">
        <w:rPr>
          <w:rFonts w:ascii="Times New Roman" w:eastAsia="Times New Roman" w:hAnsi="Times New Roman" w:cs="Times New Roman"/>
          <w:i/>
          <w:iCs/>
          <w:sz w:val="24"/>
          <w:szCs w:val="24"/>
        </w:rPr>
        <w:t>Drug Delivery</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29</w:t>
      </w:r>
      <w:r w:rsidRPr="00EA3F9A">
        <w:rPr>
          <w:rFonts w:ascii="Times New Roman" w:eastAsia="Times New Roman" w:hAnsi="Times New Roman" w:cs="Times New Roman"/>
          <w:sz w:val="24"/>
          <w:szCs w:val="24"/>
        </w:rPr>
        <w:t>(1), 2773–2783. https://doi.org/10.1080/10717544.2022.2115165</w:t>
      </w:r>
    </w:p>
    <w:p w14:paraId="54E7DC63" w14:textId="77777777" w:rsidR="008A2547" w:rsidRPr="00EA3F9A" w:rsidRDefault="008A2547"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t xml:space="preserve">Jacob, S., Nair, A. B., Boddu, S. H. S., </w:t>
      </w:r>
      <w:proofErr w:type="spellStart"/>
      <w:r w:rsidRPr="00EA3F9A">
        <w:rPr>
          <w:rFonts w:ascii="Times New Roman" w:eastAsia="Times New Roman" w:hAnsi="Times New Roman" w:cs="Times New Roman"/>
          <w:sz w:val="24"/>
          <w:szCs w:val="24"/>
        </w:rPr>
        <w:t>Gorain</w:t>
      </w:r>
      <w:proofErr w:type="spellEnd"/>
      <w:r w:rsidRPr="00EA3F9A">
        <w:rPr>
          <w:rFonts w:ascii="Times New Roman" w:eastAsia="Times New Roman" w:hAnsi="Times New Roman" w:cs="Times New Roman"/>
          <w:sz w:val="24"/>
          <w:szCs w:val="24"/>
        </w:rPr>
        <w:t xml:space="preserve">, B., </w:t>
      </w:r>
      <w:proofErr w:type="spellStart"/>
      <w:r w:rsidRPr="00EA3F9A">
        <w:rPr>
          <w:rFonts w:ascii="Times New Roman" w:eastAsia="Times New Roman" w:hAnsi="Times New Roman" w:cs="Times New Roman"/>
          <w:sz w:val="24"/>
          <w:szCs w:val="24"/>
        </w:rPr>
        <w:t>Sreeharsha</w:t>
      </w:r>
      <w:proofErr w:type="spellEnd"/>
      <w:r w:rsidRPr="00EA3F9A">
        <w:rPr>
          <w:rFonts w:ascii="Times New Roman" w:eastAsia="Times New Roman" w:hAnsi="Times New Roman" w:cs="Times New Roman"/>
          <w:sz w:val="24"/>
          <w:szCs w:val="24"/>
        </w:rPr>
        <w:t xml:space="preserve">, N., &amp; Shah, J. (2021). An Updated Overview of the Emerging Role of Patch and Film-Based Buccal Delivery Systems. </w:t>
      </w:r>
      <w:r w:rsidRPr="00EA3F9A">
        <w:rPr>
          <w:rFonts w:ascii="Times New Roman" w:eastAsia="Times New Roman" w:hAnsi="Times New Roman" w:cs="Times New Roman"/>
          <w:i/>
          <w:iCs/>
          <w:sz w:val="24"/>
          <w:szCs w:val="24"/>
        </w:rPr>
        <w:t>Pharmaceutics 2021, Vol. 13, Page 1206</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13</w:t>
      </w:r>
      <w:r w:rsidRPr="00EA3F9A">
        <w:rPr>
          <w:rFonts w:ascii="Times New Roman" w:eastAsia="Times New Roman" w:hAnsi="Times New Roman" w:cs="Times New Roman"/>
          <w:sz w:val="24"/>
          <w:szCs w:val="24"/>
        </w:rPr>
        <w:t>(8), 1206. https://doi.org/10.3390/PHARMACEUTICS13081206</w:t>
      </w:r>
    </w:p>
    <w:p w14:paraId="5DFEA611" w14:textId="77777777" w:rsidR="008A2547" w:rsidRPr="00EA3F9A" w:rsidRDefault="008A2547" w:rsidP="00B32E6A">
      <w:pPr>
        <w:pStyle w:val="ListParagraph"/>
        <w:numPr>
          <w:ilvl w:val="0"/>
          <w:numId w:val="17"/>
        </w:numPr>
        <w:spacing w:after="0" w:line="360" w:lineRule="auto"/>
        <w:jc w:val="both"/>
        <w:rPr>
          <w:rFonts w:ascii="Times New Roman" w:eastAsia="Times New Roman" w:hAnsi="Times New Roman" w:cs="Times New Roman"/>
          <w:sz w:val="24"/>
          <w:szCs w:val="24"/>
        </w:rPr>
      </w:pPr>
      <w:r w:rsidRPr="00EA3F9A">
        <w:rPr>
          <w:rFonts w:ascii="Times New Roman" w:eastAsia="Times New Roman" w:hAnsi="Times New Roman" w:cs="Times New Roman"/>
          <w:sz w:val="24"/>
          <w:szCs w:val="24"/>
        </w:rPr>
        <w:t xml:space="preserve">Gilhotra, R. M., Ikram, M., Srivastava, S., &amp; Gilhotra, N. (2014). A clinical perspective on mucoadhesive buccal drug delivery systems. </w:t>
      </w:r>
      <w:r w:rsidRPr="00EA3F9A">
        <w:rPr>
          <w:rFonts w:ascii="Times New Roman" w:eastAsia="Times New Roman" w:hAnsi="Times New Roman" w:cs="Times New Roman"/>
          <w:i/>
          <w:iCs/>
          <w:sz w:val="24"/>
          <w:szCs w:val="24"/>
        </w:rPr>
        <w:t>Journal of Biomedical Research</w:t>
      </w:r>
      <w:r w:rsidRPr="00EA3F9A">
        <w:rPr>
          <w:rFonts w:ascii="Times New Roman" w:eastAsia="Times New Roman" w:hAnsi="Times New Roman" w:cs="Times New Roman"/>
          <w:sz w:val="24"/>
          <w:szCs w:val="24"/>
        </w:rPr>
        <w:t xml:space="preserve">, </w:t>
      </w:r>
      <w:r w:rsidRPr="00EA3F9A">
        <w:rPr>
          <w:rFonts w:ascii="Times New Roman" w:eastAsia="Times New Roman" w:hAnsi="Times New Roman" w:cs="Times New Roman"/>
          <w:i/>
          <w:iCs/>
          <w:sz w:val="24"/>
          <w:szCs w:val="24"/>
        </w:rPr>
        <w:t>28</w:t>
      </w:r>
      <w:r w:rsidRPr="00EA3F9A">
        <w:rPr>
          <w:rFonts w:ascii="Times New Roman" w:eastAsia="Times New Roman" w:hAnsi="Times New Roman" w:cs="Times New Roman"/>
          <w:sz w:val="24"/>
          <w:szCs w:val="24"/>
        </w:rPr>
        <w:t>(2), 81–97. https://doi.org/10.7555/JBR.27.20120136</w:t>
      </w:r>
    </w:p>
    <w:p w14:paraId="0D35CDCB" w14:textId="77777777" w:rsidR="00CF0F44" w:rsidRPr="00EA3F9A" w:rsidRDefault="00CF0F44" w:rsidP="00B32E6A">
      <w:pPr>
        <w:pStyle w:val="ListParagraph"/>
        <w:spacing w:after="0" w:line="240" w:lineRule="auto"/>
        <w:ind w:left="834"/>
        <w:jc w:val="both"/>
        <w:rPr>
          <w:rFonts w:ascii="Times New Roman" w:eastAsia="Times New Roman" w:hAnsi="Times New Roman" w:cs="Times New Roman"/>
          <w:sz w:val="24"/>
          <w:szCs w:val="24"/>
        </w:rPr>
      </w:pPr>
    </w:p>
    <w:p w14:paraId="6424A2A3" w14:textId="77777777" w:rsidR="00A819C6" w:rsidRPr="00EA3F9A" w:rsidRDefault="00A819C6" w:rsidP="00B32E6A">
      <w:pPr>
        <w:spacing w:line="360" w:lineRule="auto"/>
        <w:jc w:val="both"/>
        <w:rPr>
          <w:rFonts w:ascii="Times New Roman" w:hAnsi="Times New Roman" w:cs="Times New Roman"/>
          <w:sz w:val="24"/>
          <w:szCs w:val="24"/>
        </w:rPr>
      </w:pPr>
    </w:p>
    <w:sectPr w:rsidR="00A819C6" w:rsidRPr="00EA3F9A" w:rsidSect="005F5A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C71"/>
    <w:multiLevelType w:val="hybridMultilevel"/>
    <w:tmpl w:val="79201FAE"/>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 w15:restartNumberingAfterBreak="0">
    <w:nsid w:val="0C430FE5"/>
    <w:multiLevelType w:val="hybridMultilevel"/>
    <w:tmpl w:val="E37A3B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4755E"/>
    <w:multiLevelType w:val="hybridMultilevel"/>
    <w:tmpl w:val="FA809E7E"/>
    <w:lvl w:ilvl="0" w:tplc="2E86275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865FC"/>
    <w:multiLevelType w:val="hybridMultilevel"/>
    <w:tmpl w:val="68087A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95484"/>
    <w:multiLevelType w:val="hybridMultilevel"/>
    <w:tmpl w:val="4C72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47B3D"/>
    <w:multiLevelType w:val="hybridMultilevel"/>
    <w:tmpl w:val="3844F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C69E5"/>
    <w:multiLevelType w:val="hybridMultilevel"/>
    <w:tmpl w:val="974606F8"/>
    <w:lvl w:ilvl="0" w:tplc="A8D0CEF0">
      <w:start w:val="1"/>
      <w:numFmt w:val="upperRoman"/>
      <w:lvlText w:val="%1."/>
      <w:lvlJc w:val="right"/>
      <w:pPr>
        <w:ind w:left="834" w:hanging="360"/>
      </w:pPr>
      <w:rPr>
        <w:b/>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7" w15:restartNumberingAfterBreak="0">
    <w:nsid w:val="3DE37E55"/>
    <w:multiLevelType w:val="hybridMultilevel"/>
    <w:tmpl w:val="825A25D0"/>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15:restartNumberingAfterBreak="0">
    <w:nsid w:val="43A43744"/>
    <w:multiLevelType w:val="hybridMultilevel"/>
    <w:tmpl w:val="C826EA72"/>
    <w:lvl w:ilvl="0" w:tplc="B734D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61352"/>
    <w:multiLevelType w:val="hybridMultilevel"/>
    <w:tmpl w:val="5C5226F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15:restartNumberingAfterBreak="0">
    <w:nsid w:val="53065A48"/>
    <w:multiLevelType w:val="hybridMultilevel"/>
    <w:tmpl w:val="5A84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67245"/>
    <w:multiLevelType w:val="hybridMultilevel"/>
    <w:tmpl w:val="35E2921E"/>
    <w:lvl w:ilvl="0" w:tplc="23828FF0">
      <w:start w:val="1"/>
      <w:numFmt w:val="decimal"/>
      <w:lvlText w:val="%1."/>
      <w:lvlJc w:val="left"/>
      <w:pPr>
        <w:ind w:left="834" w:hanging="360"/>
      </w:pPr>
      <w:rPr>
        <w:b w:val="0"/>
        <w:sz w:val="20"/>
        <w:szCs w:val="20"/>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2" w15:restartNumberingAfterBreak="0">
    <w:nsid w:val="611E0FCE"/>
    <w:multiLevelType w:val="hybridMultilevel"/>
    <w:tmpl w:val="E586D10E"/>
    <w:lvl w:ilvl="0" w:tplc="21A88AE8">
      <w:start w:val="1"/>
      <w:numFmt w:val="lowerLetter"/>
      <w:lvlText w:val="%1)"/>
      <w:lvlJc w:val="left"/>
      <w:pPr>
        <w:ind w:left="720" w:hanging="360"/>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7461B"/>
    <w:multiLevelType w:val="hybridMultilevel"/>
    <w:tmpl w:val="E76A92B6"/>
    <w:lvl w:ilvl="0" w:tplc="21A88AE8">
      <w:start w:val="1"/>
      <w:numFmt w:val="lowerLetter"/>
      <w:lvlText w:val="%1)"/>
      <w:lvlJc w:val="left"/>
      <w:pPr>
        <w:ind w:left="720" w:hanging="360"/>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32A5E"/>
    <w:multiLevelType w:val="hybridMultilevel"/>
    <w:tmpl w:val="1AA48F64"/>
    <w:lvl w:ilvl="0" w:tplc="0409001B">
      <w:start w:val="1"/>
      <w:numFmt w:val="lowerRoman"/>
      <w:lvlText w:val="%1."/>
      <w:lvlJc w:val="right"/>
      <w:pPr>
        <w:ind w:left="1554" w:hanging="360"/>
      </w:p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5" w15:restartNumberingAfterBreak="0">
    <w:nsid w:val="6E480DD6"/>
    <w:multiLevelType w:val="hybridMultilevel"/>
    <w:tmpl w:val="0338E9EE"/>
    <w:lvl w:ilvl="0" w:tplc="04090001">
      <w:start w:val="1"/>
      <w:numFmt w:val="bullet"/>
      <w:lvlText w:val=""/>
      <w:lvlJc w:val="left"/>
      <w:pPr>
        <w:ind w:left="2862" w:hanging="360"/>
      </w:pPr>
      <w:rPr>
        <w:rFonts w:ascii="Symbol" w:hAnsi="Symbol" w:hint="default"/>
      </w:rPr>
    </w:lvl>
    <w:lvl w:ilvl="1" w:tplc="04090003" w:tentative="1">
      <w:start w:val="1"/>
      <w:numFmt w:val="bullet"/>
      <w:lvlText w:val="o"/>
      <w:lvlJc w:val="left"/>
      <w:pPr>
        <w:ind w:left="3582" w:hanging="360"/>
      </w:pPr>
      <w:rPr>
        <w:rFonts w:ascii="Courier New" w:hAnsi="Courier New" w:cs="Courier New" w:hint="default"/>
      </w:rPr>
    </w:lvl>
    <w:lvl w:ilvl="2" w:tplc="04090005" w:tentative="1">
      <w:start w:val="1"/>
      <w:numFmt w:val="bullet"/>
      <w:lvlText w:val=""/>
      <w:lvlJc w:val="left"/>
      <w:pPr>
        <w:ind w:left="4302" w:hanging="360"/>
      </w:pPr>
      <w:rPr>
        <w:rFonts w:ascii="Wingdings" w:hAnsi="Wingdings" w:hint="default"/>
      </w:rPr>
    </w:lvl>
    <w:lvl w:ilvl="3" w:tplc="04090001" w:tentative="1">
      <w:start w:val="1"/>
      <w:numFmt w:val="bullet"/>
      <w:lvlText w:val=""/>
      <w:lvlJc w:val="left"/>
      <w:pPr>
        <w:ind w:left="5022" w:hanging="360"/>
      </w:pPr>
      <w:rPr>
        <w:rFonts w:ascii="Symbol" w:hAnsi="Symbol" w:hint="default"/>
      </w:rPr>
    </w:lvl>
    <w:lvl w:ilvl="4" w:tplc="04090003" w:tentative="1">
      <w:start w:val="1"/>
      <w:numFmt w:val="bullet"/>
      <w:lvlText w:val="o"/>
      <w:lvlJc w:val="left"/>
      <w:pPr>
        <w:ind w:left="5742" w:hanging="360"/>
      </w:pPr>
      <w:rPr>
        <w:rFonts w:ascii="Courier New" w:hAnsi="Courier New" w:cs="Courier New" w:hint="default"/>
      </w:rPr>
    </w:lvl>
    <w:lvl w:ilvl="5" w:tplc="04090005" w:tentative="1">
      <w:start w:val="1"/>
      <w:numFmt w:val="bullet"/>
      <w:lvlText w:val=""/>
      <w:lvlJc w:val="left"/>
      <w:pPr>
        <w:ind w:left="6462" w:hanging="360"/>
      </w:pPr>
      <w:rPr>
        <w:rFonts w:ascii="Wingdings" w:hAnsi="Wingdings" w:hint="default"/>
      </w:rPr>
    </w:lvl>
    <w:lvl w:ilvl="6" w:tplc="04090001" w:tentative="1">
      <w:start w:val="1"/>
      <w:numFmt w:val="bullet"/>
      <w:lvlText w:val=""/>
      <w:lvlJc w:val="left"/>
      <w:pPr>
        <w:ind w:left="7182" w:hanging="360"/>
      </w:pPr>
      <w:rPr>
        <w:rFonts w:ascii="Symbol" w:hAnsi="Symbol" w:hint="default"/>
      </w:rPr>
    </w:lvl>
    <w:lvl w:ilvl="7" w:tplc="04090003" w:tentative="1">
      <w:start w:val="1"/>
      <w:numFmt w:val="bullet"/>
      <w:lvlText w:val="o"/>
      <w:lvlJc w:val="left"/>
      <w:pPr>
        <w:ind w:left="7902" w:hanging="360"/>
      </w:pPr>
      <w:rPr>
        <w:rFonts w:ascii="Courier New" w:hAnsi="Courier New" w:cs="Courier New" w:hint="default"/>
      </w:rPr>
    </w:lvl>
    <w:lvl w:ilvl="8" w:tplc="04090005" w:tentative="1">
      <w:start w:val="1"/>
      <w:numFmt w:val="bullet"/>
      <w:lvlText w:val=""/>
      <w:lvlJc w:val="left"/>
      <w:pPr>
        <w:ind w:left="8622" w:hanging="360"/>
      </w:pPr>
      <w:rPr>
        <w:rFonts w:ascii="Wingdings" w:hAnsi="Wingdings" w:hint="default"/>
      </w:rPr>
    </w:lvl>
  </w:abstractNum>
  <w:abstractNum w:abstractNumId="16" w15:restartNumberingAfterBreak="0">
    <w:nsid w:val="7DE635B2"/>
    <w:multiLevelType w:val="hybridMultilevel"/>
    <w:tmpl w:val="5EE0136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16cid:durableId="1171142403">
    <w:abstractNumId w:val="10"/>
  </w:num>
  <w:num w:numId="2" w16cid:durableId="1310357960">
    <w:abstractNumId w:val="12"/>
  </w:num>
  <w:num w:numId="3" w16cid:durableId="5637961">
    <w:abstractNumId w:val="16"/>
  </w:num>
  <w:num w:numId="4" w16cid:durableId="1749379628">
    <w:abstractNumId w:val="9"/>
  </w:num>
  <w:num w:numId="5" w16cid:durableId="1041251132">
    <w:abstractNumId w:val="7"/>
  </w:num>
  <w:num w:numId="6" w16cid:durableId="1265722317">
    <w:abstractNumId w:val="15"/>
  </w:num>
  <w:num w:numId="7" w16cid:durableId="1538858145">
    <w:abstractNumId w:val="4"/>
  </w:num>
  <w:num w:numId="8" w16cid:durableId="1524127275">
    <w:abstractNumId w:val="5"/>
  </w:num>
  <w:num w:numId="9" w16cid:durableId="1068065998">
    <w:abstractNumId w:val="6"/>
  </w:num>
  <w:num w:numId="10" w16cid:durableId="1556503192">
    <w:abstractNumId w:val="13"/>
  </w:num>
  <w:num w:numId="11" w16cid:durableId="1325164675">
    <w:abstractNumId w:val="1"/>
  </w:num>
  <w:num w:numId="12" w16cid:durableId="1533762769">
    <w:abstractNumId w:val="0"/>
  </w:num>
  <w:num w:numId="13" w16cid:durableId="166873117">
    <w:abstractNumId w:val="3"/>
  </w:num>
  <w:num w:numId="14" w16cid:durableId="450050770">
    <w:abstractNumId w:val="8"/>
  </w:num>
  <w:num w:numId="15" w16cid:durableId="1128671120">
    <w:abstractNumId w:val="2"/>
  </w:num>
  <w:num w:numId="16" w16cid:durableId="157620041">
    <w:abstractNumId w:val="14"/>
  </w:num>
  <w:num w:numId="17" w16cid:durableId="9034944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C1812"/>
    <w:rsid w:val="00014286"/>
    <w:rsid w:val="00015B2D"/>
    <w:rsid w:val="00015C16"/>
    <w:rsid w:val="00024E69"/>
    <w:rsid w:val="000312ED"/>
    <w:rsid w:val="000458D1"/>
    <w:rsid w:val="00047207"/>
    <w:rsid w:val="00052674"/>
    <w:rsid w:val="00080926"/>
    <w:rsid w:val="000A0683"/>
    <w:rsid w:val="000C139F"/>
    <w:rsid w:val="000F7957"/>
    <w:rsid w:val="000F7A52"/>
    <w:rsid w:val="00115F78"/>
    <w:rsid w:val="00132739"/>
    <w:rsid w:val="00137F9D"/>
    <w:rsid w:val="001433DD"/>
    <w:rsid w:val="00152A91"/>
    <w:rsid w:val="00174660"/>
    <w:rsid w:val="00177164"/>
    <w:rsid w:val="00184234"/>
    <w:rsid w:val="001A125F"/>
    <w:rsid w:val="001A4EE7"/>
    <w:rsid w:val="00210634"/>
    <w:rsid w:val="00222FB3"/>
    <w:rsid w:val="00257DB9"/>
    <w:rsid w:val="002740AF"/>
    <w:rsid w:val="002B3C23"/>
    <w:rsid w:val="002D7195"/>
    <w:rsid w:val="002F714F"/>
    <w:rsid w:val="00313D01"/>
    <w:rsid w:val="003270AE"/>
    <w:rsid w:val="003350CE"/>
    <w:rsid w:val="003617AC"/>
    <w:rsid w:val="003735AA"/>
    <w:rsid w:val="00382AFF"/>
    <w:rsid w:val="003A22A1"/>
    <w:rsid w:val="003A3A9D"/>
    <w:rsid w:val="003B1192"/>
    <w:rsid w:val="003C1FA3"/>
    <w:rsid w:val="003C4B59"/>
    <w:rsid w:val="003D0663"/>
    <w:rsid w:val="00433C61"/>
    <w:rsid w:val="00442B37"/>
    <w:rsid w:val="004561A3"/>
    <w:rsid w:val="00467242"/>
    <w:rsid w:val="004C2552"/>
    <w:rsid w:val="004C5AB1"/>
    <w:rsid w:val="004E590E"/>
    <w:rsid w:val="004E680B"/>
    <w:rsid w:val="0050314B"/>
    <w:rsid w:val="005060B1"/>
    <w:rsid w:val="00513D35"/>
    <w:rsid w:val="00516204"/>
    <w:rsid w:val="005378B2"/>
    <w:rsid w:val="00585F74"/>
    <w:rsid w:val="00592CF4"/>
    <w:rsid w:val="005930F1"/>
    <w:rsid w:val="0059560A"/>
    <w:rsid w:val="005B1B98"/>
    <w:rsid w:val="005D0431"/>
    <w:rsid w:val="005F5AF8"/>
    <w:rsid w:val="006602BB"/>
    <w:rsid w:val="00662661"/>
    <w:rsid w:val="00670690"/>
    <w:rsid w:val="0068729B"/>
    <w:rsid w:val="006A4BD8"/>
    <w:rsid w:val="006C1A24"/>
    <w:rsid w:val="006D187B"/>
    <w:rsid w:val="006E0C21"/>
    <w:rsid w:val="006F3305"/>
    <w:rsid w:val="006F77DC"/>
    <w:rsid w:val="00730E1F"/>
    <w:rsid w:val="0073633E"/>
    <w:rsid w:val="007845CA"/>
    <w:rsid w:val="007C4C30"/>
    <w:rsid w:val="00820F8E"/>
    <w:rsid w:val="00825456"/>
    <w:rsid w:val="00834AFF"/>
    <w:rsid w:val="00856539"/>
    <w:rsid w:val="008A2547"/>
    <w:rsid w:val="008A30C9"/>
    <w:rsid w:val="008C4316"/>
    <w:rsid w:val="008D46CB"/>
    <w:rsid w:val="008F0CB5"/>
    <w:rsid w:val="008F7BB1"/>
    <w:rsid w:val="00906C8B"/>
    <w:rsid w:val="00907C64"/>
    <w:rsid w:val="009140EB"/>
    <w:rsid w:val="0092021B"/>
    <w:rsid w:val="00934D1D"/>
    <w:rsid w:val="009553FE"/>
    <w:rsid w:val="00983A98"/>
    <w:rsid w:val="009B73DA"/>
    <w:rsid w:val="009C3076"/>
    <w:rsid w:val="009F7CBD"/>
    <w:rsid w:val="00A16E4B"/>
    <w:rsid w:val="00A218E3"/>
    <w:rsid w:val="00A35085"/>
    <w:rsid w:val="00A472DF"/>
    <w:rsid w:val="00A50B27"/>
    <w:rsid w:val="00A6053C"/>
    <w:rsid w:val="00A819C6"/>
    <w:rsid w:val="00AA245E"/>
    <w:rsid w:val="00AA2EDA"/>
    <w:rsid w:val="00AE2C8F"/>
    <w:rsid w:val="00B011D0"/>
    <w:rsid w:val="00B0614C"/>
    <w:rsid w:val="00B126F1"/>
    <w:rsid w:val="00B32E6A"/>
    <w:rsid w:val="00B521C4"/>
    <w:rsid w:val="00B74559"/>
    <w:rsid w:val="00B964FC"/>
    <w:rsid w:val="00BA4D0B"/>
    <w:rsid w:val="00BA6B9F"/>
    <w:rsid w:val="00BD6FD2"/>
    <w:rsid w:val="00C075C9"/>
    <w:rsid w:val="00C11719"/>
    <w:rsid w:val="00C440C7"/>
    <w:rsid w:val="00C50325"/>
    <w:rsid w:val="00C67E6D"/>
    <w:rsid w:val="00C80010"/>
    <w:rsid w:val="00C8195C"/>
    <w:rsid w:val="00C83177"/>
    <w:rsid w:val="00C96D18"/>
    <w:rsid w:val="00CA1E0A"/>
    <w:rsid w:val="00CD571C"/>
    <w:rsid w:val="00CD6297"/>
    <w:rsid w:val="00CF0F44"/>
    <w:rsid w:val="00D07A81"/>
    <w:rsid w:val="00D93727"/>
    <w:rsid w:val="00D94F5D"/>
    <w:rsid w:val="00DA2871"/>
    <w:rsid w:val="00DC1812"/>
    <w:rsid w:val="00E0701E"/>
    <w:rsid w:val="00E2312B"/>
    <w:rsid w:val="00E34A19"/>
    <w:rsid w:val="00E5550E"/>
    <w:rsid w:val="00E577C4"/>
    <w:rsid w:val="00E85D4C"/>
    <w:rsid w:val="00E8617C"/>
    <w:rsid w:val="00E91A8C"/>
    <w:rsid w:val="00EA3F9A"/>
    <w:rsid w:val="00EB0358"/>
    <w:rsid w:val="00EC174C"/>
    <w:rsid w:val="00ED3B0F"/>
    <w:rsid w:val="00EE43E2"/>
    <w:rsid w:val="00EE6D51"/>
    <w:rsid w:val="00EF2E5B"/>
    <w:rsid w:val="00EF7DA9"/>
    <w:rsid w:val="00F11435"/>
    <w:rsid w:val="00F735F9"/>
    <w:rsid w:val="00F810EA"/>
    <w:rsid w:val="00FB3DC3"/>
    <w:rsid w:val="00FE195F"/>
    <w:rsid w:val="00FF19C0"/>
    <w:rsid w:val="00FF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D2564"/>
  <w15:docId w15:val="{FB19AC65-CE74-46D5-AE24-F9E99227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60A"/>
    <w:pPr>
      <w:ind w:left="720"/>
      <w:contextualSpacing/>
    </w:pPr>
  </w:style>
  <w:style w:type="character" w:styleId="Hyperlink">
    <w:name w:val="Hyperlink"/>
    <w:basedOn w:val="DefaultParagraphFont"/>
    <w:uiPriority w:val="99"/>
    <w:unhideWhenUsed/>
    <w:rsid w:val="002D7195"/>
    <w:rPr>
      <w:color w:val="0000FF" w:themeColor="hyperlink"/>
      <w:u w:val="single"/>
    </w:rPr>
  </w:style>
  <w:style w:type="paragraph" w:styleId="BalloonText">
    <w:name w:val="Balloon Text"/>
    <w:basedOn w:val="Normal"/>
    <w:link w:val="BalloonTextChar"/>
    <w:uiPriority w:val="99"/>
    <w:semiHidden/>
    <w:unhideWhenUsed/>
    <w:rsid w:val="003A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441">
      <w:bodyDiv w:val="1"/>
      <w:marLeft w:val="0"/>
      <w:marRight w:val="0"/>
      <w:marTop w:val="0"/>
      <w:marBottom w:val="0"/>
      <w:divBdr>
        <w:top w:val="none" w:sz="0" w:space="0" w:color="auto"/>
        <w:left w:val="none" w:sz="0" w:space="0" w:color="auto"/>
        <w:bottom w:val="none" w:sz="0" w:space="0" w:color="auto"/>
        <w:right w:val="none" w:sz="0" w:space="0" w:color="auto"/>
      </w:divBdr>
      <w:divsChild>
        <w:div w:id="1443956086">
          <w:marLeft w:val="0"/>
          <w:marRight w:val="0"/>
          <w:marTop w:val="0"/>
          <w:marBottom w:val="0"/>
          <w:divBdr>
            <w:top w:val="none" w:sz="0" w:space="0" w:color="auto"/>
            <w:left w:val="none" w:sz="0" w:space="0" w:color="auto"/>
            <w:bottom w:val="none" w:sz="0" w:space="0" w:color="auto"/>
            <w:right w:val="none" w:sz="0" w:space="0" w:color="auto"/>
          </w:divBdr>
        </w:div>
      </w:divsChild>
    </w:div>
    <w:div w:id="195001360">
      <w:bodyDiv w:val="1"/>
      <w:marLeft w:val="0"/>
      <w:marRight w:val="0"/>
      <w:marTop w:val="0"/>
      <w:marBottom w:val="0"/>
      <w:divBdr>
        <w:top w:val="none" w:sz="0" w:space="0" w:color="auto"/>
        <w:left w:val="none" w:sz="0" w:space="0" w:color="auto"/>
        <w:bottom w:val="none" w:sz="0" w:space="0" w:color="auto"/>
        <w:right w:val="none" w:sz="0" w:space="0" w:color="auto"/>
      </w:divBdr>
      <w:divsChild>
        <w:div w:id="986084434">
          <w:marLeft w:val="0"/>
          <w:marRight w:val="0"/>
          <w:marTop w:val="0"/>
          <w:marBottom w:val="0"/>
          <w:divBdr>
            <w:top w:val="none" w:sz="0" w:space="0" w:color="auto"/>
            <w:left w:val="none" w:sz="0" w:space="0" w:color="auto"/>
            <w:bottom w:val="none" w:sz="0" w:space="0" w:color="auto"/>
            <w:right w:val="none" w:sz="0" w:space="0" w:color="auto"/>
          </w:divBdr>
        </w:div>
      </w:divsChild>
    </w:div>
    <w:div w:id="268972335">
      <w:bodyDiv w:val="1"/>
      <w:marLeft w:val="0"/>
      <w:marRight w:val="0"/>
      <w:marTop w:val="0"/>
      <w:marBottom w:val="0"/>
      <w:divBdr>
        <w:top w:val="none" w:sz="0" w:space="0" w:color="auto"/>
        <w:left w:val="none" w:sz="0" w:space="0" w:color="auto"/>
        <w:bottom w:val="none" w:sz="0" w:space="0" w:color="auto"/>
        <w:right w:val="none" w:sz="0" w:space="0" w:color="auto"/>
      </w:divBdr>
      <w:divsChild>
        <w:div w:id="1548487915">
          <w:marLeft w:val="0"/>
          <w:marRight w:val="0"/>
          <w:marTop w:val="0"/>
          <w:marBottom w:val="0"/>
          <w:divBdr>
            <w:top w:val="none" w:sz="0" w:space="0" w:color="auto"/>
            <w:left w:val="none" w:sz="0" w:space="0" w:color="auto"/>
            <w:bottom w:val="none" w:sz="0" w:space="0" w:color="auto"/>
            <w:right w:val="none" w:sz="0" w:space="0" w:color="auto"/>
          </w:divBdr>
        </w:div>
      </w:divsChild>
    </w:div>
    <w:div w:id="272515308">
      <w:bodyDiv w:val="1"/>
      <w:marLeft w:val="0"/>
      <w:marRight w:val="0"/>
      <w:marTop w:val="0"/>
      <w:marBottom w:val="0"/>
      <w:divBdr>
        <w:top w:val="none" w:sz="0" w:space="0" w:color="auto"/>
        <w:left w:val="none" w:sz="0" w:space="0" w:color="auto"/>
        <w:bottom w:val="none" w:sz="0" w:space="0" w:color="auto"/>
        <w:right w:val="none" w:sz="0" w:space="0" w:color="auto"/>
      </w:divBdr>
      <w:divsChild>
        <w:div w:id="42795732">
          <w:marLeft w:val="0"/>
          <w:marRight w:val="0"/>
          <w:marTop w:val="0"/>
          <w:marBottom w:val="0"/>
          <w:divBdr>
            <w:top w:val="none" w:sz="0" w:space="0" w:color="auto"/>
            <w:left w:val="none" w:sz="0" w:space="0" w:color="auto"/>
            <w:bottom w:val="none" w:sz="0" w:space="0" w:color="auto"/>
            <w:right w:val="none" w:sz="0" w:space="0" w:color="auto"/>
          </w:divBdr>
        </w:div>
      </w:divsChild>
    </w:div>
    <w:div w:id="377628116">
      <w:bodyDiv w:val="1"/>
      <w:marLeft w:val="0"/>
      <w:marRight w:val="0"/>
      <w:marTop w:val="0"/>
      <w:marBottom w:val="0"/>
      <w:divBdr>
        <w:top w:val="none" w:sz="0" w:space="0" w:color="auto"/>
        <w:left w:val="none" w:sz="0" w:space="0" w:color="auto"/>
        <w:bottom w:val="none" w:sz="0" w:space="0" w:color="auto"/>
        <w:right w:val="none" w:sz="0" w:space="0" w:color="auto"/>
      </w:divBdr>
      <w:divsChild>
        <w:div w:id="1865046953">
          <w:marLeft w:val="0"/>
          <w:marRight w:val="0"/>
          <w:marTop w:val="0"/>
          <w:marBottom w:val="0"/>
          <w:divBdr>
            <w:top w:val="none" w:sz="0" w:space="0" w:color="auto"/>
            <w:left w:val="none" w:sz="0" w:space="0" w:color="auto"/>
            <w:bottom w:val="none" w:sz="0" w:space="0" w:color="auto"/>
            <w:right w:val="none" w:sz="0" w:space="0" w:color="auto"/>
          </w:divBdr>
        </w:div>
      </w:divsChild>
    </w:div>
    <w:div w:id="412556855">
      <w:bodyDiv w:val="1"/>
      <w:marLeft w:val="0"/>
      <w:marRight w:val="0"/>
      <w:marTop w:val="0"/>
      <w:marBottom w:val="0"/>
      <w:divBdr>
        <w:top w:val="none" w:sz="0" w:space="0" w:color="auto"/>
        <w:left w:val="none" w:sz="0" w:space="0" w:color="auto"/>
        <w:bottom w:val="none" w:sz="0" w:space="0" w:color="auto"/>
        <w:right w:val="none" w:sz="0" w:space="0" w:color="auto"/>
      </w:divBdr>
      <w:divsChild>
        <w:div w:id="1730761998">
          <w:marLeft w:val="0"/>
          <w:marRight w:val="0"/>
          <w:marTop w:val="0"/>
          <w:marBottom w:val="0"/>
          <w:divBdr>
            <w:top w:val="none" w:sz="0" w:space="0" w:color="auto"/>
            <w:left w:val="none" w:sz="0" w:space="0" w:color="auto"/>
            <w:bottom w:val="none" w:sz="0" w:space="0" w:color="auto"/>
            <w:right w:val="none" w:sz="0" w:space="0" w:color="auto"/>
          </w:divBdr>
        </w:div>
      </w:divsChild>
    </w:div>
    <w:div w:id="513499694">
      <w:bodyDiv w:val="1"/>
      <w:marLeft w:val="0"/>
      <w:marRight w:val="0"/>
      <w:marTop w:val="0"/>
      <w:marBottom w:val="0"/>
      <w:divBdr>
        <w:top w:val="none" w:sz="0" w:space="0" w:color="auto"/>
        <w:left w:val="none" w:sz="0" w:space="0" w:color="auto"/>
        <w:bottom w:val="none" w:sz="0" w:space="0" w:color="auto"/>
        <w:right w:val="none" w:sz="0" w:space="0" w:color="auto"/>
      </w:divBdr>
      <w:divsChild>
        <w:div w:id="1212618764">
          <w:marLeft w:val="0"/>
          <w:marRight w:val="0"/>
          <w:marTop w:val="0"/>
          <w:marBottom w:val="0"/>
          <w:divBdr>
            <w:top w:val="none" w:sz="0" w:space="0" w:color="auto"/>
            <w:left w:val="none" w:sz="0" w:space="0" w:color="auto"/>
            <w:bottom w:val="none" w:sz="0" w:space="0" w:color="auto"/>
            <w:right w:val="none" w:sz="0" w:space="0" w:color="auto"/>
          </w:divBdr>
        </w:div>
      </w:divsChild>
    </w:div>
    <w:div w:id="528378119">
      <w:bodyDiv w:val="1"/>
      <w:marLeft w:val="0"/>
      <w:marRight w:val="0"/>
      <w:marTop w:val="0"/>
      <w:marBottom w:val="0"/>
      <w:divBdr>
        <w:top w:val="none" w:sz="0" w:space="0" w:color="auto"/>
        <w:left w:val="none" w:sz="0" w:space="0" w:color="auto"/>
        <w:bottom w:val="none" w:sz="0" w:space="0" w:color="auto"/>
        <w:right w:val="none" w:sz="0" w:space="0" w:color="auto"/>
      </w:divBdr>
      <w:divsChild>
        <w:div w:id="1001814939">
          <w:marLeft w:val="0"/>
          <w:marRight w:val="0"/>
          <w:marTop w:val="0"/>
          <w:marBottom w:val="0"/>
          <w:divBdr>
            <w:top w:val="none" w:sz="0" w:space="0" w:color="auto"/>
            <w:left w:val="none" w:sz="0" w:space="0" w:color="auto"/>
            <w:bottom w:val="none" w:sz="0" w:space="0" w:color="auto"/>
            <w:right w:val="none" w:sz="0" w:space="0" w:color="auto"/>
          </w:divBdr>
        </w:div>
      </w:divsChild>
    </w:div>
    <w:div w:id="594434509">
      <w:bodyDiv w:val="1"/>
      <w:marLeft w:val="0"/>
      <w:marRight w:val="0"/>
      <w:marTop w:val="0"/>
      <w:marBottom w:val="0"/>
      <w:divBdr>
        <w:top w:val="none" w:sz="0" w:space="0" w:color="auto"/>
        <w:left w:val="none" w:sz="0" w:space="0" w:color="auto"/>
        <w:bottom w:val="none" w:sz="0" w:space="0" w:color="auto"/>
        <w:right w:val="none" w:sz="0" w:space="0" w:color="auto"/>
      </w:divBdr>
    </w:div>
    <w:div w:id="704721008">
      <w:bodyDiv w:val="1"/>
      <w:marLeft w:val="0"/>
      <w:marRight w:val="0"/>
      <w:marTop w:val="0"/>
      <w:marBottom w:val="0"/>
      <w:divBdr>
        <w:top w:val="none" w:sz="0" w:space="0" w:color="auto"/>
        <w:left w:val="none" w:sz="0" w:space="0" w:color="auto"/>
        <w:bottom w:val="none" w:sz="0" w:space="0" w:color="auto"/>
        <w:right w:val="none" w:sz="0" w:space="0" w:color="auto"/>
      </w:divBdr>
      <w:divsChild>
        <w:div w:id="1345592366">
          <w:marLeft w:val="0"/>
          <w:marRight w:val="0"/>
          <w:marTop w:val="0"/>
          <w:marBottom w:val="0"/>
          <w:divBdr>
            <w:top w:val="none" w:sz="0" w:space="0" w:color="auto"/>
            <w:left w:val="none" w:sz="0" w:space="0" w:color="auto"/>
            <w:bottom w:val="none" w:sz="0" w:space="0" w:color="auto"/>
            <w:right w:val="none" w:sz="0" w:space="0" w:color="auto"/>
          </w:divBdr>
        </w:div>
      </w:divsChild>
    </w:div>
    <w:div w:id="924802099">
      <w:bodyDiv w:val="1"/>
      <w:marLeft w:val="0"/>
      <w:marRight w:val="0"/>
      <w:marTop w:val="0"/>
      <w:marBottom w:val="0"/>
      <w:divBdr>
        <w:top w:val="none" w:sz="0" w:space="0" w:color="auto"/>
        <w:left w:val="none" w:sz="0" w:space="0" w:color="auto"/>
        <w:bottom w:val="none" w:sz="0" w:space="0" w:color="auto"/>
        <w:right w:val="none" w:sz="0" w:space="0" w:color="auto"/>
      </w:divBdr>
      <w:divsChild>
        <w:div w:id="772169716">
          <w:marLeft w:val="0"/>
          <w:marRight w:val="0"/>
          <w:marTop w:val="0"/>
          <w:marBottom w:val="0"/>
          <w:divBdr>
            <w:top w:val="none" w:sz="0" w:space="0" w:color="auto"/>
            <w:left w:val="none" w:sz="0" w:space="0" w:color="auto"/>
            <w:bottom w:val="none" w:sz="0" w:space="0" w:color="auto"/>
            <w:right w:val="none" w:sz="0" w:space="0" w:color="auto"/>
          </w:divBdr>
        </w:div>
      </w:divsChild>
    </w:div>
    <w:div w:id="969361502">
      <w:bodyDiv w:val="1"/>
      <w:marLeft w:val="0"/>
      <w:marRight w:val="0"/>
      <w:marTop w:val="0"/>
      <w:marBottom w:val="0"/>
      <w:divBdr>
        <w:top w:val="none" w:sz="0" w:space="0" w:color="auto"/>
        <w:left w:val="none" w:sz="0" w:space="0" w:color="auto"/>
        <w:bottom w:val="none" w:sz="0" w:space="0" w:color="auto"/>
        <w:right w:val="none" w:sz="0" w:space="0" w:color="auto"/>
      </w:divBdr>
      <w:divsChild>
        <w:div w:id="270401677">
          <w:marLeft w:val="0"/>
          <w:marRight w:val="0"/>
          <w:marTop w:val="0"/>
          <w:marBottom w:val="0"/>
          <w:divBdr>
            <w:top w:val="none" w:sz="0" w:space="0" w:color="auto"/>
            <w:left w:val="none" w:sz="0" w:space="0" w:color="auto"/>
            <w:bottom w:val="none" w:sz="0" w:space="0" w:color="auto"/>
            <w:right w:val="none" w:sz="0" w:space="0" w:color="auto"/>
          </w:divBdr>
        </w:div>
      </w:divsChild>
    </w:div>
    <w:div w:id="1019158497">
      <w:bodyDiv w:val="1"/>
      <w:marLeft w:val="0"/>
      <w:marRight w:val="0"/>
      <w:marTop w:val="0"/>
      <w:marBottom w:val="0"/>
      <w:divBdr>
        <w:top w:val="none" w:sz="0" w:space="0" w:color="auto"/>
        <w:left w:val="none" w:sz="0" w:space="0" w:color="auto"/>
        <w:bottom w:val="none" w:sz="0" w:space="0" w:color="auto"/>
        <w:right w:val="none" w:sz="0" w:space="0" w:color="auto"/>
      </w:divBdr>
      <w:divsChild>
        <w:div w:id="668869940">
          <w:marLeft w:val="0"/>
          <w:marRight w:val="0"/>
          <w:marTop w:val="0"/>
          <w:marBottom w:val="0"/>
          <w:divBdr>
            <w:top w:val="none" w:sz="0" w:space="0" w:color="auto"/>
            <w:left w:val="none" w:sz="0" w:space="0" w:color="auto"/>
            <w:bottom w:val="none" w:sz="0" w:space="0" w:color="auto"/>
            <w:right w:val="none" w:sz="0" w:space="0" w:color="auto"/>
          </w:divBdr>
        </w:div>
      </w:divsChild>
    </w:div>
    <w:div w:id="1146625888">
      <w:bodyDiv w:val="1"/>
      <w:marLeft w:val="0"/>
      <w:marRight w:val="0"/>
      <w:marTop w:val="0"/>
      <w:marBottom w:val="0"/>
      <w:divBdr>
        <w:top w:val="none" w:sz="0" w:space="0" w:color="auto"/>
        <w:left w:val="none" w:sz="0" w:space="0" w:color="auto"/>
        <w:bottom w:val="none" w:sz="0" w:space="0" w:color="auto"/>
        <w:right w:val="none" w:sz="0" w:space="0" w:color="auto"/>
      </w:divBdr>
      <w:divsChild>
        <w:div w:id="1207907297">
          <w:marLeft w:val="0"/>
          <w:marRight w:val="0"/>
          <w:marTop w:val="0"/>
          <w:marBottom w:val="0"/>
          <w:divBdr>
            <w:top w:val="none" w:sz="0" w:space="0" w:color="auto"/>
            <w:left w:val="none" w:sz="0" w:space="0" w:color="auto"/>
            <w:bottom w:val="none" w:sz="0" w:space="0" w:color="auto"/>
            <w:right w:val="none" w:sz="0" w:space="0" w:color="auto"/>
          </w:divBdr>
        </w:div>
      </w:divsChild>
    </w:div>
    <w:div w:id="1196894720">
      <w:bodyDiv w:val="1"/>
      <w:marLeft w:val="0"/>
      <w:marRight w:val="0"/>
      <w:marTop w:val="0"/>
      <w:marBottom w:val="0"/>
      <w:divBdr>
        <w:top w:val="none" w:sz="0" w:space="0" w:color="auto"/>
        <w:left w:val="none" w:sz="0" w:space="0" w:color="auto"/>
        <w:bottom w:val="none" w:sz="0" w:space="0" w:color="auto"/>
        <w:right w:val="none" w:sz="0" w:space="0" w:color="auto"/>
      </w:divBdr>
      <w:divsChild>
        <w:div w:id="1691373338">
          <w:marLeft w:val="0"/>
          <w:marRight w:val="0"/>
          <w:marTop w:val="0"/>
          <w:marBottom w:val="0"/>
          <w:divBdr>
            <w:top w:val="none" w:sz="0" w:space="0" w:color="auto"/>
            <w:left w:val="none" w:sz="0" w:space="0" w:color="auto"/>
            <w:bottom w:val="none" w:sz="0" w:space="0" w:color="auto"/>
            <w:right w:val="none" w:sz="0" w:space="0" w:color="auto"/>
          </w:divBdr>
        </w:div>
      </w:divsChild>
    </w:div>
    <w:div w:id="1322464886">
      <w:bodyDiv w:val="1"/>
      <w:marLeft w:val="0"/>
      <w:marRight w:val="0"/>
      <w:marTop w:val="0"/>
      <w:marBottom w:val="0"/>
      <w:divBdr>
        <w:top w:val="none" w:sz="0" w:space="0" w:color="auto"/>
        <w:left w:val="none" w:sz="0" w:space="0" w:color="auto"/>
        <w:bottom w:val="none" w:sz="0" w:space="0" w:color="auto"/>
        <w:right w:val="none" w:sz="0" w:space="0" w:color="auto"/>
      </w:divBdr>
      <w:divsChild>
        <w:div w:id="1481843937">
          <w:marLeft w:val="0"/>
          <w:marRight w:val="0"/>
          <w:marTop w:val="0"/>
          <w:marBottom w:val="0"/>
          <w:divBdr>
            <w:top w:val="none" w:sz="0" w:space="0" w:color="auto"/>
            <w:left w:val="none" w:sz="0" w:space="0" w:color="auto"/>
            <w:bottom w:val="none" w:sz="0" w:space="0" w:color="auto"/>
            <w:right w:val="none" w:sz="0" w:space="0" w:color="auto"/>
          </w:divBdr>
        </w:div>
      </w:divsChild>
    </w:div>
    <w:div w:id="1361855848">
      <w:bodyDiv w:val="1"/>
      <w:marLeft w:val="0"/>
      <w:marRight w:val="0"/>
      <w:marTop w:val="0"/>
      <w:marBottom w:val="0"/>
      <w:divBdr>
        <w:top w:val="none" w:sz="0" w:space="0" w:color="auto"/>
        <w:left w:val="none" w:sz="0" w:space="0" w:color="auto"/>
        <w:bottom w:val="none" w:sz="0" w:space="0" w:color="auto"/>
        <w:right w:val="none" w:sz="0" w:space="0" w:color="auto"/>
      </w:divBdr>
      <w:divsChild>
        <w:div w:id="685138973">
          <w:marLeft w:val="0"/>
          <w:marRight w:val="0"/>
          <w:marTop w:val="0"/>
          <w:marBottom w:val="0"/>
          <w:divBdr>
            <w:top w:val="none" w:sz="0" w:space="0" w:color="auto"/>
            <w:left w:val="none" w:sz="0" w:space="0" w:color="auto"/>
            <w:bottom w:val="none" w:sz="0" w:space="0" w:color="auto"/>
            <w:right w:val="none" w:sz="0" w:space="0" w:color="auto"/>
          </w:divBdr>
        </w:div>
      </w:divsChild>
    </w:div>
    <w:div w:id="1414811576">
      <w:bodyDiv w:val="1"/>
      <w:marLeft w:val="0"/>
      <w:marRight w:val="0"/>
      <w:marTop w:val="0"/>
      <w:marBottom w:val="0"/>
      <w:divBdr>
        <w:top w:val="none" w:sz="0" w:space="0" w:color="auto"/>
        <w:left w:val="none" w:sz="0" w:space="0" w:color="auto"/>
        <w:bottom w:val="none" w:sz="0" w:space="0" w:color="auto"/>
        <w:right w:val="none" w:sz="0" w:space="0" w:color="auto"/>
      </w:divBdr>
      <w:divsChild>
        <w:div w:id="1033461705">
          <w:marLeft w:val="0"/>
          <w:marRight w:val="0"/>
          <w:marTop w:val="0"/>
          <w:marBottom w:val="0"/>
          <w:divBdr>
            <w:top w:val="none" w:sz="0" w:space="0" w:color="auto"/>
            <w:left w:val="none" w:sz="0" w:space="0" w:color="auto"/>
            <w:bottom w:val="none" w:sz="0" w:space="0" w:color="auto"/>
            <w:right w:val="none" w:sz="0" w:space="0" w:color="auto"/>
          </w:divBdr>
        </w:div>
      </w:divsChild>
    </w:div>
    <w:div w:id="1582179522">
      <w:bodyDiv w:val="1"/>
      <w:marLeft w:val="0"/>
      <w:marRight w:val="0"/>
      <w:marTop w:val="0"/>
      <w:marBottom w:val="0"/>
      <w:divBdr>
        <w:top w:val="none" w:sz="0" w:space="0" w:color="auto"/>
        <w:left w:val="none" w:sz="0" w:space="0" w:color="auto"/>
        <w:bottom w:val="none" w:sz="0" w:space="0" w:color="auto"/>
        <w:right w:val="none" w:sz="0" w:space="0" w:color="auto"/>
      </w:divBdr>
      <w:divsChild>
        <w:div w:id="309140454">
          <w:marLeft w:val="0"/>
          <w:marRight w:val="0"/>
          <w:marTop w:val="0"/>
          <w:marBottom w:val="0"/>
          <w:divBdr>
            <w:top w:val="none" w:sz="0" w:space="0" w:color="auto"/>
            <w:left w:val="none" w:sz="0" w:space="0" w:color="auto"/>
            <w:bottom w:val="none" w:sz="0" w:space="0" w:color="auto"/>
            <w:right w:val="none" w:sz="0" w:space="0" w:color="auto"/>
          </w:divBdr>
        </w:div>
      </w:divsChild>
    </w:div>
    <w:div w:id="1585912898">
      <w:bodyDiv w:val="1"/>
      <w:marLeft w:val="0"/>
      <w:marRight w:val="0"/>
      <w:marTop w:val="0"/>
      <w:marBottom w:val="0"/>
      <w:divBdr>
        <w:top w:val="none" w:sz="0" w:space="0" w:color="auto"/>
        <w:left w:val="none" w:sz="0" w:space="0" w:color="auto"/>
        <w:bottom w:val="none" w:sz="0" w:space="0" w:color="auto"/>
        <w:right w:val="none" w:sz="0" w:space="0" w:color="auto"/>
      </w:divBdr>
      <w:divsChild>
        <w:div w:id="1618752271">
          <w:marLeft w:val="0"/>
          <w:marRight w:val="0"/>
          <w:marTop w:val="0"/>
          <w:marBottom w:val="0"/>
          <w:divBdr>
            <w:top w:val="none" w:sz="0" w:space="0" w:color="auto"/>
            <w:left w:val="none" w:sz="0" w:space="0" w:color="auto"/>
            <w:bottom w:val="none" w:sz="0" w:space="0" w:color="auto"/>
            <w:right w:val="none" w:sz="0" w:space="0" w:color="auto"/>
          </w:divBdr>
        </w:div>
      </w:divsChild>
    </w:div>
    <w:div w:id="1600871285">
      <w:bodyDiv w:val="1"/>
      <w:marLeft w:val="0"/>
      <w:marRight w:val="0"/>
      <w:marTop w:val="0"/>
      <w:marBottom w:val="0"/>
      <w:divBdr>
        <w:top w:val="none" w:sz="0" w:space="0" w:color="auto"/>
        <w:left w:val="none" w:sz="0" w:space="0" w:color="auto"/>
        <w:bottom w:val="none" w:sz="0" w:space="0" w:color="auto"/>
        <w:right w:val="none" w:sz="0" w:space="0" w:color="auto"/>
      </w:divBdr>
      <w:divsChild>
        <w:div w:id="1356345126">
          <w:marLeft w:val="0"/>
          <w:marRight w:val="0"/>
          <w:marTop w:val="0"/>
          <w:marBottom w:val="0"/>
          <w:divBdr>
            <w:top w:val="none" w:sz="0" w:space="0" w:color="auto"/>
            <w:left w:val="none" w:sz="0" w:space="0" w:color="auto"/>
            <w:bottom w:val="none" w:sz="0" w:space="0" w:color="auto"/>
            <w:right w:val="none" w:sz="0" w:space="0" w:color="auto"/>
          </w:divBdr>
        </w:div>
      </w:divsChild>
    </w:div>
    <w:div w:id="1640307753">
      <w:bodyDiv w:val="1"/>
      <w:marLeft w:val="0"/>
      <w:marRight w:val="0"/>
      <w:marTop w:val="0"/>
      <w:marBottom w:val="0"/>
      <w:divBdr>
        <w:top w:val="none" w:sz="0" w:space="0" w:color="auto"/>
        <w:left w:val="none" w:sz="0" w:space="0" w:color="auto"/>
        <w:bottom w:val="none" w:sz="0" w:space="0" w:color="auto"/>
        <w:right w:val="none" w:sz="0" w:space="0" w:color="auto"/>
      </w:divBdr>
      <w:divsChild>
        <w:div w:id="1582983668">
          <w:marLeft w:val="0"/>
          <w:marRight w:val="0"/>
          <w:marTop w:val="0"/>
          <w:marBottom w:val="0"/>
          <w:divBdr>
            <w:top w:val="none" w:sz="0" w:space="0" w:color="auto"/>
            <w:left w:val="none" w:sz="0" w:space="0" w:color="auto"/>
            <w:bottom w:val="none" w:sz="0" w:space="0" w:color="auto"/>
            <w:right w:val="none" w:sz="0" w:space="0" w:color="auto"/>
          </w:divBdr>
        </w:div>
      </w:divsChild>
    </w:div>
    <w:div w:id="1658997945">
      <w:bodyDiv w:val="1"/>
      <w:marLeft w:val="0"/>
      <w:marRight w:val="0"/>
      <w:marTop w:val="0"/>
      <w:marBottom w:val="0"/>
      <w:divBdr>
        <w:top w:val="none" w:sz="0" w:space="0" w:color="auto"/>
        <w:left w:val="none" w:sz="0" w:space="0" w:color="auto"/>
        <w:bottom w:val="none" w:sz="0" w:space="0" w:color="auto"/>
        <w:right w:val="none" w:sz="0" w:space="0" w:color="auto"/>
      </w:divBdr>
      <w:divsChild>
        <w:div w:id="43262297">
          <w:marLeft w:val="0"/>
          <w:marRight w:val="0"/>
          <w:marTop w:val="0"/>
          <w:marBottom w:val="0"/>
          <w:divBdr>
            <w:top w:val="none" w:sz="0" w:space="0" w:color="auto"/>
            <w:left w:val="none" w:sz="0" w:space="0" w:color="auto"/>
            <w:bottom w:val="none" w:sz="0" w:space="0" w:color="auto"/>
            <w:right w:val="none" w:sz="0" w:space="0" w:color="auto"/>
          </w:divBdr>
        </w:div>
      </w:divsChild>
    </w:div>
    <w:div w:id="1751539904">
      <w:bodyDiv w:val="1"/>
      <w:marLeft w:val="0"/>
      <w:marRight w:val="0"/>
      <w:marTop w:val="0"/>
      <w:marBottom w:val="0"/>
      <w:divBdr>
        <w:top w:val="none" w:sz="0" w:space="0" w:color="auto"/>
        <w:left w:val="none" w:sz="0" w:space="0" w:color="auto"/>
        <w:bottom w:val="none" w:sz="0" w:space="0" w:color="auto"/>
        <w:right w:val="none" w:sz="0" w:space="0" w:color="auto"/>
      </w:divBdr>
      <w:divsChild>
        <w:div w:id="841700134">
          <w:marLeft w:val="0"/>
          <w:marRight w:val="0"/>
          <w:marTop w:val="0"/>
          <w:marBottom w:val="0"/>
          <w:divBdr>
            <w:top w:val="none" w:sz="0" w:space="0" w:color="auto"/>
            <w:left w:val="none" w:sz="0" w:space="0" w:color="auto"/>
            <w:bottom w:val="none" w:sz="0" w:space="0" w:color="auto"/>
            <w:right w:val="none" w:sz="0" w:space="0" w:color="auto"/>
          </w:divBdr>
        </w:div>
      </w:divsChild>
    </w:div>
    <w:div w:id="1799909596">
      <w:bodyDiv w:val="1"/>
      <w:marLeft w:val="0"/>
      <w:marRight w:val="0"/>
      <w:marTop w:val="0"/>
      <w:marBottom w:val="0"/>
      <w:divBdr>
        <w:top w:val="none" w:sz="0" w:space="0" w:color="auto"/>
        <w:left w:val="none" w:sz="0" w:space="0" w:color="auto"/>
        <w:bottom w:val="none" w:sz="0" w:space="0" w:color="auto"/>
        <w:right w:val="none" w:sz="0" w:space="0" w:color="auto"/>
      </w:divBdr>
      <w:divsChild>
        <w:div w:id="82551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615/CRITREVTHERDRUGCARRIERSYST.V22.I3.20" TargetMode="External"/><Relationship Id="rId3" Type="http://schemas.openxmlformats.org/officeDocument/2006/relationships/settings" Target="settings.xml"/><Relationship Id="rId7" Type="http://schemas.openxmlformats.org/officeDocument/2006/relationships/hyperlink" Target="https://doi.org/10.1016/S0378-5173(98)00341-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17</Pages>
  <Words>3783</Words>
  <Characters>24213</Characters>
  <Application>Microsoft Office Word</Application>
  <DocSecurity>0</DocSecurity>
  <Lines>440</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Shamim Khan</cp:lastModifiedBy>
  <cp:revision>150</cp:revision>
  <dcterms:created xsi:type="dcterms:W3CDTF">2024-01-08T10:44:00Z</dcterms:created>
  <dcterms:modified xsi:type="dcterms:W3CDTF">2024-01-11T15:32:00Z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087dc3c08f5b47e03dfe816d620914fe1cb8d2cdd867b905c4e2aba5ccb9df8e</vt:lpwstr>
  </property>
</Properties>
</file>