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4" w14:textId="77777777" w:rsidR="002A0C82" w:rsidRDefault="002A0C82">
      <w:pPr>
        <w:jc w:val="center"/>
        <w:rPr>
          <w:rFonts w:ascii="Times New Roman" w:eastAsia="Times New Roman" w:hAnsi="Times New Roman" w:cs="Times New Roman"/>
          <w:b/>
          <w:sz w:val="28"/>
          <w:szCs w:val="28"/>
        </w:rPr>
      </w:pPr>
    </w:p>
    <w:p w14:paraId="00000005" w14:textId="77777777" w:rsidR="002A0C82" w:rsidRDefault="002A0C82">
      <w:pPr>
        <w:jc w:val="center"/>
        <w:rPr>
          <w:rFonts w:ascii="Times New Roman" w:eastAsia="Times New Roman" w:hAnsi="Times New Roman" w:cs="Times New Roman"/>
          <w:b/>
          <w:sz w:val="28"/>
          <w:szCs w:val="28"/>
        </w:rPr>
      </w:pPr>
    </w:p>
    <w:p w14:paraId="00000006" w14:textId="77777777" w:rsidR="002A0C82" w:rsidRDefault="002A0C82">
      <w:pPr>
        <w:jc w:val="center"/>
        <w:rPr>
          <w:rFonts w:ascii="Times New Roman" w:eastAsia="Times New Roman" w:hAnsi="Times New Roman" w:cs="Times New Roman"/>
          <w:b/>
          <w:sz w:val="28"/>
          <w:szCs w:val="28"/>
        </w:rPr>
      </w:pPr>
    </w:p>
    <w:p w14:paraId="00000007" w14:textId="77777777" w:rsidR="002A0C82" w:rsidRDefault="002A0C82">
      <w:pPr>
        <w:jc w:val="center"/>
        <w:rPr>
          <w:rFonts w:ascii="Times New Roman" w:eastAsia="Times New Roman" w:hAnsi="Times New Roman" w:cs="Times New Roman"/>
          <w:b/>
          <w:sz w:val="28"/>
          <w:szCs w:val="28"/>
        </w:rPr>
      </w:pPr>
    </w:p>
    <w:p w14:paraId="00000008" w14:textId="77777777" w:rsidR="002A0C82" w:rsidRDefault="002A0C82">
      <w:pPr>
        <w:jc w:val="center"/>
        <w:rPr>
          <w:rFonts w:ascii="Times New Roman" w:eastAsia="Times New Roman" w:hAnsi="Times New Roman" w:cs="Times New Roman"/>
          <w:b/>
          <w:sz w:val="28"/>
          <w:szCs w:val="28"/>
        </w:rPr>
      </w:pPr>
    </w:p>
    <w:p w14:paraId="00000009" w14:textId="77777777" w:rsidR="002A0C82" w:rsidRDefault="002A0C82">
      <w:pPr>
        <w:jc w:val="center"/>
        <w:rPr>
          <w:rFonts w:ascii="Times New Roman" w:eastAsia="Times New Roman" w:hAnsi="Times New Roman" w:cs="Times New Roman"/>
          <w:b/>
          <w:sz w:val="28"/>
          <w:szCs w:val="28"/>
        </w:rPr>
      </w:pPr>
    </w:p>
    <w:p w14:paraId="0000000A" w14:textId="77777777" w:rsidR="002A0C82" w:rsidRDefault="002A0C82">
      <w:pPr>
        <w:jc w:val="center"/>
        <w:rPr>
          <w:rFonts w:ascii="Times New Roman" w:eastAsia="Times New Roman" w:hAnsi="Times New Roman" w:cs="Times New Roman"/>
          <w:b/>
          <w:sz w:val="28"/>
          <w:szCs w:val="28"/>
        </w:rPr>
      </w:pPr>
    </w:p>
    <w:p w14:paraId="0000000B" w14:textId="193B5602" w:rsidR="002A0C82" w:rsidRDefault="00000000">
      <w:pPr>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GRAM-POSITIVE </w:t>
      </w:r>
      <w:r w:rsidR="00E26660">
        <w:rPr>
          <w:rFonts w:ascii="Times New Roman" w:eastAsia="Times New Roman" w:hAnsi="Times New Roman" w:cs="Times New Roman"/>
          <w:b/>
          <w:sz w:val="34"/>
          <w:szCs w:val="34"/>
        </w:rPr>
        <w:t xml:space="preserve">BACTERIAL </w:t>
      </w:r>
      <w:r>
        <w:rPr>
          <w:rFonts w:ascii="Times New Roman" w:eastAsia="Times New Roman" w:hAnsi="Times New Roman" w:cs="Times New Roman"/>
          <w:b/>
          <w:sz w:val="34"/>
          <w:szCs w:val="34"/>
        </w:rPr>
        <w:t>PATHOGENS</w:t>
      </w:r>
    </w:p>
    <w:p w14:paraId="0000000C" w14:textId="77777777" w:rsidR="002A0C82" w:rsidRDefault="002A0C82">
      <w:pPr>
        <w:jc w:val="center"/>
        <w:rPr>
          <w:rFonts w:ascii="Times New Roman" w:eastAsia="Times New Roman" w:hAnsi="Times New Roman" w:cs="Times New Roman"/>
          <w:b/>
          <w:sz w:val="28"/>
          <w:szCs w:val="28"/>
        </w:rPr>
      </w:pPr>
    </w:p>
    <w:p w14:paraId="0000000D" w14:textId="77777777" w:rsidR="002A0C82" w:rsidRDefault="002A0C82">
      <w:pPr>
        <w:jc w:val="center"/>
        <w:rPr>
          <w:rFonts w:ascii="Times New Roman" w:eastAsia="Times New Roman" w:hAnsi="Times New Roman" w:cs="Times New Roman"/>
          <w:b/>
          <w:sz w:val="28"/>
          <w:szCs w:val="28"/>
        </w:rPr>
      </w:pPr>
    </w:p>
    <w:p w14:paraId="0000000E" w14:textId="77777777" w:rsidR="002A0C82" w:rsidRDefault="002A0C82">
      <w:pPr>
        <w:jc w:val="center"/>
        <w:rPr>
          <w:rFonts w:ascii="Times New Roman" w:eastAsia="Times New Roman" w:hAnsi="Times New Roman" w:cs="Times New Roman"/>
          <w:b/>
          <w:sz w:val="28"/>
          <w:szCs w:val="28"/>
        </w:rPr>
      </w:pPr>
    </w:p>
    <w:p w14:paraId="0000000F" w14:textId="77777777" w:rsidR="002A0C82" w:rsidRDefault="002A0C82">
      <w:pPr>
        <w:jc w:val="center"/>
        <w:rPr>
          <w:rFonts w:ascii="Times New Roman" w:eastAsia="Times New Roman" w:hAnsi="Times New Roman" w:cs="Times New Roman"/>
          <w:b/>
          <w:sz w:val="28"/>
          <w:szCs w:val="28"/>
        </w:rPr>
      </w:pPr>
    </w:p>
    <w:p w14:paraId="00000010" w14:textId="77777777" w:rsidR="002A0C82" w:rsidRDefault="002A0C82">
      <w:pPr>
        <w:jc w:val="center"/>
        <w:rPr>
          <w:rFonts w:ascii="Times New Roman" w:eastAsia="Times New Roman" w:hAnsi="Times New Roman" w:cs="Times New Roman"/>
          <w:b/>
          <w:sz w:val="28"/>
          <w:szCs w:val="28"/>
        </w:rPr>
      </w:pPr>
    </w:p>
    <w:p w14:paraId="00000011" w14:textId="77777777" w:rsidR="002A0C82" w:rsidRDefault="002A0C82">
      <w:pPr>
        <w:jc w:val="center"/>
        <w:rPr>
          <w:rFonts w:ascii="Times New Roman" w:eastAsia="Times New Roman" w:hAnsi="Times New Roman" w:cs="Times New Roman"/>
          <w:b/>
          <w:sz w:val="28"/>
          <w:szCs w:val="28"/>
        </w:rPr>
      </w:pPr>
    </w:p>
    <w:p w14:paraId="00000012" w14:textId="77777777" w:rsidR="002A0C82" w:rsidRDefault="002A0C82">
      <w:pPr>
        <w:jc w:val="center"/>
        <w:rPr>
          <w:rFonts w:ascii="Times New Roman" w:eastAsia="Times New Roman" w:hAnsi="Times New Roman" w:cs="Times New Roman"/>
          <w:b/>
          <w:sz w:val="28"/>
          <w:szCs w:val="28"/>
        </w:rPr>
      </w:pPr>
    </w:p>
    <w:p w14:paraId="00000013" w14:textId="77777777" w:rsidR="002A0C82" w:rsidRDefault="002A0C82">
      <w:pPr>
        <w:jc w:val="center"/>
        <w:rPr>
          <w:rFonts w:ascii="Times New Roman" w:eastAsia="Times New Roman" w:hAnsi="Times New Roman" w:cs="Times New Roman"/>
          <w:b/>
          <w:sz w:val="28"/>
          <w:szCs w:val="28"/>
        </w:rPr>
      </w:pPr>
    </w:p>
    <w:p w14:paraId="00000014" w14:textId="0D53F0FD" w:rsidR="002A0C8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Author</w:t>
      </w:r>
      <w:r w:rsidR="00E26660">
        <w:rPr>
          <w:rFonts w:ascii="Times New Roman" w:eastAsia="Times New Roman" w:hAnsi="Times New Roman" w:cs="Times New Roman"/>
          <w:b/>
          <w:sz w:val="28"/>
          <w:szCs w:val="28"/>
        </w:rPr>
        <w:t>s</w:t>
      </w:r>
      <w:r>
        <w:rPr>
          <w:rFonts w:ascii="Times New Roman" w:eastAsia="Times New Roman" w:hAnsi="Times New Roman" w:cs="Times New Roman"/>
          <w:b/>
          <w:sz w:val="28"/>
          <w:szCs w:val="28"/>
        </w:rPr>
        <w:t>:</w:t>
      </w:r>
    </w:p>
    <w:p w14:paraId="00000016" w14:textId="3E9FB696" w:rsidR="002A0C82" w:rsidRDefault="00000000">
      <w:pPr>
        <w:jc w:val="center"/>
        <w:rPr>
          <w:rFonts w:ascii="Times New Roman" w:eastAsia="Times New Roman" w:hAnsi="Times New Roman" w:cs="Times New Roman"/>
          <w:b/>
          <w:sz w:val="28"/>
          <w:szCs w:val="28"/>
          <w:vertAlign w:val="superscript"/>
        </w:rPr>
      </w:pPr>
      <w:r>
        <w:rPr>
          <w:rFonts w:ascii="Times New Roman" w:eastAsia="Times New Roman" w:hAnsi="Times New Roman" w:cs="Times New Roman"/>
          <w:b/>
          <w:sz w:val="28"/>
          <w:szCs w:val="28"/>
        </w:rPr>
        <w:t>Thanh Trang Thieu</w:t>
      </w:r>
      <w:r w:rsidR="00E26660">
        <w:rPr>
          <w:rFonts w:ascii="Times New Roman" w:eastAsia="Times New Roman" w:hAnsi="Times New Roman" w:cs="Times New Roman"/>
          <w:b/>
          <w:sz w:val="28"/>
          <w:szCs w:val="28"/>
          <w:vertAlign w:val="superscript"/>
        </w:rPr>
        <w:t>1</w:t>
      </w:r>
      <w:r w:rsidR="00E2666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Thi Thuy Trang</w:t>
      </w:r>
      <w:r w:rsidR="00E26660">
        <w:rPr>
          <w:rFonts w:ascii="Times New Roman" w:eastAsia="Times New Roman" w:hAnsi="Times New Roman" w:cs="Times New Roman"/>
          <w:b/>
          <w:sz w:val="28"/>
          <w:szCs w:val="28"/>
        </w:rPr>
        <w:t xml:space="preserve"> Ngo</w:t>
      </w:r>
      <w:r w:rsidR="00E26660">
        <w:rPr>
          <w:rFonts w:ascii="Times New Roman" w:eastAsia="Times New Roman" w:hAnsi="Times New Roman" w:cs="Times New Roman"/>
          <w:b/>
          <w:sz w:val="28"/>
          <w:szCs w:val="28"/>
          <w:vertAlign w:val="superscript"/>
        </w:rPr>
        <w:t>1</w:t>
      </w:r>
      <w:r w:rsidR="00E26660">
        <w:rPr>
          <w:rFonts w:ascii="Times New Roman" w:eastAsia="Times New Roman" w:hAnsi="Times New Roman" w:cs="Times New Roman"/>
          <w:b/>
          <w:sz w:val="28"/>
          <w:szCs w:val="28"/>
        </w:rPr>
        <w:t>, Thi Thu Hoai Nguyen</w:t>
      </w:r>
      <w:r w:rsidR="00E26660">
        <w:rPr>
          <w:rFonts w:ascii="Times New Roman" w:eastAsia="Times New Roman" w:hAnsi="Times New Roman" w:cs="Times New Roman"/>
          <w:b/>
          <w:sz w:val="28"/>
          <w:szCs w:val="28"/>
          <w:vertAlign w:val="superscript"/>
        </w:rPr>
        <w:t>1,2</w:t>
      </w:r>
    </w:p>
    <w:p w14:paraId="767252CE" w14:textId="77777777" w:rsidR="00150DA6" w:rsidRDefault="00150DA6">
      <w:pPr>
        <w:jc w:val="center"/>
        <w:rPr>
          <w:rFonts w:ascii="Times New Roman" w:eastAsia="Times New Roman" w:hAnsi="Times New Roman" w:cs="Times New Roman"/>
          <w:b/>
          <w:sz w:val="28"/>
          <w:szCs w:val="28"/>
          <w:vertAlign w:val="superscript"/>
        </w:rPr>
      </w:pPr>
    </w:p>
    <w:p w14:paraId="10F564B1" w14:textId="77777777" w:rsidR="00150DA6" w:rsidRDefault="00150DA6" w:rsidP="00150DA6">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vertAlign w:val="superscript"/>
          <w:lang w:val="en-US"/>
        </w:rPr>
        <w:t>1</w:t>
      </w:r>
      <w:r>
        <w:rPr>
          <w:rFonts w:ascii="Times New Roman" w:eastAsia="Times New Roman" w:hAnsi="Times New Roman" w:cs="Times New Roman"/>
          <w:sz w:val="28"/>
          <w:szCs w:val="28"/>
          <w:lang w:val="en-US"/>
        </w:rPr>
        <w:t>School of Biotechnology, International University, Vietnam National University, Ho Chi Minh City</w:t>
      </w:r>
    </w:p>
    <w:p w14:paraId="3124A0A9" w14:textId="77777777" w:rsidR="00150DA6" w:rsidRDefault="00150DA6" w:rsidP="00150DA6">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vertAlign w:val="superscript"/>
          <w:lang w:val="en-US"/>
        </w:rPr>
        <w:t>2</w:t>
      </w:r>
      <w:r>
        <w:rPr>
          <w:rFonts w:ascii="Times New Roman" w:eastAsia="Times New Roman" w:hAnsi="Times New Roman" w:cs="Times New Roman"/>
          <w:sz w:val="28"/>
          <w:szCs w:val="28"/>
          <w:lang w:val="en-US"/>
        </w:rPr>
        <w:t>Research center for infectious diseases, International University, Vietnam National University, Ho Chi Minh City</w:t>
      </w:r>
    </w:p>
    <w:p w14:paraId="65343C5F" w14:textId="77777777" w:rsidR="00150DA6" w:rsidRDefault="00150DA6" w:rsidP="00150DA6">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Quarter 6, Linh Trung ward, Thu Duc City, Ho Chi Minh City, 70000 Vietnam</w:t>
      </w:r>
    </w:p>
    <w:p w14:paraId="1FFD0592" w14:textId="77777777" w:rsidR="00150DA6" w:rsidRPr="007129E2" w:rsidRDefault="00150DA6" w:rsidP="00150DA6">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Correspondence: ntthoai@hcmiu.edu.vn</w:t>
      </w:r>
    </w:p>
    <w:p w14:paraId="1147F7AD" w14:textId="77777777" w:rsidR="00150DA6" w:rsidRPr="00150DA6" w:rsidRDefault="00150DA6">
      <w:pPr>
        <w:jc w:val="center"/>
        <w:rPr>
          <w:rFonts w:ascii="Times New Roman" w:eastAsia="Times New Roman" w:hAnsi="Times New Roman" w:cs="Times New Roman"/>
          <w:b/>
          <w:sz w:val="28"/>
          <w:szCs w:val="28"/>
        </w:rPr>
      </w:pPr>
    </w:p>
    <w:p w14:paraId="27833698" w14:textId="77777777" w:rsidR="00E26660" w:rsidRDefault="00E26660">
      <w:pPr>
        <w:jc w:val="center"/>
        <w:rPr>
          <w:rFonts w:ascii="Times New Roman" w:eastAsia="Times New Roman" w:hAnsi="Times New Roman" w:cs="Times New Roman"/>
          <w:b/>
          <w:sz w:val="28"/>
          <w:szCs w:val="28"/>
        </w:rPr>
      </w:pPr>
    </w:p>
    <w:p w14:paraId="00000017" w14:textId="77777777" w:rsidR="002A0C82" w:rsidRDefault="00000000">
      <w:pPr>
        <w:jc w:val="center"/>
        <w:rPr>
          <w:rFonts w:ascii="Times New Roman" w:eastAsia="Times New Roman" w:hAnsi="Times New Roman" w:cs="Times New Roman"/>
          <w:b/>
          <w:sz w:val="28"/>
          <w:szCs w:val="28"/>
        </w:rPr>
      </w:pPr>
      <w:r>
        <w:br w:type="page"/>
      </w:r>
    </w:p>
    <w:p w14:paraId="00000018" w14:textId="77777777" w:rsidR="002A0C82"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Introduction</w:t>
      </w:r>
    </w:p>
    <w:p w14:paraId="00000019" w14:textId="77777777" w:rsidR="002A0C82" w:rsidRDefault="002A0C82">
      <w:pPr>
        <w:rPr>
          <w:rFonts w:ascii="Times New Roman" w:eastAsia="Times New Roman" w:hAnsi="Times New Roman" w:cs="Times New Roman"/>
          <w:b/>
          <w:sz w:val="28"/>
          <w:szCs w:val="28"/>
        </w:rPr>
      </w:pPr>
    </w:p>
    <w:p w14:paraId="3FAD2DE6" w14:textId="77777777" w:rsidR="00150DA6" w:rsidRDefault="00150DA6">
      <w:pPr>
        <w:jc w:val="both"/>
        <w:rPr>
          <w:rFonts w:ascii="Times New Roman" w:eastAsia="Times New Roman" w:hAnsi="Times New Roman" w:cs="Times New Roman"/>
          <w:sz w:val="28"/>
          <w:szCs w:val="28"/>
        </w:rPr>
      </w:pPr>
      <w:r w:rsidRPr="00150DA6">
        <w:rPr>
          <w:rFonts w:ascii="Times New Roman" w:eastAsia="Times New Roman" w:hAnsi="Times New Roman" w:cs="Times New Roman"/>
          <w:sz w:val="28"/>
          <w:szCs w:val="28"/>
        </w:rPr>
        <w:t>Gram-positive pathogens possess various advantageous characteristics and mechanisms that allow them to adhere to, colonize, and attack host cells. They can cause a range of diseases, from food poisoning and sore throat to severe respiratory infections and nervous system-related illnesses. Among these, many are highly fatal acute infections, with mortality rates reaching up to 80% in some cases.</w:t>
      </w:r>
    </w:p>
    <w:p w14:paraId="0000001A" w14:textId="23247BCA" w:rsidR="002A0C82"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This chapter will introduce to you the morphological, biochemical and molecular distinct properties, the culture conditions and frequently used culture media, as well as the diseases, treatments, and prevalence of most important gram-positive pathogens in the present clinical settings, including </w:t>
      </w:r>
      <w:r>
        <w:rPr>
          <w:rFonts w:ascii="Times New Roman" w:eastAsia="Times New Roman" w:hAnsi="Times New Roman" w:cs="Times New Roman"/>
          <w:i/>
          <w:sz w:val="28"/>
          <w:szCs w:val="28"/>
        </w:rPr>
        <w:t xml:space="preserve">Bacillus cereus, Clostridium difficile, Corynebacterium jeikeium, Enterococcus faecalis, Listeria monocytogenes, Staphylococcus aureus, Staphylococcus epidermidis, Streptococcus pneumoniae, </w:t>
      </w:r>
      <w:r w:rsidR="00150DA6">
        <w:rPr>
          <w:rFonts w:ascii="Times New Roman" w:eastAsia="Times New Roman" w:hAnsi="Times New Roman" w:cs="Times New Roman"/>
          <w:iCs/>
          <w:sz w:val="28"/>
          <w:szCs w:val="28"/>
        </w:rPr>
        <w:t xml:space="preserve">and </w:t>
      </w:r>
      <w:r>
        <w:rPr>
          <w:rFonts w:ascii="Times New Roman" w:eastAsia="Times New Roman" w:hAnsi="Times New Roman" w:cs="Times New Roman"/>
          <w:i/>
          <w:sz w:val="28"/>
          <w:szCs w:val="28"/>
        </w:rPr>
        <w:t>Streptococcus pyogenes.</w:t>
      </w:r>
    </w:p>
    <w:p w14:paraId="0000001B" w14:textId="77777777" w:rsidR="002A0C82" w:rsidRDefault="002A0C82">
      <w:pPr>
        <w:rPr>
          <w:rFonts w:ascii="Times New Roman" w:eastAsia="Times New Roman" w:hAnsi="Times New Roman" w:cs="Times New Roman"/>
          <w:b/>
          <w:sz w:val="28"/>
          <w:szCs w:val="28"/>
        </w:rPr>
      </w:pPr>
    </w:p>
    <w:p w14:paraId="0000001C" w14:textId="77777777" w:rsidR="002A0C82" w:rsidRDefault="00000000">
      <w:pPr>
        <w:rPr>
          <w:rFonts w:ascii="Times New Roman" w:eastAsia="Times New Roman" w:hAnsi="Times New Roman" w:cs="Times New Roman"/>
          <w:b/>
          <w:sz w:val="28"/>
          <w:szCs w:val="28"/>
        </w:rPr>
      </w:pPr>
      <w:r>
        <w:br w:type="page"/>
      </w:r>
    </w:p>
    <w:p w14:paraId="0000001D" w14:textId="77777777" w:rsidR="002A0C8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BACILLUS CEREUS </w:t>
      </w:r>
    </w:p>
    <w:p w14:paraId="0000001E" w14:textId="77777777" w:rsidR="002A0C82" w:rsidRDefault="002A0C82">
      <w:pPr>
        <w:rPr>
          <w:rFonts w:ascii="Times New Roman" w:eastAsia="Times New Roman" w:hAnsi="Times New Roman" w:cs="Times New Roman"/>
          <w:b/>
          <w:sz w:val="24"/>
          <w:szCs w:val="24"/>
        </w:rPr>
      </w:pPr>
    </w:p>
    <w:p w14:paraId="0000001F" w14:textId="7CD3B4E8"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Morphological characteristics:</w:t>
      </w:r>
      <w:r>
        <w:rPr>
          <w:rFonts w:ascii="Times New Roman" w:eastAsia="Times New Roman" w:hAnsi="Times New Roman" w:cs="Times New Roman"/>
          <w:color w:val="E69138"/>
          <w:sz w:val="20"/>
          <w:szCs w:val="20"/>
        </w:rPr>
        <w:t xml:space="preserve"> </w:t>
      </w:r>
      <w:r>
        <w:rPr>
          <w:rFonts w:ascii="Times New Roman" w:eastAsia="Times New Roman" w:hAnsi="Times New Roman" w:cs="Times New Roman"/>
          <w:i/>
          <w:sz w:val="24"/>
          <w:szCs w:val="24"/>
        </w:rPr>
        <w:t>Bacillus cereus</w:t>
      </w:r>
      <w:r>
        <w:rPr>
          <w:rFonts w:ascii="Times New Roman" w:eastAsia="Times New Roman" w:hAnsi="Times New Roman" w:cs="Times New Roman"/>
          <w:sz w:val="24"/>
          <w:szCs w:val="24"/>
        </w:rPr>
        <w:t>, a Gram-positive rod</w:t>
      </w:r>
      <w:r w:rsidR="00662288">
        <w:rPr>
          <w:rFonts w:ascii="Times New Roman" w:eastAsia="Times New Roman" w:hAnsi="Times New Roman" w:cs="Times New Roman"/>
          <w:sz w:val="24"/>
          <w:szCs w:val="24"/>
        </w:rPr>
        <w:t>- shape bacterium</w:t>
      </w:r>
      <w:r>
        <w:rPr>
          <w:rFonts w:ascii="Times New Roman" w:eastAsia="Times New Roman" w:hAnsi="Times New Roman" w:cs="Times New Roman"/>
          <w:sz w:val="24"/>
          <w:szCs w:val="24"/>
        </w:rPr>
        <w:t xml:space="preserve">, displays a distinctive purple or blue hue owing to its robust peptidoglycan layer, which retains the stain during Gram staining. The name “cereus”, which means waxy in Latin, comes from its large, feathery, and dull gray colonies appearance on blood agar plates. Its colonies are also granular, spreading with opaque, rough matted surfaces and irregular perimeters. Typically arranged in chains or pairs, although occasionally as solitary bacilli,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is encapsulated with a polysaccharide capsule which protects it from the environment and from being devoured by the host immune system. Under unfavorable conditions such as food scarcity, it can generate spores </w:t>
      </w:r>
      <w:r w:rsidR="009E3924">
        <w:rPr>
          <w:rFonts w:ascii="Times New Roman" w:eastAsia="Times New Roman" w:hAnsi="Times New Roman" w:cs="Times New Roman"/>
          <w:sz w:val="24"/>
          <w:szCs w:val="24"/>
        </w:rPr>
        <w:t>which can</w:t>
      </w:r>
      <w:r>
        <w:rPr>
          <w:rFonts w:ascii="Times New Roman" w:eastAsia="Times New Roman" w:hAnsi="Times New Roman" w:cs="Times New Roman"/>
          <w:sz w:val="24"/>
          <w:szCs w:val="24"/>
        </w:rPr>
        <w:t xml:space="preserve"> withstand high temperature for long periods of time. This pathogen has many long flagella which signifies its high motility in both swimming and swarming. </w:t>
      </w:r>
    </w:p>
    <w:p w14:paraId="00000020" w14:textId="77777777" w:rsidR="002A0C82" w:rsidRDefault="002A0C82">
      <w:pPr>
        <w:rPr>
          <w:rFonts w:ascii="Times New Roman" w:eastAsia="Times New Roman" w:hAnsi="Times New Roman" w:cs="Times New Roman"/>
          <w:sz w:val="24"/>
          <w:szCs w:val="24"/>
        </w:rPr>
      </w:pPr>
    </w:p>
    <w:p w14:paraId="00000021" w14:textId="32D02A51" w:rsidR="002A0C82" w:rsidRDefault="002A0C82">
      <w:pPr>
        <w:jc w:val="center"/>
        <w:rPr>
          <w:rFonts w:ascii="Times New Roman" w:eastAsia="Times New Roman" w:hAnsi="Times New Roman" w:cs="Times New Roman"/>
          <w:i/>
          <w:sz w:val="24"/>
          <w:szCs w:val="24"/>
        </w:rPr>
      </w:pPr>
    </w:p>
    <w:p w14:paraId="00000022"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i/>
          <w:sz w:val="24"/>
          <w:szCs w:val="24"/>
        </w:rPr>
        <w:t xml:space="preserve"> Gram-stained Bacillus cereus photomicrograph showcases highly motile flagella. Leifson flagella stain method was used to achieve the optimal observation of the flagella. </w:t>
      </w:r>
    </w:p>
    <w:p w14:paraId="00000023"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Source: Public Health Image Library, Center for Disease Control and Prevention (CDC), Dr. William A. Clark, 1977 </w:t>
      </w:r>
    </w:p>
    <w:p w14:paraId="00000024" w14:textId="77777777" w:rsidR="002A0C82" w:rsidRDefault="002A0C82">
      <w:pPr>
        <w:jc w:val="center"/>
        <w:rPr>
          <w:rFonts w:ascii="Times New Roman" w:eastAsia="Times New Roman" w:hAnsi="Times New Roman" w:cs="Times New Roman"/>
          <w:sz w:val="24"/>
          <w:szCs w:val="24"/>
        </w:rPr>
      </w:pPr>
    </w:p>
    <w:p w14:paraId="00000025" w14:textId="77777777" w:rsidR="002A0C82" w:rsidRDefault="002A0C82">
      <w:pPr>
        <w:jc w:val="center"/>
        <w:rPr>
          <w:rFonts w:ascii="Times New Roman" w:eastAsia="Times New Roman" w:hAnsi="Times New Roman" w:cs="Times New Roman"/>
          <w:sz w:val="24"/>
          <w:szCs w:val="24"/>
        </w:rPr>
      </w:pPr>
    </w:p>
    <w:p w14:paraId="00000026" w14:textId="76F437EB" w:rsidR="002A0C82" w:rsidRDefault="002A0C82">
      <w:pPr>
        <w:jc w:val="center"/>
        <w:rPr>
          <w:rFonts w:ascii="Times New Roman" w:eastAsia="Times New Roman" w:hAnsi="Times New Roman" w:cs="Times New Roman"/>
          <w:sz w:val="24"/>
          <w:szCs w:val="24"/>
        </w:rPr>
      </w:pPr>
    </w:p>
    <w:p w14:paraId="00000027"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i/>
          <w:sz w:val="24"/>
          <w:szCs w:val="24"/>
        </w:rPr>
        <w:t xml:space="preserve">: Gray, dull and featherly colonies of Bacillus cereus on sheep blood agar medium (SBA). The name “cereus", which means wax-like, is based on the appearance of colonies. </w:t>
      </w:r>
    </w:p>
    <w:p w14:paraId="00000028" w14:textId="77777777" w:rsidR="002A0C8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Source: Public Health Image Library, Center for Disease Control and Prevention (CDC)/ Courtesy of Larry Stauffer, Oregon State Public Health Laboratory, 2002. </w:t>
      </w:r>
      <w:r>
        <w:rPr>
          <w:rFonts w:ascii="Times New Roman" w:eastAsia="Times New Roman" w:hAnsi="Times New Roman" w:cs="Times New Roman"/>
          <w:sz w:val="24"/>
          <w:szCs w:val="24"/>
        </w:rPr>
        <w:t xml:space="preserve"> </w:t>
      </w:r>
    </w:p>
    <w:p w14:paraId="00000029" w14:textId="77777777" w:rsidR="002A0C82" w:rsidRDefault="002A0C82">
      <w:pPr>
        <w:jc w:val="center"/>
        <w:rPr>
          <w:rFonts w:ascii="Times New Roman" w:eastAsia="Times New Roman" w:hAnsi="Times New Roman" w:cs="Times New Roman"/>
          <w:sz w:val="24"/>
          <w:szCs w:val="24"/>
        </w:rPr>
      </w:pPr>
    </w:p>
    <w:p w14:paraId="0000002A" w14:textId="77777777" w:rsidR="002A0C82" w:rsidRDefault="002A0C82">
      <w:pPr>
        <w:jc w:val="center"/>
        <w:rPr>
          <w:rFonts w:ascii="Times New Roman" w:eastAsia="Times New Roman" w:hAnsi="Times New Roman" w:cs="Times New Roman"/>
          <w:sz w:val="24"/>
          <w:szCs w:val="24"/>
        </w:rPr>
      </w:pPr>
    </w:p>
    <w:p w14:paraId="0000002B"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Phenotypic and biochemical properties: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is a facultative anaerobe, meaning it is able to thrive in both oxygen-rich and oxygen-poor environments. Remarkably, it exhibits catalase positivity, indicating its ability to break down hydrogen peroxide into water and oxygen. Moreover, it is beta-hemolytic which can completely lyse red blood cells on blood agar plates. Notably,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produces a heat-stable toxin (enterotoxin 1) that causes food poisoning in reheated food, especially in reheated rice, particularly known as the "fried rice syndrome".  </w:t>
      </w:r>
    </w:p>
    <w:p w14:paraId="0000002C" w14:textId="77777777" w:rsidR="002A0C82" w:rsidRDefault="002A0C82">
      <w:pPr>
        <w:jc w:val="both"/>
        <w:rPr>
          <w:rFonts w:ascii="Times New Roman" w:eastAsia="Times New Roman" w:hAnsi="Times New Roman" w:cs="Times New Roman"/>
          <w:sz w:val="24"/>
          <w:szCs w:val="24"/>
        </w:rPr>
      </w:pPr>
    </w:p>
    <w:p w14:paraId="0000002D" w14:textId="711DBEE8" w:rsidR="002A0C82"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Culture condition and media: </w:t>
      </w:r>
      <w:r w:rsidR="00514D42">
        <w:rPr>
          <w:rFonts w:ascii="Times New Roman" w:eastAsia="Times New Roman" w:hAnsi="Times New Roman" w:cs="Times New Roman"/>
          <w:i/>
          <w:sz w:val="24"/>
          <w:szCs w:val="24"/>
        </w:rPr>
        <w:t>B. cereus</w:t>
      </w:r>
      <w:r w:rsidR="00514D42">
        <w:rPr>
          <w:rFonts w:ascii="Times New Roman" w:eastAsia="Times New Roman" w:hAnsi="Times New Roman" w:cs="Times New Roman"/>
          <w:sz w:val="24"/>
          <w:szCs w:val="24"/>
        </w:rPr>
        <w:t xml:space="preserve"> is selectively cultured in </w:t>
      </w:r>
      <w:r>
        <w:rPr>
          <w:rFonts w:ascii="Times New Roman" w:eastAsia="Times New Roman" w:hAnsi="Times New Roman" w:cs="Times New Roman"/>
          <w:sz w:val="24"/>
          <w:szCs w:val="24"/>
        </w:rPr>
        <w:t xml:space="preserve">Mannitol yolk polymyxin B agar (MYPA) and polymyxin pyruvate egg yolk mannitol bromothymol blue agar (PEMBA). These media selectivity depends on the capacity of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to ferment mannitol or hydrolyze egg yolk, respectively (Mayer, 2015). Another option is Brilliance Bacillus cereus Agar (BBC) which contains the antibiotic trimethoprim which improves selectivity (Mayer, 2015). BBC shows </w:t>
      </w:r>
      <w:r>
        <w:rPr>
          <w:rFonts w:ascii="Times New Roman" w:eastAsia="Times New Roman" w:hAnsi="Times New Roman" w:cs="Times New Roman"/>
          <w:sz w:val="24"/>
          <w:szCs w:val="24"/>
        </w:rPr>
        <w:lastRenderedPageBreak/>
        <w:t xml:space="preserve">effectiveness in inhibiting background microflora in unpasteurized food samples and is considered to be a better option among MYPA, PEMBA and BBC (Chon et al., 2014). </w:t>
      </w:r>
    </w:p>
    <w:p w14:paraId="0000002E" w14:textId="77777777" w:rsidR="002A0C82" w:rsidRDefault="002A0C82">
      <w:pPr>
        <w:jc w:val="both"/>
        <w:rPr>
          <w:rFonts w:ascii="Times New Roman" w:eastAsia="Times New Roman" w:hAnsi="Times New Roman" w:cs="Times New Roman"/>
          <w:b/>
          <w:sz w:val="24"/>
          <w:szCs w:val="24"/>
        </w:rPr>
      </w:pPr>
    </w:p>
    <w:p w14:paraId="0000002F"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Molecular identification: </w:t>
      </w:r>
      <w:r>
        <w:rPr>
          <w:rFonts w:ascii="Times New Roman" w:eastAsia="Times New Roman" w:hAnsi="Times New Roman" w:cs="Times New Roman"/>
          <w:sz w:val="24"/>
          <w:szCs w:val="24"/>
        </w:rPr>
        <w:t xml:space="preserve">Polymerase chain reaction (PCR) is used for the detection of B. cereus by amplification and sequencing of target genes such as 16S rRNA and virulence factor genes including non-haemolytic exotoxin genes </w:t>
      </w:r>
      <w:r>
        <w:rPr>
          <w:rFonts w:ascii="Times New Roman" w:eastAsia="Times New Roman" w:hAnsi="Times New Roman" w:cs="Times New Roman"/>
          <w:i/>
          <w:sz w:val="24"/>
          <w:szCs w:val="24"/>
        </w:rPr>
        <w:t>nheA/nheB/nheC</w:t>
      </w:r>
      <w:r>
        <w:rPr>
          <w:rFonts w:ascii="Times New Roman" w:eastAsia="Times New Roman" w:hAnsi="Times New Roman" w:cs="Times New Roman"/>
          <w:sz w:val="24"/>
          <w:szCs w:val="24"/>
        </w:rPr>
        <w:t xml:space="preserve">, hemolysin genes </w:t>
      </w:r>
      <w:r>
        <w:rPr>
          <w:rFonts w:ascii="Times New Roman" w:eastAsia="Times New Roman" w:hAnsi="Times New Roman" w:cs="Times New Roman"/>
          <w:i/>
          <w:sz w:val="24"/>
          <w:szCs w:val="24"/>
        </w:rPr>
        <w:t>hblC/hblD/hblA</w:t>
      </w:r>
      <w:r>
        <w:rPr>
          <w:rFonts w:ascii="Times New Roman" w:eastAsia="Times New Roman" w:hAnsi="Times New Roman" w:cs="Times New Roman"/>
          <w:sz w:val="24"/>
          <w:szCs w:val="24"/>
        </w:rPr>
        <w:t xml:space="preserve">, cereulide synthetase gene </w:t>
      </w:r>
      <w:r>
        <w:rPr>
          <w:rFonts w:ascii="Times New Roman" w:eastAsia="Times New Roman" w:hAnsi="Times New Roman" w:cs="Times New Roman"/>
          <w:i/>
          <w:sz w:val="24"/>
          <w:szCs w:val="24"/>
        </w:rPr>
        <w:t>cesB</w:t>
      </w:r>
      <w:r>
        <w:rPr>
          <w:rFonts w:ascii="Times New Roman" w:eastAsia="Times New Roman" w:hAnsi="Times New Roman" w:cs="Times New Roman"/>
          <w:sz w:val="24"/>
          <w:szCs w:val="24"/>
        </w:rPr>
        <w:t xml:space="preserve">, and cytotoxin K gene </w:t>
      </w:r>
      <w:r>
        <w:rPr>
          <w:rFonts w:ascii="Times New Roman" w:eastAsia="Times New Roman" w:hAnsi="Times New Roman" w:cs="Times New Roman"/>
          <w:i/>
          <w:sz w:val="24"/>
          <w:szCs w:val="24"/>
        </w:rPr>
        <w:t>cytK</w:t>
      </w:r>
      <w:r>
        <w:rPr>
          <w:rFonts w:ascii="Times New Roman" w:eastAsia="Times New Roman" w:hAnsi="Times New Roman" w:cs="Times New Roman"/>
          <w:sz w:val="24"/>
          <w:szCs w:val="24"/>
        </w:rPr>
        <w:t xml:space="preserve"> (Liu et al., 2020). Moreover, MALDI-TOF mass spectrometry can be reliably identify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and distinguish it from closely related species like </w:t>
      </w:r>
      <w:r>
        <w:rPr>
          <w:rFonts w:ascii="Times New Roman" w:eastAsia="Times New Roman" w:hAnsi="Times New Roman" w:cs="Times New Roman"/>
          <w:i/>
          <w:sz w:val="24"/>
          <w:szCs w:val="24"/>
        </w:rPr>
        <w:t>B. thuringiensis</w:t>
      </w:r>
      <w:r>
        <w:rPr>
          <w:rFonts w:ascii="Times New Roman" w:eastAsia="Times New Roman" w:hAnsi="Times New Roman" w:cs="Times New Roman"/>
          <w:sz w:val="24"/>
          <w:szCs w:val="24"/>
        </w:rPr>
        <w:t xml:space="preserve"> based on the intensity profiles of small molecule biomarkers in the low-mass range (m/z 500–3,000) (Ha et al., 2019).</w:t>
      </w:r>
    </w:p>
    <w:p w14:paraId="00000030" w14:textId="77777777" w:rsidR="002A0C82" w:rsidRDefault="002A0C82">
      <w:pPr>
        <w:jc w:val="both"/>
        <w:rPr>
          <w:rFonts w:ascii="Times New Roman" w:eastAsia="Times New Roman" w:hAnsi="Times New Roman" w:cs="Times New Roman"/>
          <w:b/>
          <w:sz w:val="24"/>
          <w:szCs w:val="24"/>
        </w:rPr>
      </w:pPr>
    </w:p>
    <w:p w14:paraId="00000031" w14:textId="4B2733F6"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Virulence factors:</w:t>
      </w:r>
      <w:r>
        <w:rPr>
          <w:rFonts w:ascii="Times New Roman" w:eastAsia="Times New Roman" w:hAnsi="Times New Roman" w:cs="Times New Roman"/>
          <w:sz w:val="24"/>
          <w:szCs w:val="24"/>
        </w:rPr>
        <w:t xml:space="preserve"> The virulence factors of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include a range of toxins and substances that contribute to its pathogenicity and ability to cause food poisoning and infections. One key virulence is Hemolysin BL (Hbl) - a protein known for its hemolytic, cytotoxic, dermonecrotic, and capillary permeability properties. Nonhemolytic Enterotoxins (Nhe) consist of enterotoxin 1 and 2 which are the major causation of foodborne infections in humans (Lindbäck et al., 2004).</w:t>
      </w:r>
      <w:r w:rsidR="00A278CE">
        <w:rPr>
          <w:rFonts w:ascii="Times New Roman" w:eastAsia="Times New Roman" w:hAnsi="Times New Roman" w:cs="Times New Roman"/>
          <w:sz w:val="24"/>
          <w:szCs w:val="24"/>
        </w:rPr>
        <w:t xml:space="preserve"> Enterotoxin 1 is heat stable; hence, upon food reheating, </w:t>
      </w:r>
      <w:r w:rsidR="00A278CE">
        <w:rPr>
          <w:rFonts w:ascii="Times New Roman" w:eastAsia="Times New Roman" w:hAnsi="Times New Roman" w:cs="Times New Roman"/>
          <w:i/>
          <w:sz w:val="24"/>
          <w:szCs w:val="24"/>
        </w:rPr>
        <w:t>B. cereus</w:t>
      </w:r>
      <w:r w:rsidR="00A278CE">
        <w:rPr>
          <w:rFonts w:ascii="Times New Roman" w:eastAsia="Times New Roman" w:hAnsi="Times New Roman" w:cs="Times New Roman"/>
          <w:sz w:val="24"/>
          <w:szCs w:val="24"/>
        </w:rPr>
        <w:t xml:space="preserve"> produces this toxin and causes nausea and vomiting within 30 minutes to 6 hours post-ingestion. Enterotoxin 1 is the reason </w:t>
      </w:r>
      <w:r w:rsidR="00A278CE">
        <w:rPr>
          <w:rFonts w:ascii="Times New Roman" w:eastAsia="Times New Roman" w:hAnsi="Times New Roman" w:cs="Times New Roman"/>
          <w:i/>
          <w:sz w:val="24"/>
          <w:szCs w:val="24"/>
        </w:rPr>
        <w:t>B. cereus</w:t>
      </w:r>
      <w:r w:rsidR="00A278CE">
        <w:rPr>
          <w:rFonts w:ascii="Times New Roman" w:eastAsia="Times New Roman" w:hAnsi="Times New Roman" w:cs="Times New Roman"/>
          <w:sz w:val="24"/>
          <w:szCs w:val="24"/>
        </w:rPr>
        <w:t xml:space="preserve"> is famously known for inducing “fried rice syndrome", a syndrome where food poisoning is caused by reheating rice. Meanwhile, enterotoxin 2, produced while the pathogen is already within the intestine, triggers diarrhea and abdominal pain 6 to 15 hours after consumption. Other toxins of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w:t>
      </w:r>
      <w:r w:rsidR="00A278CE">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Cytotoxin K (CytK) - a cytotoxic protein that affects capillary permeability and cytotoxicity in the host</w:t>
      </w:r>
      <w:r w:rsidR="00A278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Enterotoxin FM (EntFM) </w:t>
      </w:r>
      <w:r w:rsidR="00A278CE">
        <w:rPr>
          <w:rFonts w:ascii="Times New Roman" w:eastAsia="Times New Roman" w:hAnsi="Times New Roman" w:cs="Times New Roman"/>
          <w:sz w:val="24"/>
          <w:szCs w:val="24"/>
        </w:rPr>
        <w:t>which i</w:t>
      </w:r>
      <w:r>
        <w:rPr>
          <w:rFonts w:ascii="Times New Roman" w:eastAsia="Times New Roman" w:hAnsi="Times New Roman" w:cs="Times New Roman"/>
          <w:sz w:val="24"/>
          <w:szCs w:val="24"/>
        </w:rPr>
        <w:t xml:space="preserve">s linked to cytotoxicity and capillary permeability, and Emetic Toxin (Cereulide) </w:t>
      </w:r>
      <w:r w:rsidR="00A278CE">
        <w:rPr>
          <w:rFonts w:ascii="Times New Roman" w:eastAsia="Times New Roman" w:hAnsi="Times New Roman" w:cs="Times New Roman"/>
          <w:sz w:val="24"/>
          <w:szCs w:val="24"/>
        </w:rPr>
        <w:t>which is</w:t>
      </w:r>
      <w:r>
        <w:rPr>
          <w:rFonts w:ascii="Times New Roman" w:eastAsia="Times New Roman" w:hAnsi="Times New Roman" w:cs="Times New Roman"/>
          <w:sz w:val="24"/>
          <w:szCs w:val="24"/>
        </w:rPr>
        <w:t xml:space="preserve"> responsible for emetic-type food poisoning (Owusu-Kwarteng et al., 2017). </w:t>
      </w:r>
    </w:p>
    <w:p w14:paraId="00000032" w14:textId="77777777" w:rsidR="002A0C82" w:rsidRDefault="002A0C82">
      <w:pPr>
        <w:jc w:val="both"/>
        <w:rPr>
          <w:rFonts w:ascii="Times New Roman" w:eastAsia="Times New Roman" w:hAnsi="Times New Roman" w:cs="Times New Roman"/>
          <w:b/>
          <w:sz w:val="24"/>
          <w:szCs w:val="24"/>
        </w:rPr>
      </w:pPr>
    </w:p>
    <w:p w14:paraId="00000033" w14:textId="0C1F95F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Diseases and treatments: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is a foodborne pathogen that can produce two enterotoxins, causing two types of gastrointestinal illness: ​​the emetic (vomiting) syndrome associated with enterotoxin 1, and the diarrhoeal syndrome associated with enterotoxin 2.</w:t>
      </w:r>
      <w:r w:rsidR="00A278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Aside from food poisoning,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is also </w:t>
      </w:r>
      <w:r w:rsidR="00A278CE">
        <w:rPr>
          <w:rFonts w:ascii="Times New Roman" w:eastAsia="Times New Roman" w:hAnsi="Times New Roman" w:cs="Times New Roman"/>
          <w:sz w:val="24"/>
          <w:szCs w:val="24"/>
        </w:rPr>
        <w:t>involved in infections of</w:t>
      </w:r>
      <w:r>
        <w:rPr>
          <w:rFonts w:ascii="Times New Roman" w:eastAsia="Times New Roman" w:hAnsi="Times New Roman" w:cs="Times New Roman"/>
          <w:sz w:val="24"/>
          <w:szCs w:val="24"/>
        </w:rPr>
        <w:t xml:space="preserve"> eye</w:t>
      </w:r>
      <w:r w:rsidR="00A278C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respiratory tract, and wounds (McDowell et al., 2023). </w:t>
      </w:r>
    </w:p>
    <w:p w14:paraId="00000034" w14:textId="77777777" w:rsidR="002A0C82" w:rsidRDefault="002A0C82">
      <w:pPr>
        <w:jc w:val="both"/>
        <w:rPr>
          <w:rFonts w:ascii="Times New Roman" w:eastAsia="Times New Roman" w:hAnsi="Times New Roman" w:cs="Times New Roman"/>
          <w:b/>
          <w:sz w:val="24"/>
          <w:szCs w:val="24"/>
        </w:rPr>
      </w:pPr>
    </w:p>
    <w:p w14:paraId="00000035" w14:textId="3076933D"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Prevalence: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w:t>
      </w:r>
      <w:r w:rsidR="00A278CE">
        <w:rPr>
          <w:rFonts w:ascii="Times New Roman" w:eastAsia="Times New Roman" w:hAnsi="Times New Roman" w:cs="Times New Roman"/>
          <w:sz w:val="24"/>
          <w:szCs w:val="24"/>
        </w:rPr>
        <w:t xml:space="preserve">prevalence </w:t>
      </w:r>
      <w:r>
        <w:rPr>
          <w:rFonts w:ascii="Times New Roman" w:eastAsia="Times New Roman" w:hAnsi="Times New Roman" w:cs="Times New Roman"/>
          <w:sz w:val="24"/>
          <w:szCs w:val="24"/>
        </w:rPr>
        <w:t>is higher in developing countries compared to developed countries</w:t>
      </w:r>
      <w:r w:rsidR="00A278CE">
        <w:rPr>
          <w:rFonts w:ascii="Times New Roman" w:eastAsia="Times New Roman" w:hAnsi="Times New Roman" w:cs="Times New Roman"/>
          <w:sz w:val="24"/>
          <w:szCs w:val="24"/>
        </w:rPr>
        <w:t xml:space="preserve"> where Australia has the lowest rate</w:t>
      </w:r>
      <w:r>
        <w:rPr>
          <w:rFonts w:ascii="Times New Roman" w:eastAsia="Times New Roman" w:hAnsi="Times New Roman" w:cs="Times New Roman"/>
          <w:sz w:val="24"/>
          <w:szCs w:val="24"/>
        </w:rPr>
        <w:t xml:space="preserve">; however, there is an exception of America which possesses the highest rate of prevalence. The overall prevalence of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is 23.746% (CI 95%). Moreover, prevalence of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depends on the types of food as well as the detection method. A study showed that this pathogen was found the highest in cereals and beans, the second highest in vegetables and dairy products. Molecular tests such as PCR </w:t>
      </w:r>
      <w:r w:rsidR="00A278CE">
        <w:rPr>
          <w:rFonts w:ascii="Times New Roman" w:eastAsia="Times New Roman" w:hAnsi="Times New Roman" w:cs="Times New Roman"/>
          <w:sz w:val="24"/>
          <w:szCs w:val="24"/>
        </w:rPr>
        <w:t>report</w:t>
      </w:r>
      <w:r>
        <w:rPr>
          <w:rFonts w:ascii="Times New Roman" w:eastAsia="Times New Roman" w:hAnsi="Times New Roman" w:cs="Times New Roman"/>
          <w:sz w:val="24"/>
          <w:szCs w:val="24"/>
        </w:rPr>
        <w:t xml:space="preserve"> twice the prevalence compared to other morphological/biochemical methods (Rahnama et al., 2023).</w:t>
      </w:r>
    </w:p>
    <w:p w14:paraId="00000036" w14:textId="77777777" w:rsidR="002A0C82" w:rsidRDefault="00000000">
      <w:pPr>
        <w:spacing w:before="240" w:after="240"/>
        <w:jc w:val="center"/>
        <w:rPr>
          <w:rFonts w:ascii="Times New Roman" w:eastAsia="Times New Roman" w:hAnsi="Times New Roman" w:cs="Times New Roman"/>
          <w:b/>
          <w:sz w:val="28"/>
          <w:szCs w:val="28"/>
        </w:rPr>
      </w:pPr>
      <w:r>
        <w:br w:type="page"/>
      </w:r>
    </w:p>
    <w:p w14:paraId="00000037" w14:textId="77777777" w:rsidR="002A0C82"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CLOSTRIDIUM DIFFICILE</w:t>
      </w:r>
    </w:p>
    <w:p w14:paraId="00000038" w14:textId="4312790B"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Morphological characteristics: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Clostridium difficile (C. difficile</w:t>
      </w:r>
      <w:r>
        <w:rPr>
          <w:rFonts w:ascii="Times New Roman" w:eastAsia="Times New Roman" w:hAnsi="Times New Roman" w:cs="Times New Roman"/>
          <w:sz w:val="24"/>
          <w:szCs w:val="24"/>
        </w:rPr>
        <w:t xml:space="preserve">) is a Gram-positive, </w:t>
      </w:r>
      <w:r w:rsidR="00A278CE">
        <w:rPr>
          <w:rFonts w:ascii="Times New Roman" w:eastAsia="Times New Roman" w:hAnsi="Times New Roman" w:cs="Times New Roman"/>
          <w:sz w:val="24"/>
          <w:szCs w:val="24"/>
        </w:rPr>
        <w:t xml:space="preserve">rod-shape, </w:t>
      </w:r>
      <w:r>
        <w:rPr>
          <w:rFonts w:ascii="Times New Roman" w:eastAsia="Times New Roman" w:hAnsi="Times New Roman" w:cs="Times New Roman"/>
          <w:sz w:val="24"/>
          <w:szCs w:val="24"/>
        </w:rPr>
        <w:t>anaerobic</w:t>
      </w:r>
      <w:r w:rsidR="00A278CE">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spore-forming</w:t>
      </w:r>
      <w:r w:rsidR="00A278CE">
        <w:rPr>
          <w:rFonts w:ascii="Times New Roman" w:eastAsia="Times New Roman" w:hAnsi="Times New Roman" w:cs="Times New Roman"/>
          <w:sz w:val="24"/>
          <w:szCs w:val="24"/>
        </w:rPr>
        <w:t xml:space="preserve"> bacterium</w:t>
      </w:r>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The rods are usually straight or slightly curved.</w:t>
      </w:r>
      <w:r>
        <w:rPr>
          <w:rFonts w:ascii="Times New Roman" w:eastAsia="Times New Roman" w:hAnsi="Times New Roman" w:cs="Times New Roman"/>
          <w:sz w:val="24"/>
          <w:szCs w:val="24"/>
        </w:rPr>
        <w:t xml:space="preserve"> Individual cells of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can vary in size, but generally around 1.0 to 1.5 micrometers in width and 4.0 to 6.0 µm in length (Markovska et al., 2023)</w:t>
      </w:r>
      <w:r>
        <w:rPr>
          <w:rFonts w:ascii="Times New Roman" w:eastAsia="Times New Roman" w:hAnsi="Times New Roman" w:cs="Times New Roman"/>
          <w:color w:val="222222"/>
          <w:sz w:val="24"/>
          <w:szCs w:val="24"/>
        </w:rPr>
        <w:t>.</w:t>
      </w:r>
    </w:p>
    <w:p w14:paraId="00000039" w14:textId="1212320D" w:rsidR="002A0C82" w:rsidRDefault="002A0C82">
      <w:pPr>
        <w:spacing w:before="240" w:after="240"/>
        <w:jc w:val="center"/>
        <w:rPr>
          <w:rFonts w:ascii="Times New Roman" w:eastAsia="Times New Roman" w:hAnsi="Times New Roman" w:cs="Times New Roman"/>
          <w:sz w:val="24"/>
          <w:szCs w:val="24"/>
        </w:rPr>
      </w:pPr>
    </w:p>
    <w:p w14:paraId="0000003A" w14:textId="77777777" w:rsidR="002A0C82" w:rsidRDefault="00000000">
      <w:pPr>
        <w:spacing w:before="240" w:after="240"/>
        <w:jc w:val="center"/>
        <w:rPr>
          <w:rFonts w:ascii="Times New Roman" w:eastAsia="Times New Roman" w:hAnsi="Times New Roman" w:cs="Times New Roman"/>
          <w:i/>
          <w:color w:val="212529"/>
          <w:sz w:val="24"/>
          <w:szCs w:val="24"/>
        </w:rPr>
      </w:pPr>
      <w:r>
        <w:rPr>
          <w:rFonts w:ascii="Times New Roman" w:eastAsia="Times New Roman" w:hAnsi="Times New Roman" w:cs="Times New Roman"/>
          <w:b/>
          <w:i/>
          <w:sz w:val="24"/>
          <w:szCs w:val="24"/>
        </w:rPr>
        <w:t xml:space="preserve">Figure 3: </w:t>
      </w:r>
      <w:r>
        <w:rPr>
          <w:rFonts w:ascii="Times New Roman" w:eastAsia="Times New Roman" w:hAnsi="Times New Roman" w:cs="Times New Roman"/>
          <w:i/>
          <w:color w:val="212529"/>
          <w:sz w:val="24"/>
          <w:szCs w:val="24"/>
          <w:highlight w:val="white"/>
        </w:rPr>
        <w:t>This photomicrograph reveals the presence of numerous Clostridium difficile bacteria in an impression blood agar impression smear, which had been incubated for 72 hours, in an anaerobic environment.</w:t>
      </w:r>
    </w:p>
    <w:p w14:paraId="0000003B" w14:textId="77777777" w:rsidR="002A0C82" w:rsidRDefault="00000000">
      <w:pPr>
        <w:spacing w:before="240" w:after="240"/>
        <w:jc w:val="center"/>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sz w:val="24"/>
          <w:szCs w:val="24"/>
        </w:rPr>
        <w:t xml:space="preserve">Source: Public Health Image Library, Center for Disease Control and Prevention (CDC), </w:t>
      </w:r>
      <w:r>
        <w:rPr>
          <w:rFonts w:ascii="Times New Roman" w:eastAsia="Times New Roman" w:hAnsi="Times New Roman" w:cs="Times New Roman"/>
          <w:i/>
          <w:color w:val="212529"/>
          <w:sz w:val="24"/>
          <w:szCs w:val="24"/>
          <w:highlight w:val="white"/>
        </w:rPr>
        <w:t>Dr. Gilda Jones</w:t>
      </w:r>
      <w:r>
        <w:rPr>
          <w:rFonts w:ascii="Times New Roman" w:eastAsia="Times New Roman" w:hAnsi="Times New Roman" w:cs="Times New Roman"/>
          <w:i/>
          <w:sz w:val="24"/>
          <w:szCs w:val="24"/>
        </w:rPr>
        <w:t>, 1980.</w:t>
      </w:r>
    </w:p>
    <w:p w14:paraId="0000003C" w14:textId="77777777" w:rsidR="002A0C82" w:rsidRDefault="00000000">
      <w:pPr>
        <w:spacing w:before="240" w:after="240"/>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Phenotypic and biochemical properties:</w:t>
      </w:r>
      <w:r>
        <w:rPr>
          <w:rFonts w:ascii="Times New Roman" w:eastAsia="Times New Roman" w:hAnsi="Times New Roman" w:cs="Times New Roman"/>
          <w:sz w:val="24"/>
          <w:szCs w:val="24"/>
        </w:rPr>
        <w:t xml:space="preserve"> Under Gram staining,</w:t>
      </w:r>
      <w:r>
        <w:rPr>
          <w:rFonts w:ascii="Times New Roman" w:eastAsia="Times New Roman" w:hAnsi="Times New Roman" w:cs="Times New Roman"/>
          <w:i/>
          <w:sz w:val="24"/>
          <w:szCs w:val="24"/>
        </w:rPr>
        <w:t xml:space="preserve"> C. difficile</w:t>
      </w:r>
      <w:r>
        <w:rPr>
          <w:rFonts w:ascii="Times New Roman" w:eastAsia="Times New Roman" w:hAnsi="Times New Roman" w:cs="Times New Roman"/>
          <w:sz w:val="24"/>
          <w:szCs w:val="24"/>
        </w:rPr>
        <w:t xml:space="preserve"> cells are Gram-positive and demonstrate optimal development on blood agar at human body temperatures under anaerobic conditions. It is catalase and superoxide dismutase negative and produces 2 types of toxins: enterotoxin A and cytotoxin B, which disrupts cytoskeleton signal transductions in the host.</w:t>
      </w:r>
    </w:p>
    <w:p w14:paraId="0000003D" w14:textId="3753DBF5"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Culture conditions: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grows rapidly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in the absence of oxygen. CCFA</w:t>
      </w:r>
      <w:r w:rsidR="00A278CE">
        <w:rPr>
          <w:rFonts w:ascii="Times New Roman" w:eastAsia="Times New Roman" w:hAnsi="Times New Roman" w:cs="Times New Roman"/>
          <w:sz w:val="24"/>
          <w:szCs w:val="24"/>
        </w:rPr>
        <w:t xml:space="preserve"> medium which contains Cycloserine, Cefoxitin, Fructose, and Egg yolk is the selective and differential agar medium used</w:t>
      </w:r>
      <w:r>
        <w:rPr>
          <w:rFonts w:ascii="Times New Roman" w:eastAsia="Times New Roman" w:hAnsi="Times New Roman" w:cs="Times New Roman"/>
          <w:sz w:val="24"/>
          <w:szCs w:val="24"/>
        </w:rPr>
        <w:t xml:space="preserve"> to facilitate the isolation of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from fecal samples. CCFA was found to be the most selective</w:t>
      </w:r>
      <w:r w:rsidR="00BF7630">
        <w:rPr>
          <w:rFonts w:ascii="Times New Roman" w:eastAsia="Times New Roman" w:hAnsi="Times New Roman" w:cs="Times New Roman"/>
          <w:sz w:val="24"/>
          <w:szCs w:val="24"/>
        </w:rPr>
        <w:t xml:space="preserve"> and sensitive</w:t>
      </w:r>
      <w:r>
        <w:rPr>
          <w:rFonts w:ascii="Times New Roman" w:eastAsia="Times New Roman" w:hAnsi="Times New Roman" w:cs="Times New Roman"/>
          <w:sz w:val="24"/>
          <w:szCs w:val="24"/>
        </w:rPr>
        <w:t xml:space="preserve"> medi</w:t>
      </w:r>
      <w:r w:rsidR="00BF7630">
        <w:rPr>
          <w:rFonts w:ascii="Times New Roman" w:eastAsia="Times New Roman" w:hAnsi="Times New Roman" w:cs="Times New Roman"/>
          <w:sz w:val="24"/>
          <w:szCs w:val="24"/>
        </w:rPr>
        <w:t>um</w:t>
      </w:r>
      <w:r>
        <w:rPr>
          <w:rFonts w:ascii="Times New Roman" w:eastAsia="Times New Roman" w:hAnsi="Times New Roman" w:cs="Times New Roman"/>
          <w:sz w:val="24"/>
          <w:szCs w:val="24"/>
        </w:rPr>
        <w:t xml:space="preserve"> </w:t>
      </w:r>
      <w:r w:rsidR="00BF7630">
        <w:rPr>
          <w:rFonts w:ascii="Times New Roman" w:eastAsia="Times New Roman" w:hAnsi="Times New Roman" w:cs="Times New Roman"/>
          <w:sz w:val="24"/>
          <w:szCs w:val="24"/>
        </w:rPr>
        <w:t xml:space="preserve">to recover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(George et al., 1979).</w:t>
      </w:r>
    </w:p>
    <w:p w14:paraId="0000003E" w14:textId="05E06985"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Identification methods:</w:t>
      </w:r>
      <w:r>
        <w:rPr>
          <w:rFonts w:ascii="Times New Roman" w:eastAsia="Times New Roman" w:hAnsi="Times New Roman" w:cs="Times New Roman"/>
          <w:sz w:val="24"/>
          <w:szCs w:val="24"/>
        </w:rPr>
        <w:t xml:space="preserve"> Using PCR method to detect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toxin gene. These tests are rapid and very sensitive methods to confirm the presence of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toxin gene. False positives with this method can be minimized by only testing those people who are symptomatic and likely to have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infection (CDI). Other tests that may sometimes be performed to detect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include: gastrointestinal pathogen panels, cell cytotoxicity assay, toxigenic stool culture. Cytotoxicity assay (also known as tissue culture assay) is the gold standard for the diagnosis of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The presence of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toxin is confirmed by the anti-toxin antibodies' neutralization of the cytotoxic effect. It is a sensitive method to detect toxins, </w:t>
      </w:r>
      <w:r w:rsidR="00BF7630">
        <w:rPr>
          <w:rFonts w:ascii="Times New Roman" w:eastAsia="Times New Roman" w:hAnsi="Times New Roman" w:cs="Times New Roman"/>
          <w:sz w:val="24"/>
          <w:szCs w:val="24"/>
        </w:rPr>
        <w:t>however</w:t>
      </w:r>
      <w:r>
        <w:rPr>
          <w:rFonts w:ascii="Times New Roman" w:eastAsia="Times New Roman" w:hAnsi="Times New Roman" w:cs="Times New Roman"/>
          <w:sz w:val="24"/>
          <w:szCs w:val="24"/>
        </w:rPr>
        <w:t xml:space="preserve"> the test results take 24 to 48 hours</w:t>
      </w:r>
      <w:r w:rsidR="00BF7630">
        <w:rPr>
          <w:rFonts w:ascii="Times New Roman" w:eastAsia="Times New Roman" w:hAnsi="Times New Roman" w:cs="Times New Roman"/>
          <w:sz w:val="24"/>
          <w:szCs w:val="24"/>
        </w:rPr>
        <w:t xml:space="preserve"> which hinder its application in clinical</w:t>
      </w:r>
      <w:r>
        <w:rPr>
          <w:rFonts w:ascii="Times New Roman" w:eastAsia="Times New Roman" w:hAnsi="Times New Roman" w:cs="Times New Roman"/>
          <w:sz w:val="24"/>
          <w:szCs w:val="24"/>
        </w:rPr>
        <w:t xml:space="preserve"> laboratories.</w:t>
      </w:r>
    </w:p>
    <w:p w14:paraId="0000003F"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Virulence factors and antibiotic resistance genes/proteins: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produces many exotoxins that serve as its primary pathogenic agents. The two primary toxins are TcdA, which has a size of 308 kDa, and TcdB, which has a size of 270 kDa. These toxins exhibit both enterotoxic and cytotoxic effects by functioning as glycosyltransferases that deactivate human Rho GTPases. This deactivation results in elevated levels of proinflammatory cytokines (IL-1, TNFα, IL-8), infiltration of leukocytes, inflammation, secretion of fluids, depolymerization of actin filaments, </w:t>
      </w:r>
      <w:r>
        <w:rPr>
          <w:rFonts w:ascii="Times New Roman" w:eastAsia="Times New Roman" w:hAnsi="Times New Roman" w:cs="Times New Roman"/>
          <w:sz w:val="24"/>
          <w:szCs w:val="24"/>
        </w:rPr>
        <w:lastRenderedPageBreak/>
        <w:t>disruption of tight junctions, apoptosis of cells, and damage to the gut epithelium. Pseudomembranous colitis, characterized by thick yellow fibrous exudates, can occur in severe instances. Although TcdA and TcdB share 47% of their structural characteristics, they have separate processes and interact with different receptors. Based on tests conducted on human tissue, Toxin B is considered more potent, and monoclonal antibodies against TcdB are used in treatment, underscoring its significance (Markovska et al., 2023).</w:t>
      </w:r>
    </w:p>
    <w:p w14:paraId="00000040" w14:textId="2D3228D9"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also produces other enzymes, such as collagenase, chondroitin</w:t>
      </w:r>
      <w:r w:rsidR="009E39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sulfatase, and hyaluronidase, which disrupt tight junctions, leading to fluid loss. Additional elements that contribute to the ability of a pathogen to cause disease include surface proteins, specifically the S layer, and the production of durable spores. Spores have a significant impact on the recurrence and long-term survival in the environment. Biofilm generation is a factor in the pathogenicity of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although its mechanisms are not completely known. It contributes to the modulation of the immune response and the recurrence of the infection (Markovska et al., 2023).</w:t>
      </w:r>
    </w:p>
    <w:p w14:paraId="00000041"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Diseases and treatment: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is spread in the form of dormant spores by the route of fecal-oral transmission. Once within the gastrointestinal system, these spores develop into active cells that can produce several toxins, leading to the development of severe illness and colitis (Edwards et al., 2013). Symptoms of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infection include diarrhea (at least three loose bowel movements a day), a high temperature, dehydration, abdominal pain that can be severe, loss of appetite, and nausea.</w:t>
      </w:r>
    </w:p>
    <w:p w14:paraId="00000042"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treatment involves careful use of antibiotics, which are both a treatment and a risk factor for infections. Standard therapy includes metronidazole and vancomycin, with vancomycin being more effective. Fidaxomicin is crucial for treating CDIs and preventing recurrences. For an initial infection, only vancomycin or fidaxomicin are recommended, while metronidazole may be used in combination with vancomycin.</w:t>
      </w:r>
    </w:p>
    <w:p w14:paraId="00000043"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CDI develops during antibiotic treatment, the antibiotic should be stopped or switched to lower-risk options like macrolides, aminoglycosides, sulphonamides, vancomycin, or tetracyclines. Bezlotoxumab, a monoclonal antibody for preventing recurrent CDI that the FDA approved in 2016, is one of the new treatments being considered. Fecal microbiota transplantation (FMT) has shown a 75–90% success rate in preventing recurrences (Cheng &amp; Fischer, 2023). Other emerging treatments involve toxin blockers like calcium aluminosilicate, human serum albumin, aspirin, human alpha-defensins, and ambroxol.</w:t>
      </w:r>
    </w:p>
    <w:p w14:paraId="00000044"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Prevalence and prevention: </w:t>
      </w:r>
      <w:r>
        <w:rPr>
          <w:rFonts w:ascii="Times New Roman" w:eastAsia="Times New Roman" w:hAnsi="Times New Roman" w:cs="Times New Roman"/>
          <w:sz w:val="24"/>
          <w:szCs w:val="24"/>
        </w:rPr>
        <w:t xml:space="preserve">Most cases of pseudomembranous colitis and 25-30% of cases of antibiotic-associated diarrhea are caused by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(Biswas et al., 2023). People most at risk for CDI are the elderly, people in healthcare settings, and those who have received antibiotic treatment. In 2011, CDI killed nearly 500,000 people in the USA and about 29,000 people (Sandhu &amp; McBride, 2018). CDI is the most common healthcare-related infection in the USA, leading to increased healthcare costs of $4.8 billion.</w:t>
      </w:r>
    </w:p>
    <w:p w14:paraId="00000045"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Currently, there is no commercially available vaccination for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Regrettably, clinical experiments with </w:t>
      </w:r>
      <w:r>
        <w:rPr>
          <w:rFonts w:ascii="Times New Roman" w:eastAsia="Times New Roman" w:hAnsi="Times New Roman" w:cs="Times New Roman"/>
          <w:i/>
          <w:sz w:val="24"/>
          <w:szCs w:val="24"/>
        </w:rPr>
        <w:t>C. difficile</w:t>
      </w:r>
      <w:r>
        <w:rPr>
          <w:rFonts w:ascii="Times New Roman" w:eastAsia="Times New Roman" w:hAnsi="Times New Roman" w:cs="Times New Roman"/>
          <w:sz w:val="24"/>
          <w:szCs w:val="24"/>
        </w:rPr>
        <w:t xml:space="preserve"> toxin-based antigens did not demonstrate sufficiently high efficacy, as they failed to prevent the colonization and spread of the pathogen among patients (Razim et al., 2023). CDI can be effectively decreased through a combination of prudent antimicrobial prescribing and infection control measures such as environmental decontamination, hand hygiene, isolation, and the use of personal protective equipment (Gouliouris et al., 2011).</w:t>
      </w:r>
    </w:p>
    <w:p w14:paraId="00000046" w14:textId="77777777" w:rsidR="002A0C82" w:rsidRDefault="002A0C82">
      <w:pPr>
        <w:jc w:val="both"/>
        <w:rPr>
          <w:rFonts w:ascii="Times New Roman" w:eastAsia="Times New Roman" w:hAnsi="Times New Roman" w:cs="Times New Roman"/>
          <w:sz w:val="24"/>
          <w:szCs w:val="24"/>
        </w:rPr>
      </w:pPr>
    </w:p>
    <w:p w14:paraId="00000047" w14:textId="77777777" w:rsidR="002A0C82"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CORYNEBACTERIUM JEIKEIUM</w:t>
      </w:r>
    </w:p>
    <w:p w14:paraId="00000048"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Morphological characteristics: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Corynebacterium jeikeium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is gram-positive, catalase-positive, non-spore-forming, aerobic, non-motile, rod-shaped bacteria. Individual cells vary in size but are generally around 0.5 to 1.5 micrometers in width and 2.0 to 6.0 µm in length. Corynebacterium cells may occur singly, in pairs, or V shaped or palisade arrangements. Some species may also form characteristic Chinese letter-shaped arrangements. On blood agar, they form small greyish colonies with a granular appearance, mostly translucent, but with opaque centers, convex, with continuous borders.</w:t>
      </w:r>
    </w:p>
    <w:p w14:paraId="00000049" w14:textId="5BF2649B"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Phenotypic and biochemical properties:</w:t>
      </w:r>
      <w:r>
        <w:rPr>
          <w:rFonts w:ascii="Times New Roman" w:eastAsia="Times New Roman" w:hAnsi="Times New Roman" w:cs="Times New Roman"/>
          <w:sz w:val="24"/>
          <w:szCs w:val="24"/>
        </w:rPr>
        <w:t xml:space="preserve"> The bacteri</w:t>
      </w:r>
      <w:r w:rsidR="00BF7630">
        <w:rPr>
          <w:rFonts w:ascii="Times New Roman" w:eastAsia="Times New Roman" w:hAnsi="Times New Roman" w:cs="Times New Roman"/>
          <w:sz w:val="24"/>
          <w:szCs w:val="24"/>
        </w:rPr>
        <w:t>um</w:t>
      </w:r>
      <w:r>
        <w:rPr>
          <w:rFonts w:ascii="Times New Roman" w:eastAsia="Times New Roman" w:hAnsi="Times New Roman" w:cs="Times New Roman"/>
          <w:sz w:val="24"/>
          <w:szCs w:val="24"/>
        </w:rPr>
        <w:t xml:space="preserve"> is aerobic or facultatively anaerobic and exhibit</w:t>
      </w:r>
      <w:r w:rsidR="00BF763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fermentative metabolism (carbohydrates to lactic acid) under certain conditions. They are fastidious organisms, growing slowly even on enriched medium. </w:t>
      </w: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xml:space="preserve"> is non-hemolytic, urease-negative, and catalase positive.</w:t>
      </w:r>
    </w:p>
    <w:p w14:paraId="0000004A" w14:textId="164F88B1"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Culture conditions:</w:t>
      </w:r>
      <w:r>
        <w:rPr>
          <w:rFonts w:ascii="Times New Roman" w:eastAsia="Times New Roman" w:hAnsi="Times New Roman" w:cs="Times New Roman"/>
          <w:sz w:val="24"/>
          <w:szCs w:val="24"/>
        </w:rPr>
        <w:t xml:space="preserve"> Tellurite Blood Agar is a selective medium used for the isolation and cultivation of Corynebacterium species. In nutritional requirements, all need biotin to grow. The bacteria also grow in Loeffler's medium, blood agar, and trypticase soy agar (TSA). Their optimum growth temperature is 37°</w:t>
      </w:r>
      <w:r w:rsidR="00BF76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00BF7630">
        <w:rPr>
          <w:rFonts w:ascii="Times New Roman" w:eastAsia="Times New Roman" w:hAnsi="Times New Roman" w:cs="Times New Roman"/>
          <w:sz w:val="24"/>
          <w:szCs w:val="24"/>
        </w:rPr>
        <w:t>.</w:t>
      </w:r>
    </w:p>
    <w:p w14:paraId="0000004B" w14:textId="7511B828"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Identification methods:</w:t>
      </w:r>
      <w:r>
        <w:rPr>
          <w:rFonts w:ascii="Times New Roman" w:eastAsia="Times New Roman" w:hAnsi="Times New Roman" w:cs="Times New Roman"/>
          <w:sz w:val="24"/>
          <w:szCs w:val="24"/>
        </w:rPr>
        <w:t xml:space="preserve"> In clinical practice settings, different biochemical test systems have been developed to identify Corynebacterium species. Rapid 4-hour tests </w:t>
      </w:r>
      <w:r w:rsidR="000E15A5">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performed for urease, pyrazinamidase, catalase, and nitrate reduction. </w:t>
      </w:r>
      <w:r>
        <w:rPr>
          <w:rFonts w:ascii="Times New Roman" w:eastAsia="Times New Roman" w:hAnsi="Times New Roman" w:cs="Times New Roman"/>
          <w:i/>
          <w:sz w:val="24"/>
          <w:szCs w:val="24"/>
        </w:rPr>
        <w:t xml:space="preserve">C. jeikeium </w:t>
      </w:r>
      <w:r>
        <w:rPr>
          <w:rFonts w:ascii="Times New Roman" w:eastAsia="Times New Roman" w:hAnsi="Times New Roman" w:cs="Times New Roman"/>
          <w:sz w:val="24"/>
          <w:szCs w:val="24"/>
        </w:rPr>
        <w:t xml:space="preserve">is nitrate-negative, urease-negative, catalase-positive and pyrazinamidase-positive. For further identification, typing methods, whole genome sequencing, 16S rRNA gene (rDNA) sequence analysis can be </w:t>
      </w:r>
      <w:r w:rsidR="000E15A5">
        <w:rPr>
          <w:rFonts w:ascii="Times New Roman" w:eastAsia="Times New Roman" w:hAnsi="Times New Roman" w:cs="Times New Roman"/>
          <w:sz w:val="24"/>
          <w:szCs w:val="24"/>
        </w:rPr>
        <w:t>used</w:t>
      </w:r>
      <w:r>
        <w:rPr>
          <w:rFonts w:ascii="Times New Roman" w:eastAsia="Times New Roman" w:hAnsi="Times New Roman" w:cs="Times New Roman"/>
          <w:sz w:val="24"/>
          <w:szCs w:val="24"/>
        </w:rPr>
        <w:t>.</w:t>
      </w:r>
    </w:p>
    <w:p w14:paraId="0000004C" w14:textId="45D4941C"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Virulence factors: </w:t>
      </w:r>
      <w:r w:rsidR="009E3924">
        <w:rPr>
          <w:rFonts w:ascii="Times New Roman" w:eastAsia="Times New Roman" w:hAnsi="Times New Roman" w:cs="Times New Roman"/>
          <w:sz w:val="24"/>
          <w:szCs w:val="24"/>
        </w:rPr>
        <w:t>Predicted virulence factors of</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xml:space="preserve"> are </w:t>
      </w:r>
      <w:r w:rsidR="009E3924">
        <w:rPr>
          <w:rFonts w:ascii="Times New Roman" w:eastAsia="Times New Roman" w:hAnsi="Times New Roman" w:cs="Times New Roman"/>
          <w:sz w:val="24"/>
          <w:szCs w:val="24"/>
        </w:rPr>
        <w:t xml:space="preserve">degrading enzymes involved in </w:t>
      </w:r>
      <w:r>
        <w:rPr>
          <w:rFonts w:ascii="Times New Roman" w:eastAsia="Times New Roman" w:hAnsi="Times New Roman" w:cs="Times New Roman"/>
          <w:sz w:val="24"/>
          <w:szCs w:val="24"/>
        </w:rPr>
        <w:t xml:space="preserve"> exogenous fatty acids </w:t>
      </w:r>
      <w:r w:rsidR="009E3924">
        <w:rPr>
          <w:rFonts w:ascii="Times New Roman" w:eastAsia="Times New Roman" w:hAnsi="Times New Roman" w:cs="Times New Roman"/>
          <w:sz w:val="24"/>
          <w:szCs w:val="24"/>
        </w:rPr>
        <w:t>metabolism via</w:t>
      </w:r>
      <w:r>
        <w:rPr>
          <w:rFonts w:ascii="Times New Roman" w:eastAsia="Times New Roman" w:hAnsi="Times New Roman" w:cs="Times New Roman"/>
          <w:sz w:val="24"/>
          <w:szCs w:val="24"/>
        </w:rPr>
        <w:t xml:space="preserve"> damaging the host tissue (Tauch et al., 2005).</w:t>
      </w:r>
    </w:p>
    <w:p w14:paraId="0000004D" w14:textId="3B4F6AC2"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Diseases and treatment: </w:t>
      </w:r>
      <w:r w:rsidR="000E15A5" w:rsidRPr="000E15A5">
        <w:rPr>
          <w:rFonts w:ascii="Times New Roman" w:eastAsia="Times New Roman" w:hAnsi="Times New Roman" w:cs="Times New Roman"/>
          <w:bCs/>
          <w:i/>
          <w:iCs/>
          <w:sz w:val="24"/>
          <w:szCs w:val="24"/>
        </w:rPr>
        <w:t>C</w:t>
      </w:r>
      <w:r w:rsidR="000E15A5">
        <w:rPr>
          <w:rFonts w:ascii="Times New Roman" w:eastAsia="Times New Roman" w:hAnsi="Times New Roman" w:cs="Times New Roman"/>
          <w:bCs/>
          <w:i/>
          <w:iCs/>
          <w:sz w:val="24"/>
          <w:szCs w:val="24"/>
        </w:rPr>
        <w:t>.</w:t>
      </w:r>
      <w:r w:rsidR="000E15A5" w:rsidRPr="000E15A5">
        <w:rPr>
          <w:rFonts w:ascii="Times New Roman" w:eastAsia="Times New Roman" w:hAnsi="Times New Roman" w:cs="Times New Roman"/>
          <w:bCs/>
          <w:i/>
          <w:iCs/>
          <w:sz w:val="24"/>
          <w:szCs w:val="24"/>
        </w:rPr>
        <w:t xml:space="preserve"> jeikeium</w:t>
      </w:r>
      <w:r w:rsidR="000E15A5" w:rsidRPr="000E15A5">
        <w:rPr>
          <w:rFonts w:ascii="Times New Roman" w:eastAsia="Times New Roman" w:hAnsi="Times New Roman" w:cs="Times New Roman"/>
          <w:bCs/>
          <w:sz w:val="24"/>
          <w:szCs w:val="24"/>
        </w:rPr>
        <w:t>, a resident of human skin, is often associated with multidrug resistant nosocomial infections.</w:t>
      </w:r>
      <w:r w:rsidR="000E15A5" w:rsidRPr="000E15A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Prolonged hospital stays, treatment with broad-spectrum antibiotics, and impaired skin integrity are risk factors for infection with </w:t>
      </w: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xml:space="preserve">. Other infections attributed to </w:t>
      </w: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xml:space="preserve"> include skin and wound infections, catheter-related infections, </w:t>
      </w:r>
      <w:r>
        <w:rPr>
          <w:rFonts w:ascii="Times New Roman" w:eastAsia="Times New Roman" w:hAnsi="Times New Roman" w:cs="Times New Roman"/>
          <w:sz w:val="24"/>
          <w:szCs w:val="24"/>
        </w:rPr>
        <w:lastRenderedPageBreak/>
        <w:t>enteritis, meningitis, osteomyelitis, peritonitis, pneumonia, prosthetic joint infections, pyelonephritis, and liver abscess in a patient with acquired immunodeficiency syndrome (AIDS).</w:t>
      </w:r>
    </w:p>
    <w:p w14:paraId="0000004E"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xml:space="preserve"> endocarditis is extremely difficult to treat as it is characteristically resistant to penicillin, cephalosporins, and aminoglycosides, and sensitivity to quinolones, macrolides, tetracyclines and rifampin is variable. However, it remains susceptible to vancomycin, the most active antibiotic agent and the drug of choice in </w:t>
      </w: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xml:space="preserve"> infections (Rezaei Bookani et al., 2017).</w:t>
      </w:r>
    </w:p>
    <w:p w14:paraId="0000004F" w14:textId="77777777" w:rsidR="002A0C82"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Prevalence and prevention: </w:t>
      </w:r>
      <w:r>
        <w:rPr>
          <w:rFonts w:ascii="Times New Roman" w:eastAsia="Times New Roman" w:hAnsi="Times New Roman" w:cs="Times New Roman"/>
          <w:sz w:val="24"/>
          <w:szCs w:val="24"/>
        </w:rPr>
        <w:t xml:space="preserve">Proportions of true bacteremia cases caused by </w:t>
      </w: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xml:space="preserve"> was 71% which was significantly higher than those caused by other species of Corynebacterium (9%) (Yamamuro et al., 2021). </w:t>
      </w: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xml:space="preserve"> has a high infection-related mortality of approximately 30%; as it is typically multidrug-resistant and can form biofilms (Dowling &amp; Koen, 2020). Preventing nosocomial transmission of </w:t>
      </w:r>
      <w:r>
        <w:rPr>
          <w:rFonts w:ascii="Times New Roman" w:eastAsia="Times New Roman" w:hAnsi="Times New Roman" w:cs="Times New Roman"/>
          <w:i/>
          <w:sz w:val="24"/>
          <w:szCs w:val="24"/>
        </w:rPr>
        <w:t>C. jeikeium</w:t>
      </w:r>
      <w:r>
        <w:rPr>
          <w:rFonts w:ascii="Times New Roman" w:eastAsia="Times New Roman" w:hAnsi="Times New Roman" w:cs="Times New Roman"/>
          <w:sz w:val="24"/>
          <w:szCs w:val="24"/>
        </w:rPr>
        <w:t xml:space="preserve"> relies on thorough handwashing and aseptic procedures.</w:t>
      </w:r>
    </w:p>
    <w:p w14:paraId="00000050" w14:textId="77777777" w:rsidR="002A0C82" w:rsidRDefault="00000000">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ENTEROCOCCUS FAECALIS</w:t>
      </w:r>
    </w:p>
    <w:p w14:paraId="00000051" w14:textId="77777777" w:rsidR="002A0C82"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Morphological characteristics: </w:t>
      </w:r>
      <w:r>
        <w:rPr>
          <w:rFonts w:ascii="Times New Roman" w:eastAsia="Times New Roman" w:hAnsi="Times New Roman" w:cs="Times New Roman"/>
          <w:i/>
          <w:sz w:val="24"/>
          <w:szCs w:val="24"/>
        </w:rPr>
        <w:t>Enterococcus faecalis (E. faecalis)</w:t>
      </w:r>
      <w:r>
        <w:rPr>
          <w:rFonts w:ascii="Times New Roman" w:eastAsia="Times New Roman" w:hAnsi="Times New Roman" w:cs="Times New Roman"/>
          <w:sz w:val="24"/>
          <w:szCs w:val="24"/>
        </w:rPr>
        <w:t xml:space="preserve"> is Gram-positive, nonmotile, non-spore-forming bacterium in nature and is found in the upper respiratory tract, intestine, and mouth of healthy people. Colony morphology is small, gray, and γ-hemolytic.</w:t>
      </w:r>
    </w:p>
    <w:p w14:paraId="00000052" w14:textId="5F16E3FA" w:rsidR="002A0C82" w:rsidRDefault="002A0C82">
      <w:pPr>
        <w:spacing w:before="240" w:after="240"/>
        <w:jc w:val="center"/>
        <w:rPr>
          <w:rFonts w:ascii="Times New Roman" w:eastAsia="Times New Roman" w:hAnsi="Times New Roman" w:cs="Times New Roman"/>
          <w:sz w:val="24"/>
          <w:szCs w:val="24"/>
        </w:rPr>
      </w:pPr>
    </w:p>
    <w:p w14:paraId="00000053" w14:textId="77777777" w:rsidR="002A0C82" w:rsidRDefault="00000000">
      <w:pPr>
        <w:spacing w:before="240" w:after="240"/>
        <w:ind w:left="360"/>
        <w:jc w:val="center"/>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b/>
          <w:i/>
          <w:sz w:val="24"/>
          <w:szCs w:val="24"/>
        </w:rPr>
        <w:t xml:space="preserve">Figure 4: </w:t>
      </w:r>
      <w:r>
        <w:rPr>
          <w:rFonts w:ascii="Times New Roman" w:eastAsia="Times New Roman" w:hAnsi="Times New Roman" w:cs="Times New Roman"/>
          <w:i/>
          <w:color w:val="212529"/>
          <w:sz w:val="24"/>
          <w:szCs w:val="24"/>
          <w:highlight w:val="white"/>
        </w:rPr>
        <w:t>This illustration depicts a three-dimensional (3D) computer-generated image of a cluster of paired, or diplococcal, vancomycin-resistant Enterococcus (VRE) bacteria.</w:t>
      </w:r>
    </w:p>
    <w:p w14:paraId="00000054" w14:textId="77777777" w:rsidR="002A0C82" w:rsidRDefault="00000000">
      <w:pPr>
        <w:jc w:val="center"/>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sz w:val="24"/>
          <w:szCs w:val="24"/>
        </w:rPr>
        <w:t>Source: Public Health Image Library, Center for Disease Control and Prevention (CDC),</w:t>
      </w:r>
      <w:r>
        <w:rPr>
          <w:rFonts w:ascii="Times New Roman" w:eastAsia="Times New Roman" w:hAnsi="Times New Roman" w:cs="Times New Roman"/>
          <w:i/>
          <w:color w:val="212529"/>
          <w:sz w:val="24"/>
          <w:szCs w:val="24"/>
          <w:highlight w:val="white"/>
        </w:rPr>
        <w:t xml:space="preserve"> Dan Higgins</w:t>
      </w:r>
      <w:r>
        <w:rPr>
          <w:rFonts w:ascii="Times New Roman" w:eastAsia="Times New Roman" w:hAnsi="Times New Roman" w:cs="Times New Roman"/>
          <w:i/>
          <w:sz w:val="24"/>
          <w:szCs w:val="24"/>
        </w:rPr>
        <w:t>, 2013.</w:t>
      </w:r>
    </w:p>
    <w:p w14:paraId="00000055" w14:textId="77777777" w:rsidR="002A0C82" w:rsidRDefault="002A0C82">
      <w:pPr>
        <w:spacing w:before="240" w:after="240"/>
        <w:ind w:left="360"/>
        <w:jc w:val="center"/>
        <w:rPr>
          <w:b/>
          <w:color w:val="212529"/>
          <w:sz w:val="26"/>
          <w:szCs w:val="26"/>
          <w:highlight w:val="white"/>
        </w:rPr>
      </w:pPr>
    </w:p>
    <w:p w14:paraId="00000056" w14:textId="77777777" w:rsidR="002A0C82"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Phenotypic and biochemical properties: </w:t>
      </w:r>
      <w:r>
        <w:rPr>
          <w:rFonts w:ascii="Times New Roman" w:eastAsia="Times New Roman" w:hAnsi="Times New Roman" w:cs="Times New Roman"/>
          <w:i/>
          <w:sz w:val="24"/>
          <w:szCs w:val="24"/>
        </w:rPr>
        <w:t>E. faecalis</w:t>
      </w:r>
      <w:r>
        <w:rPr>
          <w:rFonts w:ascii="Times New Roman" w:eastAsia="Times New Roman" w:hAnsi="Times New Roman" w:cs="Times New Roman"/>
          <w:sz w:val="24"/>
          <w:szCs w:val="24"/>
        </w:rPr>
        <w:t xml:space="preserve"> ferments glucose without gas production and does not produce a catalase reaction with hydrogen peroxide. It catabolizes a variety of energy sources, including glycerol, lactate, malate, citrate, arginine, agmatine, and many keto acids. It survives in very harsh environments, including extremely alkaline pH (9.6) and salt concentrations. They exhibit resistance to bile salts, detergents, heavy metals, ethanol, azide, and desiccation. They can survive in high salt concentrations at 10-40°C and high pH at temperatures of 60 °C for 30 minutes (Morandi et al., 2005)</w:t>
      </w:r>
    </w:p>
    <w:p w14:paraId="00000057" w14:textId="77777777" w:rsidR="002A0C82"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Culture conditions: </w:t>
      </w:r>
      <w:r>
        <w:rPr>
          <w:rFonts w:ascii="Times New Roman" w:eastAsia="Times New Roman" w:hAnsi="Times New Roman" w:cs="Times New Roman"/>
          <w:i/>
          <w:sz w:val="24"/>
          <w:szCs w:val="24"/>
          <w:highlight w:val="white"/>
        </w:rPr>
        <w:t>E. faecalis</w:t>
      </w:r>
      <w:r>
        <w:rPr>
          <w:rFonts w:ascii="Times New Roman" w:eastAsia="Times New Roman" w:hAnsi="Times New Roman" w:cs="Times New Roman"/>
          <w:sz w:val="24"/>
          <w:szCs w:val="24"/>
        </w:rPr>
        <w:t xml:space="preserve"> can grow </w:t>
      </w:r>
      <w:r>
        <w:rPr>
          <w:rFonts w:ascii="Times New Roman" w:eastAsia="Times New Roman" w:hAnsi="Times New Roman" w:cs="Times New Roman"/>
          <w:sz w:val="24"/>
          <w:szCs w:val="24"/>
          <w:highlight w:val="white"/>
        </w:rPr>
        <w:t xml:space="preserve">on blood agar, </w:t>
      </w:r>
      <w:r>
        <w:rPr>
          <w:rFonts w:ascii="Times New Roman" w:eastAsia="Times New Roman" w:hAnsi="Times New Roman" w:cs="Times New Roman"/>
          <w:sz w:val="24"/>
          <w:szCs w:val="24"/>
        </w:rPr>
        <w:t>bile esculin agar, brain heart infusion agar/broth, and tryptic soy agar. Enterococcosel agar</w:t>
      </w:r>
      <w:r>
        <w:rPr>
          <w:rFonts w:ascii="Times New Roman" w:eastAsia="Times New Roman" w:hAnsi="Times New Roman" w:cs="Times New Roman"/>
          <w:sz w:val="24"/>
          <w:szCs w:val="24"/>
          <w:highlight w:val="white"/>
        </w:rPr>
        <w:t xml:space="preserve"> is </w:t>
      </w:r>
      <w:r>
        <w:rPr>
          <w:rFonts w:ascii="Times New Roman" w:eastAsia="Times New Roman" w:hAnsi="Times New Roman" w:cs="Times New Roman"/>
          <w:sz w:val="24"/>
          <w:szCs w:val="24"/>
        </w:rPr>
        <w:t xml:space="preserve">a selective medium containing bile salts and sodium azide for isolating and differentiating </w:t>
      </w:r>
      <w:r>
        <w:rPr>
          <w:rFonts w:ascii="Times New Roman" w:eastAsia="Times New Roman" w:hAnsi="Times New Roman" w:cs="Times New Roman"/>
          <w:i/>
          <w:sz w:val="24"/>
          <w:szCs w:val="24"/>
        </w:rPr>
        <w:t>Enterococcus</w:t>
      </w:r>
      <w:r>
        <w:rPr>
          <w:rFonts w:ascii="Times New Roman" w:eastAsia="Times New Roman" w:hAnsi="Times New Roman" w:cs="Times New Roman"/>
          <w:sz w:val="24"/>
          <w:szCs w:val="24"/>
        </w:rPr>
        <w:t xml:space="preserve"> species from other bacteria.</w:t>
      </w:r>
    </w:p>
    <w:p w14:paraId="00000058" w14:textId="459AA12F" w:rsidR="002A0C82"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Identification methods: </w:t>
      </w:r>
      <w:r>
        <w:rPr>
          <w:rFonts w:ascii="Times New Roman" w:eastAsia="Times New Roman" w:hAnsi="Times New Roman" w:cs="Times New Roman"/>
          <w:sz w:val="24"/>
          <w:szCs w:val="24"/>
        </w:rPr>
        <w:t xml:space="preserve">In order to confirm the identity of </w:t>
      </w:r>
      <w:r>
        <w:rPr>
          <w:rFonts w:ascii="Times New Roman" w:eastAsia="Times New Roman" w:hAnsi="Times New Roman" w:cs="Times New Roman"/>
          <w:i/>
          <w:sz w:val="24"/>
          <w:szCs w:val="24"/>
        </w:rPr>
        <w:t>E. faecalis</w:t>
      </w:r>
      <w:r>
        <w:rPr>
          <w:rFonts w:ascii="Times New Roman" w:eastAsia="Times New Roman" w:hAnsi="Times New Roman" w:cs="Times New Roman"/>
          <w:sz w:val="24"/>
          <w:szCs w:val="24"/>
        </w:rPr>
        <w:t xml:space="preserve">, we utilized a PCR assay that detects internal segments of the ddl gene, which encodes D-alanine-D-alanine ligase. This gene </w:t>
      </w:r>
      <w:r w:rsidR="009E3924">
        <w:rPr>
          <w:rFonts w:ascii="Times New Roman" w:eastAsia="Times New Roman" w:hAnsi="Times New Roman" w:cs="Times New Roman"/>
          <w:sz w:val="24"/>
          <w:szCs w:val="24"/>
        </w:rPr>
        <w:t>is used</w:t>
      </w:r>
      <w:r>
        <w:rPr>
          <w:rFonts w:ascii="Times New Roman" w:eastAsia="Times New Roman" w:hAnsi="Times New Roman" w:cs="Times New Roman"/>
          <w:sz w:val="24"/>
          <w:szCs w:val="24"/>
        </w:rPr>
        <w:t xml:space="preserve"> as a diagnostic marker that distinguishes between the two primary clinically significant species, </w:t>
      </w:r>
      <w:r>
        <w:rPr>
          <w:rFonts w:ascii="Times New Roman" w:eastAsia="Times New Roman" w:hAnsi="Times New Roman" w:cs="Times New Roman"/>
          <w:i/>
          <w:sz w:val="24"/>
          <w:szCs w:val="24"/>
        </w:rPr>
        <w:t>E. faecalis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 faecium</w:t>
      </w:r>
      <w:r>
        <w:rPr>
          <w:rFonts w:ascii="Times New Roman" w:eastAsia="Times New Roman" w:hAnsi="Times New Roman" w:cs="Times New Roman"/>
          <w:sz w:val="24"/>
          <w:szCs w:val="24"/>
        </w:rPr>
        <w:t>. (Dutka-Malen et al., 1995).</w:t>
      </w:r>
    </w:p>
    <w:p w14:paraId="00000059" w14:textId="77777777" w:rsidR="002A0C82"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Virulence factors and antibiotic resistance genes/proteins: </w:t>
      </w:r>
      <w:r>
        <w:rPr>
          <w:rFonts w:ascii="Times New Roman" w:eastAsia="Times New Roman" w:hAnsi="Times New Roman" w:cs="Times New Roman"/>
          <w:sz w:val="24"/>
          <w:szCs w:val="24"/>
        </w:rPr>
        <w:t xml:space="preserve">This bacterium has developed multi-drug antibiotic resistance and uses colonization and virulence factors to form biofilms. </w:t>
      </w:r>
      <w:r>
        <w:rPr>
          <w:rFonts w:ascii="Times New Roman" w:eastAsia="Times New Roman" w:hAnsi="Times New Roman" w:cs="Times New Roman"/>
          <w:i/>
          <w:sz w:val="24"/>
          <w:szCs w:val="24"/>
        </w:rPr>
        <w:t>Enterococcal</w:t>
      </w:r>
      <w:r>
        <w:rPr>
          <w:rFonts w:ascii="Times New Roman" w:eastAsia="Times New Roman" w:hAnsi="Times New Roman" w:cs="Times New Roman"/>
          <w:sz w:val="24"/>
          <w:szCs w:val="24"/>
        </w:rPr>
        <w:t xml:space="preserve"> surface protein aggregates bacteria, while aggregation substances cytosolin and gelantinase facilitate the transfer of genetic material between cells. These factors help regulate adherence and inhibit competitive bacteria, allowing the bacteria to bind to target cells. Biofilms are responsible for around 65% of bacterial infections and can exhibit up to 1000 times more resistance to antibiotics compared to individual planktonic cells (M.-A. Kim et al., 2020).</w:t>
      </w:r>
    </w:p>
    <w:p w14:paraId="0000005A"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Diseases and treatment: </w:t>
      </w:r>
      <w:r>
        <w:rPr>
          <w:rFonts w:ascii="Times New Roman" w:eastAsia="Times New Roman" w:hAnsi="Times New Roman" w:cs="Times New Roman"/>
          <w:i/>
          <w:sz w:val="24"/>
          <w:szCs w:val="24"/>
        </w:rPr>
        <w:t>Enterococci</w:t>
      </w:r>
      <w:r>
        <w:rPr>
          <w:rFonts w:ascii="Times New Roman" w:eastAsia="Times New Roman" w:hAnsi="Times New Roman" w:cs="Times New Roman"/>
          <w:sz w:val="24"/>
          <w:szCs w:val="24"/>
        </w:rPr>
        <w:t xml:space="preserve"> have the potential to cause urinary tract infections, peritonitis, sepsis, or endocarditis. They frequently form part of a diverse collection of plants</w:t>
      </w:r>
      <w:r>
        <w:rPr>
          <w:rFonts w:ascii="Times New Roman" w:eastAsia="Times New Roman" w:hAnsi="Times New Roman" w:cs="Times New Roman"/>
          <w:i/>
          <w:sz w:val="24"/>
          <w:szCs w:val="24"/>
        </w:rPr>
        <w:t>. E. faecalis</w:t>
      </w:r>
      <w:r>
        <w:rPr>
          <w:rFonts w:ascii="Times New Roman" w:eastAsia="Times New Roman" w:hAnsi="Times New Roman" w:cs="Times New Roman"/>
          <w:sz w:val="24"/>
          <w:szCs w:val="24"/>
        </w:rPr>
        <w:t xml:space="preserve"> is recognized as a causative agent of infective endocarditis, which is an infection of the heart valves. This infection primarily affects individuals with previous heart issues or those who have undergone invasive medical operations.</w:t>
      </w:r>
    </w:p>
    <w:p w14:paraId="0000005B"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Enterococcus</w:t>
      </w:r>
      <w:r>
        <w:rPr>
          <w:rFonts w:ascii="Times New Roman" w:eastAsia="Times New Roman" w:hAnsi="Times New Roman" w:cs="Times New Roman"/>
          <w:sz w:val="24"/>
          <w:szCs w:val="24"/>
        </w:rPr>
        <w:t xml:space="preserve"> infections, including Vancomycin-resistant </w:t>
      </w:r>
      <w:r>
        <w:rPr>
          <w:rFonts w:ascii="Times New Roman" w:eastAsia="Times New Roman" w:hAnsi="Times New Roman" w:cs="Times New Roman"/>
          <w:i/>
          <w:sz w:val="24"/>
          <w:szCs w:val="24"/>
        </w:rPr>
        <w:t>Enterococci</w:t>
      </w:r>
      <w:r>
        <w:rPr>
          <w:rFonts w:ascii="Times New Roman" w:eastAsia="Times New Roman" w:hAnsi="Times New Roman" w:cs="Times New Roman"/>
          <w:sz w:val="24"/>
          <w:szCs w:val="24"/>
        </w:rPr>
        <w:t xml:space="preserve"> (VRE) infections, cause a range of different symptoms depending on the location of the infection. This includes infections of the bloodstream, urinary tract infections, and wound infections associated with catheters or surgery. Linezolid or daptomycin are used for treating VRE infections. Alternatively, assuming it is non-VRE, we have the option to provide either ampicillin or vancomycin. </w:t>
      </w:r>
    </w:p>
    <w:p w14:paraId="0000005C"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Prevalence and prevention: </w:t>
      </w:r>
      <w:r>
        <w:rPr>
          <w:rFonts w:ascii="Times New Roman" w:eastAsia="Times New Roman" w:hAnsi="Times New Roman" w:cs="Times New Roman"/>
          <w:i/>
          <w:sz w:val="24"/>
          <w:szCs w:val="24"/>
        </w:rPr>
        <w:t>Enterococci</w:t>
      </w:r>
      <w:r>
        <w:rPr>
          <w:rFonts w:ascii="Times New Roman" w:eastAsia="Times New Roman" w:hAnsi="Times New Roman" w:cs="Times New Roman"/>
          <w:sz w:val="24"/>
          <w:szCs w:val="24"/>
        </w:rPr>
        <w:t xml:space="preserve"> are widely distributed in nature. They are found in such diverse habitats as the gastrointestinal tract, oral cavity, and upper genital tract of man and other mammals, and also in birds, reptiles, insects, plants, soil, and water (Morandi et al., 2005). </w:t>
      </w:r>
      <w:r>
        <w:rPr>
          <w:rFonts w:ascii="Times New Roman" w:eastAsia="Times New Roman" w:hAnsi="Times New Roman" w:cs="Times New Roman"/>
          <w:i/>
          <w:sz w:val="24"/>
          <w:szCs w:val="24"/>
        </w:rPr>
        <w:t>Enterococci</w:t>
      </w:r>
      <w:r>
        <w:rPr>
          <w:rFonts w:ascii="Times New Roman" w:eastAsia="Times New Roman" w:hAnsi="Times New Roman" w:cs="Times New Roman"/>
          <w:sz w:val="24"/>
          <w:szCs w:val="24"/>
        </w:rPr>
        <w:t xml:space="preserve"> have become recognized as serious nosocomial pathogens causing bacteremia, endocarditis, and infections of the urinary tract. </w:t>
      </w:r>
      <w:r>
        <w:rPr>
          <w:rFonts w:ascii="Times New Roman" w:eastAsia="Times New Roman" w:hAnsi="Times New Roman" w:cs="Times New Roman"/>
          <w:i/>
          <w:sz w:val="24"/>
          <w:szCs w:val="24"/>
        </w:rPr>
        <w:t>E. faecalis</w:t>
      </w:r>
      <w:r>
        <w:rPr>
          <w:rFonts w:ascii="Times New Roman" w:eastAsia="Times New Roman" w:hAnsi="Times New Roman" w:cs="Times New Roman"/>
          <w:sz w:val="24"/>
          <w:szCs w:val="24"/>
        </w:rPr>
        <w:t xml:space="preserve"> is responsible for about 80–90% of all </w:t>
      </w:r>
      <w:r>
        <w:rPr>
          <w:rFonts w:ascii="Times New Roman" w:eastAsia="Times New Roman" w:hAnsi="Times New Roman" w:cs="Times New Roman"/>
          <w:i/>
          <w:sz w:val="24"/>
          <w:szCs w:val="24"/>
        </w:rPr>
        <w:t xml:space="preserve">enterococcal </w:t>
      </w:r>
      <w:r>
        <w:rPr>
          <w:rFonts w:ascii="Times New Roman" w:eastAsia="Times New Roman" w:hAnsi="Times New Roman" w:cs="Times New Roman"/>
          <w:sz w:val="24"/>
          <w:szCs w:val="24"/>
        </w:rPr>
        <w:t xml:space="preserve">infections and </w:t>
      </w:r>
      <w:r>
        <w:rPr>
          <w:rFonts w:ascii="Times New Roman" w:eastAsia="Times New Roman" w:hAnsi="Times New Roman" w:cs="Times New Roman"/>
          <w:i/>
          <w:sz w:val="24"/>
          <w:szCs w:val="24"/>
        </w:rPr>
        <w:t>E. faecium</w:t>
      </w:r>
      <w:r>
        <w:rPr>
          <w:rFonts w:ascii="Times New Roman" w:eastAsia="Times New Roman" w:hAnsi="Times New Roman" w:cs="Times New Roman"/>
          <w:sz w:val="24"/>
          <w:szCs w:val="24"/>
        </w:rPr>
        <w:t xml:space="preserve"> accounts for most others (Sreeja et al., 2012).</w:t>
      </w:r>
    </w:p>
    <w:p w14:paraId="0000005D"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Preventing infections caused by </w:t>
      </w:r>
      <w:r>
        <w:rPr>
          <w:rFonts w:ascii="Times New Roman" w:eastAsia="Times New Roman" w:hAnsi="Times New Roman" w:cs="Times New Roman"/>
          <w:i/>
          <w:sz w:val="24"/>
          <w:szCs w:val="24"/>
        </w:rPr>
        <w:t>E. faecalis</w:t>
      </w:r>
      <w:r>
        <w:rPr>
          <w:rFonts w:ascii="Times New Roman" w:eastAsia="Times New Roman" w:hAnsi="Times New Roman" w:cs="Times New Roman"/>
          <w:sz w:val="24"/>
          <w:szCs w:val="24"/>
        </w:rPr>
        <w:t>, particularly in healthcare settings, involves several strategies: infection control practices (hand hygiene, use of personal protective equipment, environmental cleaning), antibiotic stewardship (limiting the use of broad-spectrum antibiotics and following guidelines for appropriate antibiotic), aseptic insertion and maintenance (following strict aseptic techniques during insertion and maintenance of catheters and other invasive devices to prevent infections).</w:t>
      </w:r>
    </w:p>
    <w:p w14:paraId="0000005E" w14:textId="77777777" w:rsidR="002A0C82" w:rsidRDefault="002A0C82">
      <w:pPr>
        <w:spacing w:before="240" w:after="240"/>
        <w:jc w:val="both"/>
        <w:rPr>
          <w:rFonts w:ascii="Times New Roman" w:eastAsia="Times New Roman" w:hAnsi="Times New Roman" w:cs="Times New Roman"/>
          <w:sz w:val="24"/>
          <w:szCs w:val="24"/>
        </w:rPr>
      </w:pPr>
    </w:p>
    <w:p w14:paraId="0000005F" w14:textId="77777777" w:rsidR="002A0C8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LISTERIA MONOCYTOGENES</w:t>
      </w:r>
    </w:p>
    <w:p w14:paraId="00000060" w14:textId="77777777" w:rsidR="002A0C82" w:rsidRDefault="002A0C82">
      <w:pPr>
        <w:rPr>
          <w:rFonts w:ascii="Times New Roman" w:eastAsia="Times New Roman" w:hAnsi="Times New Roman" w:cs="Times New Roman"/>
          <w:sz w:val="24"/>
          <w:szCs w:val="24"/>
        </w:rPr>
      </w:pPr>
    </w:p>
    <w:p w14:paraId="00000061" w14:textId="77777777" w:rsidR="002A0C82"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Morphological characteristics: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Listeria monocytogenes</w:t>
      </w:r>
      <w:r>
        <w:rPr>
          <w:rFonts w:ascii="Times New Roman" w:eastAsia="Times New Roman" w:hAnsi="Times New Roman" w:cs="Times New Roman"/>
          <w:sz w:val="24"/>
          <w:szCs w:val="24"/>
        </w:rPr>
        <w:t xml:space="preserve"> is a Gram-positive bacterium which appears purple or blue under microscopic observation. It is rod-shaped and cannot form spores. Notably,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exhibits motility, showcasing a unique tumbling motility, motile at 22°C and non-motile at 35-37°C. At the optimal temperature of 22°C, its means of motility is flagella, however, at body temperature of around 37°C where flagella is no longer useful, it utilizes special filaments called actin rockets to move within host cells. Actin filaments form part of the cytoskeletal framework supporting various cellular processes, and </w:t>
      </w:r>
      <w:r>
        <w:rPr>
          <w:rFonts w:ascii="Times New Roman" w:eastAsia="Times New Roman" w:hAnsi="Times New Roman" w:cs="Times New Roman"/>
          <w:i/>
          <w:sz w:val="24"/>
          <w:szCs w:val="24"/>
        </w:rPr>
        <w:t>Listeria</w:t>
      </w:r>
      <w:r>
        <w:rPr>
          <w:rFonts w:ascii="Times New Roman" w:eastAsia="Times New Roman" w:hAnsi="Times New Roman" w:cs="Times New Roman"/>
          <w:sz w:val="24"/>
          <w:szCs w:val="24"/>
        </w:rPr>
        <w:t xml:space="preserve"> manipulates these filaments to move intracellularly and intercellularly, facilitating the rapid spread of infection.</w:t>
      </w:r>
    </w:p>
    <w:p w14:paraId="00000062" w14:textId="0C34E410" w:rsidR="002A0C82" w:rsidRDefault="002A0C82">
      <w:pPr>
        <w:jc w:val="center"/>
        <w:rPr>
          <w:rFonts w:ascii="Times New Roman" w:eastAsia="Times New Roman" w:hAnsi="Times New Roman" w:cs="Times New Roman"/>
          <w:b/>
          <w:sz w:val="24"/>
          <w:szCs w:val="24"/>
        </w:rPr>
      </w:pPr>
    </w:p>
    <w:p w14:paraId="00000063"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5: </w:t>
      </w:r>
      <w:r>
        <w:rPr>
          <w:rFonts w:ascii="Times New Roman" w:eastAsia="Times New Roman" w:hAnsi="Times New Roman" w:cs="Times New Roman"/>
          <w:i/>
          <w:sz w:val="24"/>
          <w:szCs w:val="24"/>
        </w:rPr>
        <w:t xml:space="preserve">Listeria monocytogenes isolated from a neonatal listeriosis patient's lung. Levaditi silver impregnation method was used to histochemically process the specimen. </w:t>
      </w:r>
    </w:p>
    <w:p w14:paraId="00000064"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Public Health Image Library, Center for Disease Control and Prevention (CDC), Dr. Heinz Seeliger, 1965.</w:t>
      </w:r>
    </w:p>
    <w:p w14:paraId="00000065" w14:textId="77777777" w:rsidR="002A0C82" w:rsidRDefault="002A0C82">
      <w:pPr>
        <w:jc w:val="center"/>
        <w:rPr>
          <w:rFonts w:ascii="Times New Roman" w:eastAsia="Times New Roman" w:hAnsi="Times New Roman" w:cs="Times New Roman"/>
          <w:i/>
          <w:sz w:val="24"/>
          <w:szCs w:val="24"/>
        </w:rPr>
      </w:pPr>
    </w:p>
    <w:p w14:paraId="00000066" w14:textId="641DDF0D" w:rsidR="002A0C82" w:rsidRDefault="002A0C82">
      <w:pPr>
        <w:jc w:val="center"/>
        <w:rPr>
          <w:rFonts w:ascii="Times New Roman" w:eastAsia="Times New Roman" w:hAnsi="Times New Roman" w:cs="Times New Roman"/>
          <w:b/>
          <w:sz w:val="24"/>
          <w:szCs w:val="24"/>
        </w:rPr>
      </w:pPr>
    </w:p>
    <w:p w14:paraId="00000067"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6: </w:t>
      </w:r>
      <w:r>
        <w:rPr>
          <w:rFonts w:ascii="Times New Roman" w:eastAsia="Times New Roman" w:hAnsi="Times New Roman" w:cs="Times New Roman"/>
          <w:i/>
          <w:sz w:val="24"/>
          <w:szCs w:val="24"/>
        </w:rPr>
        <w:t xml:space="preserve">Flagella of Listeria monocytogenes was observed under transmission electron microscopic (TEM) at very high magnification of 41,250X. </w:t>
      </w:r>
    </w:p>
    <w:p w14:paraId="00000068"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Source: Public Health Image Library, Center for Disease Control and Prevention (CDC), Elizabeth White, 2002. </w:t>
      </w:r>
    </w:p>
    <w:p w14:paraId="00000069" w14:textId="77777777" w:rsidR="002A0C82" w:rsidRDefault="002A0C82">
      <w:pPr>
        <w:jc w:val="center"/>
        <w:rPr>
          <w:rFonts w:ascii="Times New Roman" w:eastAsia="Times New Roman" w:hAnsi="Times New Roman" w:cs="Times New Roman"/>
          <w:i/>
          <w:sz w:val="24"/>
          <w:szCs w:val="24"/>
        </w:rPr>
      </w:pPr>
    </w:p>
    <w:p w14:paraId="0000006A" w14:textId="77777777" w:rsidR="002A0C82" w:rsidRDefault="002A0C82">
      <w:pPr>
        <w:jc w:val="center"/>
        <w:rPr>
          <w:rFonts w:ascii="Times New Roman" w:eastAsia="Times New Roman" w:hAnsi="Times New Roman" w:cs="Times New Roman"/>
          <w:sz w:val="24"/>
          <w:szCs w:val="24"/>
        </w:rPr>
      </w:pPr>
    </w:p>
    <w:p w14:paraId="0000006B"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Phenotypic and biochemical properties: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is catalase-positive, possessing the enzyme catalase, which aids in the breakdown of hydrogen peroxide into water and oxygen, enabling the bacterium to withstand oxidative stress within host environments. However, it is oxidase-negative, lacking the enzyme cytochrome c oxidase in its electron transport chain. Furthermore,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displays beta-hemolytic activity, causing complete lysis of red blood cells on blood agar, leading to a clear zone around the colonies. Additionally, it is facultatively anaerobic, capable of thriving in both aerobic and anaerobic conditions, facilitating its adaptability to diverse environments, which contributes to its ability to infect a wide range of hosts and survive in various niches. These biochemical attributes contribute significantly to the pathogenicity and survival strategies of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w:t>
      </w:r>
    </w:p>
    <w:p w14:paraId="0000006C" w14:textId="77777777" w:rsidR="002A0C82" w:rsidRDefault="002A0C82">
      <w:pPr>
        <w:jc w:val="both"/>
        <w:rPr>
          <w:rFonts w:ascii="Times New Roman" w:eastAsia="Times New Roman" w:hAnsi="Times New Roman" w:cs="Times New Roman"/>
          <w:sz w:val="24"/>
          <w:szCs w:val="24"/>
        </w:rPr>
      </w:pPr>
    </w:p>
    <w:p w14:paraId="0000006D" w14:textId="014C91B8" w:rsidR="002A0C82" w:rsidRDefault="0000000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Culture condition and media: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is an </w:t>
      </w:r>
      <w:r w:rsidR="009E3924">
        <w:rPr>
          <w:rFonts w:ascii="Times New Roman" w:eastAsia="Times New Roman" w:hAnsi="Times New Roman" w:cs="Times New Roman"/>
          <w:sz w:val="24"/>
          <w:szCs w:val="24"/>
        </w:rPr>
        <w:t>auxotrophic bacterium</w:t>
      </w:r>
      <w:r>
        <w:rPr>
          <w:rFonts w:ascii="Times New Roman" w:eastAsia="Times New Roman" w:hAnsi="Times New Roman" w:cs="Times New Roman"/>
          <w:sz w:val="24"/>
          <w:szCs w:val="24"/>
        </w:rPr>
        <w:t xml:space="preserve"> that requires seven amino acids (leucine, isoleucine, valine, methionine, arginine, cysteine, and glutamine) and four extra vitamins (thiamine, biotin, riboflavin, and thioctic acid) in order to grow (Premaratne et al., 1991). Brain Heart Infusion (BHI) is a non-selective medium frequently used for cultivating </w:t>
      </w:r>
      <w:r>
        <w:rPr>
          <w:rFonts w:ascii="Times New Roman" w:eastAsia="Times New Roman" w:hAnsi="Times New Roman" w:cs="Times New Roman"/>
          <w:i/>
          <w:sz w:val="24"/>
          <w:szCs w:val="24"/>
        </w:rPr>
        <w:t>Listeria</w:t>
      </w:r>
      <w:r>
        <w:rPr>
          <w:rFonts w:ascii="Times New Roman" w:eastAsia="Times New Roman" w:hAnsi="Times New Roman" w:cs="Times New Roman"/>
          <w:sz w:val="24"/>
          <w:szCs w:val="24"/>
        </w:rPr>
        <w:t xml:space="preserve"> species since it can offer these growth elements (Jones &amp; D'Orazio, 2013). In addition, commonly recommended selective media for the cultivation of </w:t>
      </w:r>
      <w:r w:rsidRPr="009E3924">
        <w:rPr>
          <w:rFonts w:ascii="Times New Roman" w:eastAsia="Times New Roman" w:hAnsi="Times New Roman" w:cs="Times New Roman"/>
          <w:i/>
          <w:iCs/>
          <w:sz w:val="24"/>
          <w:szCs w:val="24"/>
        </w:rPr>
        <w:t>L. monocytogenes</w:t>
      </w:r>
      <w:r>
        <w:rPr>
          <w:rFonts w:ascii="Times New Roman" w:eastAsia="Times New Roman" w:hAnsi="Times New Roman" w:cs="Times New Roman"/>
          <w:sz w:val="24"/>
          <w:szCs w:val="24"/>
        </w:rPr>
        <w:t xml:space="preserve"> include PALCAM agar and Oxford agar. PALCAM agar consists of Columbia Blood Agar and its </w:t>
      </w:r>
      <w:r>
        <w:rPr>
          <w:rFonts w:ascii="Times New Roman" w:eastAsia="Times New Roman" w:hAnsi="Times New Roman" w:cs="Times New Roman"/>
          <w:sz w:val="24"/>
          <w:szCs w:val="24"/>
        </w:rPr>
        <w:lastRenderedPageBreak/>
        <w:t xml:space="preserve">selectivity is achieved by the addition of polymyxin B, acriflavine, ceftazidime, and esculin. After 24-48 hours of incubation at 37°C, </w:t>
      </w:r>
      <w:r>
        <w:rPr>
          <w:rFonts w:ascii="Times New Roman" w:eastAsia="Times New Roman" w:hAnsi="Times New Roman" w:cs="Times New Roman"/>
          <w:i/>
          <w:sz w:val="24"/>
          <w:szCs w:val="24"/>
        </w:rPr>
        <w:t xml:space="preserve">L. monocytogenes </w:t>
      </w:r>
      <w:r>
        <w:rPr>
          <w:rFonts w:ascii="Times New Roman" w:eastAsia="Times New Roman" w:hAnsi="Times New Roman" w:cs="Times New Roman"/>
          <w:sz w:val="24"/>
          <w:szCs w:val="24"/>
        </w:rPr>
        <w:t>colonies on PALCAM agar appear gray-green in color with a black sunken center and a black halo (Law et al., 2015). Oxford medium consists of Columbia Blood Agar and its selectivit</w:t>
      </w:r>
      <w:r w:rsidR="009E3924">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is achieved by addition of lithium chloride, acriflavine, colistin sulfate, cycloheximide, cefotetan, and fosfomycin. After 24 hours of incubation at 37°C, </w:t>
      </w:r>
      <w:r>
        <w:rPr>
          <w:rFonts w:ascii="Times New Roman" w:eastAsia="Times New Roman" w:hAnsi="Times New Roman" w:cs="Times New Roman"/>
          <w:i/>
          <w:sz w:val="24"/>
          <w:szCs w:val="24"/>
        </w:rPr>
        <w:t xml:space="preserve">L. monocytogenes </w:t>
      </w:r>
      <w:r>
        <w:rPr>
          <w:rFonts w:ascii="Times New Roman" w:eastAsia="Times New Roman" w:hAnsi="Times New Roman" w:cs="Times New Roman"/>
          <w:sz w:val="24"/>
          <w:szCs w:val="24"/>
        </w:rPr>
        <w:t>colonies on Oxford agar appear olive-green with a black halo, and after 48 hours they turn darker with a black sunken center and black zones (Law et al., 2015).</w:t>
      </w:r>
    </w:p>
    <w:p w14:paraId="0000006E" w14:textId="77777777" w:rsidR="002A0C82" w:rsidRDefault="002A0C82">
      <w:pPr>
        <w:jc w:val="both"/>
        <w:rPr>
          <w:rFonts w:ascii="Times New Roman" w:eastAsia="Times New Roman" w:hAnsi="Times New Roman" w:cs="Times New Roman"/>
          <w:sz w:val="24"/>
          <w:szCs w:val="24"/>
        </w:rPr>
      </w:pPr>
    </w:p>
    <w:p w14:paraId="0000006F" w14:textId="45785BB1"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Molecular identification:</w:t>
      </w:r>
      <w:r w:rsidR="00054F1A">
        <w:rPr>
          <w:rFonts w:ascii="Times New Roman" w:eastAsia="Times New Roman" w:hAnsi="Times New Roman" w:cs="Times New Roman"/>
          <w:b/>
          <w:sz w:val="24"/>
          <w:szCs w:val="24"/>
        </w:rPr>
        <w:t xml:space="preserve"> </w:t>
      </w:r>
      <w:r w:rsidR="00054F1A" w:rsidRPr="00054F1A">
        <w:rPr>
          <w:rFonts w:ascii="Times New Roman" w:eastAsia="Times New Roman" w:hAnsi="Times New Roman" w:cs="Times New Roman"/>
          <w:bCs/>
          <w:sz w:val="24"/>
          <w:szCs w:val="24"/>
        </w:rPr>
        <w:t>PCR</w:t>
      </w:r>
      <w:r w:rsidRPr="00054F1A">
        <w:rPr>
          <w:rFonts w:ascii="Times New Roman" w:eastAsia="Times New Roman" w:hAnsi="Times New Roman" w:cs="Times New Roman"/>
          <w:bCs/>
          <w:sz w:val="24"/>
          <w:szCs w:val="24"/>
        </w:rPr>
        <w:t xml:space="preserve"> i</w:t>
      </w:r>
      <w:r>
        <w:rPr>
          <w:rFonts w:ascii="Times New Roman" w:eastAsia="Times New Roman" w:hAnsi="Times New Roman" w:cs="Times New Roman"/>
          <w:sz w:val="24"/>
          <w:szCs w:val="24"/>
        </w:rPr>
        <w:t xml:space="preserve">s a highly sensitive and specific molecular technique used for the rapid detection and identification of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PCR can target specific genes unique to the pathogen including internalin genes </w:t>
      </w:r>
      <w:r>
        <w:rPr>
          <w:rFonts w:ascii="Times New Roman" w:eastAsia="Times New Roman" w:hAnsi="Times New Roman" w:cs="Times New Roman"/>
          <w:i/>
          <w:sz w:val="24"/>
          <w:szCs w:val="24"/>
        </w:rPr>
        <w:t>inlA/inlB</w:t>
      </w:r>
      <w:r>
        <w:rPr>
          <w:rFonts w:ascii="Times New Roman" w:eastAsia="Times New Roman" w:hAnsi="Times New Roman" w:cs="Times New Roman"/>
          <w:sz w:val="24"/>
          <w:szCs w:val="24"/>
        </w:rPr>
        <w:t xml:space="preserve">, listeriolysin O precursor gene </w:t>
      </w:r>
      <w:r>
        <w:rPr>
          <w:rFonts w:ascii="Times New Roman" w:eastAsia="Times New Roman" w:hAnsi="Times New Roman" w:cs="Times New Roman"/>
          <w:i/>
          <w:sz w:val="24"/>
          <w:szCs w:val="24"/>
        </w:rPr>
        <w:t>hly</w:t>
      </w:r>
      <w:r>
        <w:rPr>
          <w:rFonts w:ascii="Times New Roman" w:eastAsia="Times New Roman" w:hAnsi="Times New Roman" w:cs="Times New Roman"/>
          <w:sz w:val="24"/>
          <w:szCs w:val="24"/>
        </w:rPr>
        <w:t xml:space="preserve">, phospholipase gene </w:t>
      </w:r>
      <w:r>
        <w:rPr>
          <w:rFonts w:ascii="Times New Roman" w:eastAsia="Times New Roman" w:hAnsi="Times New Roman" w:cs="Times New Roman"/>
          <w:i/>
          <w:sz w:val="24"/>
          <w:szCs w:val="24"/>
        </w:rPr>
        <w:t>plcA/plcB</w:t>
      </w:r>
      <w:r>
        <w:rPr>
          <w:rFonts w:ascii="Times New Roman" w:eastAsia="Times New Roman" w:hAnsi="Times New Roman" w:cs="Times New Roman"/>
          <w:sz w:val="24"/>
          <w:szCs w:val="24"/>
        </w:rPr>
        <w:t xml:space="preserve">, actin-assembly inducing protein precursor gene </w:t>
      </w:r>
      <w:r>
        <w:rPr>
          <w:rFonts w:ascii="Times New Roman" w:eastAsia="Times New Roman" w:hAnsi="Times New Roman" w:cs="Times New Roman"/>
          <w:i/>
          <w:sz w:val="24"/>
          <w:szCs w:val="24"/>
        </w:rPr>
        <w:t>actA</w:t>
      </w:r>
      <w:r>
        <w:rPr>
          <w:rFonts w:ascii="Times New Roman" w:eastAsia="Times New Roman" w:hAnsi="Times New Roman" w:cs="Times New Roman"/>
          <w:sz w:val="24"/>
          <w:szCs w:val="24"/>
        </w:rPr>
        <w:t xml:space="preserve"> (Joseph et al., 2006). Along with PCR, enzyme-linked immunosorbent assay (ELISA) and DNA hybridization has also been used and showed equal sensitivity. In recent times, aside from DNA-based tests, RNA-targeting molecular techniques like real-time quantitative polymerase chain reaction (RT-qPCR) and nucleic acid-based sequence amplification (NASBA) have been created. These tests can be used for quantitative analysis in addition to providing a measure of cell viability (Gasanov et al., 2005).</w:t>
      </w:r>
    </w:p>
    <w:p w14:paraId="00000070" w14:textId="77777777" w:rsidR="002A0C82" w:rsidRDefault="002A0C82">
      <w:pPr>
        <w:jc w:val="both"/>
        <w:rPr>
          <w:rFonts w:ascii="Times New Roman" w:eastAsia="Times New Roman" w:hAnsi="Times New Roman" w:cs="Times New Roman"/>
          <w:sz w:val="24"/>
          <w:szCs w:val="24"/>
        </w:rPr>
      </w:pPr>
    </w:p>
    <w:p w14:paraId="00000071"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Virulence factors: </w:t>
      </w:r>
      <w:r>
        <w:rPr>
          <w:rFonts w:ascii="Times New Roman" w:eastAsia="Times New Roman" w:hAnsi="Times New Roman" w:cs="Times New Roman"/>
          <w:sz w:val="24"/>
          <w:szCs w:val="24"/>
        </w:rPr>
        <w:t xml:space="preserve">One major characteristic of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is the actin filaments, which are commonly referred to as “rocket tails” and especially helpful for propelling within host cell's cytoplasm in low temperature. Surface protein ActA is the virulence factor essential for inducing actin polymerization and forming actin comet tails in the pathogen (Coelho et al., 2019). Other surface-exposed proteins are internalin A and B (InlA/InlB), with InlA primarily mediating entry into epithelial cells and InlB facilitating entry into a broader range of cell types. These internalins also contribute to the traversal of anatomical barriers, such as the intestinal, blood-brain, and placental barriers, enabling the bacterium to cause systemic infections (Ireton et al., 2021). Another major virulence factor of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is Listeriolysin O (LLO) - a pore forming toxin. LLO can break phagosome membranes, enable the pathogen to enter the cytosol, proliferate and minimize harm to its replicative environment within the host cell's cytosol. An additional virulence aiding in the activity of Listeriolysin O is phospholipase PlcB, which regulates the quantity and accessibility of cholesterol in the lipid membrane (Petrišič et al., 2021).</w:t>
      </w:r>
    </w:p>
    <w:p w14:paraId="00000072" w14:textId="77777777" w:rsidR="002A0C82" w:rsidRDefault="002A0C82">
      <w:pPr>
        <w:jc w:val="both"/>
        <w:rPr>
          <w:rFonts w:ascii="Times New Roman" w:eastAsia="Times New Roman" w:hAnsi="Times New Roman" w:cs="Times New Roman"/>
          <w:sz w:val="24"/>
          <w:szCs w:val="24"/>
        </w:rPr>
      </w:pPr>
    </w:p>
    <w:p w14:paraId="00000073"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Diseases and treatments: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can cause a series of diseases known as Listeriosis, a foodborne disease acquired by ingestion of unpasteurized dairy products and cold deli meats.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grows very well at cold temperatures, therefore storage of contaminated food in the refrigerator can increase the risk of infection. And this paradoxical growth in the cold is called “cold enhancement”. Listeriosis has a high mortality rate of 20-30% and affects most severely on pregnant women, adults above 65, infants, and immunocompromised patients. Infection in immunocompromised people can cause gastroenteritis with symptoms of watery diarrhea, fever, </w:t>
      </w:r>
      <w:r>
        <w:rPr>
          <w:rFonts w:ascii="Times New Roman" w:eastAsia="Times New Roman" w:hAnsi="Times New Roman" w:cs="Times New Roman"/>
          <w:sz w:val="24"/>
          <w:szCs w:val="24"/>
        </w:rPr>
        <w:lastRenderedPageBreak/>
        <w:t xml:space="preserve">and abdominal cramps. In pregnancy,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infection can cause abortion and premature delivery. And newborns infected at the time of delivery as well as immunocompromised individuals can develop meningitis, which usually presents with fever, neck stiffness, headache, altered mental status, and other classic signs of meningitis (Jamshidi et al., 2009). Antibiotics used to treat Listeriosis are ampicillin and in some cases combined with gentamicin (Temple 7 Nahata, 2000). </w:t>
      </w:r>
    </w:p>
    <w:p w14:paraId="00000074" w14:textId="77777777" w:rsidR="002A0C82" w:rsidRDefault="002A0C82">
      <w:pPr>
        <w:jc w:val="both"/>
        <w:rPr>
          <w:rFonts w:ascii="Times New Roman" w:eastAsia="Times New Roman" w:hAnsi="Times New Roman" w:cs="Times New Roman"/>
          <w:b/>
          <w:sz w:val="24"/>
          <w:szCs w:val="24"/>
        </w:rPr>
      </w:pPr>
    </w:p>
    <w:p w14:paraId="00000075"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Prevalence: </w:t>
      </w:r>
      <w:r>
        <w:rPr>
          <w:rFonts w:ascii="Times New Roman" w:eastAsia="Times New Roman" w:hAnsi="Times New Roman" w:cs="Times New Roman"/>
          <w:sz w:val="24"/>
          <w:szCs w:val="24"/>
        </w:rPr>
        <w:t xml:space="preserve">Prevalence of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infections and listeriosis in most industrialized countries has decreased over the past several decades due to improved sanitary methods. However, pregnant women still have a tendency of infection. The prevalence was found to be 3.66% among women with spontaneous abortion, 1.83% among women with normal delivery, and 3% among fertile women (Ahmadi et al., 2022). Furthermore, in South-East Asia, the pathogen was identified to exist 16% in food, animal, and environmental sources (Jibo et al., 2022). Interestingly, one study found that in a tropical country such as Ecuador, prevalence of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doubled in the dry season (22.2%) compared to the rainy season (10.4%). The study also reported that this pathogen is detected in 22.5% in mortadella, 19% in hamburger meat, 15% in bacon, 14.5% in chorizo paisa and 10.5% in salami (Meza-Bone et al., 2023). These numbers are comparatively higher than those recorded from a temperate country (deli meat at 2.9%, soft cheese at 2.4%, packaged salad at 2.0%) (Churchill et al., 2019).</w:t>
      </w:r>
    </w:p>
    <w:p w14:paraId="00000076" w14:textId="77777777" w:rsidR="002A0C82" w:rsidRDefault="002A0C82">
      <w:pPr>
        <w:jc w:val="center"/>
        <w:rPr>
          <w:rFonts w:ascii="Times New Roman" w:eastAsia="Times New Roman" w:hAnsi="Times New Roman" w:cs="Times New Roman"/>
          <w:b/>
          <w:sz w:val="28"/>
          <w:szCs w:val="28"/>
        </w:rPr>
      </w:pPr>
    </w:p>
    <w:p w14:paraId="00000077" w14:textId="77777777" w:rsidR="002A0C82" w:rsidRDefault="002A0C82">
      <w:pPr>
        <w:rPr>
          <w:rFonts w:ascii="Times New Roman" w:eastAsia="Times New Roman" w:hAnsi="Times New Roman" w:cs="Times New Roman"/>
          <w:b/>
          <w:sz w:val="28"/>
          <w:szCs w:val="28"/>
        </w:rPr>
      </w:pPr>
    </w:p>
    <w:p w14:paraId="00000078" w14:textId="77777777" w:rsidR="002A0C82" w:rsidRDefault="00000000">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STAPHYLOCOCCUS AUREUS</w:t>
      </w:r>
    </w:p>
    <w:p w14:paraId="00000079" w14:textId="77777777" w:rsidR="002A0C82" w:rsidRDefault="00000000">
      <w:pPr>
        <w:spacing w:before="240" w:after="240"/>
        <w:ind w:left="-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Morphological characteristics: </w:t>
      </w:r>
      <w:r>
        <w:rPr>
          <w:rFonts w:ascii="Times New Roman" w:eastAsia="Times New Roman" w:hAnsi="Times New Roman" w:cs="Times New Roman"/>
          <w:i/>
          <w:sz w:val="24"/>
          <w:szCs w:val="24"/>
        </w:rPr>
        <w:t>Staphylococcus aureus (S. aureus)</w:t>
      </w:r>
      <w:r>
        <w:rPr>
          <w:rFonts w:ascii="Times New Roman" w:eastAsia="Times New Roman" w:hAnsi="Times New Roman" w:cs="Times New Roman"/>
          <w:sz w:val="24"/>
          <w:szCs w:val="24"/>
        </w:rPr>
        <w:t xml:space="preserve"> is a Gram-positive cocci-shaped bacterium.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is a non-spore-forming, nonmotile, and facultative anaerobes (not requiring oxygen). They are often in clusters resembling a bunch of grapes when observed under a light microscope after Gram staining.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forms fairly large yellow or white colonies on nutrient-rich agar media. Carotenoids produced by the organism impart the yellow color of the colonies. The organism is often hemolytic in blood agar because of the production of four types of hemolysins (alpha, beta, gamma, and delta). The size of individual cells can vary, but they are typically around 0.5 to 1.0 micrometers (µm) in diameter.</w:t>
      </w:r>
    </w:p>
    <w:p w14:paraId="0000007A" w14:textId="6902DA20" w:rsidR="002A0C82" w:rsidRDefault="002A0C82">
      <w:pPr>
        <w:spacing w:before="240" w:after="240"/>
        <w:jc w:val="center"/>
        <w:rPr>
          <w:rFonts w:ascii="Times New Roman" w:eastAsia="Times New Roman" w:hAnsi="Times New Roman" w:cs="Times New Roman"/>
          <w:color w:val="FF0000"/>
          <w:sz w:val="24"/>
          <w:szCs w:val="24"/>
        </w:rPr>
      </w:pPr>
    </w:p>
    <w:p w14:paraId="0000007B" w14:textId="77777777" w:rsidR="002A0C82" w:rsidRDefault="00000000">
      <w:pPr>
        <w:spacing w:before="240" w:after="240"/>
        <w:ind w:left="360"/>
        <w:jc w:val="center"/>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b/>
          <w:i/>
          <w:sz w:val="24"/>
          <w:szCs w:val="24"/>
        </w:rPr>
        <w:t xml:space="preserve">Figure 7: </w:t>
      </w:r>
      <w:r>
        <w:rPr>
          <w:rFonts w:ascii="Times New Roman" w:eastAsia="Times New Roman" w:hAnsi="Times New Roman" w:cs="Times New Roman"/>
          <w:i/>
          <w:color w:val="212529"/>
          <w:sz w:val="24"/>
          <w:szCs w:val="24"/>
          <w:highlight w:val="white"/>
        </w:rPr>
        <w:t>This digitally colorized, scanning electron microscopic (SEM) image, depicts four magenta-colored, spherical, methicillin-resistant, Staphylococcus aureus (MRSA) bacteria, that were in the process of being phagocytized by a blue-colored human white blood cell (WBC)</w:t>
      </w:r>
    </w:p>
    <w:p w14:paraId="0000007C" w14:textId="77777777" w:rsidR="002A0C82" w:rsidRDefault="00000000">
      <w:pPr>
        <w:jc w:val="center"/>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sz w:val="24"/>
          <w:szCs w:val="24"/>
        </w:rPr>
        <w:lastRenderedPageBreak/>
        <w:t xml:space="preserve">Source: Public Health Image Library, Center for Disease Control and Prevention (CDC), </w:t>
      </w:r>
      <w:r>
        <w:rPr>
          <w:rFonts w:ascii="Times New Roman" w:eastAsia="Times New Roman" w:hAnsi="Times New Roman" w:cs="Times New Roman"/>
          <w:i/>
          <w:color w:val="212529"/>
          <w:sz w:val="24"/>
          <w:szCs w:val="24"/>
          <w:highlight w:val="white"/>
        </w:rPr>
        <w:t>National Institute of Allergy and Infectious Diseases (NIAID)</w:t>
      </w:r>
      <w:r>
        <w:rPr>
          <w:rFonts w:ascii="Times New Roman" w:eastAsia="Times New Roman" w:hAnsi="Times New Roman" w:cs="Times New Roman"/>
          <w:i/>
          <w:sz w:val="24"/>
          <w:szCs w:val="24"/>
        </w:rPr>
        <w:t>, 2011.</w:t>
      </w:r>
    </w:p>
    <w:p w14:paraId="0000007D" w14:textId="77777777" w:rsidR="002A0C82" w:rsidRDefault="002A0C82">
      <w:pPr>
        <w:spacing w:before="240" w:after="240"/>
        <w:ind w:left="360"/>
        <w:jc w:val="both"/>
        <w:rPr>
          <w:b/>
          <w:i/>
          <w:color w:val="212529"/>
          <w:sz w:val="26"/>
          <w:szCs w:val="26"/>
          <w:highlight w:val="white"/>
        </w:rPr>
      </w:pPr>
    </w:p>
    <w:p w14:paraId="0000007E" w14:textId="15FD459F" w:rsidR="002A0C82" w:rsidRDefault="00000000">
      <w:pPr>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Phenotypic and biochemical properties: </w:t>
      </w:r>
      <w:r>
        <w:rPr>
          <w:rFonts w:ascii="Times New Roman" w:eastAsia="Times New Roman" w:hAnsi="Times New Roman" w:cs="Times New Roman"/>
          <w:sz w:val="24"/>
          <w:szCs w:val="24"/>
        </w:rPr>
        <w:t xml:space="preserve">Some important biochemical features of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help to identify and comprehend its pathogenicity. These properties include catalase production, which breaks down hydrogen peroxide into water and oxygen, and coagulase production, which converts fibrinogen to fibrin, leading to clot formation (Cheung et al., 2021). Hemolysin production is one of the important features of </w:t>
      </w:r>
      <w:r w:rsidRPr="00054F1A">
        <w:rPr>
          <w:rFonts w:ascii="Times New Roman" w:eastAsia="Times New Roman" w:hAnsi="Times New Roman" w:cs="Times New Roman"/>
          <w:i/>
          <w:iCs/>
          <w:sz w:val="24"/>
          <w:szCs w:val="24"/>
        </w:rPr>
        <w:t>S. aureus</w:t>
      </w:r>
      <w:r w:rsidR="00054F1A">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t>enzyme lyse</w:t>
      </w:r>
      <w:r w:rsidR="00054F1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red blood cells, resulting in a clear zone around bacterial colonies on blood agar plates. Mannitol fermentation is another key feature, with </w:t>
      </w:r>
      <w:r w:rsidRPr="00054F1A">
        <w:rPr>
          <w:rFonts w:ascii="Times New Roman" w:eastAsia="Times New Roman" w:hAnsi="Times New Roman" w:cs="Times New Roman"/>
          <w:i/>
          <w:iCs/>
          <w:sz w:val="24"/>
          <w:szCs w:val="24"/>
        </w:rPr>
        <w:t>S. aureus</w:t>
      </w:r>
      <w:r>
        <w:rPr>
          <w:rFonts w:ascii="Times New Roman" w:eastAsia="Times New Roman" w:hAnsi="Times New Roman" w:cs="Times New Roman"/>
          <w:sz w:val="24"/>
          <w:szCs w:val="24"/>
        </w:rPr>
        <w:t xml:space="preserve"> fermenting mannitol salt agar, resulting in acid production that turns the agar yellow. These biochemical characteristics </w:t>
      </w:r>
      <w:r w:rsidR="00054F1A">
        <w:rPr>
          <w:rFonts w:ascii="Times New Roman" w:eastAsia="Times New Roman" w:hAnsi="Times New Roman" w:cs="Times New Roman"/>
          <w:sz w:val="24"/>
          <w:szCs w:val="24"/>
        </w:rPr>
        <w:t>contribute to</w:t>
      </w:r>
      <w:r>
        <w:rPr>
          <w:rFonts w:ascii="Times New Roman" w:eastAsia="Times New Roman" w:hAnsi="Times New Roman" w:cs="Times New Roman"/>
          <w:sz w:val="24"/>
          <w:szCs w:val="24"/>
        </w:rPr>
        <w:t xml:space="preserve"> </w:t>
      </w:r>
      <w:r w:rsidRPr="00054F1A">
        <w:rPr>
          <w:rFonts w:ascii="Times New Roman" w:eastAsia="Times New Roman" w:hAnsi="Times New Roman" w:cs="Times New Roman"/>
          <w:i/>
          <w:iCs/>
          <w:sz w:val="24"/>
          <w:szCs w:val="24"/>
        </w:rPr>
        <w:t>S</w:t>
      </w:r>
      <w:r w:rsidR="00054F1A" w:rsidRPr="00054F1A">
        <w:rPr>
          <w:rFonts w:ascii="Times New Roman" w:eastAsia="Times New Roman" w:hAnsi="Times New Roman" w:cs="Times New Roman"/>
          <w:i/>
          <w:iCs/>
          <w:sz w:val="24"/>
          <w:szCs w:val="24"/>
        </w:rPr>
        <w:t>.</w:t>
      </w:r>
      <w:r w:rsidRPr="00054F1A">
        <w:rPr>
          <w:rFonts w:ascii="Times New Roman" w:eastAsia="Times New Roman" w:hAnsi="Times New Roman" w:cs="Times New Roman"/>
          <w:i/>
          <w:iCs/>
          <w:sz w:val="24"/>
          <w:szCs w:val="24"/>
        </w:rPr>
        <w:t xml:space="preserve"> aureus</w:t>
      </w:r>
      <w:r>
        <w:rPr>
          <w:rFonts w:ascii="Times New Roman" w:eastAsia="Times New Roman" w:hAnsi="Times New Roman" w:cs="Times New Roman"/>
          <w:sz w:val="24"/>
          <w:szCs w:val="24"/>
        </w:rPr>
        <w:t xml:space="preserve"> </w:t>
      </w:r>
      <w:r w:rsidR="00054F1A">
        <w:rPr>
          <w:rFonts w:ascii="Times New Roman" w:eastAsia="Times New Roman" w:hAnsi="Times New Roman" w:cs="Times New Roman"/>
          <w:sz w:val="24"/>
          <w:szCs w:val="24"/>
        </w:rPr>
        <w:t>virulence and are also used for identification.</w:t>
      </w:r>
    </w:p>
    <w:p w14:paraId="0000007F" w14:textId="77777777" w:rsidR="002A0C82" w:rsidRDefault="00000000">
      <w:pPr>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Culture conditions: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produces the yellow pigment staphyloxanthin and characteristic gold-colored colonies are formed on all rich media such as tryptic soy agar (TSA) at a temperature of 37°C, brain heart infusion (BHI) agar, and Luria Bertani (LB) agar.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develops black colonies surrounded by a zone of lipid precipitation when grown on Baird-Parker agar with egg yolk tellurite. This lipid precipitation is induced by the release of glycerol-ester hydrolases (lipases) (Rosenstein &amp; Götz, 2000). The presence of tellurite and lithium chloride in Baird-Parker agar inhibits the development of the majority of bacteria, whereas pyruvate and glycine selectively stimulate the growth of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Tryptic soy broth (TSB) and BHI are the optimal media for cultivating </w:t>
      </w:r>
      <w:r>
        <w:rPr>
          <w:rFonts w:ascii="Times New Roman" w:eastAsia="Times New Roman" w:hAnsi="Times New Roman" w:cs="Times New Roman"/>
          <w:i/>
          <w:sz w:val="24"/>
          <w:szCs w:val="24"/>
        </w:rPr>
        <w:t>Staphylococci</w:t>
      </w:r>
      <w:r>
        <w:rPr>
          <w:rFonts w:ascii="Times New Roman" w:eastAsia="Times New Roman" w:hAnsi="Times New Roman" w:cs="Times New Roman"/>
          <w:sz w:val="24"/>
          <w:szCs w:val="24"/>
        </w:rPr>
        <w:t xml:space="preserve"> cultures. Cultures are incubated at a temperature of 37°C with aeration.</w:t>
      </w:r>
    </w:p>
    <w:p w14:paraId="00000080" w14:textId="77777777" w:rsidR="002A0C82" w:rsidRDefault="00000000">
      <w:pPr>
        <w:spacing w:before="240" w:after="240"/>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Identification methods: </w:t>
      </w:r>
      <w:r>
        <w:rPr>
          <w:rFonts w:ascii="Times New Roman" w:eastAsia="Times New Roman" w:hAnsi="Times New Roman" w:cs="Times New Roman"/>
          <w:sz w:val="24"/>
          <w:szCs w:val="24"/>
        </w:rPr>
        <w:t xml:space="preserve">Initially, a Gram stain is performed as a preliminary step to provide guidance. This stain should reveal the presence of characteristic Gram-positive bacteria, specifically cocci arranged in clusters. Next, the isolate is grown on mannitol salt agar, a specialized medium containing 7.5% NaCl that promotes the growth of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This growth leads to the formation of yellow colonies due to the fermentation of mannitol and the consequent decrease in the pH of the medium. In addition, to differentiate between species, various tests are conducted including catalase (positive for all Staphylococcus species), coagulase (positive for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indicated by fibrin clot formation), DNAse (indicated by a zone of clearance on DNase agar), lipase (indicated by a yellow color and rancid odor), and phosphatase (indicated by a pink color). The coagulase test is used to determine whether an infection is caused by </w:t>
      </w:r>
      <w:r>
        <w:rPr>
          <w:rFonts w:ascii="Times New Roman" w:eastAsia="Times New Roman" w:hAnsi="Times New Roman" w:cs="Times New Roman"/>
          <w:i/>
          <w:sz w:val="24"/>
          <w:szCs w:val="24"/>
        </w:rPr>
        <w:t>S. aureus.</w:t>
      </w:r>
    </w:p>
    <w:p w14:paraId="00000081" w14:textId="77777777" w:rsidR="002A0C82" w:rsidRDefault="00000000">
      <w:pPr>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Virulence factors and antibiotic resistance genes/proteins: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is a pathogen that produces various enzymes and toxins that enhance its pathogenicity and adaptability. These enzymes include coagulase, which converts fibrinogen to fibrin, hyaluronidase, which breaks down hyaluronic acid, deoxyribonuclease, which degrades DNA, lipase, staphylokinase, and </w:t>
      </w:r>
      <w:r>
        <w:rPr>
          <w:rFonts w:ascii="Times New Roman" w:eastAsia="Times New Roman" w:hAnsi="Times New Roman" w:cs="Times New Roman"/>
          <w:sz w:val="24"/>
          <w:szCs w:val="24"/>
        </w:rPr>
        <w:lastRenderedPageBreak/>
        <w:t xml:space="preserve">beta-lactamase, which promote the spread of infections. Additionally, S. aureus secretes several exotoxins, which are associated with specific diseases. Superantigens, such as 25 identified staphylococcal enterotoxins (SEA - SEZ) and toxic shock syndrome toxin (TSST-1), can cause toxic shock syndrome (TSS), characterized by fever, rash, low blood pressure, shock, organ failure, and skin peeling. Some strains also produce enterotoxins that cause gastroenteritis, nausea, vomiting, diarrhea, and abdominal pain. Exfoliative toxins are responsible for staphylococcal scalded skin syndrome (SSSS), primarily affecting infants and young children.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also produces other toxins that act on cell membranes, such as alpha, beta, and delta toxins, and bicomponent toxins like Panton-Valentine leukocidin (PVL), which is associated with severe necrotizing pneumonia in children. These enzymes and toxins significantly contribute to the virulence and adaptability of S. aureus, making it a formidable pathogen.</w:t>
      </w:r>
    </w:p>
    <w:p w14:paraId="00000082" w14:textId="77777777" w:rsidR="002A0C82" w:rsidRDefault="00000000">
      <w:pPr>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biofilms play a crucial role in the development of diseases, as they can enhance resistance to antibiotics and evade the immune system. The biofilm formed by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exhibits significant resistance to both antibiotic treatments and the immunological response of the host.</w:t>
      </w:r>
    </w:p>
    <w:p w14:paraId="00000083" w14:textId="2D76E6C0" w:rsidR="002A0C82"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84" w14:textId="77777777" w:rsidR="002A0C82" w:rsidRDefault="00000000">
      <w:pPr>
        <w:spacing w:before="240" w:after="240"/>
        <w:ind w:left="360"/>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8: </w:t>
      </w:r>
      <w:r>
        <w:rPr>
          <w:rFonts w:ascii="Times New Roman" w:eastAsia="Times New Roman" w:hAnsi="Times New Roman" w:cs="Times New Roman"/>
          <w:i/>
          <w:sz w:val="24"/>
          <w:szCs w:val="24"/>
        </w:rPr>
        <w:t>This image depicts a Petri dish culture plate containing an unidentified growth medium, which had been inoculated with the facultative anaerobic bacterium, Staphylococcus aureus. This dish was created in order to perform an antimicrobial sensitivity test, and was incubated in an anaerobic environment.</w:t>
      </w:r>
    </w:p>
    <w:p w14:paraId="00000085"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Source: Public Health Image Library, Center for Disease Control and Prevention (CDC), </w:t>
      </w:r>
      <w:r>
        <w:rPr>
          <w:rFonts w:ascii="Times New Roman" w:eastAsia="Times New Roman" w:hAnsi="Times New Roman" w:cs="Times New Roman"/>
          <w:i/>
          <w:color w:val="212529"/>
          <w:sz w:val="24"/>
          <w:szCs w:val="24"/>
          <w:highlight w:val="white"/>
        </w:rPr>
        <w:t>Don Stalons</w:t>
      </w:r>
      <w:r>
        <w:rPr>
          <w:rFonts w:ascii="Times New Roman" w:eastAsia="Times New Roman" w:hAnsi="Times New Roman" w:cs="Times New Roman"/>
          <w:i/>
          <w:sz w:val="24"/>
          <w:szCs w:val="24"/>
        </w:rPr>
        <w:t>, 1972.</w:t>
      </w:r>
    </w:p>
    <w:p w14:paraId="00000087" w14:textId="77777777" w:rsidR="002A0C82" w:rsidRDefault="00000000">
      <w:pP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sz w:val="24"/>
          <w:szCs w:val="24"/>
        </w:rPr>
        <w:t xml:space="preserve">Diseases and treatment: </w:t>
      </w:r>
      <w:r>
        <w:rPr>
          <w:rFonts w:ascii="Times New Roman" w:eastAsia="Times New Roman" w:hAnsi="Times New Roman" w:cs="Times New Roman"/>
          <w:color w:val="1F1F1F"/>
          <w:sz w:val="24"/>
          <w:szCs w:val="24"/>
        </w:rPr>
        <w:t xml:space="preserve">The natural habitats of </w:t>
      </w:r>
      <w:r>
        <w:rPr>
          <w:rFonts w:ascii="Times New Roman" w:eastAsia="Times New Roman" w:hAnsi="Times New Roman" w:cs="Times New Roman"/>
          <w:i/>
          <w:color w:val="1F1F1F"/>
          <w:sz w:val="24"/>
          <w:szCs w:val="24"/>
        </w:rPr>
        <w:t>S. aureus</w:t>
      </w:r>
      <w:r>
        <w:rPr>
          <w:rFonts w:ascii="Times New Roman" w:eastAsia="Times New Roman" w:hAnsi="Times New Roman" w:cs="Times New Roman"/>
          <w:color w:val="1F1F1F"/>
          <w:sz w:val="24"/>
          <w:szCs w:val="24"/>
        </w:rPr>
        <w:t xml:space="preserve"> are healthy people's nose, throat, hair, skin, and mucous membranes. Most infections caused by </w:t>
      </w:r>
      <w:r>
        <w:rPr>
          <w:rFonts w:ascii="Times New Roman" w:eastAsia="Times New Roman" w:hAnsi="Times New Roman" w:cs="Times New Roman"/>
          <w:i/>
          <w:color w:val="1F1F1F"/>
          <w:sz w:val="24"/>
          <w:szCs w:val="24"/>
        </w:rPr>
        <w:t>S. aureus</w:t>
      </w:r>
      <w:r>
        <w:rPr>
          <w:rFonts w:ascii="Times New Roman" w:eastAsia="Times New Roman" w:hAnsi="Times New Roman" w:cs="Times New Roman"/>
          <w:color w:val="1F1F1F"/>
          <w:sz w:val="24"/>
          <w:szCs w:val="24"/>
        </w:rPr>
        <w:t xml:space="preserve"> are skin and soft tissue infections such as abscesses or cellulitis. S. aureus can also induce severe infections, including pneumonia (lung infection) and bacteremia (bloodstream infection). Malaise, fever, shivers, and difficulty breathing are some of the symptoms of these infections.</w:t>
      </w:r>
    </w:p>
    <w:p w14:paraId="00000088"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Infections involving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are treated with antibiotics. Penicillin is the preferred treatment for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infection in susceptible strains. However, in the majority of countries, penicillin resistance is exceedingly prevalent (&gt;90%). The initial treatment is typically a penicillinase-resistant β-lactam antibiotic (e.g., oxacillin or flucloxacillin, which share the same mechanism of action as penicillin) or vancomycin, based on the local resistance patterns. Methicillin-resistant Staphylococcus aureus (MRSA) is one of several strains of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that have developed resistance to the majority of β-lactam antibiotics. Vancomycin, a glycopeptide antibiotic, is often used to treat MRSA as a result.</w:t>
      </w:r>
    </w:p>
    <w:p w14:paraId="00000089" w14:textId="457F2785" w:rsidR="002A0C82"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08A" w14:textId="77777777" w:rsidR="002A0C82" w:rsidRDefault="00000000">
      <w:pPr>
        <w:spacing w:before="240" w:after="240"/>
        <w:ind w:left="360"/>
        <w:jc w:val="center"/>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b/>
          <w:color w:val="212529"/>
          <w:sz w:val="24"/>
          <w:szCs w:val="24"/>
          <w:highlight w:val="white"/>
        </w:rPr>
        <w:t xml:space="preserve">Figure 9: </w:t>
      </w:r>
      <w:r>
        <w:rPr>
          <w:rFonts w:ascii="Times New Roman" w:eastAsia="Times New Roman" w:hAnsi="Times New Roman" w:cs="Times New Roman"/>
          <w:i/>
          <w:color w:val="212529"/>
          <w:sz w:val="24"/>
          <w:szCs w:val="24"/>
          <w:highlight w:val="white"/>
        </w:rPr>
        <w:t>The lesions on the volar surface of this patient’s left forearm proved to be Streptococcal impetigo, a dermatologic condition quite often caused by Staphylococcus aureus bacteria</w:t>
      </w:r>
    </w:p>
    <w:p w14:paraId="0000008B" w14:textId="77777777" w:rsidR="002A0C82" w:rsidRDefault="00000000">
      <w:pPr>
        <w:jc w:val="cente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i/>
          <w:sz w:val="24"/>
          <w:szCs w:val="24"/>
        </w:rPr>
        <w:t>Source: Public Health Image Library, Center for Disease Control and Prevention (CDC),</w:t>
      </w:r>
      <w:r>
        <w:rPr>
          <w:rFonts w:ascii="Times New Roman" w:eastAsia="Times New Roman" w:hAnsi="Times New Roman" w:cs="Times New Roman"/>
          <w:i/>
          <w:color w:val="212529"/>
          <w:sz w:val="24"/>
          <w:szCs w:val="24"/>
          <w:highlight w:val="white"/>
        </w:rPr>
        <w:t>Dr. Herman Miranda, Univ.of Trujello, Peru; A. Chambers</w:t>
      </w:r>
      <w:r>
        <w:rPr>
          <w:rFonts w:ascii="Times New Roman" w:eastAsia="Times New Roman" w:hAnsi="Times New Roman" w:cs="Times New Roman"/>
          <w:i/>
          <w:sz w:val="24"/>
          <w:szCs w:val="24"/>
        </w:rPr>
        <w:t>, 1964.</w:t>
      </w:r>
    </w:p>
    <w:p w14:paraId="0000008C" w14:textId="77777777" w:rsidR="002A0C82" w:rsidRDefault="00000000">
      <w:pPr>
        <w:spacing w:before="240" w:after="240"/>
        <w:ind w:left="360"/>
        <w:jc w:val="both"/>
        <w:rPr>
          <w:rFonts w:ascii="Times New Roman" w:eastAsia="Times New Roman" w:hAnsi="Times New Roman" w:cs="Times New Roman"/>
          <w:i/>
          <w:color w:val="202122"/>
          <w:sz w:val="24"/>
          <w:szCs w:val="24"/>
        </w:rPr>
      </w:pPr>
      <w:r>
        <w:rPr>
          <w:rFonts w:ascii="Times New Roman" w:eastAsia="Times New Roman" w:hAnsi="Times New Roman" w:cs="Times New Roman"/>
          <w:b/>
          <w:sz w:val="24"/>
          <w:szCs w:val="24"/>
        </w:rPr>
        <w:t>Prevalence and prevention: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02122"/>
          <w:sz w:val="24"/>
          <w:szCs w:val="24"/>
        </w:rPr>
        <w:t>In 2019,</w:t>
      </w:r>
      <w:r>
        <w:rPr>
          <w:rFonts w:ascii="Times New Roman" w:eastAsia="Times New Roman" w:hAnsi="Times New Roman" w:cs="Times New Roman"/>
          <w:i/>
          <w:color w:val="202122"/>
          <w:sz w:val="24"/>
          <w:szCs w:val="24"/>
        </w:rPr>
        <w:t xml:space="preserve"> S. aureus</w:t>
      </w:r>
      <w:r>
        <w:rPr>
          <w:rFonts w:ascii="Times New Roman" w:eastAsia="Times New Roman" w:hAnsi="Times New Roman" w:cs="Times New Roman"/>
          <w:color w:val="202122"/>
          <w:sz w:val="24"/>
          <w:szCs w:val="24"/>
        </w:rPr>
        <w:t xml:space="preserve"> was identified as the second most prevalent pathogen causing deaths associated with antimicrobial resistance </w:t>
      </w:r>
      <w:r>
        <w:rPr>
          <w:rFonts w:ascii="Times New Roman" w:eastAsia="Times New Roman" w:hAnsi="Times New Roman" w:cs="Times New Roman"/>
          <w:sz w:val="24"/>
          <w:szCs w:val="24"/>
        </w:rPr>
        <w:t>(Zhang et al., 2023)</w:t>
      </w:r>
      <w:r>
        <w:rPr>
          <w:rFonts w:ascii="Times New Roman" w:eastAsia="Times New Roman" w:hAnsi="Times New Roman" w:cs="Times New Roman"/>
          <w:color w:val="202122"/>
          <w:sz w:val="24"/>
          <w:szCs w:val="24"/>
        </w:rPr>
        <w:t xml:space="preserve">. Developing a vaccine against </w:t>
      </w:r>
      <w:r>
        <w:rPr>
          <w:rFonts w:ascii="Times New Roman" w:eastAsia="Times New Roman" w:hAnsi="Times New Roman" w:cs="Times New Roman"/>
          <w:i/>
          <w:color w:val="202122"/>
          <w:sz w:val="24"/>
          <w:szCs w:val="24"/>
        </w:rPr>
        <w:t>S.aureus</w:t>
      </w:r>
      <w:r>
        <w:rPr>
          <w:rFonts w:ascii="Times New Roman" w:eastAsia="Times New Roman" w:hAnsi="Times New Roman" w:cs="Times New Roman"/>
          <w:color w:val="202122"/>
          <w:sz w:val="24"/>
          <w:szCs w:val="24"/>
        </w:rPr>
        <w:t xml:space="preserve"> has been unsuccessful for over a decade. StaphVAX (Nabi Biopharmaceuticals, Rockville, MD) and V710 (Merck, Kenilworth, NJ) are notable examples. There are numerous reasons for these failures, but one of the most significant has been the challenge of identifying correlates of protective immunity to </w:t>
      </w:r>
      <w:r>
        <w:rPr>
          <w:rFonts w:ascii="Times New Roman" w:eastAsia="Times New Roman" w:hAnsi="Times New Roman" w:cs="Times New Roman"/>
          <w:i/>
          <w:color w:val="202122"/>
          <w:sz w:val="24"/>
          <w:szCs w:val="24"/>
        </w:rPr>
        <w:t>S.aureus.</w:t>
      </w:r>
    </w:p>
    <w:p w14:paraId="0000008D" w14:textId="77777777" w:rsidR="002A0C82" w:rsidRDefault="00000000">
      <w:pPr>
        <w:spacing w:before="240" w:after="240"/>
        <w:jc w:val="center"/>
        <w:rPr>
          <w:rFonts w:ascii="Times New Roman" w:eastAsia="Times New Roman" w:hAnsi="Times New Roman" w:cs="Times New Roman"/>
          <w:b/>
          <w:sz w:val="24"/>
          <w:szCs w:val="24"/>
        </w:rPr>
      </w:pPr>
      <w:r>
        <w:br w:type="page"/>
      </w:r>
    </w:p>
    <w:p w14:paraId="0000008E" w14:textId="77777777" w:rsidR="002A0C82" w:rsidRDefault="002A0C82">
      <w:pPr>
        <w:jc w:val="center"/>
        <w:rPr>
          <w:rFonts w:ascii="Times New Roman" w:eastAsia="Times New Roman" w:hAnsi="Times New Roman" w:cs="Times New Roman"/>
          <w:b/>
          <w:sz w:val="28"/>
          <w:szCs w:val="28"/>
        </w:rPr>
      </w:pPr>
    </w:p>
    <w:p w14:paraId="0000008F" w14:textId="77777777" w:rsidR="002A0C82" w:rsidRDefault="00000000">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STAPHYLOCOCCUS EPIDERMIDIS</w:t>
      </w:r>
    </w:p>
    <w:p w14:paraId="00000090"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Morphological characteristics: </w:t>
      </w:r>
      <w:r>
        <w:rPr>
          <w:rFonts w:ascii="Times New Roman" w:eastAsia="Times New Roman" w:hAnsi="Times New Roman" w:cs="Times New Roman"/>
          <w:i/>
          <w:sz w:val="24"/>
          <w:szCs w:val="24"/>
        </w:rPr>
        <w:t xml:space="preserve">Staphylococcus epidermidis (S. epidermidis) </w:t>
      </w:r>
      <w:r>
        <w:rPr>
          <w:rFonts w:ascii="Times New Roman" w:eastAsia="Times New Roman" w:hAnsi="Times New Roman" w:cs="Times New Roman"/>
          <w:sz w:val="24"/>
          <w:szCs w:val="24"/>
        </w:rPr>
        <w:t>is a Gram-positive bacterium belonging to the genus Staphylococcus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It is a coagulase-negative, catalase-positive, and facultative anaerobic bacteria that forms clusters.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cells are in cocci shape which is around 0.5 to 1.5 micrometers in diameter. It is frequently isolated from human epithelium, especially from axillae, nares, and the head.</w:t>
      </w:r>
    </w:p>
    <w:p w14:paraId="00000091" w14:textId="3A1BF601" w:rsidR="002A0C82" w:rsidRDefault="002A0C82">
      <w:pPr>
        <w:spacing w:before="240" w:after="240"/>
        <w:jc w:val="center"/>
        <w:rPr>
          <w:rFonts w:ascii="Times New Roman" w:eastAsia="Times New Roman" w:hAnsi="Times New Roman" w:cs="Times New Roman"/>
          <w:b/>
          <w:sz w:val="24"/>
          <w:szCs w:val="24"/>
        </w:rPr>
      </w:pPr>
    </w:p>
    <w:p w14:paraId="00000092" w14:textId="77777777" w:rsidR="002A0C82" w:rsidRDefault="00000000">
      <w:pPr>
        <w:jc w:val="center"/>
        <w:rPr>
          <w:rFonts w:ascii="Times New Roman" w:eastAsia="Times New Roman" w:hAnsi="Times New Roman" w:cs="Times New Roman"/>
          <w:i/>
          <w:color w:val="0D0D0D"/>
          <w:sz w:val="24"/>
          <w:szCs w:val="24"/>
          <w:highlight w:val="white"/>
        </w:rPr>
      </w:pPr>
      <w:r>
        <w:rPr>
          <w:rFonts w:ascii="Times New Roman" w:eastAsia="Times New Roman" w:hAnsi="Times New Roman" w:cs="Times New Roman"/>
          <w:b/>
          <w:color w:val="0D0D0D"/>
          <w:sz w:val="24"/>
          <w:szCs w:val="24"/>
          <w:highlight w:val="white"/>
        </w:rPr>
        <w:t xml:space="preserve">Figure 10: </w:t>
      </w:r>
      <w:r>
        <w:rPr>
          <w:rFonts w:ascii="Times New Roman" w:eastAsia="Times New Roman" w:hAnsi="Times New Roman" w:cs="Times New Roman"/>
          <w:i/>
          <w:color w:val="0D0D0D"/>
          <w:sz w:val="24"/>
          <w:szCs w:val="24"/>
          <w:highlight w:val="white"/>
        </w:rPr>
        <w:t>Two Staphylococcus epidermidis bacteria observed by scanning electron microscopic (SEM) and digitally colored.</w:t>
      </w:r>
    </w:p>
    <w:p w14:paraId="00000093" w14:textId="77777777" w:rsidR="002A0C82" w:rsidRDefault="00000000">
      <w:pPr>
        <w:jc w:val="cente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i/>
          <w:color w:val="0D0D0D"/>
          <w:sz w:val="24"/>
          <w:szCs w:val="24"/>
          <w:highlight w:val="white"/>
        </w:rPr>
        <w:t>Source: Public Health Image Library, Center for Disease Control and Prevention, Janice Haney Carr.</w:t>
      </w:r>
    </w:p>
    <w:p w14:paraId="00000095"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Phenotypic and biochemical properties: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is a Gram-positive bacterium. It is oxidase-negative and catalase-positive. The bacterium shows negative results for the Methyl Red test and Indole test. In contrast, it shows positive for hydrogen sulfide (H₂S) production, urease, and nitrate reductase. Moreover, it is positive for the Voges-Proskauer test and β-galactosidase activity (Paul et al., 2021). These biochemical properties help distinguish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from other </w:t>
      </w:r>
      <w:r>
        <w:rPr>
          <w:rFonts w:ascii="Times New Roman" w:eastAsia="Times New Roman" w:hAnsi="Times New Roman" w:cs="Times New Roman"/>
          <w:i/>
          <w:sz w:val="24"/>
          <w:szCs w:val="24"/>
        </w:rPr>
        <w:t>Staphylococcus</w:t>
      </w:r>
      <w:r>
        <w:rPr>
          <w:rFonts w:ascii="Times New Roman" w:eastAsia="Times New Roman" w:hAnsi="Times New Roman" w:cs="Times New Roman"/>
          <w:sz w:val="24"/>
          <w:szCs w:val="24"/>
        </w:rPr>
        <w:t xml:space="preserve"> species and other genera.</w:t>
      </w:r>
    </w:p>
    <w:p w14:paraId="00000096" w14:textId="30941DCA"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Culture conditions:</w:t>
      </w:r>
      <w:r>
        <w:rPr>
          <w:rFonts w:ascii="Times New Roman" w:eastAsia="Times New Roman" w:hAnsi="Times New Roman" w:cs="Times New Roman"/>
          <w:sz w:val="24"/>
          <w:szCs w:val="24"/>
        </w:rPr>
        <w:t xml:space="preserve"> </w:t>
      </w:r>
      <w:r w:rsidR="00054F1A">
        <w:rPr>
          <w:rFonts w:ascii="Times New Roman" w:eastAsia="Times New Roman" w:hAnsi="Times New Roman" w:cs="Times New Roman"/>
          <w:sz w:val="24"/>
          <w:szCs w:val="24"/>
        </w:rPr>
        <w:t>Staphylococci are generally cultured in</w:t>
      </w:r>
      <w:r>
        <w:rPr>
          <w:rFonts w:ascii="Times New Roman" w:eastAsia="Times New Roman" w:hAnsi="Times New Roman" w:cs="Times New Roman"/>
          <w:sz w:val="24"/>
          <w:szCs w:val="24"/>
        </w:rPr>
        <w:t xml:space="preserve"> blood, tryptic soy, or heart infusion agar. The culture can also be introduced onto mannitol salt agar containing 7.5% sodium chloride, as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can tolerate high salt concentrations. </w:t>
      </w:r>
    </w:p>
    <w:p w14:paraId="009A698E" w14:textId="77777777" w:rsidR="00054F1A" w:rsidRDefault="00000000" w:rsidP="00054F1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Identification methods: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is usually detected by colonies on selective media, light microscopy, catalase, and slide coagulase testing. Zobell agar is useful for the isolation of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from marine organisms (Paul et al., 2021). On the Baird-Parker agar with egg yolk supplement, colonies appear small and black. Real-time polymerase chain reaction is also being used to rapidly detect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(Kim et al., 2021).</w:t>
      </w:r>
      <w:r w:rsidR="00054F1A">
        <w:rPr>
          <w:rFonts w:ascii="Times New Roman" w:eastAsia="Times New Roman" w:hAnsi="Times New Roman" w:cs="Times New Roman"/>
          <w:sz w:val="24"/>
          <w:szCs w:val="24"/>
        </w:rPr>
        <w:t xml:space="preserve"> If available, matrix-assisted laser desorption/ionization time-of-flight mass spectrometry (MALDI-TOF) can be used to distinguish different CoNS. The final diagnosis relies on the combination of clinical symptoms and paraclinical studies. The selected tests depend not only on the suspected infection type but also on local guidelines.</w:t>
      </w:r>
    </w:p>
    <w:p w14:paraId="00000098"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Virulence factors and antibiotic resistance genes/proteins:</w:t>
      </w:r>
      <w:r>
        <w:rPr>
          <w:rFonts w:ascii="Times New Roman" w:eastAsia="Times New Roman" w:hAnsi="Times New Roman" w:cs="Times New Roman"/>
          <w:sz w:val="24"/>
          <w:szCs w:val="24"/>
        </w:rPr>
        <w:t xml:space="preserve"> Biofilm formation is the primary virulence factor of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as it produces an extracellular material called polysaccharide intercellular adhesin (PIA), which allows bacteria to bind to the existing biofilm, creating a multilayer biofilm. This decreases the metabolic activity of bacteria within the biofilm, making it </w:t>
      </w:r>
      <w:r>
        <w:rPr>
          <w:rFonts w:ascii="Times New Roman" w:eastAsia="Times New Roman" w:hAnsi="Times New Roman" w:cs="Times New Roman"/>
          <w:sz w:val="24"/>
          <w:szCs w:val="24"/>
        </w:rPr>
        <w:lastRenderedPageBreak/>
        <w:t xml:space="preserve">difficult for antibiotics to effectively clear the infection (Otto, 2009).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strains are often resistant to antibiotics, including rifamycin, fluoroquinolones, gentamicin, tetracycline, clindamycin, and sulfonamides. Methicillin resistance is particularly widespread, with 75-90% of hospital isolates resistance to methicillin (Otto, 2009). Methicillin-Resistant </w:t>
      </w:r>
      <w:r>
        <w:rPr>
          <w:rFonts w:ascii="Times New Roman" w:eastAsia="Times New Roman" w:hAnsi="Times New Roman" w:cs="Times New Roman"/>
          <w:i/>
          <w:sz w:val="24"/>
          <w:szCs w:val="24"/>
        </w:rPr>
        <w:t>Staphylococcus epidermidis</w:t>
      </w:r>
      <w:r>
        <w:rPr>
          <w:rFonts w:ascii="Times New Roman" w:eastAsia="Times New Roman" w:hAnsi="Times New Roman" w:cs="Times New Roman"/>
          <w:sz w:val="24"/>
          <w:szCs w:val="24"/>
        </w:rPr>
        <w:t xml:space="preserve"> (MRSE) strains harbor the mecA gene, conferring resistance to methicillin and other beta-lactam antibiotics. This resistance complicates treatment options and enhances the persistence of infections.</w:t>
      </w:r>
    </w:p>
    <w:p w14:paraId="00000099"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Diseases and treatment: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 epidermidis </w:t>
      </w:r>
      <w:r>
        <w:rPr>
          <w:rFonts w:ascii="Times New Roman" w:eastAsia="Times New Roman" w:hAnsi="Times New Roman" w:cs="Times New Roman"/>
          <w:sz w:val="24"/>
          <w:szCs w:val="24"/>
        </w:rPr>
        <w:t>is a prevalent symbiotic organism found on the skin and mucous membranes of humans and other mammals. Typically,</w:t>
      </w:r>
      <w:r>
        <w:rPr>
          <w:rFonts w:ascii="Times New Roman" w:eastAsia="Times New Roman" w:hAnsi="Times New Roman" w:cs="Times New Roman"/>
          <w:i/>
          <w:sz w:val="24"/>
          <w:szCs w:val="24"/>
        </w:rPr>
        <w:t xml:space="preserve"> S. epidermidis </w:t>
      </w:r>
      <w:r>
        <w:rPr>
          <w:rFonts w:ascii="Times New Roman" w:eastAsia="Times New Roman" w:hAnsi="Times New Roman" w:cs="Times New Roman"/>
          <w:sz w:val="24"/>
          <w:szCs w:val="24"/>
        </w:rPr>
        <w:t>poses no threat to individuals in good health. It is a disease with low virulence that can infect patients with weakened immune systems or those with implants. Moreover,</w:t>
      </w:r>
      <w:r>
        <w:rPr>
          <w:rFonts w:ascii="Times New Roman" w:eastAsia="Times New Roman" w:hAnsi="Times New Roman" w:cs="Times New Roman"/>
          <w:i/>
          <w:sz w:val="24"/>
          <w:szCs w:val="24"/>
        </w:rPr>
        <w:t xml:space="preserve"> S. epidermidis </w:t>
      </w:r>
      <w:r>
        <w:rPr>
          <w:rFonts w:ascii="Times New Roman" w:eastAsia="Times New Roman" w:hAnsi="Times New Roman" w:cs="Times New Roman"/>
          <w:sz w:val="24"/>
          <w:szCs w:val="24"/>
        </w:rPr>
        <w:t>can form biofilm on any abiotic surface.</w:t>
      </w:r>
    </w:p>
    <w:p w14:paraId="0000009A" w14:textId="77777777" w:rsidR="002A0C82"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Prevalence and prevention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is responsible for 30 to 43% of infections in artificial joints. It also causes about 22% of bloodstream infections in intensive care units, almost 13% of infections in prosthetic valves, and most cases of sepsis in neonates. These infections increase mortality, prolonged hospitalization, and additional surgeries (Otto, 2009). Vaccination and decolonization are not suitable for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It is widely accepted that prevention is the most effective approach to managing S. epidermidis infections (Skovdal et al., 2022). This involves sterilizing medical equipment and the body parts of patients as well as doctors who may come into contact with indwelling medical devices during surgery.</w:t>
      </w:r>
    </w:p>
    <w:p w14:paraId="0000009B" w14:textId="77777777" w:rsidR="002A0C82"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p>
    <w:p w14:paraId="0000009C" w14:textId="77777777" w:rsidR="002A0C8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STREPTOCOCCUS PNEUMONIAE</w:t>
      </w:r>
    </w:p>
    <w:p w14:paraId="0000009D" w14:textId="77777777" w:rsidR="002A0C82" w:rsidRDefault="002A0C82">
      <w:pPr>
        <w:rPr>
          <w:rFonts w:ascii="Times New Roman" w:eastAsia="Times New Roman" w:hAnsi="Times New Roman" w:cs="Times New Roman"/>
          <w:b/>
          <w:sz w:val="24"/>
          <w:szCs w:val="24"/>
        </w:rPr>
      </w:pPr>
    </w:p>
    <w:p w14:paraId="0000009E" w14:textId="77777777" w:rsidR="002A0C82" w:rsidRDefault="00000000">
      <w:pPr>
        <w:jc w:val="both"/>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b/>
          <w:sz w:val="24"/>
          <w:szCs w:val="24"/>
        </w:rPr>
        <w:t>Morphological characteristics:</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D0D0D"/>
          <w:sz w:val="24"/>
          <w:szCs w:val="24"/>
          <w:highlight w:val="white"/>
        </w:rPr>
        <w:t>Streptococcus pneumoniae</w:t>
      </w:r>
      <w:r>
        <w:rPr>
          <w:rFonts w:ascii="Times New Roman" w:eastAsia="Times New Roman" w:hAnsi="Times New Roman" w:cs="Times New Roman"/>
          <w:color w:val="0D0D0D"/>
          <w:sz w:val="24"/>
          <w:szCs w:val="24"/>
          <w:highlight w:val="white"/>
        </w:rPr>
        <w:t xml:space="preserve"> is a gram-positive, lancet-shaped </w:t>
      </w:r>
      <w:sdt>
        <w:sdtPr>
          <w:tag w:val="goog_rdk_0"/>
          <w:id w:val="-34657252"/>
        </w:sdtPr>
        <w:sdtContent/>
      </w:sdt>
      <w:r>
        <w:rPr>
          <w:rFonts w:ascii="Times New Roman" w:eastAsia="Times New Roman" w:hAnsi="Times New Roman" w:cs="Times New Roman"/>
          <w:color w:val="0D0D0D"/>
          <w:sz w:val="24"/>
          <w:szCs w:val="24"/>
          <w:highlight w:val="white"/>
        </w:rPr>
        <w:t xml:space="preserve">diplococci, typically occurring in pairs of two cocci under microscopic examination. This pathogen is encapsulated in polysaccharides, which protects against phagocytosis, facilitating colonization and invasion of host tissues. Additionally, </w:t>
      </w:r>
      <w:r>
        <w:rPr>
          <w:rFonts w:ascii="Times New Roman" w:eastAsia="Times New Roman" w:hAnsi="Times New Roman" w:cs="Times New Roman"/>
          <w:i/>
          <w:color w:val="0D0D0D"/>
          <w:sz w:val="24"/>
          <w:szCs w:val="24"/>
          <w:highlight w:val="white"/>
        </w:rPr>
        <w:t>S. pneumoniae</w:t>
      </w:r>
      <w:r>
        <w:rPr>
          <w:rFonts w:ascii="Times New Roman" w:eastAsia="Times New Roman" w:hAnsi="Times New Roman" w:cs="Times New Roman"/>
          <w:color w:val="0D0D0D"/>
          <w:sz w:val="24"/>
          <w:szCs w:val="24"/>
          <w:highlight w:val="white"/>
        </w:rPr>
        <w:t xml:space="preserve"> expresses surface proteins like pneumococcal surface protein A (PspA) and pneumolysin, pivotal in colonization and pathogenesis. Furthermore, it utilizes various adhesins to adhere to host cells and mucosal surfaces, facilitating colonization and the establishment of infections. These features collectively contribute to the pathogenicity and clinical significance of Streptococcus pneumoniae as a leading cause of respiratory tract infections and invasive diseases.</w:t>
      </w:r>
    </w:p>
    <w:p w14:paraId="0000009F" w14:textId="77777777" w:rsidR="002A0C82" w:rsidRDefault="002A0C82">
      <w:pPr>
        <w:rPr>
          <w:rFonts w:ascii="Times New Roman" w:eastAsia="Times New Roman" w:hAnsi="Times New Roman" w:cs="Times New Roman"/>
          <w:color w:val="0D0D0D"/>
          <w:sz w:val="24"/>
          <w:szCs w:val="24"/>
          <w:highlight w:val="white"/>
        </w:rPr>
      </w:pPr>
    </w:p>
    <w:p w14:paraId="000000A0" w14:textId="5DB9524A" w:rsidR="002A0C82" w:rsidRDefault="002A0C82">
      <w:pPr>
        <w:jc w:val="center"/>
        <w:rPr>
          <w:rFonts w:ascii="Times New Roman" w:eastAsia="Times New Roman" w:hAnsi="Times New Roman" w:cs="Times New Roman"/>
          <w:b/>
          <w:sz w:val="24"/>
          <w:szCs w:val="24"/>
        </w:rPr>
      </w:pPr>
    </w:p>
    <w:p w14:paraId="000000A1" w14:textId="77777777" w:rsidR="002A0C82" w:rsidRDefault="00000000">
      <w:pPr>
        <w:jc w:val="center"/>
        <w:rPr>
          <w:rFonts w:ascii="Times New Roman" w:eastAsia="Times New Roman" w:hAnsi="Times New Roman" w:cs="Times New Roman"/>
          <w:i/>
          <w:color w:val="0D0D0D"/>
          <w:sz w:val="24"/>
          <w:szCs w:val="24"/>
          <w:highlight w:val="white"/>
        </w:rPr>
      </w:pPr>
      <w:r>
        <w:rPr>
          <w:rFonts w:ascii="Times New Roman" w:eastAsia="Times New Roman" w:hAnsi="Times New Roman" w:cs="Times New Roman"/>
          <w:b/>
          <w:color w:val="0D0D0D"/>
          <w:sz w:val="24"/>
          <w:szCs w:val="24"/>
          <w:highlight w:val="white"/>
        </w:rPr>
        <w:t>Figure 11</w:t>
      </w:r>
      <w:r>
        <w:rPr>
          <w:rFonts w:ascii="Times New Roman" w:eastAsia="Times New Roman" w:hAnsi="Times New Roman" w:cs="Times New Roman"/>
          <w:i/>
          <w:color w:val="0D0D0D"/>
          <w:sz w:val="24"/>
          <w:szCs w:val="24"/>
          <w:highlight w:val="white"/>
        </w:rPr>
        <w:t xml:space="preserve">: Streptococcus pneumoniae are visible in this digitally colorized photomicrograph of the fluorescent processed sample, illustrating the diplococcus appearance of two lance-shaped cocci. </w:t>
      </w:r>
    </w:p>
    <w:p w14:paraId="000000A2" w14:textId="77777777" w:rsidR="002A0C82" w:rsidRDefault="00000000">
      <w:pPr>
        <w:jc w:val="cente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i/>
          <w:color w:val="0D0D0D"/>
          <w:sz w:val="24"/>
          <w:szCs w:val="24"/>
          <w:highlight w:val="white"/>
        </w:rPr>
        <w:lastRenderedPageBreak/>
        <w:t>Source: Public Health Image Library, Center for Disease Control and Prevention, Dr. M.S. Mitchell, 1964.</w:t>
      </w:r>
    </w:p>
    <w:p w14:paraId="000000A3" w14:textId="77777777" w:rsidR="002A0C82" w:rsidRDefault="002A0C82">
      <w:pPr>
        <w:rPr>
          <w:rFonts w:ascii="Times New Roman" w:eastAsia="Times New Roman" w:hAnsi="Times New Roman" w:cs="Times New Roman"/>
          <w:b/>
          <w:sz w:val="24"/>
          <w:szCs w:val="24"/>
        </w:rPr>
      </w:pPr>
    </w:p>
    <w:p w14:paraId="000000A4" w14:textId="77777777" w:rsidR="002A0C82" w:rsidRDefault="00000000">
      <w:pPr>
        <w:jc w:val="both"/>
        <w:rPr>
          <w:rFonts w:ascii="Roboto" w:eastAsia="Roboto" w:hAnsi="Roboto" w:cs="Roboto"/>
          <w:color w:val="0D0D0D"/>
          <w:sz w:val="24"/>
          <w:szCs w:val="24"/>
          <w:highlight w:val="white"/>
        </w:rPr>
      </w:pPr>
      <w:r>
        <w:rPr>
          <w:rFonts w:ascii="Times New Roman" w:eastAsia="Times New Roman" w:hAnsi="Times New Roman" w:cs="Times New Roman"/>
          <w:b/>
          <w:sz w:val="24"/>
          <w:szCs w:val="24"/>
        </w:rPr>
        <w:t>Phenotypic and biochemical properties:</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D0D0D"/>
          <w:sz w:val="24"/>
          <w:szCs w:val="24"/>
          <w:highlight w:val="white"/>
        </w:rPr>
        <w:t>S. pneumoniae</w:t>
      </w:r>
      <w:r>
        <w:rPr>
          <w:rFonts w:ascii="Times New Roman" w:eastAsia="Times New Roman" w:hAnsi="Times New Roman" w:cs="Times New Roman"/>
          <w:color w:val="0D0D0D"/>
          <w:sz w:val="24"/>
          <w:szCs w:val="24"/>
          <w:highlight w:val="white"/>
        </w:rPr>
        <w:t xml:space="preserve"> is catalase-negative, meaning it lacks the enzyme catalase, which distinguishes it from catalase-positive bacteria like </w:t>
      </w:r>
      <w:r>
        <w:rPr>
          <w:rFonts w:ascii="Times New Roman" w:eastAsia="Times New Roman" w:hAnsi="Times New Roman" w:cs="Times New Roman"/>
          <w:i/>
          <w:color w:val="0D0D0D"/>
          <w:sz w:val="24"/>
          <w:szCs w:val="24"/>
          <w:highlight w:val="white"/>
        </w:rPr>
        <w:t>Staphylococcus aureus</w:t>
      </w:r>
      <w:r>
        <w:rPr>
          <w:rFonts w:ascii="Times New Roman" w:eastAsia="Times New Roman" w:hAnsi="Times New Roman" w:cs="Times New Roman"/>
          <w:color w:val="0D0D0D"/>
          <w:sz w:val="24"/>
          <w:szCs w:val="24"/>
          <w:highlight w:val="white"/>
        </w:rPr>
        <w:t xml:space="preserve">. It exhibits alpha-hemolysis on blood agar, characterized by a greenish discoloration around colonies due to partial lysis of red blood cells. Optochin sensitivity is a distinctive trait of </w:t>
      </w:r>
      <w:r>
        <w:rPr>
          <w:rFonts w:ascii="Times New Roman" w:eastAsia="Times New Roman" w:hAnsi="Times New Roman" w:cs="Times New Roman"/>
          <w:i/>
          <w:color w:val="0D0D0D"/>
          <w:sz w:val="24"/>
          <w:szCs w:val="24"/>
          <w:highlight w:val="white"/>
        </w:rPr>
        <w:t>S. pneumoniae</w:t>
      </w:r>
      <w:r>
        <w:rPr>
          <w:rFonts w:ascii="Times New Roman" w:eastAsia="Times New Roman" w:hAnsi="Times New Roman" w:cs="Times New Roman"/>
          <w:color w:val="0D0D0D"/>
          <w:sz w:val="24"/>
          <w:szCs w:val="24"/>
          <w:highlight w:val="white"/>
        </w:rPr>
        <w:t xml:space="preserve">, with the bacterium showing inhibition in the presence of optochin, aiding in its differentiation from other alpha-hemolytic streptococci such as </w:t>
      </w:r>
      <w:r>
        <w:rPr>
          <w:rFonts w:ascii="Times New Roman" w:eastAsia="Times New Roman" w:hAnsi="Times New Roman" w:cs="Times New Roman"/>
          <w:i/>
          <w:color w:val="0D0D0D"/>
          <w:sz w:val="24"/>
          <w:szCs w:val="24"/>
          <w:highlight w:val="white"/>
        </w:rPr>
        <w:t xml:space="preserve">Streptococcus viridans </w:t>
      </w:r>
      <w:r>
        <w:rPr>
          <w:rFonts w:ascii="Times New Roman" w:eastAsia="Times New Roman" w:hAnsi="Times New Roman" w:cs="Times New Roman"/>
          <w:color w:val="0D0D0D"/>
          <w:sz w:val="24"/>
          <w:szCs w:val="24"/>
          <w:highlight w:val="white"/>
        </w:rPr>
        <w:t xml:space="preserve">and </w:t>
      </w:r>
      <w:r>
        <w:rPr>
          <w:rFonts w:ascii="Times New Roman" w:eastAsia="Times New Roman" w:hAnsi="Times New Roman" w:cs="Times New Roman"/>
          <w:i/>
          <w:color w:val="0D0D0D"/>
          <w:sz w:val="24"/>
          <w:szCs w:val="24"/>
          <w:highlight w:val="white"/>
        </w:rPr>
        <w:t>Streptococcus mitis</w:t>
      </w:r>
      <w:r>
        <w:rPr>
          <w:rFonts w:ascii="Times New Roman" w:eastAsia="Times New Roman" w:hAnsi="Times New Roman" w:cs="Times New Roman"/>
          <w:color w:val="0D0D0D"/>
          <w:sz w:val="24"/>
          <w:szCs w:val="24"/>
          <w:highlight w:val="white"/>
        </w:rPr>
        <w:t xml:space="preserve">. Furthermore, </w:t>
      </w:r>
      <w:r>
        <w:rPr>
          <w:rFonts w:ascii="Times New Roman" w:eastAsia="Times New Roman" w:hAnsi="Times New Roman" w:cs="Times New Roman"/>
          <w:i/>
          <w:color w:val="0D0D0D"/>
          <w:sz w:val="24"/>
          <w:szCs w:val="24"/>
          <w:highlight w:val="white"/>
        </w:rPr>
        <w:t>S. pneumoniae</w:t>
      </w:r>
      <w:r>
        <w:rPr>
          <w:rFonts w:ascii="Times New Roman" w:eastAsia="Times New Roman" w:hAnsi="Times New Roman" w:cs="Times New Roman"/>
          <w:color w:val="0D0D0D"/>
          <w:sz w:val="24"/>
          <w:szCs w:val="24"/>
          <w:highlight w:val="white"/>
        </w:rPr>
        <w:t xml:space="preserve"> is bile soluble, a unique feature that allows it to lyse in the presence of bile salts, facilitating its identification in laboratory settings. Lastly,</w:t>
      </w:r>
      <w:r>
        <w:rPr>
          <w:rFonts w:ascii="Times New Roman" w:eastAsia="Times New Roman" w:hAnsi="Times New Roman" w:cs="Times New Roman"/>
          <w:i/>
          <w:color w:val="0D0D0D"/>
          <w:sz w:val="24"/>
          <w:szCs w:val="24"/>
          <w:highlight w:val="white"/>
        </w:rPr>
        <w:t xml:space="preserve"> S. pneumoniae</w:t>
      </w:r>
      <w:r>
        <w:rPr>
          <w:rFonts w:ascii="Times New Roman" w:eastAsia="Times New Roman" w:hAnsi="Times New Roman" w:cs="Times New Roman"/>
          <w:color w:val="0D0D0D"/>
          <w:sz w:val="24"/>
          <w:szCs w:val="24"/>
          <w:highlight w:val="white"/>
        </w:rPr>
        <w:t xml:space="preserve"> is facultative anaerobic, capable of thriving in both aerobic and anaerobic conditions, reflecting its adaptability to various environments within the host. </w:t>
      </w:r>
    </w:p>
    <w:p w14:paraId="000000A5" w14:textId="77777777" w:rsidR="002A0C82" w:rsidRDefault="00000000">
      <w:pPr>
        <w:jc w:val="both"/>
        <w:rPr>
          <w:rFonts w:ascii="Times New Roman" w:eastAsia="Times New Roman" w:hAnsi="Times New Roman" w:cs="Times New Roman"/>
          <w:color w:val="0D0D0D"/>
          <w:sz w:val="24"/>
          <w:szCs w:val="24"/>
          <w:highlight w:val="yellow"/>
        </w:rPr>
      </w:pPr>
      <w:r>
        <w:rPr>
          <w:rFonts w:ascii="Times New Roman" w:eastAsia="Times New Roman" w:hAnsi="Times New Roman" w:cs="Times New Roman"/>
          <w:b/>
          <w:color w:val="0D0D0D"/>
          <w:sz w:val="24"/>
          <w:szCs w:val="24"/>
          <w:highlight w:val="white"/>
        </w:rPr>
        <w:t xml:space="preserve">Culture conditions and media: </w:t>
      </w:r>
      <w:r>
        <w:rPr>
          <w:rFonts w:ascii="Times New Roman" w:eastAsia="Times New Roman" w:hAnsi="Times New Roman" w:cs="Times New Roman"/>
          <w:color w:val="0D0D0D"/>
          <w:sz w:val="24"/>
          <w:szCs w:val="24"/>
          <w:highlight w:val="white"/>
        </w:rPr>
        <w:t xml:space="preserve">Luria-Bertani (LB) Agar in solid and liquid form is the most common media for culturing </w:t>
      </w:r>
      <w:r>
        <w:rPr>
          <w:rFonts w:ascii="Times New Roman" w:eastAsia="Times New Roman" w:hAnsi="Times New Roman" w:cs="Times New Roman"/>
          <w:i/>
          <w:color w:val="0D0D0D"/>
          <w:sz w:val="24"/>
          <w:szCs w:val="24"/>
          <w:highlight w:val="white"/>
        </w:rPr>
        <w:t>S. pneumoniae</w:t>
      </w:r>
      <w:r>
        <w:rPr>
          <w:rFonts w:ascii="Times New Roman" w:eastAsia="Times New Roman" w:hAnsi="Times New Roman" w:cs="Times New Roman"/>
          <w:color w:val="0D0D0D"/>
          <w:sz w:val="24"/>
          <w:szCs w:val="24"/>
          <w:highlight w:val="white"/>
        </w:rPr>
        <w:t xml:space="preserve">. Other well-known liquid media for this pathogen are Tryptic soy broth (TSB) and Todd Hewitt broth (THB). These selective media are frequently recommended for the cultivation of fastidious organisms such as </w:t>
      </w:r>
      <w:r>
        <w:rPr>
          <w:rFonts w:ascii="Times New Roman" w:eastAsia="Times New Roman" w:hAnsi="Times New Roman" w:cs="Times New Roman"/>
          <w:i/>
          <w:color w:val="0D0D0D"/>
          <w:sz w:val="24"/>
          <w:szCs w:val="24"/>
          <w:highlight w:val="white"/>
        </w:rPr>
        <w:t>S. pneumoniae</w:t>
      </w:r>
      <w:r>
        <w:rPr>
          <w:rFonts w:ascii="Times New Roman" w:eastAsia="Times New Roman" w:hAnsi="Times New Roman" w:cs="Times New Roman"/>
          <w:color w:val="0D0D0D"/>
          <w:sz w:val="24"/>
          <w:szCs w:val="24"/>
          <w:highlight w:val="white"/>
        </w:rPr>
        <w:t xml:space="preserve"> to obtain the serotype specific capsular polysaccharides used as antigens for vaccine production (Suárez &amp; Texeira, 2019; Kim et al., 1996). Defibrinated blood of sheep, horse, and even humans can be supplemented into the agar as well due to the high metabolic needs of the bacteria and supports hemolysis observation (Suárez &amp; Texeira, 2019). </w:t>
      </w:r>
    </w:p>
    <w:p w14:paraId="000000A6" w14:textId="77777777" w:rsidR="002A0C82" w:rsidRDefault="002A0C82">
      <w:pPr>
        <w:jc w:val="both"/>
        <w:rPr>
          <w:rFonts w:ascii="Times New Roman" w:eastAsia="Times New Roman" w:hAnsi="Times New Roman" w:cs="Times New Roman"/>
          <w:b/>
          <w:color w:val="0D0D0D"/>
          <w:sz w:val="24"/>
          <w:szCs w:val="24"/>
          <w:highlight w:val="white"/>
        </w:rPr>
      </w:pPr>
    </w:p>
    <w:p w14:paraId="000000A7" w14:textId="77777777" w:rsidR="002A0C82" w:rsidRDefault="00000000">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sz w:val="24"/>
          <w:szCs w:val="24"/>
        </w:rPr>
        <w:t xml:space="preserve">Molecular identification: </w:t>
      </w:r>
      <w:r>
        <w:rPr>
          <w:rFonts w:ascii="Times New Roman" w:eastAsia="Times New Roman" w:hAnsi="Times New Roman" w:cs="Times New Roman"/>
          <w:i/>
          <w:sz w:val="24"/>
          <w:szCs w:val="24"/>
        </w:rPr>
        <w:t>lytA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highlight w:val="white"/>
        </w:rPr>
        <w:t>major autolysin gene)</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piaB</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highlight w:val="white"/>
        </w:rPr>
        <w:t xml:space="preserve">permease gene of the ABC transporter) </w:t>
      </w:r>
      <w:r>
        <w:rPr>
          <w:rFonts w:ascii="Times New Roman" w:eastAsia="Times New Roman" w:hAnsi="Times New Roman" w:cs="Times New Roman"/>
          <w:sz w:val="24"/>
          <w:szCs w:val="24"/>
        </w:rPr>
        <w:t xml:space="preserve">were reported to be the target genes with markedly high specificity of 99.5% for the identification of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Another novel </w:t>
      </w:r>
      <w:r>
        <w:rPr>
          <w:rFonts w:ascii="Times New Roman" w:eastAsia="Times New Roman" w:hAnsi="Times New Roman" w:cs="Times New Roman"/>
          <w:color w:val="222222"/>
          <w:sz w:val="24"/>
          <w:szCs w:val="24"/>
          <w:highlight w:val="white"/>
        </w:rPr>
        <w:t xml:space="preserve">putative transcriptional regulator gene </w:t>
      </w:r>
      <w:r>
        <w:rPr>
          <w:rFonts w:ascii="Times New Roman" w:eastAsia="Times New Roman" w:hAnsi="Times New Roman" w:cs="Times New Roman"/>
          <w:i/>
          <w:color w:val="222222"/>
          <w:sz w:val="24"/>
          <w:szCs w:val="24"/>
          <w:highlight w:val="white"/>
        </w:rPr>
        <w:t xml:space="preserve">sp2020 </w:t>
      </w:r>
      <w:r>
        <w:rPr>
          <w:rFonts w:ascii="Times New Roman" w:eastAsia="Times New Roman" w:hAnsi="Times New Roman" w:cs="Times New Roman"/>
          <w:color w:val="222222"/>
          <w:sz w:val="24"/>
          <w:szCs w:val="24"/>
          <w:highlight w:val="white"/>
        </w:rPr>
        <w:t xml:space="preserve">was recorded to possess even higher specificity (99.8%) </w:t>
      </w:r>
      <w:r>
        <w:rPr>
          <w:rFonts w:ascii="Times New Roman" w:eastAsia="Times New Roman" w:hAnsi="Times New Roman" w:cs="Times New Roman"/>
          <w:color w:val="222222"/>
          <w:sz w:val="24"/>
          <w:szCs w:val="24"/>
        </w:rPr>
        <w:t>(Tavares et al., 2019)</w:t>
      </w:r>
      <w:r>
        <w:rPr>
          <w:rFonts w:ascii="Times New Roman" w:eastAsia="Times New Roman" w:hAnsi="Times New Roman" w:cs="Times New Roman"/>
          <w:color w:val="222222"/>
          <w:sz w:val="24"/>
          <w:szCs w:val="24"/>
          <w:highlight w:val="white"/>
        </w:rPr>
        <w:t xml:space="preserve">. Other genes with less specificity include </w:t>
      </w:r>
      <w:r>
        <w:rPr>
          <w:rFonts w:ascii="Times New Roman" w:eastAsia="Times New Roman" w:hAnsi="Times New Roman" w:cs="Times New Roman"/>
          <w:i/>
          <w:color w:val="222222"/>
          <w:sz w:val="24"/>
          <w:szCs w:val="24"/>
          <w:highlight w:val="white"/>
        </w:rPr>
        <w:t>plyA</w:t>
      </w:r>
      <w:r>
        <w:rPr>
          <w:rFonts w:ascii="Times New Roman" w:eastAsia="Times New Roman" w:hAnsi="Times New Roman" w:cs="Times New Roman"/>
          <w:color w:val="222222"/>
          <w:sz w:val="24"/>
          <w:szCs w:val="24"/>
          <w:highlight w:val="white"/>
        </w:rPr>
        <w:t xml:space="preserve"> (pneumolysin), and </w:t>
      </w:r>
      <w:r>
        <w:rPr>
          <w:rFonts w:ascii="Times New Roman" w:eastAsia="Times New Roman" w:hAnsi="Times New Roman" w:cs="Times New Roman"/>
          <w:i/>
          <w:color w:val="222222"/>
          <w:sz w:val="24"/>
          <w:szCs w:val="24"/>
          <w:highlight w:val="white"/>
        </w:rPr>
        <w:t>psaA</w:t>
      </w:r>
      <w:r>
        <w:rPr>
          <w:rFonts w:ascii="Times New Roman" w:eastAsia="Times New Roman" w:hAnsi="Times New Roman" w:cs="Times New Roman"/>
          <w:color w:val="222222"/>
          <w:sz w:val="24"/>
          <w:szCs w:val="24"/>
          <w:highlight w:val="white"/>
        </w:rPr>
        <w:t xml:space="preserve"> (lipoprotein component) (</w:t>
      </w:r>
      <w:r>
        <w:rPr>
          <w:rFonts w:ascii="Times New Roman" w:eastAsia="Times New Roman" w:hAnsi="Times New Roman" w:cs="Times New Roman"/>
          <w:sz w:val="24"/>
          <w:szCs w:val="24"/>
        </w:rPr>
        <w:t>Sanz et al., 2018)</w:t>
      </w:r>
      <w:r>
        <w:rPr>
          <w:rFonts w:ascii="Times New Roman" w:eastAsia="Times New Roman" w:hAnsi="Times New Roman" w:cs="Times New Roman"/>
          <w:color w:val="222222"/>
          <w:sz w:val="24"/>
          <w:szCs w:val="24"/>
          <w:highlight w:val="white"/>
        </w:rPr>
        <w:t xml:space="preserve">. Notably, different types of detection methods result in different specificity. One study found that identification of </w:t>
      </w:r>
      <w:r>
        <w:rPr>
          <w:rFonts w:ascii="Times New Roman" w:eastAsia="Times New Roman" w:hAnsi="Times New Roman" w:cs="Times New Roman"/>
          <w:i/>
          <w:color w:val="222222"/>
          <w:sz w:val="24"/>
          <w:szCs w:val="24"/>
          <w:highlight w:val="white"/>
        </w:rPr>
        <w:t xml:space="preserve">lytA </w:t>
      </w:r>
      <w:r>
        <w:rPr>
          <w:rFonts w:ascii="Times New Roman" w:eastAsia="Times New Roman" w:hAnsi="Times New Roman" w:cs="Times New Roman"/>
          <w:color w:val="222222"/>
          <w:sz w:val="24"/>
          <w:szCs w:val="24"/>
          <w:highlight w:val="white"/>
        </w:rPr>
        <w:t xml:space="preserve">and </w:t>
      </w:r>
      <w:r>
        <w:rPr>
          <w:rFonts w:ascii="Times New Roman" w:eastAsia="Times New Roman" w:hAnsi="Times New Roman" w:cs="Times New Roman"/>
          <w:i/>
          <w:color w:val="222222"/>
          <w:sz w:val="24"/>
          <w:szCs w:val="24"/>
          <w:highlight w:val="white"/>
        </w:rPr>
        <w:t>blpA</w:t>
      </w:r>
      <w:r>
        <w:rPr>
          <w:rFonts w:ascii="Times New Roman" w:eastAsia="Times New Roman" w:hAnsi="Times New Roman" w:cs="Times New Roman"/>
          <w:color w:val="222222"/>
          <w:sz w:val="24"/>
          <w:szCs w:val="24"/>
          <w:highlight w:val="white"/>
        </w:rPr>
        <w:t xml:space="preserve"> using conventional PCR resulted in specificity of 87.71% and 89.47% respectively, while Real-time PCR gave significantly higher percentage with both 96.49% for </w:t>
      </w:r>
      <w:r>
        <w:rPr>
          <w:rFonts w:ascii="Times New Roman" w:eastAsia="Times New Roman" w:hAnsi="Times New Roman" w:cs="Times New Roman"/>
          <w:i/>
          <w:color w:val="222222"/>
          <w:sz w:val="24"/>
          <w:szCs w:val="24"/>
          <w:highlight w:val="white"/>
        </w:rPr>
        <w:t>lytA</w:t>
      </w:r>
      <w:r>
        <w:rPr>
          <w:rFonts w:ascii="Times New Roman" w:eastAsia="Times New Roman" w:hAnsi="Times New Roman" w:cs="Times New Roman"/>
          <w:color w:val="222222"/>
          <w:sz w:val="24"/>
          <w:szCs w:val="24"/>
          <w:highlight w:val="white"/>
        </w:rPr>
        <w:t xml:space="preserve"> and </w:t>
      </w:r>
      <w:r>
        <w:rPr>
          <w:rFonts w:ascii="Times New Roman" w:eastAsia="Times New Roman" w:hAnsi="Times New Roman" w:cs="Times New Roman"/>
          <w:i/>
          <w:color w:val="222222"/>
          <w:sz w:val="24"/>
          <w:szCs w:val="24"/>
          <w:highlight w:val="white"/>
        </w:rPr>
        <w:t>blpA</w:t>
      </w:r>
      <w:r>
        <w:rPr>
          <w:rFonts w:ascii="Times New Roman" w:eastAsia="Times New Roman" w:hAnsi="Times New Roman" w:cs="Times New Roman"/>
          <w:color w:val="222222"/>
          <w:sz w:val="24"/>
          <w:szCs w:val="24"/>
          <w:highlight w:val="white"/>
        </w:rPr>
        <w:t xml:space="preserve"> (Mosadegh et al., 2020). </w:t>
      </w:r>
    </w:p>
    <w:p w14:paraId="000000A8" w14:textId="77777777" w:rsidR="002A0C82" w:rsidRDefault="002A0C82">
      <w:pPr>
        <w:jc w:val="both"/>
        <w:rPr>
          <w:rFonts w:ascii="Times New Roman" w:eastAsia="Times New Roman" w:hAnsi="Times New Roman" w:cs="Times New Roman"/>
          <w:sz w:val="24"/>
          <w:szCs w:val="24"/>
        </w:rPr>
      </w:pPr>
    </w:p>
    <w:p w14:paraId="000000A9"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Virulence factors: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possesses several key virulence factors that contribute to its pathogenicity. Firstly, the polysaccharide capsule is antiphagocytic, inhibiting complement deposition on bacterial surface and can protect itself from being trapped in neutrophil extracellular traps. There are also surface proteins PspA, PspC, and LytA which act as adhesins to host cell surfaces, inhibit complement deposition (PspA), involve in biofilm formation and haemolytic effects of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on human red blood cells (LytA). Furthermore, metal-ion-binding proteins PsaA, PiaA, and PiuA are involved in iron uptake and play a role in promoting opsonophagocytosis of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Other enzymes include autolysin, pneumolysin, IgA </w:t>
      </w:r>
      <w:r>
        <w:rPr>
          <w:rFonts w:ascii="Times New Roman" w:eastAsia="Times New Roman" w:hAnsi="Times New Roman" w:cs="Times New Roman"/>
          <w:sz w:val="24"/>
          <w:szCs w:val="24"/>
        </w:rPr>
        <w:lastRenderedPageBreak/>
        <w:t>protease are crucial pneumococcal-protein virulence factors as well (Aryal, 2022; Kadioglu et al., 2008).</w:t>
      </w:r>
    </w:p>
    <w:p w14:paraId="000000AA" w14:textId="77777777" w:rsidR="002A0C82" w:rsidRDefault="002A0C82">
      <w:pPr>
        <w:jc w:val="both"/>
        <w:rPr>
          <w:rFonts w:ascii="Times New Roman" w:eastAsia="Times New Roman" w:hAnsi="Times New Roman" w:cs="Times New Roman"/>
          <w:sz w:val="24"/>
          <w:szCs w:val="24"/>
        </w:rPr>
      </w:pPr>
    </w:p>
    <w:p w14:paraId="000000AB"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Diseases and treatments: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is mostly known for the cause of community-acquired pneumonia, especially in children, the elderly, and immunocompromised patients.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can also cause a wide range of illnesses, from moderate infections like otitis media (middle ear infection) and sinusitis (sinus infection) to potentially fatal infections of the central nervous system like meningitis. Aside from mucosal infections, it also has the ability to infect the bone, resulting in osteomyelitis, the joint system, causing septic arthritis, and the blood, causing bacteremia. Interestingly,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is detected frequently in patients with Overwhelming post-splenectomy infection (OPSI) (42%) (Theilacker et al., 2015). Primary antibiotics treatments for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are β-lactam antibiotics including penicillins and cephalosporins, macrolides, and fluoroquinolones. However, due to the increasing resistance to β-lactam and macrolides, fluoroquinolones which possess the lowest rate of resistance are highly recommended. Another option can be vancomycin, although it may become resistant in the near future (Zahari et al., 2023).</w:t>
      </w:r>
    </w:p>
    <w:p w14:paraId="000000AC" w14:textId="77777777" w:rsidR="002A0C82" w:rsidRDefault="002A0C82">
      <w:pPr>
        <w:jc w:val="both"/>
        <w:rPr>
          <w:rFonts w:ascii="Times New Roman" w:eastAsia="Times New Roman" w:hAnsi="Times New Roman" w:cs="Times New Roman"/>
          <w:sz w:val="24"/>
          <w:szCs w:val="24"/>
        </w:rPr>
      </w:pPr>
    </w:p>
    <w:p w14:paraId="000000AD" w14:textId="77777777" w:rsidR="002A0C82"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Prevalence: </w:t>
      </w:r>
      <w:r>
        <w:rPr>
          <w:rFonts w:ascii="Times New Roman" w:eastAsia="Times New Roman" w:hAnsi="Times New Roman" w:cs="Times New Roman"/>
          <w:sz w:val="24"/>
          <w:szCs w:val="24"/>
        </w:rPr>
        <w:t xml:space="preserve">The prevalence of young children infected with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is observably higher than adults. A study in Central Vietnam found that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exists in 31.8% of children, and 23.9% of those had clinical pneumonia. Furthermore, the detection of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was greater in the age groups of 0–1 and 2-3 years, and lowest in children older than five years old. (Wambugu et al., 2023). In a study with children under 5 years old in Ethiopia, the overall prevalence of </w:t>
      </w:r>
      <w:r>
        <w:rPr>
          <w:rFonts w:ascii="Times New Roman" w:eastAsia="Times New Roman" w:hAnsi="Times New Roman" w:cs="Times New Roman"/>
          <w:i/>
          <w:sz w:val="24"/>
          <w:szCs w:val="24"/>
        </w:rPr>
        <w:t>S. pneumoniae</w:t>
      </w:r>
      <w:r>
        <w:rPr>
          <w:rFonts w:ascii="Times New Roman" w:eastAsia="Times New Roman" w:hAnsi="Times New Roman" w:cs="Times New Roman"/>
          <w:sz w:val="24"/>
          <w:szCs w:val="24"/>
        </w:rPr>
        <w:t xml:space="preserve"> in is 18% (CI 95%) (Mekuria et al., 2023), while another paper reported to identify 40.7% cases infected with this pathogen among community-acquired pneumonia patients in the UK (Lansbury et al., 2023). Some of the most identified serotypes in these cases are 6A/B, 19F, and 23F (Wambugu et al., 2023; Mekuria et al., 2023).</w:t>
      </w:r>
    </w:p>
    <w:p w14:paraId="000000AE" w14:textId="77777777" w:rsidR="002A0C82" w:rsidRDefault="002A0C82">
      <w:pPr>
        <w:jc w:val="both"/>
        <w:rPr>
          <w:rFonts w:ascii="Times New Roman" w:eastAsia="Times New Roman" w:hAnsi="Times New Roman" w:cs="Times New Roman"/>
          <w:b/>
          <w:sz w:val="28"/>
          <w:szCs w:val="28"/>
        </w:rPr>
      </w:pPr>
    </w:p>
    <w:p w14:paraId="000000AF" w14:textId="77777777" w:rsidR="002A0C82" w:rsidRDefault="002A0C82">
      <w:pPr>
        <w:jc w:val="both"/>
        <w:rPr>
          <w:rFonts w:ascii="Times New Roman" w:eastAsia="Times New Roman" w:hAnsi="Times New Roman" w:cs="Times New Roman"/>
          <w:b/>
          <w:sz w:val="28"/>
          <w:szCs w:val="28"/>
        </w:rPr>
      </w:pPr>
    </w:p>
    <w:p w14:paraId="000000B0" w14:textId="77777777" w:rsidR="002A0C82"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STREPTOCOCCUS PYOGENES</w:t>
      </w:r>
    </w:p>
    <w:p w14:paraId="000000B1" w14:textId="77777777" w:rsidR="002A0C82" w:rsidRDefault="002A0C82">
      <w:pPr>
        <w:rPr>
          <w:rFonts w:ascii="Times New Roman" w:eastAsia="Times New Roman" w:hAnsi="Times New Roman" w:cs="Times New Roman"/>
          <w:sz w:val="24"/>
          <w:szCs w:val="24"/>
        </w:rPr>
      </w:pPr>
    </w:p>
    <w:p w14:paraId="000000B2"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Streptococcus pyogenes</w:t>
      </w:r>
      <w:r>
        <w:rPr>
          <w:rFonts w:ascii="Times New Roman" w:eastAsia="Times New Roman" w:hAnsi="Times New Roman" w:cs="Times New Roman"/>
          <w:sz w:val="24"/>
          <w:szCs w:val="24"/>
        </w:rPr>
        <w:t xml:space="preserve"> belongs to the Lancefield serogroup A and is often referred to as Group A Streptococcus (GAS). </w:t>
      </w:r>
    </w:p>
    <w:p w14:paraId="000000B3" w14:textId="77777777" w:rsidR="002A0C82" w:rsidRDefault="002A0C82">
      <w:pPr>
        <w:jc w:val="both"/>
        <w:rPr>
          <w:rFonts w:ascii="Times New Roman" w:eastAsia="Times New Roman" w:hAnsi="Times New Roman" w:cs="Times New Roman"/>
          <w:sz w:val="24"/>
          <w:szCs w:val="24"/>
        </w:rPr>
      </w:pPr>
    </w:p>
    <w:p w14:paraId="000000B4" w14:textId="6A42AA74"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Morphological characteristics: </w:t>
      </w:r>
      <w:r>
        <w:rPr>
          <w:rFonts w:ascii="Times New Roman" w:eastAsia="Times New Roman" w:hAnsi="Times New Roman" w:cs="Times New Roman"/>
          <w:i/>
          <w:color w:val="0D0D0D"/>
          <w:sz w:val="24"/>
          <w:szCs w:val="24"/>
          <w:highlight w:val="white"/>
        </w:rPr>
        <w:t>Streptococcus pyogenes</w:t>
      </w:r>
      <w:r>
        <w:rPr>
          <w:rFonts w:ascii="Times New Roman" w:eastAsia="Times New Roman" w:hAnsi="Times New Roman" w:cs="Times New Roman"/>
          <w:color w:val="0D0D0D"/>
          <w:sz w:val="24"/>
          <w:szCs w:val="24"/>
          <w:highlight w:val="white"/>
        </w:rPr>
        <w:t xml:space="preserve">, a gram-positive bacterium, presents a distinct morphological profile characterized by its round shape and tendency to form chain-like structures. This pathogen lacks flagella resulting in its non-motility, and it does not form spores. Notably, this pathogen possesses a protective capsule primarily composed of </w:t>
      </w:r>
      <w:r w:rsidR="00F47965">
        <w:rPr>
          <w:rFonts w:ascii="Times New Roman" w:eastAsia="Times New Roman" w:hAnsi="Times New Roman" w:cs="Times New Roman"/>
          <w:color w:val="0D0D0D"/>
          <w:sz w:val="24"/>
          <w:szCs w:val="24"/>
          <w:highlight w:val="white"/>
        </w:rPr>
        <w:t>h</w:t>
      </w:r>
      <w:r>
        <w:rPr>
          <w:rFonts w:ascii="Times New Roman" w:eastAsia="Times New Roman" w:hAnsi="Times New Roman" w:cs="Times New Roman"/>
          <w:color w:val="0D0D0D"/>
          <w:sz w:val="24"/>
          <w:szCs w:val="24"/>
          <w:highlight w:val="white"/>
        </w:rPr>
        <w:t xml:space="preserve">yaluronic acid, differentiating it from other encapsulated bacteria. This capsule provides protection against macrophage engulfment. Moreover, </w:t>
      </w:r>
      <w:r>
        <w:rPr>
          <w:rFonts w:ascii="Times New Roman" w:eastAsia="Times New Roman" w:hAnsi="Times New Roman" w:cs="Times New Roman"/>
          <w:i/>
          <w:color w:val="0D0D0D"/>
          <w:sz w:val="24"/>
          <w:szCs w:val="24"/>
          <w:highlight w:val="white"/>
        </w:rPr>
        <w:t>S. pyogenes</w:t>
      </w:r>
      <w:r>
        <w:rPr>
          <w:rFonts w:ascii="Times New Roman" w:eastAsia="Times New Roman" w:hAnsi="Times New Roman" w:cs="Times New Roman"/>
          <w:color w:val="0D0D0D"/>
          <w:sz w:val="24"/>
          <w:szCs w:val="24"/>
          <w:highlight w:val="white"/>
        </w:rPr>
        <w:t xml:space="preserve"> has fimbriae, which are hair-like protein structures on its surface, </w:t>
      </w:r>
      <w:r>
        <w:rPr>
          <w:rFonts w:ascii="Times New Roman" w:eastAsia="Times New Roman" w:hAnsi="Times New Roman" w:cs="Times New Roman"/>
          <w:sz w:val="24"/>
          <w:szCs w:val="24"/>
        </w:rPr>
        <w:t>aiding in adherence to host cells and biofilm formation.</w:t>
      </w:r>
    </w:p>
    <w:p w14:paraId="000000B5" w14:textId="77777777" w:rsidR="002A0C82" w:rsidRDefault="002A0C82">
      <w:pPr>
        <w:rPr>
          <w:rFonts w:ascii="Times New Roman" w:eastAsia="Times New Roman" w:hAnsi="Times New Roman" w:cs="Times New Roman"/>
          <w:sz w:val="24"/>
          <w:szCs w:val="24"/>
        </w:rPr>
      </w:pPr>
    </w:p>
    <w:p w14:paraId="000000B6" w14:textId="2996B721" w:rsidR="002A0C82" w:rsidRDefault="002A0C82">
      <w:pPr>
        <w:jc w:val="center"/>
        <w:rPr>
          <w:rFonts w:ascii="Times New Roman" w:eastAsia="Times New Roman" w:hAnsi="Times New Roman" w:cs="Times New Roman"/>
          <w:sz w:val="24"/>
          <w:szCs w:val="24"/>
        </w:rPr>
      </w:pPr>
    </w:p>
    <w:p w14:paraId="000000B7"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Figure 12</w:t>
      </w:r>
      <w:r>
        <w:rPr>
          <w:rFonts w:ascii="Times New Roman" w:eastAsia="Times New Roman" w:hAnsi="Times New Roman" w:cs="Times New Roman"/>
          <w:i/>
          <w:sz w:val="24"/>
          <w:szCs w:val="24"/>
        </w:rPr>
        <w:t xml:space="preserve">: A digitally regenerated image of Streptococcus pyogenes was created with scanning electron microscopic (SEM). </w:t>
      </w:r>
    </w:p>
    <w:p w14:paraId="000000B8" w14:textId="77777777" w:rsidR="002A0C8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Source: Public Health Image Library, Center for Disease Control and Prevention (CDC)/ Antibiotic Resistance Coordination and Strategy Unit, 2013.</w:t>
      </w:r>
    </w:p>
    <w:p w14:paraId="000000B9" w14:textId="77777777" w:rsidR="002A0C82" w:rsidRDefault="002A0C82">
      <w:pPr>
        <w:rPr>
          <w:rFonts w:ascii="Times New Roman" w:eastAsia="Times New Roman" w:hAnsi="Times New Roman" w:cs="Times New Roman"/>
          <w:b/>
          <w:sz w:val="24"/>
          <w:szCs w:val="24"/>
        </w:rPr>
      </w:pPr>
    </w:p>
    <w:p w14:paraId="000000BA"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Phenotypic and biochemical properties: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lacks the catalase enzyme, a characteristic feature that sets it apart from catalase-positive organisms. Notably,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displays beta-hemolysis on blood agar, indicative of its ability to completely lyse red blood cells. And the reason for the lysis of red blood cells is because of an enzyme called streptolysin O (SLO) which interacts with the cholesterol membrane on red blood cells and completely lyses them (Duncan &amp; Schlegel, 1975). Its sensitivity to bacitracin further aids in its identification, as it cannot survive in the presence of this antibiotic. Moreover,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is Pyrrolidonyl Aryl Sulfatase (PYR) positive, a trait that differentiates it from other beta-hemolytic enterococci, serving as a crucial diagnostic marker in clinical microbiology. </w:t>
      </w:r>
    </w:p>
    <w:p w14:paraId="000000BB" w14:textId="15FC2317" w:rsidR="002A0C82" w:rsidRDefault="002A0C82">
      <w:pPr>
        <w:jc w:val="center"/>
        <w:rPr>
          <w:rFonts w:ascii="Times New Roman" w:eastAsia="Times New Roman" w:hAnsi="Times New Roman" w:cs="Times New Roman"/>
          <w:sz w:val="24"/>
          <w:szCs w:val="24"/>
        </w:rPr>
      </w:pPr>
    </w:p>
    <w:p w14:paraId="000000BC"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Figure 13</w:t>
      </w:r>
      <w:r>
        <w:rPr>
          <w:rFonts w:ascii="Times New Roman" w:eastAsia="Times New Roman" w:hAnsi="Times New Roman" w:cs="Times New Roman"/>
          <w:i/>
          <w:sz w:val="24"/>
          <w:szCs w:val="24"/>
        </w:rPr>
        <w:t xml:space="preserve">: The right plate is Group A Streptococcus pyogenes (GAS), a typical beta-hemolytic bacteria with clear zone of red blood cell lysis, while the left plate is Streptococcus mitis, an alpha-hemolytic bacteria. Two petri dishes of trypticase soy agar medium both contain 5% defibrinated sheep blood. </w:t>
      </w:r>
    </w:p>
    <w:p w14:paraId="000000BD" w14:textId="77777777" w:rsidR="002A0C82"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Public Health Image Library, Center for Disease Control and Prevention (CDC), Dr. Richard R. Facklam, 1977.</w:t>
      </w:r>
    </w:p>
    <w:p w14:paraId="000000BE" w14:textId="77777777" w:rsidR="002A0C82" w:rsidRDefault="00000000">
      <w:pPr>
        <w:jc w:val="center"/>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https://phil.cdc.gov/Details.aspx?pid=8172</w:t>
        </w:r>
      </w:hyperlink>
      <w:r>
        <w:rPr>
          <w:rFonts w:ascii="Times New Roman" w:eastAsia="Times New Roman" w:hAnsi="Times New Roman" w:cs="Times New Roman"/>
          <w:sz w:val="24"/>
          <w:szCs w:val="24"/>
        </w:rPr>
        <w:t xml:space="preserve"> </w:t>
      </w:r>
    </w:p>
    <w:p w14:paraId="000000BF" w14:textId="77777777" w:rsidR="002A0C82" w:rsidRDefault="002A0C82">
      <w:pPr>
        <w:rPr>
          <w:rFonts w:ascii="Times New Roman" w:eastAsia="Times New Roman" w:hAnsi="Times New Roman" w:cs="Times New Roman"/>
          <w:b/>
          <w:sz w:val="24"/>
          <w:szCs w:val="24"/>
        </w:rPr>
      </w:pPr>
    </w:p>
    <w:p w14:paraId="000000C0"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Culture conditions and media: </w:t>
      </w:r>
      <w:r>
        <w:rPr>
          <w:rFonts w:ascii="Times New Roman" w:eastAsia="Times New Roman" w:hAnsi="Times New Roman" w:cs="Times New Roman"/>
          <w:sz w:val="24"/>
          <w:szCs w:val="24"/>
        </w:rPr>
        <w:t xml:space="preserve">Selective culture media commonly used for the growth of Streptococcus pyogenes include Columbia CNA agar with colistin and nalidixic acid, Phenylethyl Alcohol (PEA) agar, and Tryptic soy agar (TSA) with 5% defibrinated sheep blood (Spellerberg &amp; Brandt, 2016). Columbia CNA agar has two antibiotics—nalidixic acid and colistin—that prevent gram-negative bacteria such as </w:t>
      </w:r>
      <w:r>
        <w:rPr>
          <w:rFonts w:ascii="Times New Roman" w:eastAsia="Times New Roman" w:hAnsi="Times New Roman" w:cs="Times New Roman"/>
          <w:i/>
          <w:sz w:val="24"/>
          <w:szCs w:val="24"/>
        </w:rPr>
        <w:t>Enterobacteriaceae</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Pseudomonas</w:t>
      </w:r>
      <w:r>
        <w:rPr>
          <w:rFonts w:ascii="Times New Roman" w:eastAsia="Times New Roman" w:hAnsi="Times New Roman" w:cs="Times New Roman"/>
          <w:sz w:val="24"/>
          <w:szCs w:val="24"/>
        </w:rPr>
        <w:t xml:space="preserve"> species from growing, and favor gram-positive bacteria like </w:t>
      </w:r>
      <w:r>
        <w:rPr>
          <w:rFonts w:ascii="Times New Roman" w:eastAsia="Times New Roman" w:hAnsi="Times New Roman" w:cs="Times New Roman"/>
          <w:i/>
          <w:sz w:val="24"/>
          <w:szCs w:val="24"/>
        </w:rPr>
        <w:t>Staphylococci, Streptococci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Enterococci</w:t>
      </w:r>
      <w:r>
        <w:rPr>
          <w:rFonts w:ascii="Times New Roman" w:eastAsia="Times New Roman" w:hAnsi="Times New Roman" w:cs="Times New Roman"/>
          <w:sz w:val="24"/>
          <w:szCs w:val="24"/>
        </w:rPr>
        <w:t xml:space="preserve">. Likewise, PEA agar is selective for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due to the inhibitory effect of PEA on gram-negative bacteria and fungi, while allowing the growth of gram-positive organisms.</w:t>
      </w:r>
    </w:p>
    <w:p w14:paraId="000000C1" w14:textId="77777777" w:rsidR="002A0C82" w:rsidRDefault="002A0C82">
      <w:pPr>
        <w:jc w:val="both"/>
        <w:rPr>
          <w:rFonts w:ascii="Times New Roman" w:eastAsia="Times New Roman" w:hAnsi="Times New Roman" w:cs="Times New Roman"/>
          <w:b/>
          <w:sz w:val="24"/>
          <w:szCs w:val="24"/>
        </w:rPr>
      </w:pPr>
    </w:p>
    <w:p w14:paraId="000000C2"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Molecular identification: </w:t>
      </w:r>
      <w:r>
        <w:rPr>
          <w:rFonts w:ascii="Times New Roman" w:eastAsia="Times New Roman" w:hAnsi="Times New Roman" w:cs="Times New Roman"/>
          <w:i/>
          <w:sz w:val="24"/>
          <w:szCs w:val="24"/>
        </w:rPr>
        <w:t>spy1258</w:t>
      </w:r>
      <w:r>
        <w:rPr>
          <w:rFonts w:ascii="Times New Roman" w:eastAsia="Times New Roman" w:hAnsi="Times New Roman" w:cs="Times New Roman"/>
          <w:sz w:val="24"/>
          <w:szCs w:val="24"/>
        </w:rPr>
        <w:t xml:space="preserve"> is highly specific and is the most commonly used gene for the detection of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Studies have shown that the </w:t>
      </w:r>
      <w:r>
        <w:rPr>
          <w:rFonts w:ascii="Times New Roman" w:eastAsia="Times New Roman" w:hAnsi="Times New Roman" w:cs="Times New Roman"/>
          <w:i/>
          <w:sz w:val="24"/>
          <w:szCs w:val="24"/>
        </w:rPr>
        <w:t>spy1258</w:t>
      </w:r>
      <w:r>
        <w:rPr>
          <w:rFonts w:ascii="Times New Roman" w:eastAsia="Times New Roman" w:hAnsi="Times New Roman" w:cs="Times New Roman"/>
          <w:sz w:val="24"/>
          <w:szCs w:val="24"/>
        </w:rPr>
        <w:t xml:space="preserve"> PCR assay has the specificity of 93.85% to 100% for detecting the pathogen, as it only amplifies DNA from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and not from other </w:t>
      </w:r>
      <w:r>
        <w:rPr>
          <w:rFonts w:ascii="Times New Roman" w:eastAsia="Times New Roman" w:hAnsi="Times New Roman" w:cs="Times New Roman"/>
          <w:i/>
          <w:sz w:val="24"/>
          <w:szCs w:val="24"/>
        </w:rPr>
        <w:t>Streptococcus</w:t>
      </w:r>
      <w:r>
        <w:rPr>
          <w:rFonts w:ascii="Times New Roman" w:eastAsia="Times New Roman" w:hAnsi="Times New Roman" w:cs="Times New Roman"/>
          <w:sz w:val="24"/>
          <w:szCs w:val="24"/>
        </w:rPr>
        <w:t xml:space="preserve"> species or common bacteria. Besides </w:t>
      </w:r>
      <w:r>
        <w:rPr>
          <w:rFonts w:ascii="Times New Roman" w:eastAsia="Times New Roman" w:hAnsi="Times New Roman" w:cs="Times New Roman"/>
          <w:i/>
          <w:sz w:val="24"/>
          <w:szCs w:val="24"/>
        </w:rPr>
        <w:t>spy1258</w:t>
      </w:r>
      <w:r>
        <w:rPr>
          <w:rFonts w:ascii="Times New Roman" w:eastAsia="Times New Roman" w:hAnsi="Times New Roman" w:cs="Times New Roman"/>
          <w:sz w:val="24"/>
          <w:szCs w:val="24"/>
        </w:rPr>
        <w:t xml:space="preserve">, genes encoded for virulence factors are also utilized as target genes such as </w:t>
      </w:r>
      <w:r>
        <w:rPr>
          <w:rFonts w:ascii="Times New Roman" w:eastAsia="Times New Roman" w:hAnsi="Times New Roman" w:cs="Times New Roman"/>
          <w:i/>
          <w:sz w:val="24"/>
          <w:szCs w:val="24"/>
        </w:rPr>
        <w:t>dnaseB, speB, and sof</w:t>
      </w:r>
      <w:r>
        <w:rPr>
          <w:rFonts w:ascii="Times New Roman" w:eastAsia="Times New Roman" w:hAnsi="Times New Roman" w:cs="Times New Roman"/>
          <w:sz w:val="24"/>
          <w:szCs w:val="24"/>
        </w:rPr>
        <w:t xml:space="preserve">. However, the specificity of these genes is relatively poorer than </w:t>
      </w:r>
      <w:r>
        <w:rPr>
          <w:rFonts w:ascii="Times New Roman" w:eastAsia="Times New Roman" w:hAnsi="Times New Roman" w:cs="Times New Roman"/>
          <w:i/>
          <w:sz w:val="24"/>
          <w:szCs w:val="24"/>
        </w:rPr>
        <w:t xml:space="preserve">spy1258 </w:t>
      </w:r>
      <w:r>
        <w:rPr>
          <w:rFonts w:ascii="Times New Roman" w:eastAsia="Times New Roman" w:hAnsi="Times New Roman" w:cs="Times New Roman"/>
          <w:sz w:val="24"/>
          <w:szCs w:val="24"/>
        </w:rPr>
        <w:t xml:space="preserve">(Abraham &amp; Sistla, 2016). Molecular identification method employed is usually PCR. </w:t>
      </w:r>
    </w:p>
    <w:p w14:paraId="000000C3" w14:textId="77777777" w:rsidR="002A0C82" w:rsidRDefault="002A0C82">
      <w:pPr>
        <w:jc w:val="both"/>
        <w:rPr>
          <w:rFonts w:ascii="Times New Roman" w:eastAsia="Times New Roman" w:hAnsi="Times New Roman" w:cs="Times New Roman"/>
          <w:b/>
          <w:sz w:val="24"/>
          <w:szCs w:val="24"/>
        </w:rPr>
      </w:pPr>
    </w:p>
    <w:p w14:paraId="000000C4"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Virulence factors: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expresses a wide range of virulence factors from the unique capsule and surface-associated proteins to secreted enzymes and toxins. A hyaluronic capsule of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protects the pathogen from phagocytosis by the host immune system's neutrophils, while M protein embedded on the cell wall facilitates attachment to host cells and inhibits opsonization by the alternative complement pathway. Other components on the cell wall such as lipoteichoic acid and protein F (Sfbl), which is fibronectin-binding protein, further promotes epithelial host cell attachment. Moreover, some of the secreted virulence factors include Streptolysin O (SLO) and streptolysin S (SLS), which are hemolysins that lyse red blood cells, streptokinase which activates plasminogen to plasmin, aiding in tissue penetration, as well as hyaluronidase that breaks down hyaluronic acid in host tissues (Barnett et al., 2022). There are also Streptococcal pyrogenic exotoxins SpeA and SpeC which cause rash of scarlet fever and many other symptoms of Streptococcal Toxic Shock Syndrome (STSS) (Earhart et al., 2000). </w:t>
      </w:r>
    </w:p>
    <w:p w14:paraId="000000C5" w14:textId="77777777" w:rsidR="002A0C82" w:rsidRDefault="002A0C82">
      <w:pPr>
        <w:jc w:val="both"/>
        <w:rPr>
          <w:rFonts w:ascii="Times New Roman" w:eastAsia="Times New Roman" w:hAnsi="Times New Roman" w:cs="Times New Roman"/>
          <w:sz w:val="24"/>
          <w:szCs w:val="24"/>
        </w:rPr>
      </w:pPr>
    </w:p>
    <w:p w14:paraId="000000C6"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Diseases and treatments: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can cause a wide range of diseases, from non-invasive illness such as pharyngitis (sore throat) and impetigo (mild skin infection), to severely fatal invasive infections such as necrotizing fasciitis, pneumonia, bacteremia, and Streptococcal Toxic Shock Syndrome (STSS). Necrotizing fasciitis is a deadly skin and soft tissue infection famously known as “flesh-eating disease", infected patients have a high fatality rate of 20-80% (Wallace &amp; Perera, 2023). Streptococcal Toxic Shock Syndrome (STSS) is a rare disease defined by a series of acute symptoms including sudden onset of shock, organ failure, low blood pressure and in some worst cases, death. For pharyngitis, the recommended drug is penicillin. For fatal illnesses, it is advised to treat with vancomycin or clindamycin, along with removal of necrotic tissue in necrotizing fasciitis patients (Kanwal &amp; Vaitla, 2023). </w:t>
      </w:r>
    </w:p>
    <w:p w14:paraId="000000C7" w14:textId="77777777" w:rsidR="002A0C82" w:rsidRDefault="002A0C82">
      <w:pPr>
        <w:jc w:val="both"/>
        <w:rPr>
          <w:rFonts w:ascii="Times New Roman" w:eastAsia="Times New Roman" w:hAnsi="Times New Roman" w:cs="Times New Roman"/>
          <w:b/>
          <w:sz w:val="24"/>
          <w:szCs w:val="24"/>
        </w:rPr>
      </w:pPr>
    </w:p>
    <w:p w14:paraId="000000C8" w14:textId="77777777" w:rsidR="002A0C8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Prevalence: </w:t>
      </w:r>
      <w:r>
        <w:rPr>
          <w:rFonts w:ascii="Times New Roman" w:eastAsia="Times New Roman" w:hAnsi="Times New Roman" w:cs="Times New Roman"/>
          <w:sz w:val="24"/>
          <w:szCs w:val="24"/>
        </w:rPr>
        <w:t xml:space="preserve">The prevalence of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among acute pharyngitis patients in Northwest Ethiopia is 9.1% which is comparatively lower than other regions such as Jimma, Ethiopia 11.3%, India 5.5%, Japan 5.8%, Indonesia 13.5% and Nepal 9.2%. However, it was higher than studies from Mexico (0.04–0.42%), Brazil (3.9%), Romania (4%), Iran (2.5%), and Saudi Arabia (1.5%). Nonetheless, studies have recognized the prevalence of this bacteria is 16-45% in African, 28.6-37% in USA, 30% in Iran and 69.5% in Israel (Kebede et al., 2021).This comes to show that the detection of </w:t>
      </w:r>
      <w:r>
        <w:rPr>
          <w:rFonts w:ascii="Times New Roman" w:eastAsia="Times New Roman" w:hAnsi="Times New Roman" w:cs="Times New Roman"/>
          <w:i/>
          <w:sz w:val="24"/>
          <w:szCs w:val="24"/>
        </w:rPr>
        <w:t>S. pyogenes</w:t>
      </w:r>
      <w:r>
        <w:rPr>
          <w:rFonts w:ascii="Times New Roman" w:eastAsia="Times New Roman" w:hAnsi="Times New Roman" w:cs="Times New Roman"/>
          <w:sz w:val="24"/>
          <w:szCs w:val="24"/>
        </w:rPr>
        <w:t xml:space="preserve"> depends on sample sizes, geographical features, climate conditions at the sample collection period, as well as the detection method. Notably, pharyngeal infection in children older than three years old is higher than other age groups due to the exposure with the pathogen in schools, playgrounds, etc., and naturally weaker immune system in children (Efstratiou &amp; Lamagni, 2022).</w:t>
      </w:r>
    </w:p>
    <w:p w14:paraId="000000C9" w14:textId="12A438BC" w:rsidR="002A0C82" w:rsidRDefault="00CE0629">
      <w:pPr>
        <w:jc w:val="both"/>
        <w:rPr>
          <w:rFonts w:ascii="Times New Roman" w:eastAsia="Times New Roman" w:hAnsi="Times New Roman" w:cs="Times New Roman"/>
          <w:b/>
          <w:sz w:val="24"/>
          <w:szCs w:val="24"/>
        </w:rPr>
      </w:pPr>
      <w:bookmarkStart w:id="1" w:name="_Hlk168391337"/>
      <w:r>
        <w:rPr>
          <w:rFonts w:ascii="Times New Roman" w:eastAsia="Times New Roman" w:hAnsi="Times New Roman" w:cs="Times New Roman"/>
          <w:b/>
          <w:sz w:val="24"/>
          <w:szCs w:val="24"/>
        </w:rPr>
        <w:t>Acknowledgment</w:t>
      </w:r>
    </w:p>
    <w:p w14:paraId="35901422" w14:textId="294C838F" w:rsidR="00CE0629" w:rsidRPr="00CE0629" w:rsidRDefault="00CE0629">
      <w:pPr>
        <w:jc w:val="both"/>
        <w:rPr>
          <w:rFonts w:ascii="Times New Roman" w:eastAsia="Times New Roman" w:hAnsi="Times New Roman" w:cs="Times New Roman"/>
          <w:bCs/>
          <w:sz w:val="24"/>
          <w:szCs w:val="24"/>
        </w:rPr>
      </w:pPr>
      <w:r w:rsidRPr="00CE0629">
        <w:rPr>
          <w:rFonts w:ascii="Times New Roman" w:eastAsia="Times New Roman" w:hAnsi="Times New Roman" w:cs="Times New Roman"/>
          <w:bCs/>
          <w:sz w:val="24"/>
          <w:szCs w:val="24"/>
        </w:rPr>
        <w:t>This work is funded by Vietnam National University Ho</w:t>
      </w:r>
      <w:r>
        <w:rPr>
          <w:rFonts w:ascii="Times New Roman" w:eastAsia="Times New Roman" w:hAnsi="Times New Roman" w:cs="Times New Roman"/>
          <w:bCs/>
          <w:sz w:val="24"/>
          <w:szCs w:val="24"/>
        </w:rPr>
        <w:t xml:space="preserve"> </w:t>
      </w:r>
      <w:r w:rsidRPr="00CE0629">
        <w:rPr>
          <w:rFonts w:ascii="Times New Roman" w:eastAsia="Times New Roman" w:hAnsi="Times New Roman" w:cs="Times New Roman"/>
          <w:bCs/>
          <w:sz w:val="24"/>
          <w:szCs w:val="24"/>
        </w:rPr>
        <w:t>Chi</w:t>
      </w:r>
      <w:r>
        <w:rPr>
          <w:rFonts w:ascii="Times New Roman" w:eastAsia="Times New Roman" w:hAnsi="Times New Roman" w:cs="Times New Roman"/>
          <w:bCs/>
          <w:sz w:val="24"/>
          <w:szCs w:val="24"/>
        </w:rPr>
        <w:t xml:space="preserve"> </w:t>
      </w:r>
      <w:r w:rsidRPr="00CE0629">
        <w:rPr>
          <w:rFonts w:ascii="Times New Roman" w:eastAsia="Times New Roman" w:hAnsi="Times New Roman" w:cs="Times New Roman"/>
          <w:bCs/>
          <w:sz w:val="24"/>
          <w:szCs w:val="24"/>
        </w:rPr>
        <w:t>Minh City (VNU-HCM) under grant number B2024-28-05.</w:t>
      </w:r>
    </w:p>
    <w:bookmarkEnd w:id="1"/>
    <w:p w14:paraId="000000CA" w14:textId="77777777" w:rsidR="002A0C82" w:rsidRDefault="002A0C82">
      <w:pPr>
        <w:jc w:val="both"/>
        <w:rPr>
          <w:rFonts w:ascii="Candara" w:eastAsia="Candara" w:hAnsi="Candara" w:cs="Candara"/>
        </w:rPr>
      </w:pPr>
    </w:p>
    <w:p w14:paraId="000000CE" w14:textId="657A3F2A" w:rsidR="002A0C82" w:rsidRPr="00F47965" w:rsidRDefault="00000000" w:rsidP="00F47965">
      <w:pPr>
        <w:spacing w:before="240" w:after="240"/>
        <w:rPr>
          <w:rFonts w:ascii="Times New Roman" w:eastAsia="Times New Roman" w:hAnsi="Times New Roman" w:cs="Times New Roman"/>
          <w:b/>
          <w:sz w:val="28"/>
          <w:szCs w:val="28"/>
        </w:rPr>
      </w:pPr>
      <w:r>
        <w:br w:type="page"/>
      </w:r>
      <w:r>
        <w:rPr>
          <w:rFonts w:ascii="Times New Roman" w:eastAsia="Times New Roman" w:hAnsi="Times New Roman" w:cs="Times New Roman"/>
          <w:b/>
          <w:sz w:val="24"/>
          <w:szCs w:val="24"/>
        </w:rPr>
        <w:lastRenderedPageBreak/>
        <w:t>References:</w:t>
      </w:r>
    </w:p>
    <w:p w14:paraId="000000CF" w14:textId="77777777" w:rsidR="002A0C82" w:rsidRDefault="002A0C82">
      <w:pPr>
        <w:rPr>
          <w:rFonts w:ascii="Times New Roman" w:eastAsia="Times New Roman" w:hAnsi="Times New Roman" w:cs="Times New Roman"/>
          <w:sz w:val="24"/>
          <w:szCs w:val="24"/>
        </w:rPr>
      </w:pPr>
    </w:p>
    <w:p w14:paraId="000000D0"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Abraham, T., &amp; Sistla, S. (2016). Identification of Streptococcus pyogenes - Phenotypic Tests vs Molecular Assay (spy1258PCR): A Comparative Study. Journal of clinical and diagnostic research : JCDR, 10(7), DC01–DC3. https://doi.org/10.7860/JCDR/2016/20053.8093</w:t>
      </w:r>
    </w:p>
    <w:p w14:paraId="000000D1"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Ahmadi, A., Ramazanzadeh, R., Derakhshan, S., Khodabandehloo, M., Farhadifar, F., Roshani, D., Mousavi, A., Hedayati, M. A., &amp; Taheri, M. (2022). Prevalence of Listeria monocytogenes infection in women with spontaneous abortion, normal delivery, fertile and infertile. BMC Pregnancy and Childbirth, 22(1). https://doi.org/10.1186/s12884-022-05330-6</w:t>
      </w:r>
    </w:p>
    <w:p w14:paraId="000000D2"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Aryal, S. (2022). Virulence factors, Pathogenesis and Clinical manifestations of Streptococcus pneumoniae. Microbe Notes. https://microbenotes.com/virulence-factors-pathogenesis-and-clinical-manifestations-of-streptococcus-pneumoniae/</w:t>
      </w:r>
    </w:p>
    <w:p w14:paraId="000000D3"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Barnett, T., Indraratna, A., &amp; Sanderson-Smith, M. (2022, November 19). Secreted Virulence Factors of Streptococcus pyogenes. Streptococcus Pyogenes: Basic Biology to Clinical Manifestations - NCBI Bookshelf. https://www.ncbi.nlm.nih.gov/books/NBK587095/</w:t>
      </w:r>
    </w:p>
    <w:p w14:paraId="000000D4"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Chon, J. W., Song, K. Y., Kim, H., &amp; Seo, K. H. (2014). Comparison of 3 selective media for enumeration of Bacillus cereus in several food matrixes. Journal of food science, 79(12), M2480–M2484. https://doi.org/10.1111/1750-3841.12594</w:t>
      </w:r>
    </w:p>
    <w:p w14:paraId="000000D5"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Churchill, K. J., Sargeant, J. M., Farber, J. M., &amp; O'Connor, A. M. (2019). Prevalence of Listeria monocytogenes in Select Ready-to-Eat Foods-Deli Meat, Soft Cheese, and Packaged Salad: A Systematic Review and Meta-Analysis. Journal of food protection, 82(2), 344–357. https://doi.org/10.4315/0362-028X.JFP-18-158</w:t>
      </w:r>
    </w:p>
    <w:p w14:paraId="000000D6"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Coelho, C., Brown, L., Maryam, M., Vij, R., Smith, D. F. Q., Burnet, M. C., Kyle, J. E., Heyman, H. M., Ramirez, J., Prados-Rosales, R., Lauvau, G., Nakayasu, E. S., Brady, N. R., Hamacher-Brady, A., Coppens, I., &amp; Casadevall, A. (2019). Listeria monocytogenes virulence factors, including listeriolysin O, are secreted in biologically active extracellular vesicles. The Journal of biological chemistry, 294(4), 1202–1217. https://doi.org/10.1074/jbc.RA118.006472</w:t>
      </w:r>
    </w:p>
    <w:p w14:paraId="000000D7"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Duncan, J. L., &amp; Schlegel, R. (1975). Effect of streptolysin O on erythrocyte membranes, liposomes, and lipid dispersions. A protein-cholesterol interaction. The Journal of cell biology, 67(1), 160–174. https://doi.org/10.1083/jcb.67.1.160</w:t>
      </w:r>
    </w:p>
    <w:p w14:paraId="000000D8"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Earhart, C. A., Vath, G. M., Roggiani, M., Schlievert, P. M., &amp; Ohlendorf, D. H. (2000). Structure of streptococcal pyrogenic exotoxin A reveals a novel metal cluster. Protein science : a publication of the Protein Society, 9(9), 1847–1851. https://doi.org/10.1110/ps.9.9.1847</w:t>
      </w:r>
    </w:p>
    <w:p w14:paraId="000000D9"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Efstratiou, A., &amp; Lamagni, T. (2022, November 7). Epidemiology of Streptococcus pyogenes. Streptococcus Pyogenes: Basic Biology to Clinical Manifestations - NCBI Bookshelf. https://www.ncbi.nlm.nih.gov/books/NBK587100/</w:t>
      </w:r>
    </w:p>
    <w:p w14:paraId="000000DA"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Gasanov, U., Hughes, D., &amp; Hansbro, P. M. (2005). Methods for the isolation and identification ofListeriaspp. andListeria monocytogenes: a review. FEMS Microbiology Reviews, 29(5), 851–875. https://doi.org/10.1016/j.femsre.2004.12.002</w:t>
      </w:r>
    </w:p>
    <w:p w14:paraId="000000DB"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Ha, M., Jo, H., Choi, E., Kim, Y., Kim, J., &amp; Cho, H. (2019). Reliable Identification of Bacillus cereus Group Species Using Low Mass Biomarkers by MALDI-TOF MS. Journal of Microbiology and Biotechnology, 29(6), 887–896. https://doi.org/10.4014/jmb.1903.03033</w:t>
      </w:r>
    </w:p>
    <w:p w14:paraId="000000DC"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Ireton, K., Mortuza, R., Gyanwali, G. C., Gianfelice, A., &amp; Hussain, M. (2021). Role of internalin proteins in the pathogenesis of Listeria monocytogenes. Molecular microbiology, 116(6), 1407–1419. https://doi.org/10.1111/mmi.14836</w:t>
      </w:r>
    </w:p>
    <w:p w14:paraId="000000DD"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Jamshidi, M., Jahromi, A. S., Davoodian, P., Amirian, M., Zangeneh, M., &amp; Jadcareh, F. (2009). Seropositivity for Listeria monocytogenes in women with spontaneous abortion: a case-control study in Iran. Taiwanese journal of obstetrics &amp; gynecology, 48(1), 46–48. https://doi.org/10.1016/S1028-4559(09)60034-6</w:t>
      </w:r>
    </w:p>
    <w:p w14:paraId="000000DE"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Jibo, G. G., Raji, Y. E., Adamu, S., Nordin, S. B. A., Mansor, R. B., &amp; Jamaluddin, T. Z. M. B. T. (2022). A systematic review and meta-analysis of the prevalence of Listeria monocytogenes in South-East Asia; a one-health approach of human-animal-food-environment. One Health, 15, 100417. https://doi.org/10.1016/j.onehlt.2022.100417</w:t>
      </w:r>
    </w:p>
    <w:p w14:paraId="000000DF"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Jones, G. S., &amp; D'Orazio, S. E. F. (2013). Listeria monocytogenes: cultivation and laboratory maintenance. Current protocols in microbiology, 31, 9B.2.1–9B.2.7. https://doi.org/10.1002/9780471729259.mc09b02s31</w:t>
      </w:r>
    </w:p>
    <w:p w14:paraId="000000E0"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Joseph, B., Przybilla, K., Stühler, C., Schauer, K., Slaghuis, J., Fuchs, T. M., &amp; Goebel, W. (2006). Identification of Listeria monocytogenes genes contributing to intracellular replication by expression profiling and mutant screening. Journal of bacteriology, 188(2), 556–568. https://doi.org/10.1128/JB.188.2.556-568.2006</w:t>
      </w:r>
    </w:p>
    <w:p w14:paraId="000000E1"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Kadioglu, A., Weiser, J. N., Paton, J. C., &amp; Andrew, P. W. (2008). The role of Streptococcus pneumoniae virulence factors in host respiratory colonization and disease. Nature Reviews. Microbiology, 6(4), 288–301. https://doi.org/10.1038/nrmicro1871</w:t>
      </w:r>
    </w:p>
    <w:p w14:paraId="000000E2"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Kanwal, S., &amp; Vaitla, P. (2023, July 31). Streptococcus pyogenes. StatPearls - NCBI Bookshelf. https://www.ncbi.nlm.nih.gov/books/NBK554528/#:~:text=pyogenes%20infections%20can%20be%20treated,pyogenes</w:t>
      </w:r>
    </w:p>
    <w:p w14:paraId="000000E3"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Kebede, D., Admas, A., &amp; Mekonnen, D. (2021). Prevalence and antibiotics susceptibility profiles of Streptococcus pyogenes among pediatric patients with acute pharyngitis at Felege Hiwot Comprehensive Specialized Hospital, Northwest Ethiopia. BMC Microbiology, 21(1). https://doi.org/10.1186/s12866-021-02196-0</w:t>
      </w:r>
    </w:p>
    <w:p w14:paraId="000000E4"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Kim, S. N., Min, K. K., Choi, I. H., Kim, S. W., Pyo, S. N., &amp; Rhee, D. K. (1996). Optimization of culture conditions for production of pneumococcal capsular polysaccharide type IV. Archives of Pharmacal Research, 19(3), 173–177. https://doi.org/10.1007/bf02976885</w:t>
      </w:r>
    </w:p>
    <w:p w14:paraId="000000E5"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Lansbury, L., Lawrence, H., McKeever, T. M., French, N., Aston, S., Hill, A. T., Pick, H., Baskaran, V., Edwards-Pritchard, R. C., Bendall, L., Ashton, D., Butler, J., Daniel, P., </w:t>
      </w:r>
      <w:r>
        <w:rPr>
          <w:rFonts w:ascii="Times New Roman" w:eastAsia="Times New Roman" w:hAnsi="Times New Roman" w:cs="Times New Roman"/>
          <w:sz w:val="24"/>
          <w:szCs w:val="24"/>
        </w:rPr>
        <w:lastRenderedPageBreak/>
        <w:t>Bewick, T., Rodrigo, C., Litt, D., Eletu, S., Sheppard, C. L., Fry, N. K., Ladhani, S., … Lim, W. S. (2023). Pneumococcal serotypes and risk factors in adult community-acquired pneumonia 2018-20; a multicentre UK cohort study. The Lancet regional health. Europe, 37, 100812. https://doi.org/10.1016/j.lanepe.2023.100812</w:t>
      </w:r>
    </w:p>
    <w:p w14:paraId="000000E6"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Law, J. W., Ab Mutalib, N. S., Chan, K. G., &amp; Lee, L. H. (2015). An insight into the isolation, enumeration, and molecular detection of Listeria monocytogenes in food. Frontiers in microbiology, 6, 1227. https://doi.org/10.3389/fmicb.2015.01227</w:t>
      </w:r>
    </w:p>
    <w:p w14:paraId="000000E7"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Lindbäck, T., Fagerlund, A., Rødland, M. S., &amp; Granum, P. E. (2004). Characterization of the Bacillus cereus Nhe enterotoxin. Microbiology (Reading, England), 150(Pt 12), 3959–3967. https://doi.org/10.1099/mic.0.27359-0</w:t>
      </w:r>
    </w:p>
    <w:p w14:paraId="000000E8"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Liu, C., Yu, P., Yu, S., Wang, J., Guo, H., Zhang, Y., Zhang, J., Liao, X., Li, C., Wu, S., Gu, Q., Zeng, H., Zhang, Y., Wei, X., Zhang, J., Wu, Q., &amp; Ding, Y. (2020). Assessment and molecular characterization of Bacillus cereus isolated from edible fungi in China. BMC Microbiology, 20(1). https://doi.org/10.1186/s12866-020-01996-0</w:t>
      </w:r>
    </w:p>
    <w:p w14:paraId="000000E9"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Mayer, M. J. (2015, February 26). Bacillus cereus: Selective Media for Unpasteurized Food Samples. Examining Food. https://www.thermofisher.com/blog/food/bacillus-cereus-selective-media-for-unpasteurized-food-samples/</w:t>
      </w:r>
    </w:p>
    <w:p w14:paraId="000000EA"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McDowell, R. H., Sands, E. M., &amp; Friedman, H. (2023, January 23). Bacillus cereus. StatPearls - NCBI Bookshelf. https://www.ncbi.nlm.nih.gov/books/NBK459121/</w:t>
      </w:r>
    </w:p>
    <w:p w14:paraId="000000EB"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Mekuria, S., Tolossa, D., Abebe, T., Nour, T. Y., Tesfaye, A., &amp; Roble, A. K. (2023). Prevalence, antimicrobial drug resistance and associated risk factors of Streptococcus pneumoniae bacteria infection among Under-Five Children with acute lower respiratory tract infection Attending Sheik Hassan Yebere Referral Hospital, Jig-Jiga, Ethiopia. Infection and Drug Resistance, Volume 16, 3511–3523. https://doi.org/10.2147/idr.s409919</w:t>
      </w:r>
    </w:p>
    <w:p w14:paraId="000000EC"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Meza-Bone, G. A., Bone, J. S. M., Cedeño, Á., Martín, I., Martín, A., Maddela, N. R., &amp; Córdoba, J. J. (2023). Prevalence of Listeria monocytogenes in RTE Meat Products of Quevedo (Ecuador). Foods, 12(15), 2956. https://doi.org/10.3390/foods12152956</w:t>
      </w:r>
    </w:p>
    <w:p w14:paraId="000000ED"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Mosadegh, M., Asadian, R., Emamie, A. D., Rajabpour, M., Najafinasab, E., &amp; Azarsa, M. (2020). Impact of Laboratory Methods and Gene Targets on Detection of Streptococcus pneumoniae in Isolates and Clinical Specimens. Reports of biochemistry &amp; molecular biology, 9(2), 216–222. https://doi.org/10.29252/rbmb.9.2.216</w:t>
      </w:r>
    </w:p>
    <w:p w14:paraId="000000EE"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Owusu-Kwarteng, J., Wuni, A., Akabanda, F., Tano-Debrah, K., &amp; Jespersen, L. (2017). Prevalence, virulence factor genes and antibiotic resistance of Bacillus cereus sensu lato isolated from dairy farms and traditional dairy products. BMC Microbiology, 17(1). https://doi.org/10.1186/s12866-017-0975-9</w:t>
      </w:r>
    </w:p>
    <w:p w14:paraId="000000EF"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Petrišič, N., Kozorog, M., Aden, S., Podobnik, M., &amp; Anderluh, G. (2021). The molecular mechanisms of listeriolysin O-induced lipid membrane damage. Biochimica Et Biophysica Acta. Biomembranes, 1863(7), 183604. https://doi.org/10.1016/j.bbamem.2021.183604</w:t>
      </w:r>
    </w:p>
    <w:p w14:paraId="000000F0"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Premaratne, R. J., Lin, W. J., &amp; Johnson, E. A. (1991). Development of an improved chemically defined minimal medium for Listeria monocytogenes. Applied and environmental microbiology, 57(10), 3046–3048. https://doi.org/10.1128/aem.57.10.3046-3048.1991</w:t>
      </w:r>
    </w:p>
    <w:p w14:paraId="000000F1"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Rahnama, H., Azari, R., Yousefi, M. H., Berizi, E., Mazloomi, S. M., Hosseinzadeh, S., Derakhshan, Z., Ferrante, M., &amp; Conti, G. O. (2023). A systematic review and meta-analysis of the prevalence of Bacillus cereus in foods. Food Control, 143, 109250. https://doi.org/10.1016/j.foodcont.2022.109250</w:t>
      </w:r>
    </w:p>
    <w:p w14:paraId="000000F2"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Sanz, J. C., Ríos, E., Rodríguez-Avial, I., Ramos, B., Marín, M., &amp; Cercenado, E. (2018). Identification of Streptococcus pneumoniae lytA, plyA and psaA genes in pleural fluid by multiplex real-time PCR. Enfermedades infecciosas y microbiologia clinica (English ed.), 36(7), 428–430. https://doi.org/10.1016/j.eimc.2017.07.007</w:t>
      </w:r>
    </w:p>
    <w:p w14:paraId="000000F3"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Spellerberg, B., &amp; Brandt, C. (2016, February 10). </w:t>
      </w:r>
      <w:r>
        <w:rPr>
          <w:rFonts w:ascii="Times New Roman" w:eastAsia="Times New Roman" w:hAnsi="Times New Roman" w:cs="Times New Roman"/>
          <w:i/>
          <w:sz w:val="24"/>
          <w:szCs w:val="24"/>
        </w:rPr>
        <w:t>Laboratory Diagnosis of Streptococcus pyogenes (group A streptococci)</w:t>
      </w:r>
      <w:r>
        <w:rPr>
          <w:rFonts w:ascii="Times New Roman" w:eastAsia="Times New Roman" w:hAnsi="Times New Roman" w:cs="Times New Roman"/>
          <w:sz w:val="24"/>
          <w:szCs w:val="24"/>
        </w:rPr>
        <w:t>. Streptococcus Pyogenes - NCBI Bookshelf. https://www.ncbi.nlm.nih.gov/books/NBK343617/#:~:text=Selective%20media%20for%20culturing%20Gram,pyogenes.</w:t>
      </w:r>
    </w:p>
    <w:p w14:paraId="000000F4"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Suárez, N., &amp; Texeira, E. (2019). Optimal Conditions for Streptococcus pneumoniae Culture: In Solid and Liquid Media. Methods in molecular biology (Clifton, N.J.), 1968, 3–10. https://doi.org/10.1007/978-1-4939-9199-0_1</w:t>
      </w:r>
    </w:p>
    <w:p w14:paraId="000000F5"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Tavares, D. A., Handem, S., Carvalho, R. J., Paulo, A. C., de Lencastre, H., Hinds, J., &amp; Sá-Leão, R. (2019). Identification of Streptococcus pneumoniae by a real-time PCR assay targeting SP2020. Scientific reports, 9(1), 3285. https://doi.org/10.1038/s41598-019-39791-1</w:t>
      </w:r>
    </w:p>
    <w:p w14:paraId="000000F6"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Temple, M. E., &amp; Nahata, M. C. (2000). Treatment of listeriosis. The Annals of pharmacotherapy, 34(5), 656–661. https://doi.org/10.1345/aph.19315</w:t>
      </w:r>
    </w:p>
    <w:p w14:paraId="000000F7"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Theilacker, C., Ludewig, K., Serr, A., Schimpf, J., Held, J., Bögelein, M., Bahr, V., Rusch, S., Pohl, A., Kogelmann, K., Frieseke, S., Bogdanski, R., Brunkhorst, F. M., &amp; Kern, W. V. (2015). Overwhelming postsplenectomy infection: A prospective multicenter cohort study. Clinical Infectious Diseases/Clinical Infectious Diseases (Online. University of Chicago. Press), 62(7), 871–878. https://doi.org/10.1093/cid/civ1195</w:t>
      </w:r>
    </w:p>
    <w:p w14:paraId="000000F8"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Wallace, H. A., &amp; Perera, T. B. (2023, February 21). Necrotizing fasciitis. StatPearls - NCBI Bookshelf. https://www.ncbi.nlm.nih.gov/books/NBK430756/#:~:text=Necrotizing%20fasciitis%20is%20a%20serious,of%20immunosuppression%2C%20and%20delayed%20surgery</w:t>
      </w:r>
    </w:p>
    <w:p w14:paraId="000000F9"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Wambugu, P., Shah, M., Nguyen, H., Le, K., Le, H., Vo, H., Toizumi, M., Bui, M., Dang, D., &amp; Yoshida, L. (2023). Molecular Epidemiology of Streptococcus pneumoniae Detected in Hospitalized Pediatric Acute Respiratory Infection Cases in Central Vietnam. Pathogens, 12(7), 943. https://doi.org/10.3390/pathogens12070943</w:t>
      </w:r>
    </w:p>
    <w:p w14:paraId="000000FA" w14:textId="77777777" w:rsidR="002A0C82"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Zahari, N. I. N., Rahman, E. N. S. E. A., Irekeola, A. A., Ahmed, N., Rabaan, A. A., Alotaibi, J., Alqahtani, S. A., Halawi, M. Y., Alamri, I. A., Almogbel, M. S., Alfaraj, A. H., Ibrahim, F. A., Almaghaslah, M., Alissa, M., &amp; Yean, C. Y. (2023). A Review of the Resistance </w:t>
      </w:r>
      <w:r>
        <w:rPr>
          <w:rFonts w:ascii="Times New Roman" w:eastAsia="Times New Roman" w:hAnsi="Times New Roman" w:cs="Times New Roman"/>
          <w:sz w:val="24"/>
          <w:szCs w:val="24"/>
        </w:rPr>
        <w:lastRenderedPageBreak/>
        <w:t xml:space="preserve">Mechanisms for β-Lactams, Macrolides and Fluoroquinolones among Streptococcus pneumoniae. Medicina, 59(11), 1927. https://doi.org/10.3390/medicina59111927  [Original source: </w:t>
      </w:r>
      <w:hyperlink r:id="rId7">
        <w:r>
          <w:rPr>
            <w:rFonts w:ascii="Times New Roman" w:eastAsia="Times New Roman" w:hAnsi="Times New Roman" w:cs="Times New Roman"/>
            <w:color w:val="000000"/>
            <w:sz w:val="24"/>
            <w:szCs w:val="24"/>
            <w:u w:val="single"/>
          </w:rPr>
          <w:t>https://studycrumb.com/alphabetizer</w:t>
        </w:r>
      </w:hyperlink>
      <w:r>
        <w:rPr>
          <w:rFonts w:ascii="Times New Roman" w:eastAsia="Times New Roman" w:hAnsi="Times New Roman" w:cs="Times New Roman"/>
          <w:sz w:val="24"/>
          <w:szCs w:val="24"/>
        </w:rPr>
        <w:t>]</w:t>
      </w:r>
    </w:p>
    <w:p w14:paraId="000000FB"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Biswas, R., Dudani, H., Lakhera, P., Pal, A. K., Kurbah, P., Bhatia, D., Dhok, A., &amp; Kashyap, R. S. (2023). Challenges and future solutions for detection of Clostridioides difficile in adults. Annals of Gastroenterology, 36(4), 369–377. https://doi.org/10.20524/aog.2023.0802</w:t>
      </w:r>
    </w:p>
    <w:p w14:paraId="000000FC"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Cheng, Y.-W., &amp; Fischer, M. (2023). Fecal Microbiota Transplantation. Clinics in Colon and Rectal Surgery, 36(2), 151–156. https://doi.org/10.1055/s-0043-1760865</w:t>
      </w:r>
    </w:p>
    <w:p w14:paraId="000000FD"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Cheung, G. Y. C., Bae, J. S., &amp; Otto, M. (n.d.). Pathogenicity and virulence of Staphylococcus aureus. Virulence, 12(1), 547–569. https://doi.org/10.1080/21505594.2021.1878688</w:t>
      </w:r>
    </w:p>
    <w:p w14:paraId="000000FE"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Dowling, W. B., &amp; Koen, J. (2020). Corynebacterium jeikeium native valve infective endocarditis case report: A confirmed microbiological and pathological diagnosis from heart valvular tissue. European Heart Journal: Case Reports, 4(6), 1–4. https://doi.org/10.1093/ehjcr/ytaa365</w:t>
      </w:r>
    </w:p>
    <w:p w14:paraId="000000FF"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Dutka-Malen, S., Evers, S., &amp; Courvalin, P. (1995). Detection of Glycopeptide Resistance Genotypes and Identification to the Species Level of Clinically Relevant Enterococci by PCR. Journal of Clinical Microbiology, 33, 24–27. https://doi.org/10.1128/JCM.33.5.1434-1434.1995</w:t>
      </w:r>
    </w:p>
    <w:p w14:paraId="00000100"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Edwards, A. N., Suárez, J. M., &amp; McBride, S. M. (2013). Culturing and Maintaining Clostridium difficile in an Anaerobic Environment. Journal of Visualized Experiments : JoVE, 79, 50787. https://doi.org/10.3791/50787</w:t>
      </w:r>
    </w:p>
    <w:p w14:paraId="00000101"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George, W. L., Sutter, V. L., Citron, D., &amp; Finegold, S. M. (1979). Selective and differential medium for isolation of Clostridium difficile. Journal of Clinical Microbiology, 9(2), 214–219. https://doi.org/10.1128/jcm.9.2.214-219.1979</w:t>
      </w:r>
    </w:p>
    <w:p w14:paraId="00000102"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Gouliouris, T., Brown, N. M., &amp; Aliyu, S. H. (2011). Prevention and treatment of Clostridium difficile infection. Clinical Medicine, 11(1), 75–79. https://doi.org/10.7861/clinmedicine.11-1-75</w:t>
      </w:r>
    </w:p>
    <w:p w14:paraId="00000103"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Kim, E., Yang, S.-M., Won, J.-E., Kim, D.-Y., Kim, D.-S., &amp; Kim, H.-Y. (2021). Real-Time PCR Method for the Rapid Detection and Quantification of Pathogenic Staphylococcus Species Based on Novel Molecular Target Genes. Foods, 10(11), 2839. https://doi.org/10.3390/foods10112839</w:t>
      </w:r>
    </w:p>
    <w:p w14:paraId="00000104"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Kim, M.-A., Rosa, V., &amp; Min, K.-S. (2020). Characterization of Enterococcus faecalis in different culture conditions. Scientific Reports, 10(1), 21867. https://doi.org/10.1038/s41598-020-78998-5</w:t>
      </w:r>
    </w:p>
    <w:p w14:paraId="00000105"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Markovska, R., Dimitrov, G., Gergova, R., &amp; Boyanova, L. (2023). Clostridioides difficile, a New “Superbug.” Microorganisms, 11(4), Article 4. https://doi.org/10.3390/microorganisms11040845</w:t>
      </w:r>
    </w:p>
    <w:p w14:paraId="00000106"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Morandi, S., Brasca, M., Alfieri, P., Lodi, R., &amp; Tamburini, A. (2005). Influence of pH and temperature on the growth of Enterococcus faecium and Enterococcus faecalis. Le Lait, 85(3), 181–192.</w:t>
      </w:r>
    </w:p>
    <w:p w14:paraId="00000107"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Otto, M. (2009). Staphylococcus epidermidis – the “accidental” pathogen. Nature Reviews. Microbiology, 7(8), 555–567. https://doi.org/10.1038/nrmicro2182</w:t>
      </w:r>
    </w:p>
    <w:p w14:paraId="00000108"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Paul, S. I., Rahman, Md. M., Salam, M. A., Khan, Md. A. R., &amp; Islam, Md. T. (2021). Identification of marine sponge-associated bacteria of the Saint Martin’s island of the Bay of Bengal emphasizing on the prevention of motile Aeromonas septicemia in Labeo rohita. Aquaculture, 545, 737156. https://doi.org/10.1016/j.aquaculture.2021.737156</w:t>
      </w:r>
    </w:p>
    <w:p w14:paraId="00000109"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Razim, A., Górska, S., &amp; Gamian, A. (2023). Non-Toxin-Based Clostridioides difficile Vaccination Approaches. Pathogens, 12(2), 235. https://doi.org/10.3390/pathogens12020235</w:t>
      </w:r>
    </w:p>
    <w:p w14:paraId="0000010A"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Rezaei Bookani, K., Marcus, R., Cheikh, E., Parish, M., &amp; Salahuddin, U. (2017). Corynebacterium jeikeium endocarditis: A case report and comprehensive review of an underestimated infection. IDCases, 11, 26–30. https://doi.org/10.1016/j.idcr.2017.11.004</w:t>
      </w:r>
    </w:p>
    <w:p w14:paraId="0000010B"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Rosenstein, R., &amp; Götz, F. (2000). Staphylococcal lipases: Biochemical and molecular characterization. Biochimie, 82(11), 1005–1014. https://doi.org/10.1016/S0300-9084(00)01180-9</w:t>
      </w:r>
    </w:p>
    <w:p w14:paraId="0000010C"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Sandhu, B. K., &amp; McBride, S. M. (2018). Clostridioides difficile. Trends in Microbiology, 26(12), 1049–1050. https://doi.org/10.1016/j.tim.2018.09.004</w:t>
      </w:r>
    </w:p>
    <w:p w14:paraId="0000010D"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Skovdal, S. M., Jørgensen, N. P., &amp; Meyer, R. L. (2022). JMM Profile: Staphylococcus epidermidis. Journal of Medical Microbiology, 71(10), 001597. https://doi.org/10.1099/jmm.0.001597</w:t>
      </w:r>
    </w:p>
    <w:p w14:paraId="0000010E"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Sreeja, S., Babu P.R., S., &amp; Prathab, A. G. (2012). The Prevalence and the Characterization of the Enterococcus Species from Various Clinical Samples in a Tertiary Care Hospital. Journal of Clinical and Diagnostic Research : JCDR, 6(9), 1486–1488. https://doi.org/10.7860/JCDR/2012/4560.2539</w:t>
      </w:r>
    </w:p>
    <w:p w14:paraId="0000010F"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Tauch, A., Kaiser, O., Hain, T., Goesmann, A., Weisshaar, B., Albersmeier, A., Bekel, T., Bischoff, N., Brune, I., Chakraborty, T., Kalinowski, J., Meyer, F., Rupp, O., Schneiker, S., Viehoever, P., &amp; Pühler, A. (2005). Complete Genome Sequence and Analysis of the Multiresistant Nosocomial Pathogen Corynebacterium jeikeium K411, a Lipid-Requiring Bacterium of the Human Skin Flora. Journal of Bacteriology, 187(13), 4671. https://doi.org/10.1128/JB.187.13.4671-4682.2005</w:t>
      </w:r>
    </w:p>
    <w:p w14:paraId="00000110"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Yamamuro, R., Hosokawa, N., Otsuka, Y., &amp; Osawa, R. (2021). Clinical Characteristics of Corynebacterium Bacteremia Caused by Different Species, Japan, 2014–2020. Emerging Infectious Diseases, 27(12), 2981. https://doi.org/10.3201/eid2712.210473</w:t>
      </w:r>
    </w:p>
    <w:p w14:paraId="00000111" w14:textId="77777777" w:rsidR="002A0C82" w:rsidRDefault="00000000">
      <w:pPr>
        <w:ind w:left="720" w:hanging="720"/>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Zhang, C., Fu, X., Liu, Y., Zhao, H., &amp; Wang, G. (2023). Burden of infectious diseases and bacterial antimicrobial resistance in China: A systematic analysis for the global burden of disease study 2019. The Lancet Regional Health: Western Pacific, 43, 100972. https://doi.org/10.1016/j.lanwpc.2023.100972</w:t>
      </w:r>
    </w:p>
    <w:p w14:paraId="00000112" w14:textId="77777777" w:rsidR="002A0C82" w:rsidRDefault="002A0C82">
      <w:pPr>
        <w:ind w:left="720" w:hanging="720"/>
        <w:rPr>
          <w:rFonts w:ascii="Times New Roman" w:eastAsia="Times New Roman" w:hAnsi="Times New Roman" w:cs="Times New Roman"/>
          <w:color w:val="0D0D0D"/>
          <w:sz w:val="24"/>
          <w:szCs w:val="24"/>
          <w:highlight w:val="yellow"/>
        </w:rPr>
      </w:pPr>
    </w:p>
    <w:sectPr w:rsidR="002A0C8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E3A1394-9603-4856-9536-784D9D6C8A08}"/>
  </w:font>
  <w:font w:name="Candara">
    <w:panose1 w:val="020E0502030303020204"/>
    <w:charset w:val="00"/>
    <w:family w:val="swiss"/>
    <w:pitch w:val="variable"/>
    <w:sig w:usb0="A00002EF" w:usb1="4000A44B" w:usb2="00000000" w:usb3="00000000" w:csb0="0000019F" w:csb1="00000000"/>
    <w:embedRegular r:id="rId2" w:fontKey="{1287418E-37B5-48D3-849B-E98AF9F716DA}"/>
  </w:font>
  <w:font w:name="Calibri">
    <w:panose1 w:val="020F0502020204030204"/>
    <w:charset w:val="00"/>
    <w:family w:val="swiss"/>
    <w:pitch w:val="variable"/>
    <w:sig w:usb0="E4002EFF" w:usb1="C000247B" w:usb2="00000009" w:usb3="00000000" w:csb0="000001FF" w:csb1="00000000"/>
    <w:embedRegular r:id="rId3" w:fontKey="{5202934E-7E96-4D3D-875A-C466F668C497}"/>
  </w:font>
  <w:font w:name="Cambria">
    <w:panose1 w:val="02040503050406030204"/>
    <w:charset w:val="00"/>
    <w:family w:val="roman"/>
    <w:pitch w:val="variable"/>
    <w:sig w:usb0="E00006FF" w:usb1="420024FF" w:usb2="02000000" w:usb3="00000000" w:csb0="0000019F" w:csb1="00000000"/>
    <w:embedRegular r:id="rId4" w:fontKey="{F9CF45B4-106B-4A43-B7C7-33097246EA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C82"/>
    <w:rsid w:val="00054F1A"/>
    <w:rsid w:val="000E15A5"/>
    <w:rsid w:val="00150DA6"/>
    <w:rsid w:val="00212B81"/>
    <w:rsid w:val="002701E4"/>
    <w:rsid w:val="002A0C82"/>
    <w:rsid w:val="002D6BFF"/>
    <w:rsid w:val="00514D42"/>
    <w:rsid w:val="00662288"/>
    <w:rsid w:val="006F7C8B"/>
    <w:rsid w:val="008E5430"/>
    <w:rsid w:val="009E3924"/>
    <w:rsid w:val="00A278CE"/>
    <w:rsid w:val="00BF7630"/>
    <w:rsid w:val="00CE0629"/>
    <w:rsid w:val="00E26660"/>
    <w:rsid w:val="00F47965"/>
    <w:rsid w:val="00F47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D26C0"/>
  <w15:docId w15:val="{1D24DF6E-ADAC-47A1-BA45-2F218C36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00" w:after="120"/>
      <w:outlineLvl w:val="0"/>
    </w:pPr>
    <w:rPr>
      <w:sz w:val="40"/>
      <w:szCs w:val="40"/>
    </w:rPr>
  </w:style>
  <w:style w:type="paragraph" w:styleId="u2">
    <w:name w:val="heading 2"/>
    <w:basedOn w:val="Binhthng"/>
    <w:next w:val="Binhthng"/>
    <w:uiPriority w:val="9"/>
    <w:semiHidden/>
    <w:unhideWhenUsed/>
    <w:qFormat/>
    <w:pPr>
      <w:keepNext/>
      <w:keepLines/>
      <w:spacing w:before="360" w:after="120"/>
      <w:outlineLvl w:val="1"/>
    </w:pPr>
    <w:rPr>
      <w:sz w:val="32"/>
      <w:szCs w:val="32"/>
    </w:rPr>
  </w:style>
  <w:style w:type="paragraph" w:styleId="u3">
    <w:name w:val="heading 3"/>
    <w:basedOn w:val="Binhthng"/>
    <w:next w:val="Binhthng"/>
    <w:uiPriority w:val="9"/>
    <w:semiHidden/>
    <w:unhideWhenUsed/>
    <w:qFormat/>
    <w:pPr>
      <w:keepNext/>
      <w:keepLines/>
      <w:spacing w:before="320" w:after="80"/>
      <w:outlineLvl w:val="2"/>
    </w:pPr>
    <w:rPr>
      <w:color w:val="434343"/>
      <w:sz w:val="28"/>
      <w:szCs w:val="28"/>
    </w:rPr>
  </w:style>
  <w:style w:type="paragraph" w:styleId="u4">
    <w:name w:val="heading 4"/>
    <w:basedOn w:val="Binhthng"/>
    <w:next w:val="Binhthng"/>
    <w:uiPriority w:val="9"/>
    <w:semiHidden/>
    <w:unhideWhenUsed/>
    <w:qFormat/>
    <w:pPr>
      <w:keepNext/>
      <w:keepLines/>
      <w:spacing w:before="280" w:after="80"/>
      <w:outlineLvl w:val="3"/>
    </w:pPr>
    <w:rPr>
      <w:color w:val="666666"/>
      <w:sz w:val="24"/>
      <w:szCs w:val="24"/>
    </w:rPr>
  </w:style>
  <w:style w:type="paragraph" w:styleId="u5">
    <w:name w:val="heading 5"/>
    <w:basedOn w:val="Binhthng"/>
    <w:next w:val="Binhthng"/>
    <w:uiPriority w:val="9"/>
    <w:semiHidden/>
    <w:unhideWhenUsed/>
    <w:qFormat/>
    <w:pPr>
      <w:keepNext/>
      <w:keepLines/>
      <w:spacing w:before="240" w:after="80"/>
      <w:outlineLvl w:val="4"/>
    </w:pPr>
    <w:rPr>
      <w:color w:val="666666"/>
    </w:rPr>
  </w:style>
  <w:style w:type="paragraph" w:styleId="u6">
    <w:name w:val="heading 6"/>
    <w:basedOn w:val="Binhthng"/>
    <w:next w:val="Binhthng"/>
    <w:uiPriority w:val="9"/>
    <w:semiHidden/>
    <w:unhideWhenUsed/>
    <w:qFormat/>
    <w:pPr>
      <w:keepNext/>
      <w:keepLines/>
      <w:spacing w:before="240" w:after="80"/>
      <w:outlineLvl w:val="5"/>
    </w:pPr>
    <w:rPr>
      <w:i/>
      <w:color w:val="66666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after="60"/>
    </w:pPr>
    <w:rPr>
      <w:sz w:val="52"/>
      <w:szCs w:val="52"/>
    </w:rPr>
  </w:style>
  <w:style w:type="paragraph" w:styleId="Tiuphu">
    <w:name w:val="Subtitle"/>
    <w:basedOn w:val="Binhthng"/>
    <w:next w:val="Binhthng"/>
    <w:uiPriority w:val="11"/>
    <w:qFormat/>
    <w:pPr>
      <w:keepNext/>
      <w:keepLines/>
      <w:spacing w:after="320"/>
    </w:pPr>
    <w:rPr>
      <w:color w:val="666666"/>
      <w:sz w:val="30"/>
      <w:szCs w:val="30"/>
    </w:rPr>
  </w:style>
  <w:style w:type="paragraph" w:styleId="VnbanChuthich">
    <w:name w:val="annotation text"/>
    <w:basedOn w:val="Binhthng"/>
    <w:link w:val="VnbanChuthichChar"/>
    <w:uiPriority w:val="99"/>
    <w:semiHidden/>
    <w:unhideWhenUsed/>
    <w:pPr>
      <w:spacing w:line="240" w:lineRule="auto"/>
    </w:pPr>
    <w:rPr>
      <w:sz w:val="20"/>
      <w:szCs w:val="20"/>
    </w:rPr>
  </w:style>
  <w:style w:type="character" w:customStyle="1" w:styleId="VnbanChuthichChar">
    <w:name w:val="Văn bản Chú thích Char"/>
    <w:basedOn w:val="Phngmcinhcuaoanvn"/>
    <w:link w:val="VnbanChuthich"/>
    <w:uiPriority w:val="99"/>
    <w:semiHidden/>
    <w:rPr>
      <w:sz w:val="20"/>
      <w:szCs w:val="20"/>
    </w:rPr>
  </w:style>
  <w:style w:type="character" w:styleId="ThamchiuChuthich">
    <w:name w:val="annotation reference"/>
    <w:basedOn w:val="Phngmcinhcuaoanvn"/>
    <w:uiPriority w:val="99"/>
    <w:semiHidden/>
    <w:unhideWhenUsed/>
    <w:rPr>
      <w:sz w:val="16"/>
      <w:szCs w:val="16"/>
    </w:rPr>
  </w:style>
  <w:style w:type="character" w:styleId="Siuktni">
    <w:name w:val="Hyperlink"/>
    <w:basedOn w:val="Phngmcinhcuaoanvn"/>
    <w:uiPriority w:val="99"/>
    <w:unhideWhenUsed/>
    <w:rsid w:val="001D1813"/>
    <w:rPr>
      <w:color w:val="0000FF" w:themeColor="hyperlink"/>
      <w:u w:val="single"/>
    </w:rPr>
  </w:style>
  <w:style w:type="paragraph" w:styleId="DanhmucTailiuThamkhao">
    <w:name w:val="Bibliography"/>
    <w:basedOn w:val="Binhthng"/>
    <w:next w:val="Binhthng"/>
    <w:uiPriority w:val="37"/>
    <w:semiHidden/>
    <w:unhideWhenUsed/>
    <w:rsid w:val="001D1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tudycrumb.com/alphabetize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phil.cdc.gov/Details.aspx?pid=8172"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d4sh7lhQuqDejVj3ToC4iEN+A==">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</go:docsCustomData>
</go:gDocsCustomXmlDataStorage>
</file>

<file path=customXml/itemProps1.xml><?xml version="1.0" encoding="utf-8"?>
<ds:datastoreItem xmlns:ds="http://schemas.openxmlformats.org/officeDocument/2006/customXml" ds:itemID="{6DE774DB-1BB5-4DC0-8CD4-42B917D2936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10868</Words>
  <Characters>61948</Characters>
  <Application>Microsoft Office Word</Application>
  <DocSecurity>0</DocSecurity>
  <Lines>516</Lines>
  <Paragraphs>145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Thi Thu Hoai</cp:lastModifiedBy>
  <cp:revision>4</cp:revision>
  <dcterms:created xsi:type="dcterms:W3CDTF">2024-06-05T06:42:00Z</dcterms:created>
  <dcterms:modified xsi:type="dcterms:W3CDTF">2024-06-05T06:43:00Z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8fc3e34281f2a7f13a8355e34eb13c91224f6560328f41c514dec26127df3732</vt:lpwstr>
  </property>
</Properties>
</file>