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018" w:rsidRDefault="00D01B90" w:rsidP="00742018">
      <w:pPr>
        <w:pStyle w:val="Standard"/>
        <w:suppressAutoHyphens w:val="0"/>
        <w:spacing w:before="280" w:after="280" w:line="276" w:lineRule="auto"/>
        <w:textAlignment w:val="auto"/>
        <w:rPr>
          <w:rFonts w:ascii="Times New Roman" w:eastAsia="Times New Roman" w:hAnsi="Times New Roman" w:cs="Times New Roman"/>
          <w:b/>
          <w:bCs/>
          <w:kern w:val="0"/>
          <w:lang w:eastAsia="en-US" w:bidi="ar-SA"/>
        </w:rPr>
      </w:pPr>
      <w:r>
        <w:rPr>
          <w:rFonts w:ascii="Times New Roman" w:eastAsia="Times New Roman" w:hAnsi="Times New Roman" w:cs="Times New Roman"/>
          <w:b/>
          <w:bCs/>
          <w:kern w:val="0"/>
          <w:lang w:eastAsia="en-US" w:bidi="ar-SA"/>
        </w:rPr>
        <w:t xml:space="preserve">Chapter: </w:t>
      </w:r>
      <w:r w:rsidR="00742018" w:rsidRPr="00DA70CF">
        <w:rPr>
          <w:rFonts w:ascii="Times New Roman" w:eastAsia="Times New Roman" w:hAnsi="Times New Roman" w:cs="Times New Roman"/>
          <w:b/>
          <w:bCs/>
          <w:kern w:val="0"/>
          <w:lang w:eastAsia="en-US" w:bidi="ar-SA"/>
        </w:rPr>
        <w:t>Host Biomarker-Based Diagnostics</w:t>
      </w:r>
    </w:p>
    <w:p w:rsidR="00C6178D" w:rsidRDefault="00C6178D" w:rsidP="00742018">
      <w:pPr>
        <w:pStyle w:val="Standard"/>
        <w:suppressAutoHyphens w:val="0"/>
        <w:spacing w:before="280" w:after="280" w:line="276" w:lineRule="auto"/>
        <w:textAlignment w:val="auto"/>
        <w:rPr>
          <w:rFonts w:ascii="Times New Roman" w:eastAsia="Times New Roman" w:hAnsi="Times New Roman" w:cs="Times New Roman"/>
          <w:b/>
          <w:bCs/>
          <w:kern w:val="0"/>
          <w:lang w:eastAsia="en-US" w:bidi="ar-SA"/>
        </w:rPr>
      </w:pPr>
      <w:r>
        <w:rPr>
          <w:rFonts w:ascii="Times New Roman" w:eastAsia="Times New Roman" w:hAnsi="Times New Roman" w:cs="Times New Roman"/>
          <w:b/>
          <w:bCs/>
          <w:kern w:val="0"/>
          <w:lang w:eastAsia="en-US" w:bidi="ar-SA"/>
        </w:rPr>
        <w:t>Author details</w:t>
      </w:r>
      <w:r w:rsidR="002479AE">
        <w:rPr>
          <w:rFonts w:ascii="Times New Roman" w:eastAsia="Times New Roman" w:hAnsi="Times New Roman" w:cs="Times New Roman"/>
          <w:b/>
          <w:bCs/>
          <w:kern w:val="0"/>
          <w:lang w:eastAsia="en-US" w:bidi="ar-SA"/>
        </w:rPr>
        <w:t>:</w:t>
      </w:r>
    </w:p>
    <w:p w:rsidR="002479AE" w:rsidRPr="002479AE" w:rsidRDefault="00BF3E35" w:rsidP="00742018">
      <w:pPr>
        <w:pStyle w:val="Standard"/>
        <w:suppressAutoHyphens w:val="0"/>
        <w:spacing w:before="280" w:after="280" w:line="276" w:lineRule="auto"/>
        <w:textAlignment w:val="auto"/>
        <w:rPr>
          <w:rFonts w:ascii="Times New Roman" w:eastAsia="Times New Roman" w:hAnsi="Times New Roman" w:cs="Times New Roman"/>
          <w:bCs/>
          <w:kern w:val="0"/>
          <w:lang w:eastAsia="en-US" w:bidi="ar-SA"/>
        </w:rPr>
      </w:pPr>
      <w:r>
        <w:rPr>
          <w:rFonts w:ascii="Times New Roman" w:eastAsia="Times New Roman" w:hAnsi="Times New Roman" w:cs="Times New Roman"/>
          <w:bCs/>
          <w:kern w:val="0"/>
          <w:lang w:eastAsia="en-US" w:bidi="ar-SA"/>
        </w:rPr>
        <w:t xml:space="preserve"> </w:t>
      </w:r>
      <w:r w:rsidR="002479AE" w:rsidRPr="002479AE">
        <w:rPr>
          <w:rFonts w:ascii="Times New Roman" w:eastAsia="Times New Roman" w:hAnsi="Times New Roman" w:cs="Times New Roman"/>
          <w:bCs/>
          <w:kern w:val="0"/>
          <w:lang w:eastAsia="en-US" w:bidi="ar-SA"/>
        </w:rPr>
        <w:t>Dr</w:t>
      </w:r>
      <w:r w:rsidR="00E66A1D">
        <w:rPr>
          <w:rFonts w:ascii="Times New Roman" w:eastAsia="Times New Roman" w:hAnsi="Times New Roman" w:cs="Times New Roman"/>
          <w:bCs/>
          <w:kern w:val="0"/>
          <w:lang w:eastAsia="en-US" w:bidi="ar-SA"/>
        </w:rPr>
        <w:t>.</w:t>
      </w:r>
      <w:r w:rsidR="002479AE" w:rsidRPr="002479AE">
        <w:rPr>
          <w:rFonts w:ascii="Times New Roman" w:eastAsia="Times New Roman" w:hAnsi="Times New Roman" w:cs="Times New Roman"/>
          <w:bCs/>
          <w:kern w:val="0"/>
          <w:lang w:eastAsia="en-US" w:bidi="ar-SA"/>
        </w:rPr>
        <w:t xml:space="preserve"> Rajesh Sarkar, Ph.D.</w:t>
      </w:r>
      <w:r w:rsidR="002479AE">
        <w:rPr>
          <w:rFonts w:ascii="Times New Roman" w:eastAsia="Times New Roman" w:hAnsi="Times New Roman" w:cs="Times New Roman"/>
          <w:bCs/>
          <w:kern w:val="0"/>
          <w:lang w:eastAsia="en-US" w:bidi="ar-SA"/>
        </w:rPr>
        <w:t>*</w:t>
      </w:r>
    </w:p>
    <w:p w:rsidR="002479AE" w:rsidRPr="002479AE" w:rsidRDefault="002479AE" w:rsidP="00742018">
      <w:pPr>
        <w:pStyle w:val="Standard"/>
        <w:suppressAutoHyphens w:val="0"/>
        <w:spacing w:before="280" w:after="280" w:line="276" w:lineRule="auto"/>
        <w:textAlignment w:val="auto"/>
        <w:rPr>
          <w:rFonts w:ascii="Times New Roman" w:eastAsia="Times New Roman" w:hAnsi="Times New Roman" w:cs="Times New Roman"/>
          <w:bCs/>
          <w:kern w:val="0"/>
          <w:lang w:eastAsia="en-US" w:bidi="ar-SA"/>
        </w:rPr>
      </w:pPr>
      <w:r w:rsidRPr="002479AE">
        <w:rPr>
          <w:rFonts w:ascii="Times New Roman" w:eastAsia="Times New Roman" w:hAnsi="Times New Roman" w:cs="Times New Roman"/>
          <w:bCs/>
          <w:kern w:val="0"/>
          <w:lang w:eastAsia="en-US" w:bidi="ar-SA"/>
        </w:rPr>
        <w:t>Tadesse Shume, M.Sc.</w:t>
      </w:r>
    </w:p>
    <w:p w:rsidR="002479AE" w:rsidRDefault="00BF3E35" w:rsidP="00742018">
      <w:pPr>
        <w:pStyle w:val="Standard"/>
        <w:suppressAutoHyphens w:val="0"/>
        <w:spacing w:before="280" w:after="280" w:line="276" w:lineRule="auto"/>
        <w:textAlignment w:val="auto"/>
        <w:rPr>
          <w:rFonts w:ascii="Times New Roman" w:eastAsia="Times New Roman" w:hAnsi="Times New Roman" w:cs="Times New Roman"/>
          <w:bCs/>
          <w:kern w:val="0"/>
          <w:lang w:eastAsia="en-US" w:bidi="ar-SA"/>
        </w:rPr>
      </w:pPr>
      <w:r>
        <w:rPr>
          <w:rFonts w:ascii="Times New Roman" w:eastAsia="Times New Roman" w:hAnsi="Times New Roman" w:cs="Times New Roman"/>
          <w:bCs/>
          <w:kern w:val="0"/>
          <w:lang w:eastAsia="en-US" w:bidi="ar-SA"/>
        </w:rPr>
        <w:t xml:space="preserve"> </w:t>
      </w:r>
      <w:r w:rsidR="002479AE" w:rsidRPr="002479AE">
        <w:rPr>
          <w:rFonts w:ascii="Times New Roman" w:eastAsia="Times New Roman" w:hAnsi="Times New Roman" w:cs="Times New Roman"/>
          <w:bCs/>
          <w:kern w:val="0"/>
          <w:lang w:eastAsia="en-US" w:bidi="ar-SA"/>
        </w:rPr>
        <w:t>Tewodros Tesfa, Ph.D. Candidate.</w:t>
      </w:r>
    </w:p>
    <w:p w:rsidR="002479AE" w:rsidRDefault="002479AE" w:rsidP="00742018">
      <w:pPr>
        <w:pStyle w:val="Standard"/>
        <w:suppressAutoHyphens w:val="0"/>
        <w:spacing w:before="280" w:after="280" w:line="276" w:lineRule="auto"/>
        <w:textAlignment w:val="auto"/>
        <w:rPr>
          <w:rFonts w:ascii="Times New Roman" w:eastAsia="Times New Roman" w:hAnsi="Times New Roman" w:cs="Times New Roman"/>
          <w:bCs/>
          <w:kern w:val="0"/>
          <w:lang w:eastAsia="en-US" w:bidi="ar-SA"/>
        </w:rPr>
      </w:pPr>
      <w:r>
        <w:rPr>
          <w:rFonts w:ascii="Times New Roman" w:eastAsia="Times New Roman" w:hAnsi="Times New Roman" w:cs="Times New Roman"/>
          <w:bCs/>
          <w:kern w:val="0"/>
          <w:lang w:eastAsia="en-US" w:bidi="ar-SA"/>
        </w:rPr>
        <w:t>* Corresponding author</w:t>
      </w:r>
    </w:p>
    <w:p w:rsidR="002479AE" w:rsidRDefault="002479AE" w:rsidP="002479AE">
      <w:pPr>
        <w:pStyle w:val="Standard"/>
        <w:suppressAutoHyphens w:val="0"/>
        <w:spacing w:before="280" w:after="280" w:line="276" w:lineRule="auto"/>
        <w:textAlignment w:val="auto"/>
        <w:rPr>
          <w:rFonts w:ascii="Times New Roman" w:eastAsia="Times New Roman" w:hAnsi="Times New Roman" w:cs="Times New Roman"/>
          <w:b/>
          <w:bCs/>
          <w:kern w:val="0"/>
          <w:lang w:eastAsia="en-US" w:bidi="ar-SA"/>
        </w:rPr>
      </w:pPr>
      <w:r>
        <w:rPr>
          <w:rFonts w:ascii="Times New Roman" w:eastAsia="Times New Roman" w:hAnsi="Times New Roman" w:cs="Times New Roman"/>
          <w:b/>
          <w:bCs/>
          <w:kern w:val="0"/>
          <w:lang w:eastAsia="en-US" w:bidi="ar-SA"/>
        </w:rPr>
        <w:t>Authors Affiliation:</w:t>
      </w:r>
    </w:p>
    <w:p w:rsidR="002479AE" w:rsidRPr="002479AE" w:rsidRDefault="002479AE" w:rsidP="00742018">
      <w:pPr>
        <w:pStyle w:val="Standard"/>
        <w:suppressAutoHyphens w:val="0"/>
        <w:spacing w:before="280" w:after="280" w:line="276" w:lineRule="auto"/>
        <w:textAlignment w:val="auto"/>
        <w:rPr>
          <w:rFonts w:ascii="Times New Roman" w:eastAsia="Times New Roman" w:hAnsi="Times New Roman" w:cs="Times New Roman"/>
          <w:bCs/>
          <w:kern w:val="0"/>
          <w:lang w:eastAsia="en-US" w:bidi="ar-SA"/>
        </w:rPr>
      </w:pPr>
      <w:r>
        <w:rPr>
          <w:rFonts w:ascii="Times New Roman" w:eastAsia="Times New Roman" w:hAnsi="Times New Roman" w:cs="Times New Roman"/>
          <w:bCs/>
          <w:kern w:val="0"/>
          <w:lang w:eastAsia="en-US" w:bidi="ar-SA"/>
        </w:rPr>
        <w:t>College of Health and Medical Sciences, Department of Medical Microbiology and Immunology</w:t>
      </w:r>
      <w:r w:rsidR="00A97DCE">
        <w:rPr>
          <w:rFonts w:ascii="Times New Roman" w:eastAsia="Times New Roman" w:hAnsi="Times New Roman" w:cs="Times New Roman"/>
          <w:bCs/>
          <w:kern w:val="0"/>
          <w:lang w:eastAsia="en-US" w:bidi="ar-SA"/>
        </w:rPr>
        <w:t>,</w:t>
      </w:r>
      <w:r>
        <w:rPr>
          <w:rFonts w:ascii="Times New Roman" w:eastAsia="Times New Roman" w:hAnsi="Times New Roman" w:cs="Times New Roman"/>
          <w:bCs/>
          <w:kern w:val="0"/>
          <w:lang w:eastAsia="en-US" w:bidi="ar-SA"/>
        </w:rPr>
        <w:t xml:space="preserve"> Haramaya University, Ethiopia, P.O. Box- 235</w:t>
      </w:r>
    </w:p>
    <w:p w:rsidR="002479AE" w:rsidRDefault="002479AE" w:rsidP="00742018">
      <w:pPr>
        <w:pStyle w:val="Standard"/>
        <w:suppressAutoHyphens w:val="0"/>
        <w:spacing w:before="280" w:after="280" w:line="276" w:lineRule="auto"/>
        <w:textAlignment w:val="auto"/>
        <w:rPr>
          <w:rFonts w:ascii="Times New Roman" w:eastAsia="Times New Roman" w:hAnsi="Times New Roman" w:cs="Times New Roman"/>
          <w:b/>
          <w:bCs/>
          <w:kern w:val="0"/>
          <w:lang w:eastAsia="en-US" w:bidi="ar-SA"/>
        </w:rPr>
      </w:pPr>
    </w:p>
    <w:p w:rsidR="002479AE" w:rsidRPr="00DA70CF" w:rsidRDefault="002479AE" w:rsidP="00742018">
      <w:pPr>
        <w:pStyle w:val="Standard"/>
        <w:suppressAutoHyphens w:val="0"/>
        <w:spacing w:before="280" w:after="280" w:line="276" w:lineRule="auto"/>
        <w:textAlignment w:val="auto"/>
        <w:rPr>
          <w:rFonts w:ascii="Times New Roman" w:eastAsia="Times New Roman" w:hAnsi="Times New Roman" w:cs="Times New Roman"/>
          <w:b/>
          <w:bCs/>
          <w:kern w:val="0"/>
          <w:lang w:eastAsia="en-US" w:bidi="ar-SA"/>
        </w:rPr>
      </w:pPr>
    </w:p>
    <w:p w:rsidR="00742018" w:rsidRDefault="00742018" w:rsidP="00F861EB">
      <w:pPr>
        <w:spacing w:line="276" w:lineRule="auto"/>
        <w:rPr>
          <w:rFonts w:ascii="Times New Roman" w:hAnsi="Times New Roman" w:cs="Times New Roman"/>
          <w:b/>
          <w:sz w:val="24"/>
          <w:szCs w:val="24"/>
        </w:rPr>
      </w:pPr>
    </w:p>
    <w:p w:rsidR="00742018" w:rsidRDefault="00742018" w:rsidP="00F861EB">
      <w:pPr>
        <w:spacing w:line="276" w:lineRule="auto"/>
        <w:rPr>
          <w:rFonts w:ascii="Times New Roman" w:hAnsi="Times New Roman" w:cs="Times New Roman"/>
          <w:b/>
          <w:sz w:val="24"/>
          <w:szCs w:val="24"/>
        </w:rPr>
      </w:pPr>
    </w:p>
    <w:p w:rsidR="00742018" w:rsidRDefault="00742018" w:rsidP="00F861EB">
      <w:pPr>
        <w:spacing w:line="276" w:lineRule="auto"/>
        <w:rPr>
          <w:rFonts w:ascii="Times New Roman" w:hAnsi="Times New Roman" w:cs="Times New Roman"/>
          <w:b/>
          <w:sz w:val="24"/>
          <w:szCs w:val="24"/>
        </w:rPr>
      </w:pPr>
    </w:p>
    <w:p w:rsidR="00742018" w:rsidRDefault="00742018" w:rsidP="00F861EB">
      <w:pPr>
        <w:spacing w:line="276" w:lineRule="auto"/>
        <w:rPr>
          <w:rFonts w:ascii="Times New Roman" w:hAnsi="Times New Roman" w:cs="Times New Roman"/>
          <w:b/>
          <w:sz w:val="24"/>
          <w:szCs w:val="24"/>
        </w:rPr>
      </w:pPr>
    </w:p>
    <w:p w:rsidR="00742018" w:rsidRDefault="00742018" w:rsidP="00F861EB">
      <w:pPr>
        <w:spacing w:line="276" w:lineRule="auto"/>
        <w:rPr>
          <w:rFonts w:ascii="Times New Roman" w:hAnsi="Times New Roman" w:cs="Times New Roman"/>
          <w:b/>
          <w:sz w:val="24"/>
          <w:szCs w:val="24"/>
        </w:rPr>
      </w:pPr>
    </w:p>
    <w:p w:rsidR="00742018" w:rsidRDefault="00742018" w:rsidP="00F861EB">
      <w:pPr>
        <w:spacing w:line="276" w:lineRule="auto"/>
        <w:rPr>
          <w:rFonts w:ascii="Times New Roman" w:hAnsi="Times New Roman" w:cs="Times New Roman"/>
          <w:b/>
          <w:sz w:val="24"/>
          <w:szCs w:val="24"/>
        </w:rPr>
      </w:pPr>
    </w:p>
    <w:p w:rsidR="00742018" w:rsidRDefault="00742018" w:rsidP="00F861EB">
      <w:pPr>
        <w:spacing w:line="276" w:lineRule="auto"/>
        <w:rPr>
          <w:rFonts w:ascii="Times New Roman" w:hAnsi="Times New Roman" w:cs="Times New Roman"/>
          <w:b/>
          <w:sz w:val="24"/>
          <w:szCs w:val="24"/>
        </w:rPr>
      </w:pPr>
    </w:p>
    <w:p w:rsidR="00742018" w:rsidRDefault="00742018" w:rsidP="00F861EB">
      <w:pPr>
        <w:spacing w:line="276" w:lineRule="auto"/>
        <w:rPr>
          <w:rFonts w:ascii="Times New Roman" w:hAnsi="Times New Roman" w:cs="Times New Roman"/>
          <w:b/>
          <w:sz w:val="24"/>
          <w:szCs w:val="24"/>
        </w:rPr>
      </w:pPr>
    </w:p>
    <w:p w:rsidR="00742018" w:rsidRDefault="00742018" w:rsidP="00F861EB">
      <w:pPr>
        <w:spacing w:line="276" w:lineRule="auto"/>
        <w:rPr>
          <w:rFonts w:ascii="Times New Roman" w:hAnsi="Times New Roman" w:cs="Times New Roman"/>
          <w:b/>
          <w:sz w:val="24"/>
          <w:szCs w:val="24"/>
        </w:rPr>
      </w:pPr>
    </w:p>
    <w:p w:rsidR="00742018" w:rsidRDefault="00742018" w:rsidP="00F861EB">
      <w:pPr>
        <w:spacing w:line="276" w:lineRule="auto"/>
        <w:rPr>
          <w:rFonts w:ascii="Times New Roman" w:hAnsi="Times New Roman" w:cs="Times New Roman"/>
          <w:b/>
          <w:sz w:val="24"/>
          <w:szCs w:val="24"/>
        </w:rPr>
      </w:pPr>
    </w:p>
    <w:p w:rsidR="00742018" w:rsidRDefault="00742018" w:rsidP="00F861EB">
      <w:pPr>
        <w:spacing w:line="276" w:lineRule="auto"/>
        <w:rPr>
          <w:rFonts w:ascii="Times New Roman" w:hAnsi="Times New Roman" w:cs="Times New Roman"/>
          <w:b/>
          <w:sz w:val="24"/>
          <w:szCs w:val="24"/>
        </w:rPr>
      </w:pPr>
    </w:p>
    <w:p w:rsidR="00742018" w:rsidRDefault="00742018" w:rsidP="00F861EB">
      <w:pPr>
        <w:spacing w:line="276" w:lineRule="auto"/>
        <w:rPr>
          <w:rFonts w:ascii="Times New Roman" w:hAnsi="Times New Roman" w:cs="Times New Roman"/>
          <w:b/>
          <w:sz w:val="24"/>
          <w:szCs w:val="24"/>
        </w:rPr>
      </w:pPr>
    </w:p>
    <w:sdt>
      <w:sdtPr>
        <w:rPr>
          <w:rFonts w:asciiTheme="minorHAnsi" w:eastAsiaTheme="minorEastAsia" w:hAnsiTheme="minorHAnsi" w:cstheme="minorBidi"/>
          <w:color w:val="auto"/>
          <w:sz w:val="22"/>
          <w:szCs w:val="22"/>
        </w:rPr>
        <w:id w:val="-1673708062"/>
        <w:docPartObj>
          <w:docPartGallery w:val="Table of Contents"/>
          <w:docPartUnique/>
        </w:docPartObj>
      </w:sdtPr>
      <w:sdtEndPr>
        <w:rPr>
          <w:b/>
          <w:bCs/>
          <w:noProof/>
        </w:rPr>
      </w:sdtEndPr>
      <w:sdtContent>
        <w:p w:rsidR="00C34909" w:rsidRDefault="00C34909">
          <w:pPr>
            <w:pStyle w:val="TOCHeading"/>
          </w:pPr>
          <w:r>
            <w:t>Table of Contents</w:t>
          </w:r>
        </w:p>
        <w:p w:rsidR="0071328D" w:rsidRDefault="00C34909">
          <w:pPr>
            <w:pStyle w:val="TOC1"/>
            <w:tabs>
              <w:tab w:val="right" w:leader="dot" w:pos="9350"/>
            </w:tabs>
            <w:rPr>
              <w:noProof/>
            </w:rPr>
          </w:pPr>
          <w:r>
            <w:fldChar w:fldCharType="begin"/>
          </w:r>
          <w:r>
            <w:instrText xml:space="preserve"> TOC \o "1-3" \h \z \u </w:instrText>
          </w:r>
          <w:r>
            <w:fldChar w:fldCharType="separate"/>
          </w:r>
          <w:hyperlink w:anchor="_Toc193802111" w:history="1">
            <w:r w:rsidR="0071328D" w:rsidRPr="00113399">
              <w:rPr>
                <w:rStyle w:val="Hyperlink"/>
                <w:rFonts w:ascii="Times New Roman" w:hAnsi="Times New Roman" w:cs="Times New Roman"/>
                <w:b/>
                <w:noProof/>
              </w:rPr>
              <w:t>Abstract</w:t>
            </w:r>
            <w:r w:rsidR="0071328D">
              <w:rPr>
                <w:noProof/>
                <w:webHidden/>
              </w:rPr>
              <w:tab/>
            </w:r>
            <w:r w:rsidR="0071328D">
              <w:rPr>
                <w:noProof/>
                <w:webHidden/>
              </w:rPr>
              <w:fldChar w:fldCharType="begin"/>
            </w:r>
            <w:r w:rsidR="0071328D">
              <w:rPr>
                <w:noProof/>
                <w:webHidden/>
              </w:rPr>
              <w:instrText xml:space="preserve"> PAGEREF _Toc193802111 \h </w:instrText>
            </w:r>
            <w:r w:rsidR="0071328D">
              <w:rPr>
                <w:noProof/>
                <w:webHidden/>
              </w:rPr>
            </w:r>
            <w:r w:rsidR="0071328D">
              <w:rPr>
                <w:noProof/>
                <w:webHidden/>
              </w:rPr>
              <w:fldChar w:fldCharType="separate"/>
            </w:r>
            <w:r w:rsidR="005B759D">
              <w:rPr>
                <w:noProof/>
                <w:webHidden/>
              </w:rPr>
              <w:t>4</w:t>
            </w:r>
            <w:r w:rsidR="0071328D">
              <w:rPr>
                <w:noProof/>
                <w:webHidden/>
              </w:rPr>
              <w:fldChar w:fldCharType="end"/>
            </w:r>
          </w:hyperlink>
        </w:p>
        <w:p w:rsidR="0071328D" w:rsidRDefault="001912C9">
          <w:pPr>
            <w:pStyle w:val="TOC1"/>
            <w:tabs>
              <w:tab w:val="left" w:pos="440"/>
              <w:tab w:val="right" w:leader="dot" w:pos="9350"/>
            </w:tabs>
            <w:rPr>
              <w:noProof/>
            </w:rPr>
          </w:pPr>
          <w:hyperlink w:anchor="_Toc193802112" w:history="1">
            <w:r w:rsidR="0071328D" w:rsidRPr="00113399">
              <w:rPr>
                <w:rStyle w:val="Hyperlink"/>
                <w:rFonts w:ascii="Times New Roman" w:hAnsi="Times New Roman" w:cs="Times New Roman"/>
                <w:b/>
                <w:noProof/>
              </w:rPr>
              <w:t>1.</w:t>
            </w:r>
            <w:r w:rsidR="0071328D">
              <w:rPr>
                <w:noProof/>
              </w:rPr>
              <w:tab/>
            </w:r>
            <w:r w:rsidR="0071328D" w:rsidRPr="00113399">
              <w:rPr>
                <w:rStyle w:val="Hyperlink"/>
                <w:rFonts w:ascii="Times New Roman" w:hAnsi="Times New Roman" w:cs="Times New Roman"/>
                <w:b/>
                <w:noProof/>
              </w:rPr>
              <w:t>Introduction</w:t>
            </w:r>
            <w:r w:rsidR="0071328D">
              <w:rPr>
                <w:noProof/>
                <w:webHidden/>
              </w:rPr>
              <w:tab/>
            </w:r>
            <w:r w:rsidR="0071328D">
              <w:rPr>
                <w:noProof/>
                <w:webHidden/>
              </w:rPr>
              <w:fldChar w:fldCharType="begin"/>
            </w:r>
            <w:r w:rsidR="0071328D">
              <w:rPr>
                <w:noProof/>
                <w:webHidden/>
              </w:rPr>
              <w:instrText xml:space="preserve"> PAGEREF _Toc193802112 \h </w:instrText>
            </w:r>
            <w:r w:rsidR="0071328D">
              <w:rPr>
                <w:noProof/>
                <w:webHidden/>
              </w:rPr>
            </w:r>
            <w:r w:rsidR="0071328D">
              <w:rPr>
                <w:noProof/>
                <w:webHidden/>
              </w:rPr>
              <w:fldChar w:fldCharType="separate"/>
            </w:r>
            <w:r w:rsidR="005B759D">
              <w:rPr>
                <w:noProof/>
                <w:webHidden/>
              </w:rPr>
              <w:t>5</w:t>
            </w:r>
            <w:r w:rsidR="0071328D">
              <w:rPr>
                <w:noProof/>
                <w:webHidden/>
              </w:rPr>
              <w:fldChar w:fldCharType="end"/>
            </w:r>
          </w:hyperlink>
        </w:p>
        <w:p w:rsidR="0071328D" w:rsidRDefault="001912C9">
          <w:pPr>
            <w:pStyle w:val="TOC1"/>
            <w:tabs>
              <w:tab w:val="right" w:leader="dot" w:pos="9350"/>
            </w:tabs>
            <w:rPr>
              <w:noProof/>
            </w:rPr>
          </w:pPr>
          <w:hyperlink w:anchor="_Toc193802113" w:history="1">
            <w:r w:rsidR="0071328D" w:rsidRPr="00113399">
              <w:rPr>
                <w:rStyle w:val="Hyperlink"/>
                <w:rFonts w:ascii="Times New Roman" w:hAnsi="Times New Roman" w:cs="Times New Roman"/>
                <w:b/>
                <w:noProof/>
              </w:rPr>
              <w:t>2. Host Biomarker-Based Diagnostics</w:t>
            </w:r>
            <w:r w:rsidR="0071328D" w:rsidRPr="00113399">
              <w:rPr>
                <w:rStyle w:val="Hyperlink"/>
                <w:rFonts w:ascii="Times New Roman" w:eastAsia="Times New Roman" w:hAnsi="Times New Roman" w:cs="Times New Roman"/>
                <w:bCs/>
                <w:noProof/>
              </w:rPr>
              <w:t>:</w:t>
            </w:r>
            <w:r w:rsidR="0071328D">
              <w:rPr>
                <w:noProof/>
                <w:webHidden/>
              </w:rPr>
              <w:tab/>
            </w:r>
            <w:r w:rsidR="0071328D">
              <w:rPr>
                <w:noProof/>
                <w:webHidden/>
              </w:rPr>
              <w:fldChar w:fldCharType="begin"/>
            </w:r>
            <w:r w:rsidR="0071328D">
              <w:rPr>
                <w:noProof/>
                <w:webHidden/>
              </w:rPr>
              <w:instrText xml:space="preserve"> PAGEREF _Toc193802113 \h </w:instrText>
            </w:r>
            <w:r w:rsidR="0071328D">
              <w:rPr>
                <w:noProof/>
                <w:webHidden/>
              </w:rPr>
            </w:r>
            <w:r w:rsidR="0071328D">
              <w:rPr>
                <w:noProof/>
                <w:webHidden/>
              </w:rPr>
              <w:fldChar w:fldCharType="separate"/>
            </w:r>
            <w:r w:rsidR="005B759D">
              <w:rPr>
                <w:noProof/>
                <w:webHidden/>
              </w:rPr>
              <w:t>5</w:t>
            </w:r>
            <w:r w:rsidR="0071328D">
              <w:rPr>
                <w:noProof/>
                <w:webHidden/>
              </w:rPr>
              <w:fldChar w:fldCharType="end"/>
            </w:r>
          </w:hyperlink>
        </w:p>
        <w:p w:rsidR="0071328D" w:rsidRDefault="001912C9">
          <w:pPr>
            <w:pStyle w:val="TOC2"/>
            <w:tabs>
              <w:tab w:val="right" w:leader="dot" w:pos="9350"/>
            </w:tabs>
            <w:rPr>
              <w:noProof/>
            </w:rPr>
          </w:pPr>
          <w:hyperlink w:anchor="_Toc193802114" w:history="1">
            <w:r w:rsidR="0071328D" w:rsidRPr="00113399">
              <w:rPr>
                <w:rStyle w:val="Hyperlink"/>
                <w:rFonts w:ascii="Times New Roman" w:hAnsi="Times New Roman" w:cs="Times New Roman"/>
                <w:b/>
                <w:noProof/>
              </w:rPr>
              <w:t>2.1. Cytokines:</w:t>
            </w:r>
            <w:r w:rsidR="0071328D">
              <w:rPr>
                <w:noProof/>
                <w:webHidden/>
              </w:rPr>
              <w:tab/>
            </w:r>
            <w:r w:rsidR="0071328D">
              <w:rPr>
                <w:noProof/>
                <w:webHidden/>
              </w:rPr>
              <w:fldChar w:fldCharType="begin"/>
            </w:r>
            <w:r w:rsidR="0071328D">
              <w:rPr>
                <w:noProof/>
                <w:webHidden/>
              </w:rPr>
              <w:instrText xml:space="preserve"> PAGEREF _Toc193802114 \h </w:instrText>
            </w:r>
            <w:r w:rsidR="0071328D">
              <w:rPr>
                <w:noProof/>
                <w:webHidden/>
              </w:rPr>
            </w:r>
            <w:r w:rsidR="0071328D">
              <w:rPr>
                <w:noProof/>
                <w:webHidden/>
              </w:rPr>
              <w:fldChar w:fldCharType="separate"/>
            </w:r>
            <w:r w:rsidR="005B759D">
              <w:rPr>
                <w:noProof/>
                <w:webHidden/>
              </w:rPr>
              <w:t>5</w:t>
            </w:r>
            <w:r w:rsidR="0071328D">
              <w:rPr>
                <w:noProof/>
                <w:webHidden/>
              </w:rPr>
              <w:fldChar w:fldCharType="end"/>
            </w:r>
          </w:hyperlink>
        </w:p>
        <w:p w:rsidR="0071328D" w:rsidRDefault="001912C9">
          <w:pPr>
            <w:pStyle w:val="TOC3"/>
            <w:tabs>
              <w:tab w:val="right" w:leader="dot" w:pos="9350"/>
            </w:tabs>
            <w:rPr>
              <w:noProof/>
            </w:rPr>
          </w:pPr>
          <w:hyperlink w:anchor="_Toc193802115" w:history="1">
            <w:r w:rsidR="0071328D" w:rsidRPr="00113399">
              <w:rPr>
                <w:rStyle w:val="Hyperlink"/>
                <w:rFonts w:ascii="Times New Roman" w:hAnsi="Times New Roman" w:cs="Times New Roman"/>
                <w:noProof/>
              </w:rPr>
              <w:t>2.1.1. Sepsis</w:t>
            </w:r>
            <w:r w:rsidR="0071328D">
              <w:rPr>
                <w:noProof/>
                <w:webHidden/>
              </w:rPr>
              <w:tab/>
            </w:r>
            <w:r w:rsidR="0071328D">
              <w:rPr>
                <w:noProof/>
                <w:webHidden/>
              </w:rPr>
              <w:fldChar w:fldCharType="begin"/>
            </w:r>
            <w:r w:rsidR="0071328D">
              <w:rPr>
                <w:noProof/>
                <w:webHidden/>
              </w:rPr>
              <w:instrText xml:space="preserve"> PAGEREF _Toc193802115 \h </w:instrText>
            </w:r>
            <w:r w:rsidR="0071328D">
              <w:rPr>
                <w:noProof/>
                <w:webHidden/>
              </w:rPr>
            </w:r>
            <w:r w:rsidR="0071328D">
              <w:rPr>
                <w:noProof/>
                <w:webHidden/>
              </w:rPr>
              <w:fldChar w:fldCharType="separate"/>
            </w:r>
            <w:r w:rsidR="005B759D">
              <w:rPr>
                <w:noProof/>
                <w:webHidden/>
              </w:rPr>
              <w:t>10</w:t>
            </w:r>
            <w:r w:rsidR="0071328D">
              <w:rPr>
                <w:noProof/>
                <w:webHidden/>
              </w:rPr>
              <w:fldChar w:fldCharType="end"/>
            </w:r>
          </w:hyperlink>
        </w:p>
        <w:p w:rsidR="0071328D" w:rsidRDefault="001912C9">
          <w:pPr>
            <w:pStyle w:val="TOC3"/>
            <w:tabs>
              <w:tab w:val="right" w:leader="dot" w:pos="9350"/>
            </w:tabs>
            <w:rPr>
              <w:noProof/>
            </w:rPr>
          </w:pPr>
          <w:hyperlink w:anchor="_Toc193802116" w:history="1">
            <w:r w:rsidR="0071328D" w:rsidRPr="00113399">
              <w:rPr>
                <w:rStyle w:val="Hyperlink"/>
                <w:rFonts w:ascii="Times New Roman" w:hAnsi="Times New Roman" w:cs="Times New Roman"/>
                <w:noProof/>
              </w:rPr>
              <w:t>2.1.2. Rheumatoid arthritis</w:t>
            </w:r>
            <w:r w:rsidR="0071328D">
              <w:rPr>
                <w:noProof/>
                <w:webHidden/>
              </w:rPr>
              <w:tab/>
            </w:r>
            <w:r w:rsidR="0071328D">
              <w:rPr>
                <w:noProof/>
                <w:webHidden/>
              </w:rPr>
              <w:fldChar w:fldCharType="begin"/>
            </w:r>
            <w:r w:rsidR="0071328D">
              <w:rPr>
                <w:noProof/>
                <w:webHidden/>
              </w:rPr>
              <w:instrText xml:space="preserve"> PAGEREF _Toc193802116 \h </w:instrText>
            </w:r>
            <w:r w:rsidR="0071328D">
              <w:rPr>
                <w:noProof/>
                <w:webHidden/>
              </w:rPr>
            </w:r>
            <w:r w:rsidR="0071328D">
              <w:rPr>
                <w:noProof/>
                <w:webHidden/>
              </w:rPr>
              <w:fldChar w:fldCharType="separate"/>
            </w:r>
            <w:r w:rsidR="005B759D">
              <w:rPr>
                <w:noProof/>
                <w:webHidden/>
              </w:rPr>
              <w:t>11</w:t>
            </w:r>
            <w:r w:rsidR="0071328D">
              <w:rPr>
                <w:noProof/>
                <w:webHidden/>
              </w:rPr>
              <w:fldChar w:fldCharType="end"/>
            </w:r>
          </w:hyperlink>
        </w:p>
        <w:p w:rsidR="0071328D" w:rsidRDefault="001912C9">
          <w:pPr>
            <w:pStyle w:val="TOC3"/>
            <w:tabs>
              <w:tab w:val="right" w:leader="dot" w:pos="9350"/>
            </w:tabs>
            <w:rPr>
              <w:noProof/>
            </w:rPr>
          </w:pPr>
          <w:hyperlink w:anchor="_Toc193802117" w:history="1">
            <w:r w:rsidR="0071328D" w:rsidRPr="00113399">
              <w:rPr>
                <w:rStyle w:val="Hyperlink"/>
                <w:rFonts w:ascii="Times New Roman" w:hAnsi="Times New Roman" w:cs="Times New Roman"/>
                <w:noProof/>
                <w:kern w:val="3"/>
                <w:lang w:eastAsia="zh-CN" w:bidi="hi-IN"/>
              </w:rPr>
              <w:t xml:space="preserve">2.1.3. Systemic Lupus </w:t>
            </w:r>
            <w:r w:rsidR="008F583A">
              <w:rPr>
                <w:rStyle w:val="Hyperlink"/>
                <w:rFonts w:ascii="Times New Roman" w:hAnsi="Times New Roman" w:cs="Times New Roman"/>
                <w:noProof/>
                <w:kern w:val="3"/>
                <w:lang w:eastAsia="zh-CN" w:bidi="hi-IN"/>
              </w:rPr>
              <w:t>Erythematosus</w:t>
            </w:r>
            <w:r w:rsidR="0071328D" w:rsidRPr="00113399">
              <w:rPr>
                <w:rStyle w:val="Hyperlink"/>
                <w:rFonts w:ascii="Times New Roman" w:hAnsi="Times New Roman" w:cs="Times New Roman"/>
                <w:noProof/>
                <w:kern w:val="3"/>
                <w:lang w:eastAsia="zh-CN" w:bidi="hi-IN"/>
              </w:rPr>
              <w:t xml:space="preserve"> (SLE)</w:t>
            </w:r>
            <w:r w:rsidR="0071328D">
              <w:rPr>
                <w:noProof/>
                <w:webHidden/>
              </w:rPr>
              <w:tab/>
            </w:r>
            <w:r w:rsidR="0071328D">
              <w:rPr>
                <w:noProof/>
                <w:webHidden/>
              </w:rPr>
              <w:fldChar w:fldCharType="begin"/>
            </w:r>
            <w:r w:rsidR="0071328D">
              <w:rPr>
                <w:noProof/>
                <w:webHidden/>
              </w:rPr>
              <w:instrText xml:space="preserve"> PAGEREF _Toc193802117 \h </w:instrText>
            </w:r>
            <w:r w:rsidR="0071328D">
              <w:rPr>
                <w:noProof/>
                <w:webHidden/>
              </w:rPr>
            </w:r>
            <w:r w:rsidR="0071328D">
              <w:rPr>
                <w:noProof/>
                <w:webHidden/>
              </w:rPr>
              <w:fldChar w:fldCharType="separate"/>
            </w:r>
            <w:r w:rsidR="005B759D">
              <w:rPr>
                <w:noProof/>
                <w:webHidden/>
              </w:rPr>
              <w:t>12</w:t>
            </w:r>
            <w:r w:rsidR="0071328D">
              <w:rPr>
                <w:noProof/>
                <w:webHidden/>
              </w:rPr>
              <w:fldChar w:fldCharType="end"/>
            </w:r>
          </w:hyperlink>
        </w:p>
        <w:p w:rsidR="0071328D" w:rsidRDefault="001912C9">
          <w:pPr>
            <w:pStyle w:val="TOC3"/>
            <w:tabs>
              <w:tab w:val="right" w:leader="dot" w:pos="9350"/>
            </w:tabs>
            <w:rPr>
              <w:noProof/>
            </w:rPr>
          </w:pPr>
          <w:hyperlink w:anchor="_Toc193802118" w:history="1">
            <w:r w:rsidR="0071328D" w:rsidRPr="00113399">
              <w:rPr>
                <w:rStyle w:val="Hyperlink"/>
                <w:rFonts w:ascii="Times New Roman" w:hAnsi="Times New Roman" w:cs="Times New Roman"/>
                <w:noProof/>
              </w:rPr>
              <w:t>2.1.4. COVID-19</w:t>
            </w:r>
            <w:r w:rsidR="0071328D">
              <w:rPr>
                <w:noProof/>
                <w:webHidden/>
              </w:rPr>
              <w:tab/>
            </w:r>
            <w:r w:rsidR="0071328D">
              <w:rPr>
                <w:noProof/>
                <w:webHidden/>
              </w:rPr>
              <w:fldChar w:fldCharType="begin"/>
            </w:r>
            <w:r w:rsidR="0071328D">
              <w:rPr>
                <w:noProof/>
                <w:webHidden/>
              </w:rPr>
              <w:instrText xml:space="preserve"> PAGEREF _Toc193802118 \h </w:instrText>
            </w:r>
            <w:r w:rsidR="0071328D">
              <w:rPr>
                <w:noProof/>
                <w:webHidden/>
              </w:rPr>
            </w:r>
            <w:r w:rsidR="0071328D">
              <w:rPr>
                <w:noProof/>
                <w:webHidden/>
              </w:rPr>
              <w:fldChar w:fldCharType="separate"/>
            </w:r>
            <w:r w:rsidR="005B759D">
              <w:rPr>
                <w:noProof/>
                <w:webHidden/>
              </w:rPr>
              <w:t>14</w:t>
            </w:r>
            <w:r w:rsidR="0071328D">
              <w:rPr>
                <w:noProof/>
                <w:webHidden/>
              </w:rPr>
              <w:fldChar w:fldCharType="end"/>
            </w:r>
          </w:hyperlink>
        </w:p>
        <w:p w:rsidR="0071328D" w:rsidRDefault="001912C9">
          <w:pPr>
            <w:pStyle w:val="TOC3"/>
            <w:tabs>
              <w:tab w:val="right" w:leader="dot" w:pos="9350"/>
            </w:tabs>
            <w:rPr>
              <w:noProof/>
            </w:rPr>
          </w:pPr>
          <w:hyperlink w:anchor="_Toc193802119" w:history="1">
            <w:r w:rsidR="0071328D" w:rsidRPr="00113399">
              <w:rPr>
                <w:rStyle w:val="Hyperlink"/>
                <w:rFonts w:ascii="Times New Roman" w:hAnsi="Times New Roman" w:cs="Times New Roman"/>
                <w:noProof/>
              </w:rPr>
              <w:t>2.1.5. Tuberculosis</w:t>
            </w:r>
            <w:r w:rsidR="0071328D">
              <w:rPr>
                <w:noProof/>
                <w:webHidden/>
              </w:rPr>
              <w:tab/>
            </w:r>
            <w:r w:rsidR="0071328D">
              <w:rPr>
                <w:noProof/>
                <w:webHidden/>
              </w:rPr>
              <w:fldChar w:fldCharType="begin"/>
            </w:r>
            <w:r w:rsidR="0071328D">
              <w:rPr>
                <w:noProof/>
                <w:webHidden/>
              </w:rPr>
              <w:instrText xml:space="preserve"> PAGEREF _Toc193802119 \h </w:instrText>
            </w:r>
            <w:r w:rsidR="0071328D">
              <w:rPr>
                <w:noProof/>
                <w:webHidden/>
              </w:rPr>
            </w:r>
            <w:r w:rsidR="0071328D">
              <w:rPr>
                <w:noProof/>
                <w:webHidden/>
              </w:rPr>
              <w:fldChar w:fldCharType="separate"/>
            </w:r>
            <w:r w:rsidR="005B759D">
              <w:rPr>
                <w:noProof/>
                <w:webHidden/>
              </w:rPr>
              <w:t>16</w:t>
            </w:r>
            <w:r w:rsidR="0071328D">
              <w:rPr>
                <w:noProof/>
                <w:webHidden/>
              </w:rPr>
              <w:fldChar w:fldCharType="end"/>
            </w:r>
          </w:hyperlink>
        </w:p>
        <w:p w:rsidR="0071328D" w:rsidRDefault="001912C9">
          <w:pPr>
            <w:pStyle w:val="TOC2"/>
            <w:tabs>
              <w:tab w:val="right" w:leader="dot" w:pos="9350"/>
            </w:tabs>
            <w:rPr>
              <w:noProof/>
            </w:rPr>
          </w:pPr>
          <w:hyperlink w:anchor="_Toc193802120" w:history="1">
            <w:r w:rsidR="0071328D" w:rsidRPr="00113399">
              <w:rPr>
                <w:rStyle w:val="Hyperlink"/>
                <w:rFonts w:ascii="Times New Roman" w:hAnsi="Times New Roman" w:cs="Times New Roman"/>
                <w:noProof/>
              </w:rPr>
              <w:t>2.2</w:t>
            </w:r>
            <w:r w:rsidR="0071328D" w:rsidRPr="00113399">
              <w:rPr>
                <w:rStyle w:val="Hyperlink"/>
                <w:rFonts w:ascii="Times New Roman" w:hAnsi="Times New Roman" w:cs="Times New Roman"/>
                <w:b/>
                <w:noProof/>
              </w:rPr>
              <w:t>. Acute-phase proteins</w:t>
            </w:r>
            <w:r w:rsidR="0071328D">
              <w:rPr>
                <w:noProof/>
                <w:webHidden/>
              </w:rPr>
              <w:tab/>
            </w:r>
            <w:r w:rsidR="0071328D">
              <w:rPr>
                <w:noProof/>
                <w:webHidden/>
              </w:rPr>
              <w:fldChar w:fldCharType="begin"/>
            </w:r>
            <w:r w:rsidR="0071328D">
              <w:rPr>
                <w:noProof/>
                <w:webHidden/>
              </w:rPr>
              <w:instrText xml:space="preserve"> PAGEREF _Toc193802120 \h </w:instrText>
            </w:r>
            <w:r w:rsidR="0071328D">
              <w:rPr>
                <w:noProof/>
                <w:webHidden/>
              </w:rPr>
            </w:r>
            <w:r w:rsidR="0071328D">
              <w:rPr>
                <w:noProof/>
                <w:webHidden/>
              </w:rPr>
              <w:fldChar w:fldCharType="separate"/>
            </w:r>
            <w:r w:rsidR="005B759D">
              <w:rPr>
                <w:noProof/>
                <w:webHidden/>
              </w:rPr>
              <w:t>20</w:t>
            </w:r>
            <w:r w:rsidR="0071328D">
              <w:rPr>
                <w:noProof/>
                <w:webHidden/>
              </w:rPr>
              <w:fldChar w:fldCharType="end"/>
            </w:r>
          </w:hyperlink>
        </w:p>
        <w:p w:rsidR="0071328D" w:rsidRDefault="001912C9">
          <w:pPr>
            <w:pStyle w:val="TOC3"/>
            <w:tabs>
              <w:tab w:val="right" w:leader="dot" w:pos="9350"/>
            </w:tabs>
            <w:rPr>
              <w:noProof/>
            </w:rPr>
          </w:pPr>
          <w:hyperlink w:anchor="_Toc193802121" w:history="1">
            <w:r w:rsidR="0071328D" w:rsidRPr="00113399">
              <w:rPr>
                <w:rStyle w:val="Hyperlink"/>
                <w:rFonts w:ascii="Times New Roman" w:hAnsi="Times New Roman" w:cs="Times New Roman"/>
                <w:noProof/>
              </w:rPr>
              <w:t>2.2.1. Positive Acute-phase proteins</w:t>
            </w:r>
            <w:r w:rsidR="0071328D">
              <w:rPr>
                <w:noProof/>
                <w:webHidden/>
              </w:rPr>
              <w:tab/>
            </w:r>
            <w:r w:rsidR="0071328D">
              <w:rPr>
                <w:noProof/>
                <w:webHidden/>
              </w:rPr>
              <w:fldChar w:fldCharType="begin"/>
            </w:r>
            <w:r w:rsidR="0071328D">
              <w:rPr>
                <w:noProof/>
                <w:webHidden/>
              </w:rPr>
              <w:instrText xml:space="preserve"> PAGEREF _Toc193802121 \h </w:instrText>
            </w:r>
            <w:r w:rsidR="0071328D">
              <w:rPr>
                <w:noProof/>
                <w:webHidden/>
              </w:rPr>
            </w:r>
            <w:r w:rsidR="0071328D">
              <w:rPr>
                <w:noProof/>
                <w:webHidden/>
              </w:rPr>
              <w:fldChar w:fldCharType="separate"/>
            </w:r>
            <w:r w:rsidR="005B759D">
              <w:rPr>
                <w:noProof/>
                <w:webHidden/>
              </w:rPr>
              <w:t>22</w:t>
            </w:r>
            <w:r w:rsidR="0071328D">
              <w:rPr>
                <w:noProof/>
                <w:webHidden/>
              </w:rPr>
              <w:fldChar w:fldCharType="end"/>
            </w:r>
          </w:hyperlink>
        </w:p>
        <w:p w:rsidR="0071328D" w:rsidRDefault="001912C9">
          <w:pPr>
            <w:pStyle w:val="TOC3"/>
            <w:tabs>
              <w:tab w:val="right" w:leader="dot" w:pos="9350"/>
            </w:tabs>
            <w:rPr>
              <w:noProof/>
            </w:rPr>
          </w:pPr>
          <w:hyperlink w:anchor="_Toc193802122" w:history="1">
            <w:r w:rsidR="0071328D" w:rsidRPr="00113399">
              <w:rPr>
                <w:rStyle w:val="Hyperlink"/>
                <w:rFonts w:ascii="Times New Roman" w:hAnsi="Times New Roman" w:cs="Times New Roman"/>
                <w:noProof/>
              </w:rPr>
              <w:t>2.2.2. Negative acute phase proteins</w:t>
            </w:r>
            <w:r w:rsidR="0071328D">
              <w:rPr>
                <w:noProof/>
                <w:webHidden/>
              </w:rPr>
              <w:tab/>
            </w:r>
            <w:r w:rsidR="0071328D">
              <w:rPr>
                <w:noProof/>
                <w:webHidden/>
              </w:rPr>
              <w:fldChar w:fldCharType="begin"/>
            </w:r>
            <w:r w:rsidR="0071328D">
              <w:rPr>
                <w:noProof/>
                <w:webHidden/>
              </w:rPr>
              <w:instrText xml:space="preserve"> PAGEREF _Toc193802122 \h </w:instrText>
            </w:r>
            <w:r w:rsidR="0071328D">
              <w:rPr>
                <w:noProof/>
                <w:webHidden/>
              </w:rPr>
            </w:r>
            <w:r w:rsidR="0071328D">
              <w:rPr>
                <w:noProof/>
                <w:webHidden/>
              </w:rPr>
              <w:fldChar w:fldCharType="separate"/>
            </w:r>
            <w:r w:rsidR="005B759D">
              <w:rPr>
                <w:noProof/>
                <w:webHidden/>
              </w:rPr>
              <w:t>27</w:t>
            </w:r>
            <w:r w:rsidR="0071328D">
              <w:rPr>
                <w:noProof/>
                <w:webHidden/>
              </w:rPr>
              <w:fldChar w:fldCharType="end"/>
            </w:r>
          </w:hyperlink>
        </w:p>
        <w:p w:rsidR="0071328D" w:rsidRDefault="001912C9">
          <w:pPr>
            <w:pStyle w:val="TOC1"/>
            <w:tabs>
              <w:tab w:val="right" w:leader="dot" w:pos="9350"/>
            </w:tabs>
            <w:rPr>
              <w:noProof/>
            </w:rPr>
          </w:pPr>
          <w:hyperlink w:anchor="_Toc193802123" w:history="1">
            <w:r w:rsidR="0071328D" w:rsidRPr="00113399">
              <w:rPr>
                <w:rStyle w:val="Hyperlink"/>
                <w:rFonts w:ascii="Times New Roman" w:hAnsi="Times New Roman" w:cs="Times New Roman"/>
                <w:b/>
                <w:noProof/>
              </w:rPr>
              <w:t>Antigenic biomarkers</w:t>
            </w:r>
            <w:r w:rsidR="0071328D">
              <w:rPr>
                <w:noProof/>
                <w:webHidden/>
              </w:rPr>
              <w:tab/>
            </w:r>
            <w:r w:rsidR="0071328D">
              <w:rPr>
                <w:noProof/>
                <w:webHidden/>
              </w:rPr>
              <w:fldChar w:fldCharType="begin"/>
            </w:r>
            <w:r w:rsidR="0071328D">
              <w:rPr>
                <w:noProof/>
                <w:webHidden/>
              </w:rPr>
              <w:instrText xml:space="preserve"> PAGEREF _Toc193802123 \h </w:instrText>
            </w:r>
            <w:r w:rsidR="0071328D">
              <w:rPr>
                <w:noProof/>
                <w:webHidden/>
              </w:rPr>
            </w:r>
            <w:r w:rsidR="0071328D">
              <w:rPr>
                <w:noProof/>
                <w:webHidden/>
              </w:rPr>
              <w:fldChar w:fldCharType="separate"/>
            </w:r>
            <w:r w:rsidR="005B759D">
              <w:rPr>
                <w:noProof/>
                <w:webHidden/>
              </w:rPr>
              <w:t>29</w:t>
            </w:r>
            <w:r w:rsidR="0071328D">
              <w:rPr>
                <w:noProof/>
                <w:webHidden/>
              </w:rPr>
              <w:fldChar w:fldCharType="end"/>
            </w:r>
          </w:hyperlink>
        </w:p>
        <w:p w:rsidR="0071328D" w:rsidRDefault="001912C9">
          <w:pPr>
            <w:pStyle w:val="TOC2"/>
            <w:tabs>
              <w:tab w:val="right" w:leader="dot" w:pos="9350"/>
            </w:tabs>
            <w:rPr>
              <w:noProof/>
            </w:rPr>
          </w:pPr>
          <w:hyperlink w:anchor="_Toc193802124" w:history="1">
            <w:r w:rsidR="0071328D" w:rsidRPr="00113399">
              <w:rPr>
                <w:rStyle w:val="Hyperlink"/>
                <w:rFonts w:ascii="Times New Roman" w:hAnsi="Times New Roman" w:cs="Times New Roman"/>
                <w:b/>
                <w:noProof/>
              </w:rPr>
              <w:t xml:space="preserve">2.3. Genetic Markers as Host </w:t>
            </w:r>
            <w:r w:rsidR="00C549D0">
              <w:rPr>
                <w:rStyle w:val="Hyperlink"/>
                <w:rFonts w:ascii="Times New Roman" w:hAnsi="Times New Roman" w:cs="Times New Roman"/>
                <w:b/>
                <w:noProof/>
              </w:rPr>
              <w:t>Biomarkers</w:t>
            </w:r>
            <w:r w:rsidR="0071328D">
              <w:rPr>
                <w:noProof/>
                <w:webHidden/>
              </w:rPr>
              <w:tab/>
            </w:r>
            <w:r w:rsidR="0071328D">
              <w:rPr>
                <w:noProof/>
                <w:webHidden/>
              </w:rPr>
              <w:fldChar w:fldCharType="begin"/>
            </w:r>
            <w:r w:rsidR="0071328D">
              <w:rPr>
                <w:noProof/>
                <w:webHidden/>
              </w:rPr>
              <w:instrText xml:space="preserve"> PAGEREF _Toc193802124 \h </w:instrText>
            </w:r>
            <w:r w:rsidR="0071328D">
              <w:rPr>
                <w:noProof/>
                <w:webHidden/>
              </w:rPr>
            </w:r>
            <w:r w:rsidR="0071328D">
              <w:rPr>
                <w:noProof/>
                <w:webHidden/>
              </w:rPr>
              <w:fldChar w:fldCharType="separate"/>
            </w:r>
            <w:r w:rsidR="005B759D">
              <w:rPr>
                <w:noProof/>
                <w:webHidden/>
              </w:rPr>
              <w:t>30</w:t>
            </w:r>
            <w:r w:rsidR="0071328D">
              <w:rPr>
                <w:noProof/>
                <w:webHidden/>
              </w:rPr>
              <w:fldChar w:fldCharType="end"/>
            </w:r>
          </w:hyperlink>
        </w:p>
        <w:p w:rsidR="0071328D" w:rsidRDefault="001912C9">
          <w:pPr>
            <w:pStyle w:val="TOC3"/>
            <w:tabs>
              <w:tab w:val="right" w:leader="dot" w:pos="9350"/>
            </w:tabs>
            <w:rPr>
              <w:noProof/>
            </w:rPr>
          </w:pPr>
          <w:hyperlink w:anchor="_Toc193802125" w:history="1">
            <w:r w:rsidR="0071328D" w:rsidRPr="00113399">
              <w:rPr>
                <w:rStyle w:val="Hyperlink"/>
                <w:rFonts w:ascii="Times New Roman" w:hAnsi="Times New Roman" w:cs="Times New Roman"/>
                <w:noProof/>
              </w:rPr>
              <w:t>2.3.1. Single Nucleotide Polymorphisms (SNPs)</w:t>
            </w:r>
            <w:r w:rsidR="0071328D">
              <w:rPr>
                <w:noProof/>
                <w:webHidden/>
              </w:rPr>
              <w:tab/>
            </w:r>
            <w:r w:rsidR="0071328D">
              <w:rPr>
                <w:noProof/>
                <w:webHidden/>
              </w:rPr>
              <w:fldChar w:fldCharType="begin"/>
            </w:r>
            <w:r w:rsidR="0071328D">
              <w:rPr>
                <w:noProof/>
                <w:webHidden/>
              </w:rPr>
              <w:instrText xml:space="preserve"> PAGEREF _Toc193802125 \h </w:instrText>
            </w:r>
            <w:r w:rsidR="0071328D">
              <w:rPr>
                <w:noProof/>
                <w:webHidden/>
              </w:rPr>
            </w:r>
            <w:r w:rsidR="0071328D">
              <w:rPr>
                <w:noProof/>
                <w:webHidden/>
              </w:rPr>
              <w:fldChar w:fldCharType="separate"/>
            </w:r>
            <w:r w:rsidR="005B759D">
              <w:rPr>
                <w:noProof/>
                <w:webHidden/>
              </w:rPr>
              <w:t>30</w:t>
            </w:r>
            <w:r w:rsidR="0071328D">
              <w:rPr>
                <w:noProof/>
                <w:webHidden/>
              </w:rPr>
              <w:fldChar w:fldCharType="end"/>
            </w:r>
          </w:hyperlink>
        </w:p>
        <w:p w:rsidR="0071328D" w:rsidRDefault="001912C9">
          <w:pPr>
            <w:pStyle w:val="TOC3"/>
            <w:tabs>
              <w:tab w:val="right" w:leader="dot" w:pos="9350"/>
            </w:tabs>
            <w:rPr>
              <w:noProof/>
            </w:rPr>
          </w:pPr>
          <w:hyperlink w:anchor="_Toc193802126" w:history="1">
            <w:r w:rsidR="0071328D" w:rsidRPr="00113399">
              <w:rPr>
                <w:rStyle w:val="Hyperlink"/>
                <w:rFonts w:ascii="Times New Roman" w:hAnsi="Times New Roman" w:cs="Times New Roman"/>
                <w:noProof/>
              </w:rPr>
              <w:t>2.3.2. Gene expression Signature</w:t>
            </w:r>
            <w:r w:rsidR="0071328D">
              <w:rPr>
                <w:noProof/>
                <w:webHidden/>
              </w:rPr>
              <w:tab/>
            </w:r>
            <w:r w:rsidR="0071328D">
              <w:rPr>
                <w:noProof/>
                <w:webHidden/>
              </w:rPr>
              <w:fldChar w:fldCharType="begin"/>
            </w:r>
            <w:r w:rsidR="0071328D">
              <w:rPr>
                <w:noProof/>
                <w:webHidden/>
              </w:rPr>
              <w:instrText xml:space="preserve"> PAGEREF _Toc193802126 \h </w:instrText>
            </w:r>
            <w:r w:rsidR="0071328D">
              <w:rPr>
                <w:noProof/>
                <w:webHidden/>
              </w:rPr>
            </w:r>
            <w:r w:rsidR="0071328D">
              <w:rPr>
                <w:noProof/>
                <w:webHidden/>
              </w:rPr>
              <w:fldChar w:fldCharType="separate"/>
            </w:r>
            <w:r w:rsidR="005B759D">
              <w:rPr>
                <w:noProof/>
                <w:webHidden/>
              </w:rPr>
              <w:t>36</w:t>
            </w:r>
            <w:r w:rsidR="0071328D">
              <w:rPr>
                <w:noProof/>
                <w:webHidden/>
              </w:rPr>
              <w:fldChar w:fldCharType="end"/>
            </w:r>
          </w:hyperlink>
        </w:p>
        <w:p w:rsidR="0071328D" w:rsidRDefault="001912C9">
          <w:pPr>
            <w:pStyle w:val="TOC3"/>
            <w:tabs>
              <w:tab w:val="right" w:leader="dot" w:pos="9350"/>
            </w:tabs>
            <w:rPr>
              <w:noProof/>
            </w:rPr>
          </w:pPr>
          <w:hyperlink w:anchor="_Toc193802127" w:history="1">
            <w:r w:rsidR="0071328D" w:rsidRPr="00113399">
              <w:rPr>
                <w:rStyle w:val="Hyperlink"/>
                <w:rFonts w:ascii="Times New Roman" w:hAnsi="Times New Roman" w:cs="Times New Roman"/>
                <w:noProof/>
              </w:rPr>
              <w:t>2.3.3. Epigenetic changes and copy number variants (CNVs)</w:t>
            </w:r>
            <w:r w:rsidR="0071328D">
              <w:rPr>
                <w:noProof/>
                <w:webHidden/>
              </w:rPr>
              <w:tab/>
            </w:r>
            <w:r w:rsidR="0071328D">
              <w:rPr>
                <w:noProof/>
                <w:webHidden/>
              </w:rPr>
              <w:fldChar w:fldCharType="begin"/>
            </w:r>
            <w:r w:rsidR="0071328D">
              <w:rPr>
                <w:noProof/>
                <w:webHidden/>
              </w:rPr>
              <w:instrText xml:space="preserve"> PAGEREF _Toc193802127 \h </w:instrText>
            </w:r>
            <w:r w:rsidR="0071328D">
              <w:rPr>
                <w:noProof/>
                <w:webHidden/>
              </w:rPr>
            </w:r>
            <w:r w:rsidR="0071328D">
              <w:rPr>
                <w:noProof/>
                <w:webHidden/>
              </w:rPr>
              <w:fldChar w:fldCharType="separate"/>
            </w:r>
            <w:r w:rsidR="005B759D">
              <w:rPr>
                <w:noProof/>
                <w:webHidden/>
              </w:rPr>
              <w:t>38</w:t>
            </w:r>
            <w:r w:rsidR="0071328D">
              <w:rPr>
                <w:noProof/>
                <w:webHidden/>
              </w:rPr>
              <w:fldChar w:fldCharType="end"/>
            </w:r>
          </w:hyperlink>
        </w:p>
        <w:p w:rsidR="0071328D" w:rsidRDefault="001912C9">
          <w:pPr>
            <w:pStyle w:val="TOC1"/>
            <w:tabs>
              <w:tab w:val="left" w:pos="440"/>
              <w:tab w:val="right" w:leader="dot" w:pos="9350"/>
            </w:tabs>
            <w:rPr>
              <w:noProof/>
            </w:rPr>
          </w:pPr>
          <w:hyperlink w:anchor="_Toc193802128" w:history="1">
            <w:r w:rsidR="0071328D" w:rsidRPr="00113399">
              <w:rPr>
                <w:rStyle w:val="Hyperlink"/>
                <w:rFonts w:ascii="Times New Roman" w:eastAsia="Times New Roman" w:hAnsi="Times New Roman" w:cs="Times New Roman"/>
                <w:b/>
                <w:noProof/>
              </w:rPr>
              <w:t>3.</w:t>
            </w:r>
            <w:r w:rsidR="0071328D">
              <w:rPr>
                <w:noProof/>
              </w:rPr>
              <w:tab/>
            </w:r>
            <w:r w:rsidR="0071328D" w:rsidRPr="00113399">
              <w:rPr>
                <w:rStyle w:val="Hyperlink"/>
                <w:rFonts w:ascii="Times New Roman" w:eastAsia="Times New Roman" w:hAnsi="Times New Roman" w:cs="Times New Roman"/>
                <w:b/>
                <w:noProof/>
              </w:rPr>
              <w:t>Techniques for detecting host biomarkers (e.g. CRP, Procalcitonin)</w:t>
            </w:r>
            <w:r w:rsidR="0071328D">
              <w:rPr>
                <w:noProof/>
                <w:webHidden/>
              </w:rPr>
              <w:tab/>
            </w:r>
            <w:r w:rsidR="0071328D">
              <w:rPr>
                <w:noProof/>
                <w:webHidden/>
              </w:rPr>
              <w:fldChar w:fldCharType="begin"/>
            </w:r>
            <w:r w:rsidR="0071328D">
              <w:rPr>
                <w:noProof/>
                <w:webHidden/>
              </w:rPr>
              <w:instrText xml:space="preserve"> PAGEREF _Toc193802128 \h </w:instrText>
            </w:r>
            <w:r w:rsidR="0071328D">
              <w:rPr>
                <w:noProof/>
                <w:webHidden/>
              </w:rPr>
            </w:r>
            <w:r w:rsidR="0071328D">
              <w:rPr>
                <w:noProof/>
                <w:webHidden/>
              </w:rPr>
              <w:fldChar w:fldCharType="separate"/>
            </w:r>
            <w:r w:rsidR="005B759D">
              <w:rPr>
                <w:noProof/>
                <w:webHidden/>
              </w:rPr>
              <w:t>39</w:t>
            </w:r>
            <w:r w:rsidR="0071328D">
              <w:rPr>
                <w:noProof/>
                <w:webHidden/>
              </w:rPr>
              <w:fldChar w:fldCharType="end"/>
            </w:r>
          </w:hyperlink>
        </w:p>
        <w:p w:rsidR="0071328D" w:rsidRDefault="001912C9">
          <w:pPr>
            <w:pStyle w:val="TOC2"/>
            <w:tabs>
              <w:tab w:val="left" w:pos="880"/>
              <w:tab w:val="right" w:leader="dot" w:pos="9350"/>
            </w:tabs>
            <w:rPr>
              <w:noProof/>
            </w:rPr>
          </w:pPr>
          <w:hyperlink w:anchor="_Toc193802129" w:history="1">
            <w:r w:rsidR="0071328D" w:rsidRPr="00113399">
              <w:rPr>
                <w:rStyle w:val="Hyperlink"/>
                <w:rFonts w:ascii="Times New Roman" w:eastAsia="Times New Roman" w:hAnsi="Times New Roman" w:cs="Times New Roman"/>
                <w:b/>
                <w:noProof/>
              </w:rPr>
              <w:t>3.1.</w:t>
            </w:r>
            <w:r w:rsidR="0071328D">
              <w:rPr>
                <w:noProof/>
              </w:rPr>
              <w:tab/>
            </w:r>
            <w:r w:rsidR="0071328D" w:rsidRPr="00113399">
              <w:rPr>
                <w:rStyle w:val="Hyperlink"/>
                <w:rFonts w:ascii="Times New Roman" w:eastAsia="Times New Roman" w:hAnsi="Times New Roman" w:cs="Times New Roman"/>
                <w:b/>
                <w:noProof/>
              </w:rPr>
              <w:t>Enzyme-linked immunosorbent Assay or ELISA</w:t>
            </w:r>
            <w:r w:rsidR="0071328D">
              <w:rPr>
                <w:noProof/>
                <w:webHidden/>
              </w:rPr>
              <w:tab/>
            </w:r>
            <w:r w:rsidR="0071328D">
              <w:rPr>
                <w:noProof/>
                <w:webHidden/>
              </w:rPr>
              <w:fldChar w:fldCharType="begin"/>
            </w:r>
            <w:r w:rsidR="0071328D">
              <w:rPr>
                <w:noProof/>
                <w:webHidden/>
              </w:rPr>
              <w:instrText xml:space="preserve"> PAGEREF _Toc193802129 \h </w:instrText>
            </w:r>
            <w:r w:rsidR="0071328D">
              <w:rPr>
                <w:noProof/>
                <w:webHidden/>
              </w:rPr>
            </w:r>
            <w:r w:rsidR="0071328D">
              <w:rPr>
                <w:noProof/>
                <w:webHidden/>
              </w:rPr>
              <w:fldChar w:fldCharType="separate"/>
            </w:r>
            <w:r w:rsidR="005B759D">
              <w:rPr>
                <w:noProof/>
                <w:webHidden/>
              </w:rPr>
              <w:t>39</w:t>
            </w:r>
            <w:r w:rsidR="0071328D">
              <w:rPr>
                <w:noProof/>
                <w:webHidden/>
              </w:rPr>
              <w:fldChar w:fldCharType="end"/>
            </w:r>
          </w:hyperlink>
        </w:p>
        <w:p w:rsidR="0071328D" w:rsidRDefault="001912C9">
          <w:pPr>
            <w:pStyle w:val="TOC2"/>
            <w:tabs>
              <w:tab w:val="left" w:pos="880"/>
              <w:tab w:val="right" w:leader="dot" w:pos="9350"/>
            </w:tabs>
            <w:rPr>
              <w:noProof/>
            </w:rPr>
          </w:pPr>
          <w:hyperlink w:anchor="_Toc193802130" w:history="1">
            <w:r w:rsidR="0071328D" w:rsidRPr="00113399">
              <w:rPr>
                <w:rStyle w:val="Hyperlink"/>
                <w:rFonts w:ascii="Times New Roman" w:eastAsia="Times New Roman" w:hAnsi="Times New Roman" w:cs="Times New Roman"/>
                <w:b/>
                <w:noProof/>
              </w:rPr>
              <w:t>3.2.</w:t>
            </w:r>
            <w:r w:rsidR="0071328D">
              <w:rPr>
                <w:noProof/>
              </w:rPr>
              <w:tab/>
            </w:r>
            <w:r w:rsidR="0071328D" w:rsidRPr="00113399">
              <w:rPr>
                <w:rStyle w:val="Hyperlink"/>
                <w:rFonts w:ascii="Times New Roman" w:eastAsia="Times New Roman" w:hAnsi="Times New Roman" w:cs="Times New Roman"/>
                <w:b/>
                <w:noProof/>
              </w:rPr>
              <w:t>Chemiluminescent Immunoassay (CLIA)</w:t>
            </w:r>
            <w:r w:rsidR="0071328D">
              <w:rPr>
                <w:noProof/>
                <w:webHidden/>
              </w:rPr>
              <w:tab/>
            </w:r>
            <w:r w:rsidR="0071328D">
              <w:rPr>
                <w:noProof/>
                <w:webHidden/>
              </w:rPr>
              <w:fldChar w:fldCharType="begin"/>
            </w:r>
            <w:r w:rsidR="0071328D">
              <w:rPr>
                <w:noProof/>
                <w:webHidden/>
              </w:rPr>
              <w:instrText xml:space="preserve"> PAGEREF _Toc193802130 \h </w:instrText>
            </w:r>
            <w:r w:rsidR="0071328D">
              <w:rPr>
                <w:noProof/>
                <w:webHidden/>
              </w:rPr>
            </w:r>
            <w:r w:rsidR="0071328D">
              <w:rPr>
                <w:noProof/>
                <w:webHidden/>
              </w:rPr>
              <w:fldChar w:fldCharType="separate"/>
            </w:r>
            <w:r w:rsidR="005B759D">
              <w:rPr>
                <w:noProof/>
                <w:webHidden/>
              </w:rPr>
              <w:t>39</w:t>
            </w:r>
            <w:r w:rsidR="0071328D">
              <w:rPr>
                <w:noProof/>
                <w:webHidden/>
              </w:rPr>
              <w:fldChar w:fldCharType="end"/>
            </w:r>
          </w:hyperlink>
        </w:p>
        <w:p w:rsidR="0071328D" w:rsidRDefault="001912C9">
          <w:pPr>
            <w:pStyle w:val="TOC2"/>
            <w:tabs>
              <w:tab w:val="left" w:pos="880"/>
              <w:tab w:val="right" w:leader="dot" w:pos="9350"/>
            </w:tabs>
            <w:rPr>
              <w:noProof/>
            </w:rPr>
          </w:pPr>
          <w:hyperlink w:anchor="_Toc193802131" w:history="1">
            <w:r w:rsidR="0071328D" w:rsidRPr="00113399">
              <w:rPr>
                <w:rStyle w:val="Hyperlink"/>
                <w:rFonts w:ascii="Times New Roman" w:eastAsia="Times New Roman" w:hAnsi="Times New Roman" w:cs="Times New Roman"/>
                <w:b/>
                <w:noProof/>
              </w:rPr>
              <w:t>3.3.</w:t>
            </w:r>
            <w:r w:rsidR="0071328D">
              <w:rPr>
                <w:noProof/>
              </w:rPr>
              <w:tab/>
            </w:r>
            <w:r w:rsidR="0071328D" w:rsidRPr="00113399">
              <w:rPr>
                <w:rStyle w:val="Hyperlink"/>
                <w:rFonts w:ascii="Times New Roman" w:eastAsia="Times New Roman" w:hAnsi="Times New Roman" w:cs="Times New Roman"/>
                <w:b/>
                <w:noProof/>
              </w:rPr>
              <w:t>Latex Agglutination Test</w:t>
            </w:r>
            <w:r w:rsidR="0071328D">
              <w:rPr>
                <w:noProof/>
                <w:webHidden/>
              </w:rPr>
              <w:tab/>
            </w:r>
            <w:r w:rsidR="0071328D">
              <w:rPr>
                <w:noProof/>
                <w:webHidden/>
              </w:rPr>
              <w:fldChar w:fldCharType="begin"/>
            </w:r>
            <w:r w:rsidR="0071328D">
              <w:rPr>
                <w:noProof/>
                <w:webHidden/>
              </w:rPr>
              <w:instrText xml:space="preserve"> PAGEREF _Toc193802131 \h </w:instrText>
            </w:r>
            <w:r w:rsidR="0071328D">
              <w:rPr>
                <w:noProof/>
                <w:webHidden/>
              </w:rPr>
            </w:r>
            <w:r w:rsidR="0071328D">
              <w:rPr>
                <w:noProof/>
                <w:webHidden/>
              </w:rPr>
              <w:fldChar w:fldCharType="separate"/>
            </w:r>
            <w:r w:rsidR="005B759D">
              <w:rPr>
                <w:noProof/>
                <w:webHidden/>
              </w:rPr>
              <w:t>39</w:t>
            </w:r>
            <w:r w:rsidR="0071328D">
              <w:rPr>
                <w:noProof/>
                <w:webHidden/>
              </w:rPr>
              <w:fldChar w:fldCharType="end"/>
            </w:r>
          </w:hyperlink>
        </w:p>
        <w:p w:rsidR="0071328D" w:rsidRDefault="001912C9">
          <w:pPr>
            <w:pStyle w:val="TOC2"/>
            <w:tabs>
              <w:tab w:val="left" w:pos="880"/>
              <w:tab w:val="right" w:leader="dot" w:pos="9350"/>
            </w:tabs>
            <w:rPr>
              <w:noProof/>
            </w:rPr>
          </w:pPr>
          <w:hyperlink w:anchor="_Toc193802132" w:history="1">
            <w:r w:rsidR="0071328D" w:rsidRPr="00113399">
              <w:rPr>
                <w:rStyle w:val="Hyperlink"/>
                <w:rFonts w:ascii="Times New Roman" w:eastAsia="Times New Roman" w:hAnsi="Times New Roman" w:cs="Times New Roman"/>
                <w:b/>
                <w:noProof/>
              </w:rPr>
              <w:t>3.4.</w:t>
            </w:r>
            <w:r w:rsidR="0071328D">
              <w:rPr>
                <w:noProof/>
              </w:rPr>
              <w:tab/>
            </w:r>
            <w:r w:rsidR="0071328D" w:rsidRPr="00113399">
              <w:rPr>
                <w:rStyle w:val="Hyperlink"/>
                <w:rFonts w:ascii="Times New Roman" w:eastAsia="Times New Roman" w:hAnsi="Times New Roman" w:cs="Times New Roman"/>
                <w:b/>
                <w:noProof/>
              </w:rPr>
              <w:t>Immunoturbidimetry</w:t>
            </w:r>
            <w:r w:rsidR="0071328D">
              <w:rPr>
                <w:noProof/>
                <w:webHidden/>
              </w:rPr>
              <w:tab/>
            </w:r>
            <w:r w:rsidR="0071328D">
              <w:rPr>
                <w:noProof/>
                <w:webHidden/>
              </w:rPr>
              <w:fldChar w:fldCharType="begin"/>
            </w:r>
            <w:r w:rsidR="0071328D">
              <w:rPr>
                <w:noProof/>
                <w:webHidden/>
              </w:rPr>
              <w:instrText xml:space="preserve"> PAGEREF _Toc193802132 \h </w:instrText>
            </w:r>
            <w:r w:rsidR="0071328D">
              <w:rPr>
                <w:noProof/>
                <w:webHidden/>
              </w:rPr>
            </w:r>
            <w:r w:rsidR="0071328D">
              <w:rPr>
                <w:noProof/>
                <w:webHidden/>
              </w:rPr>
              <w:fldChar w:fldCharType="separate"/>
            </w:r>
            <w:r w:rsidR="005B759D">
              <w:rPr>
                <w:noProof/>
                <w:webHidden/>
              </w:rPr>
              <w:t>39</w:t>
            </w:r>
            <w:r w:rsidR="0071328D">
              <w:rPr>
                <w:noProof/>
                <w:webHidden/>
              </w:rPr>
              <w:fldChar w:fldCharType="end"/>
            </w:r>
          </w:hyperlink>
        </w:p>
        <w:p w:rsidR="0071328D" w:rsidRDefault="001912C9">
          <w:pPr>
            <w:pStyle w:val="TOC2"/>
            <w:tabs>
              <w:tab w:val="left" w:pos="880"/>
              <w:tab w:val="right" w:leader="dot" w:pos="9350"/>
            </w:tabs>
            <w:rPr>
              <w:noProof/>
            </w:rPr>
          </w:pPr>
          <w:hyperlink w:anchor="_Toc193802133" w:history="1">
            <w:r w:rsidR="0071328D" w:rsidRPr="00113399">
              <w:rPr>
                <w:rStyle w:val="Hyperlink"/>
                <w:rFonts w:ascii="Times New Roman" w:eastAsia="Times New Roman" w:hAnsi="Times New Roman" w:cs="Times New Roman"/>
                <w:b/>
                <w:noProof/>
              </w:rPr>
              <w:t>3.5.</w:t>
            </w:r>
            <w:r w:rsidR="0071328D">
              <w:rPr>
                <w:noProof/>
              </w:rPr>
              <w:tab/>
            </w:r>
            <w:r w:rsidR="0071328D" w:rsidRPr="00113399">
              <w:rPr>
                <w:rStyle w:val="Hyperlink"/>
                <w:rFonts w:ascii="Times New Roman" w:eastAsia="Times New Roman" w:hAnsi="Times New Roman" w:cs="Times New Roman"/>
                <w:b/>
                <w:noProof/>
              </w:rPr>
              <w:t>Radioimmunoassay (RIA)</w:t>
            </w:r>
            <w:r w:rsidR="0071328D">
              <w:rPr>
                <w:noProof/>
                <w:webHidden/>
              </w:rPr>
              <w:tab/>
            </w:r>
            <w:r w:rsidR="0071328D">
              <w:rPr>
                <w:noProof/>
                <w:webHidden/>
              </w:rPr>
              <w:fldChar w:fldCharType="begin"/>
            </w:r>
            <w:r w:rsidR="0071328D">
              <w:rPr>
                <w:noProof/>
                <w:webHidden/>
              </w:rPr>
              <w:instrText xml:space="preserve"> PAGEREF _Toc193802133 \h </w:instrText>
            </w:r>
            <w:r w:rsidR="0071328D">
              <w:rPr>
                <w:noProof/>
                <w:webHidden/>
              </w:rPr>
            </w:r>
            <w:r w:rsidR="0071328D">
              <w:rPr>
                <w:noProof/>
                <w:webHidden/>
              </w:rPr>
              <w:fldChar w:fldCharType="separate"/>
            </w:r>
            <w:r w:rsidR="005B759D">
              <w:rPr>
                <w:noProof/>
                <w:webHidden/>
              </w:rPr>
              <w:t>40</w:t>
            </w:r>
            <w:r w:rsidR="0071328D">
              <w:rPr>
                <w:noProof/>
                <w:webHidden/>
              </w:rPr>
              <w:fldChar w:fldCharType="end"/>
            </w:r>
          </w:hyperlink>
        </w:p>
        <w:p w:rsidR="0071328D" w:rsidRDefault="001912C9">
          <w:pPr>
            <w:pStyle w:val="TOC2"/>
            <w:tabs>
              <w:tab w:val="left" w:pos="880"/>
              <w:tab w:val="right" w:leader="dot" w:pos="9350"/>
            </w:tabs>
            <w:rPr>
              <w:noProof/>
            </w:rPr>
          </w:pPr>
          <w:hyperlink w:anchor="_Toc193802134" w:history="1">
            <w:r w:rsidR="0071328D" w:rsidRPr="00113399">
              <w:rPr>
                <w:rStyle w:val="Hyperlink"/>
                <w:rFonts w:ascii="Times New Roman" w:eastAsia="Times New Roman" w:hAnsi="Times New Roman" w:cs="Times New Roman"/>
                <w:b/>
                <w:noProof/>
              </w:rPr>
              <w:t>3.6.</w:t>
            </w:r>
            <w:r w:rsidR="0071328D">
              <w:rPr>
                <w:noProof/>
              </w:rPr>
              <w:tab/>
            </w:r>
            <w:r w:rsidR="0071328D" w:rsidRPr="00113399">
              <w:rPr>
                <w:rStyle w:val="Hyperlink"/>
                <w:rFonts w:ascii="Times New Roman" w:eastAsia="Times New Roman" w:hAnsi="Times New Roman" w:cs="Times New Roman"/>
                <w:b/>
                <w:noProof/>
              </w:rPr>
              <w:t>Western blotting</w:t>
            </w:r>
            <w:r w:rsidR="0071328D">
              <w:rPr>
                <w:noProof/>
                <w:webHidden/>
              </w:rPr>
              <w:tab/>
            </w:r>
            <w:r w:rsidR="0071328D">
              <w:rPr>
                <w:noProof/>
                <w:webHidden/>
              </w:rPr>
              <w:fldChar w:fldCharType="begin"/>
            </w:r>
            <w:r w:rsidR="0071328D">
              <w:rPr>
                <w:noProof/>
                <w:webHidden/>
              </w:rPr>
              <w:instrText xml:space="preserve"> PAGEREF _Toc193802134 \h </w:instrText>
            </w:r>
            <w:r w:rsidR="0071328D">
              <w:rPr>
                <w:noProof/>
                <w:webHidden/>
              </w:rPr>
            </w:r>
            <w:r w:rsidR="0071328D">
              <w:rPr>
                <w:noProof/>
                <w:webHidden/>
              </w:rPr>
              <w:fldChar w:fldCharType="separate"/>
            </w:r>
            <w:r w:rsidR="005B759D">
              <w:rPr>
                <w:noProof/>
                <w:webHidden/>
              </w:rPr>
              <w:t>40</w:t>
            </w:r>
            <w:r w:rsidR="0071328D">
              <w:rPr>
                <w:noProof/>
                <w:webHidden/>
              </w:rPr>
              <w:fldChar w:fldCharType="end"/>
            </w:r>
          </w:hyperlink>
        </w:p>
        <w:p w:rsidR="0071328D" w:rsidRDefault="001912C9">
          <w:pPr>
            <w:pStyle w:val="TOC2"/>
            <w:tabs>
              <w:tab w:val="left" w:pos="880"/>
              <w:tab w:val="right" w:leader="dot" w:pos="9350"/>
            </w:tabs>
            <w:rPr>
              <w:noProof/>
            </w:rPr>
          </w:pPr>
          <w:hyperlink w:anchor="_Toc193802135" w:history="1">
            <w:r w:rsidR="0071328D" w:rsidRPr="00113399">
              <w:rPr>
                <w:rStyle w:val="Hyperlink"/>
                <w:rFonts w:ascii="Times New Roman" w:eastAsia="Times New Roman" w:hAnsi="Times New Roman" w:cs="Times New Roman"/>
                <w:b/>
                <w:noProof/>
              </w:rPr>
              <w:t>3.7.</w:t>
            </w:r>
            <w:r w:rsidR="0071328D">
              <w:rPr>
                <w:noProof/>
              </w:rPr>
              <w:tab/>
            </w:r>
            <w:r w:rsidR="0071328D" w:rsidRPr="00113399">
              <w:rPr>
                <w:rStyle w:val="Hyperlink"/>
                <w:rFonts w:ascii="Times New Roman" w:eastAsia="Times New Roman" w:hAnsi="Times New Roman" w:cs="Times New Roman"/>
                <w:b/>
                <w:noProof/>
              </w:rPr>
              <w:t>Mass Spectrometry</w:t>
            </w:r>
            <w:r w:rsidR="0071328D">
              <w:rPr>
                <w:noProof/>
                <w:webHidden/>
              </w:rPr>
              <w:tab/>
            </w:r>
            <w:r w:rsidR="0071328D">
              <w:rPr>
                <w:noProof/>
                <w:webHidden/>
              </w:rPr>
              <w:fldChar w:fldCharType="begin"/>
            </w:r>
            <w:r w:rsidR="0071328D">
              <w:rPr>
                <w:noProof/>
                <w:webHidden/>
              </w:rPr>
              <w:instrText xml:space="preserve"> PAGEREF _Toc193802135 \h </w:instrText>
            </w:r>
            <w:r w:rsidR="0071328D">
              <w:rPr>
                <w:noProof/>
                <w:webHidden/>
              </w:rPr>
            </w:r>
            <w:r w:rsidR="0071328D">
              <w:rPr>
                <w:noProof/>
                <w:webHidden/>
              </w:rPr>
              <w:fldChar w:fldCharType="separate"/>
            </w:r>
            <w:r w:rsidR="005B759D">
              <w:rPr>
                <w:noProof/>
                <w:webHidden/>
              </w:rPr>
              <w:t>40</w:t>
            </w:r>
            <w:r w:rsidR="0071328D">
              <w:rPr>
                <w:noProof/>
                <w:webHidden/>
              </w:rPr>
              <w:fldChar w:fldCharType="end"/>
            </w:r>
          </w:hyperlink>
        </w:p>
        <w:p w:rsidR="0071328D" w:rsidRDefault="001912C9">
          <w:pPr>
            <w:pStyle w:val="TOC2"/>
            <w:tabs>
              <w:tab w:val="left" w:pos="880"/>
              <w:tab w:val="right" w:leader="dot" w:pos="9350"/>
            </w:tabs>
            <w:rPr>
              <w:noProof/>
            </w:rPr>
          </w:pPr>
          <w:hyperlink w:anchor="_Toc193802136" w:history="1">
            <w:r w:rsidR="0071328D" w:rsidRPr="00113399">
              <w:rPr>
                <w:rStyle w:val="Hyperlink"/>
                <w:rFonts w:ascii="Times New Roman" w:eastAsia="Times New Roman" w:hAnsi="Times New Roman" w:cs="Times New Roman"/>
                <w:b/>
                <w:noProof/>
              </w:rPr>
              <w:t>3.8.</w:t>
            </w:r>
            <w:r w:rsidR="0071328D">
              <w:rPr>
                <w:noProof/>
              </w:rPr>
              <w:tab/>
            </w:r>
            <w:r w:rsidR="0071328D" w:rsidRPr="00113399">
              <w:rPr>
                <w:rStyle w:val="Hyperlink"/>
                <w:rFonts w:ascii="Times New Roman" w:eastAsia="Times New Roman" w:hAnsi="Times New Roman" w:cs="Times New Roman"/>
                <w:b/>
                <w:noProof/>
              </w:rPr>
              <w:t>Point-of-Care Testing (POCT)</w:t>
            </w:r>
            <w:r w:rsidR="0071328D">
              <w:rPr>
                <w:noProof/>
                <w:webHidden/>
              </w:rPr>
              <w:tab/>
            </w:r>
            <w:r w:rsidR="0071328D">
              <w:rPr>
                <w:noProof/>
                <w:webHidden/>
              </w:rPr>
              <w:fldChar w:fldCharType="begin"/>
            </w:r>
            <w:r w:rsidR="0071328D">
              <w:rPr>
                <w:noProof/>
                <w:webHidden/>
              </w:rPr>
              <w:instrText xml:space="preserve"> PAGEREF _Toc193802136 \h </w:instrText>
            </w:r>
            <w:r w:rsidR="0071328D">
              <w:rPr>
                <w:noProof/>
                <w:webHidden/>
              </w:rPr>
            </w:r>
            <w:r w:rsidR="0071328D">
              <w:rPr>
                <w:noProof/>
                <w:webHidden/>
              </w:rPr>
              <w:fldChar w:fldCharType="separate"/>
            </w:r>
            <w:r w:rsidR="005B759D">
              <w:rPr>
                <w:noProof/>
                <w:webHidden/>
              </w:rPr>
              <w:t>40</w:t>
            </w:r>
            <w:r w:rsidR="0071328D">
              <w:rPr>
                <w:noProof/>
                <w:webHidden/>
              </w:rPr>
              <w:fldChar w:fldCharType="end"/>
            </w:r>
          </w:hyperlink>
        </w:p>
        <w:p w:rsidR="0071328D" w:rsidRDefault="001912C9">
          <w:pPr>
            <w:pStyle w:val="TOC1"/>
            <w:tabs>
              <w:tab w:val="left" w:pos="440"/>
              <w:tab w:val="right" w:leader="dot" w:pos="9350"/>
            </w:tabs>
            <w:rPr>
              <w:noProof/>
            </w:rPr>
          </w:pPr>
          <w:hyperlink w:anchor="_Toc193802137" w:history="1">
            <w:r w:rsidR="0071328D" w:rsidRPr="00113399">
              <w:rPr>
                <w:rStyle w:val="Hyperlink"/>
                <w:rFonts w:ascii="Times New Roman" w:hAnsi="Times New Roman" w:cs="Times New Roman"/>
                <w:b/>
                <w:noProof/>
              </w:rPr>
              <w:t>4.</w:t>
            </w:r>
            <w:r w:rsidR="0071328D">
              <w:rPr>
                <w:noProof/>
              </w:rPr>
              <w:tab/>
            </w:r>
            <w:r w:rsidR="0071328D" w:rsidRPr="00113399">
              <w:rPr>
                <w:rStyle w:val="Hyperlink"/>
                <w:rFonts w:ascii="Times New Roman" w:hAnsi="Times New Roman" w:cs="Times New Roman"/>
                <w:b/>
                <w:noProof/>
              </w:rPr>
              <w:t>Biomarkers differentiating bacterial vs viral infections</w:t>
            </w:r>
            <w:r w:rsidR="0071328D">
              <w:rPr>
                <w:noProof/>
                <w:webHidden/>
              </w:rPr>
              <w:tab/>
            </w:r>
            <w:r w:rsidR="0071328D">
              <w:rPr>
                <w:noProof/>
                <w:webHidden/>
              </w:rPr>
              <w:fldChar w:fldCharType="begin"/>
            </w:r>
            <w:r w:rsidR="0071328D">
              <w:rPr>
                <w:noProof/>
                <w:webHidden/>
              </w:rPr>
              <w:instrText xml:space="preserve"> PAGEREF _Toc193802137 \h </w:instrText>
            </w:r>
            <w:r w:rsidR="0071328D">
              <w:rPr>
                <w:noProof/>
                <w:webHidden/>
              </w:rPr>
            </w:r>
            <w:r w:rsidR="0071328D">
              <w:rPr>
                <w:noProof/>
                <w:webHidden/>
              </w:rPr>
              <w:fldChar w:fldCharType="separate"/>
            </w:r>
            <w:r w:rsidR="005B759D">
              <w:rPr>
                <w:noProof/>
                <w:webHidden/>
              </w:rPr>
              <w:t>40</w:t>
            </w:r>
            <w:r w:rsidR="0071328D">
              <w:rPr>
                <w:noProof/>
                <w:webHidden/>
              </w:rPr>
              <w:fldChar w:fldCharType="end"/>
            </w:r>
          </w:hyperlink>
        </w:p>
        <w:p w:rsidR="0071328D" w:rsidRDefault="001912C9">
          <w:pPr>
            <w:pStyle w:val="TOC2"/>
            <w:tabs>
              <w:tab w:val="left" w:pos="880"/>
              <w:tab w:val="right" w:leader="dot" w:pos="9350"/>
            </w:tabs>
            <w:rPr>
              <w:noProof/>
            </w:rPr>
          </w:pPr>
          <w:hyperlink w:anchor="_Toc193802138" w:history="1">
            <w:r w:rsidR="0071328D" w:rsidRPr="00113399">
              <w:rPr>
                <w:rStyle w:val="Hyperlink"/>
                <w:rFonts w:ascii="Times New Roman" w:eastAsia="Times New Roman" w:hAnsi="Times New Roman" w:cs="Times New Roman"/>
                <w:b/>
                <w:noProof/>
              </w:rPr>
              <w:t>4.1.</w:t>
            </w:r>
            <w:r w:rsidR="0071328D">
              <w:rPr>
                <w:noProof/>
              </w:rPr>
              <w:tab/>
            </w:r>
            <w:r w:rsidR="0071328D" w:rsidRPr="00113399">
              <w:rPr>
                <w:rStyle w:val="Hyperlink"/>
                <w:rFonts w:ascii="Times New Roman" w:eastAsia="Times New Roman" w:hAnsi="Times New Roman" w:cs="Times New Roman"/>
                <w:b/>
                <w:noProof/>
              </w:rPr>
              <w:t>Procalcitonin (PCT)</w:t>
            </w:r>
            <w:r w:rsidR="0071328D">
              <w:rPr>
                <w:noProof/>
                <w:webHidden/>
              </w:rPr>
              <w:tab/>
            </w:r>
            <w:r w:rsidR="0071328D">
              <w:rPr>
                <w:noProof/>
                <w:webHidden/>
              </w:rPr>
              <w:fldChar w:fldCharType="begin"/>
            </w:r>
            <w:r w:rsidR="0071328D">
              <w:rPr>
                <w:noProof/>
                <w:webHidden/>
              </w:rPr>
              <w:instrText xml:space="preserve"> PAGEREF _Toc193802138 \h </w:instrText>
            </w:r>
            <w:r w:rsidR="0071328D">
              <w:rPr>
                <w:noProof/>
                <w:webHidden/>
              </w:rPr>
            </w:r>
            <w:r w:rsidR="0071328D">
              <w:rPr>
                <w:noProof/>
                <w:webHidden/>
              </w:rPr>
              <w:fldChar w:fldCharType="separate"/>
            </w:r>
            <w:r w:rsidR="005B759D">
              <w:rPr>
                <w:noProof/>
                <w:webHidden/>
              </w:rPr>
              <w:t>41</w:t>
            </w:r>
            <w:r w:rsidR="0071328D">
              <w:rPr>
                <w:noProof/>
                <w:webHidden/>
              </w:rPr>
              <w:fldChar w:fldCharType="end"/>
            </w:r>
          </w:hyperlink>
        </w:p>
        <w:p w:rsidR="0071328D" w:rsidRDefault="001912C9">
          <w:pPr>
            <w:pStyle w:val="TOC2"/>
            <w:tabs>
              <w:tab w:val="left" w:pos="880"/>
              <w:tab w:val="right" w:leader="dot" w:pos="9350"/>
            </w:tabs>
            <w:rPr>
              <w:noProof/>
            </w:rPr>
          </w:pPr>
          <w:hyperlink w:anchor="_Toc193802139" w:history="1">
            <w:r w:rsidR="0071328D" w:rsidRPr="00113399">
              <w:rPr>
                <w:rStyle w:val="Hyperlink"/>
                <w:rFonts w:ascii="Times New Roman" w:eastAsia="Times New Roman" w:hAnsi="Times New Roman" w:cs="Times New Roman"/>
                <w:b/>
                <w:noProof/>
              </w:rPr>
              <w:t>4.2.</w:t>
            </w:r>
            <w:r w:rsidR="0071328D">
              <w:rPr>
                <w:noProof/>
              </w:rPr>
              <w:tab/>
            </w:r>
            <w:r w:rsidR="0071328D" w:rsidRPr="00113399">
              <w:rPr>
                <w:rStyle w:val="Hyperlink"/>
                <w:rFonts w:ascii="Times New Roman" w:eastAsia="Times New Roman" w:hAnsi="Times New Roman" w:cs="Times New Roman"/>
                <w:b/>
                <w:noProof/>
              </w:rPr>
              <w:t>C-reactive protein (CRP)</w:t>
            </w:r>
            <w:r w:rsidR="0071328D">
              <w:rPr>
                <w:noProof/>
                <w:webHidden/>
              </w:rPr>
              <w:tab/>
            </w:r>
            <w:r w:rsidR="0071328D">
              <w:rPr>
                <w:noProof/>
                <w:webHidden/>
              </w:rPr>
              <w:fldChar w:fldCharType="begin"/>
            </w:r>
            <w:r w:rsidR="0071328D">
              <w:rPr>
                <w:noProof/>
                <w:webHidden/>
              </w:rPr>
              <w:instrText xml:space="preserve"> PAGEREF _Toc193802139 \h </w:instrText>
            </w:r>
            <w:r w:rsidR="0071328D">
              <w:rPr>
                <w:noProof/>
                <w:webHidden/>
              </w:rPr>
            </w:r>
            <w:r w:rsidR="0071328D">
              <w:rPr>
                <w:noProof/>
                <w:webHidden/>
              </w:rPr>
              <w:fldChar w:fldCharType="separate"/>
            </w:r>
            <w:r w:rsidR="005B759D">
              <w:rPr>
                <w:noProof/>
                <w:webHidden/>
              </w:rPr>
              <w:t>41</w:t>
            </w:r>
            <w:r w:rsidR="0071328D">
              <w:rPr>
                <w:noProof/>
                <w:webHidden/>
              </w:rPr>
              <w:fldChar w:fldCharType="end"/>
            </w:r>
          </w:hyperlink>
        </w:p>
        <w:p w:rsidR="0071328D" w:rsidRDefault="001912C9">
          <w:pPr>
            <w:pStyle w:val="TOC2"/>
            <w:tabs>
              <w:tab w:val="left" w:pos="880"/>
              <w:tab w:val="right" w:leader="dot" w:pos="9350"/>
            </w:tabs>
            <w:rPr>
              <w:noProof/>
            </w:rPr>
          </w:pPr>
          <w:hyperlink w:anchor="_Toc193802140" w:history="1">
            <w:r w:rsidR="0071328D" w:rsidRPr="00113399">
              <w:rPr>
                <w:rStyle w:val="Hyperlink"/>
                <w:rFonts w:ascii="Times New Roman" w:eastAsia="Times New Roman" w:hAnsi="Times New Roman" w:cs="Times New Roman"/>
                <w:b/>
                <w:noProof/>
              </w:rPr>
              <w:t>4.3.</w:t>
            </w:r>
            <w:r w:rsidR="0071328D">
              <w:rPr>
                <w:noProof/>
              </w:rPr>
              <w:tab/>
            </w:r>
            <w:r w:rsidR="0071328D" w:rsidRPr="00113399">
              <w:rPr>
                <w:rStyle w:val="Hyperlink"/>
                <w:rFonts w:ascii="Times New Roman" w:eastAsia="Times New Roman" w:hAnsi="Times New Roman" w:cs="Times New Roman"/>
                <w:b/>
                <w:noProof/>
              </w:rPr>
              <w:t>Interferon-Stimulated Genes (ISGs)</w:t>
            </w:r>
            <w:r w:rsidR="0071328D">
              <w:rPr>
                <w:noProof/>
                <w:webHidden/>
              </w:rPr>
              <w:tab/>
            </w:r>
            <w:r w:rsidR="0071328D">
              <w:rPr>
                <w:noProof/>
                <w:webHidden/>
              </w:rPr>
              <w:fldChar w:fldCharType="begin"/>
            </w:r>
            <w:r w:rsidR="0071328D">
              <w:rPr>
                <w:noProof/>
                <w:webHidden/>
              </w:rPr>
              <w:instrText xml:space="preserve"> PAGEREF _Toc193802140 \h </w:instrText>
            </w:r>
            <w:r w:rsidR="0071328D">
              <w:rPr>
                <w:noProof/>
                <w:webHidden/>
              </w:rPr>
            </w:r>
            <w:r w:rsidR="0071328D">
              <w:rPr>
                <w:noProof/>
                <w:webHidden/>
              </w:rPr>
              <w:fldChar w:fldCharType="separate"/>
            </w:r>
            <w:r w:rsidR="005B759D">
              <w:rPr>
                <w:noProof/>
                <w:webHidden/>
              </w:rPr>
              <w:t>42</w:t>
            </w:r>
            <w:r w:rsidR="0071328D">
              <w:rPr>
                <w:noProof/>
                <w:webHidden/>
              </w:rPr>
              <w:fldChar w:fldCharType="end"/>
            </w:r>
          </w:hyperlink>
        </w:p>
        <w:p w:rsidR="0071328D" w:rsidRDefault="001912C9">
          <w:pPr>
            <w:pStyle w:val="TOC2"/>
            <w:tabs>
              <w:tab w:val="left" w:pos="880"/>
              <w:tab w:val="right" w:leader="dot" w:pos="9350"/>
            </w:tabs>
            <w:rPr>
              <w:noProof/>
            </w:rPr>
          </w:pPr>
          <w:hyperlink w:anchor="_Toc193802141" w:history="1">
            <w:r w:rsidR="0071328D" w:rsidRPr="00113399">
              <w:rPr>
                <w:rStyle w:val="Hyperlink"/>
                <w:rFonts w:ascii="Times New Roman" w:hAnsi="Times New Roman" w:cs="Times New Roman"/>
                <w:noProof/>
              </w:rPr>
              <w:t>4.4.</w:t>
            </w:r>
            <w:r w:rsidR="0071328D">
              <w:rPr>
                <w:noProof/>
              </w:rPr>
              <w:tab/>
            </w:r>
            <w:r w:rsidR="0071328D" w:rsidRPr="00113399">
              <w:rPr>
                <w:rStyle w:val="Hyperlink"/>
                <w:rFonts w:ascii="Times New Roman" w:hAnsi="Times New Roman" w:cs="Times New Roman"/>
                <w:b/>
                <w:noProof/>
              </w:rPr>
              <w:t>TRAIL (Tumor Necrosis Factor-Related Apoptosis-Inducing Ligand)</w:t>
            </w:r>
            <w:r w:rsidR="0071328D">
              <w:rPr>
                <w:noProof/>
                <w:webHidden/>
              </w:rPr>
              <w:tab/>
            </w:r>
            <w:r w:rsidR="0071328D">
              <w:rPr>
                <w:noProof/>
                <w:webHidden/>
              </w:rPr>
              <w:fldChar w:fldCharType="begin"/>
            </w:r>
            <w:r w:rsidR="0071328D">
              <w:rPr>
                <w:noProof/>
                <w:webHidden/>
              </w:rPr>
              <w:instrText xml:space="preserve"> PAGEREF _Toc193802141 \h </w:instrText>
            </w:r>
            <w:r w:rsidR="0071328D">
              <w:rPr>
                <w:noProof/>
                <w:webHidden/>
              </w:rPr>
            </w:r>
            <w:r w:rsidR="0071328D">
              <w:rPr>
                <w:noProof/>
                <w:webHidden/>
              </w:rPr>
              <w:fldChar w:fldCharType="separate"/>
            </w:r>
            <w:r w:rsidR="005B759D">
              <w:rPr>
                <w:noProof/>
                <w:webHidden/>
              </w:rPr>
              <w:t>44</w:t>
            </w:r>
            <w:r w:rsidR="0071328D">
              <w:rPr>
                <w:noProof/>
                <w:webHidden/>
              </w:rPr>
              <w:fldChar w:fldCharType="end"/>
            </w:r>
          </w:hyperlink>
        </w:p>
        <w:p w:rsidR="0071328D" w:rsidRDefault="001912C9">
          <w:pPr>
            <w:pStyle w:val="TOC2"/>
            <w:tabs>
              <w:tab w:val="left" w:pos="880"/>
              <w:tab w:val="right" w:leader="dot" w:pos="9350"/>
            </w:tabs>
            <w:rPr>
              <w:noProof/>
            </w:rPr>
          </w:pPr>
          <w:hyperlink w:anchor="_Toc193802142" w:history="1">
            <w:r w:rsidR="0071328D" w:rsidRPr="00113399">
              <w:rPr>
                <w:rStyle w:val="Hyperlink"/>
                <w:rFonts w:ascii="Times New Roman" w:hAnsi="Times New Roman" w:cs="Times New Roman"/>
                <w:b/>
                <w:noProof/>
              </w:rPr>
              <w:t>4.5.</w:t>
            </w:r>
            <w:r w:rsidR="0071328D">
              <w:rPr>
                <w:noProof/>
              </w:rPr>
              <w:tab/>
            </w:r>
            <w:r w:rsidR="0071328D" w:rsidRPr="00113399">
              <w:rPr>
                <w:rStyle w:val="Hyperlink"/>
                <w:rFonts w:ascii="Times New Roman" w:eastAsia="Times New Roman" w:hAnsi="Times New Roman" w:cs="Times New Roman"/>
                <w:b/>
                <w:noProof/>
              </w:rPr>
              <w:t>IP-10</w:t>
            </w:r>
            <w:r w:rsidR="0071328D">
              <w:rPr>
                <w:noProof/>
                <w:webHidden/>
              </w:rPr>
              <w:tab/>
            </w:r>
            <w:r w:rsidR="0071328D">
              <w:rPr>
                <w:noProof/>
                <w:webHidden/>
              </w:rPr>
              <w:fldChar w:fldCharType="begin"/>
            </w:r>
            <w:r w:rsidR="0071328D">
              <w:rPr>
                <w:noProof/>
                <w:webHidden/>
              </w:rPr>
              <w:instrText xml:space="preserve"> PAGEREF _Toc193802142 \h </w:instrText>
            </w:r>
            <w:r w:rsidR="0071328D">
              <w:rPr>
                <w:noProof/>
                <w:webHidden/>
              </w:rPr>
            </w:r>
            <w:r w:rsidR="0071328D">
              <w:rPr>
                <w:noProof/>
                <w:webHidden/>
              </w:rPr>
              <w:fldChar w:fldCharType="separate"/>
            </w:r>
            <w:r w:rsidR="005B759D">
              <w:rPr>
                <w:noProof/>
                <w:webHidden/>
              </w:rPr>
              <w:t>44</w:t>
            </w:r>
            <w:r w:rsidR="0071328D">
              <w:rPr>
                <w:noProof/>
                <w:webHidden/>
              </w:rPr>
              <w:fldChar w:fldCharType="end"/>
            </w:r>
          </w:hyperlink>
        </w:p>
        <w:p w:rsidR="0071328D" w:rsidRDefault="001912C9">
          <w:pPr>
            <w:pStyle w:val="TOC2"/>
            <w:tabs>
              <w:tab w:val="left" w:pos="880"/>
              <w:tab w:val="right" w:leader="dot" w:pos="9350"/>
            </w:tabs>
            <w:rPr>
              <w:noProof/>
            </w:rPr>
          </w:pPr>
          <w:hyperlink w:anchor="_Toc193802143" w:history="1">
            <w:r w:rsidR="0071328D" w:rsidRPr="00113399">
              <w:rPr>
                <w:rStyle w:val="Hyperlink"/>
                <w:rFonts w:ascii="Times New Roman" w:hAnsi="Times New Roman" w:cs="Times New Roman"/>
                <w:b/>
                <w:noProof/>
              </w:rPr>
              <w:t>4.6.</w:t>
            </w:r>
            <w:r w:rsidR="0071328D">
              <w:rPr>
                <w:noProof/>
              </w:rPr>
              <w:tab/>
            </w:r>
            <w:r w:rsidR="0071328D" w:rsidRPr="00113399">
              <w:rPr>
                <w:rStyle w:val="Hyperlink"/>
                <w:rFonts w:ascii="Times New Roman" w:eastAsia="Times New Roman" w:hAnsi="Times New Roman" w:cs="Times New Roman"/>
                <w:b/>
                <w:noProof/>
              </w:rPr>
              <w:t>Myxovirus Resistance Protein A</w:t>
            </w:r>
            <w:r w:rsidR="0071328D">
              <w:rPr>
                <w:noProof/>
                <w:webHidden/>
              </w:rPr>
              <w:tab/>
            </w:r>
            <w:r w:rsidR="0071328D">
              <w:rPr>
                <w:noProof/>
                <w:webHidden/>
              </w:rPr>
              <w:fldChar w:fldCharType="begin"/>
            </w:r>
            <w:r w:rsidR="0071328D">
              <w:rPr>
                <w:noProof/>
                <w:webHidden/>
              </w:rPr>
              <w:instrText xml:space="preserve"> PAGEREF _Toc193802143 \h </w:instrText>
            </w:r>
            <w:r w:rsidR="0071328D">
              <w:rPr>
                <w:noProof/>
                <w:webHidden/>
              </w:rPr>
            </w:r>
            <w:r w:rsidR="0071328D">
              <w:rPr>
                <w:noProof/>
                <w:webHidden/>
              </w:rPr>
              <w:fldChar w:fldCharType="separate"/>
            </w:r>
            <w:r w:rsidR="005B759D">
              <w:rPr>
                <w:noProof/>
                <w:webHidden/>
              </w:rPr>
              <w:t>45</w:t>
            </w:r>
            <w:r w:rsidR="0071328D">
              <w:rPr>
                <w:noProof/>
                <w:webHidden/>
              </w:rPr>
              <w:fldChar w:fldCharType="end"/>
            </w:r>
          </w:hyperlink>
        </w:p>
        <w:p w:rsidR="0071328D" w:rsidRDefault="001912C9">
          <w:pPr>
            <w:pStyle w:val="TOC1"/>
            <w:tabs>
              <w:tab w:val="left" w:pos="440"/>
              <w:tab w:val="right" w:leader="dot" w:pos="9350"/>
            </w:tabs>
            <w:rPr>
              <w:noProof/>
            </w:rPr>
          </w:pPr>
          <w:hyperlink w:anchor="_Toc193802144" w:history="1">
            <w:r w:rsidR="0071328D" w:rsidRPr="00113399">
              <w:rPr>
                <w:rStyle w:val="Hyperlink"/>
                <w:rFonts w:ascii="Times New Roman" w:eastAsia="Times New Roman" w:hAnsi="Times New Roman" w:cs="Times New Roman"/>
                <w:b/>
                <w:noProof/>
              </w:rPr>
              <w:t>5.</w:t>
            </w:r>
            <w:r w:rsidR="0071328D">
              <w:rPr>
                <w:noProof/>
              </w:rPr>
              <w:tab/>
            </w:r>
            <w:r w:rsidR="0071328D" w:rsidRPr="00113399">
              <w:rPr>
                <w:rStyle w:val="Hyperlink"/>
                <w:rFonts w:ascii="Times New Roman" w:eastAsia="Times New Roman" w:hAnsi="Times New Roman" w:cs="Times New Roman"/>
                <w:b/>
                <w:noProof/>
              </w:rPr>
              <w:t>Application in distinguishing between bacterial and viral infections</w:t>
            </w:r>
            <w:r w:rsidR="0071328D">
              <w:rPr>
                <w:noProof/>
                <w:webHidden/>
              </w:rPr>
              <w:tab/>
            </w:r>
            <w:r w:rsidR="0071328D">
              <w:rPr>
                <w:noProof/>
                <w:webHidden/>
              </w:rPr>
              <w:fldChar w:fldCharType="begin"/>
            </w:r>
            <w:r w:rsidR="0071328D">
              <w:rPr>
                <w:noProof/>
                <w:webHidden/>
              </w:rPr>
              <w:instrText xml:space="preserve"> PAGEREF _Toc193802144 \h </w:instrText>
            </w:r>
            <w:r w:rsidR="0071328D">
              <w:rPr>
                <w:noProof/>
                <w:webHidden/>
              </w:rPr>
            </w:r>
            <w:r w:rsidR="0071328D">
              <w:rPr>
                <w:noProof/>
                <w:webHidden/>
              </w:rPr>
              <w:fldChar w:fldCharType="separate"/>
            </w:r>
            <w:r w:rsidR="005B759D">
              <w:rPr>
                <w:noProof/>
                <w:webHidden/>
              </w:rPr>
              <w:t>45</w:t>
            </w:r>
            <w:r w:rsidR="0071328D">
              <w:rPr>
                <w:noProof/>
                <w:webHidden/>
              </w:rPr>
              <w:fldChar w:fldCharType="end"/>
            </w:r>
          </w:hyperlink>
        </w:p>
        <w:p w:rsidR="0071328D" w:rsidRDefault="001912C9">
          <w:pPr>
            <w:pStyle w:val="TOC2"/>
            <w:tabs>
              <w:tab w:val="left" w:pos="880"/>
              <w:tab w:val="right" w:leader="dot" w:pos="9350"/>
            </w:tabs>
            <w:rPr>
              <w:noProof/>
            </w:rPr>
          </w:pPr>
          <w:hyperlink w:anchor="_Toc193802145" w:history="1">
            <w:r w:rsidR="0071328D" w:rsidRPr="00113399">
              <w:rPr>
                <w:rStyle w:val="Hyperlink"/>
                <w:rFonts w:ascii="Times New Roman" w:hAnsi="Times New Roman" w:cs="Times New Roman"/>
                <w:b/>
                <w:noProof/>
              </w:rPr>
              <w:t>5.1.</w:t>
            </w:r>
            <w:r w:rsidR="0071328D">
              <w:rPr>
                <w:noProof/>
              </w:rPr>
              <w:tab/>
            </w:r>
            <w:r w:rsidR="0071328D" w:rsidRPr="00113399">
              <w:rPr>
                <w:rStyle w:val="Hyperlink"/>
                <w:rFonts w:ascii="Times New Roman" w:hAnsi="Times New Roman" w:cs="Times New Roman"/>
                <w:b/>
                <w:noProof/>
              </w:rPr>
              <w:t>RNA Transcriptome Profiling</w:t>
            </w:r>
            <w:r w:rsidR="0071328D">
              <w:rPr>
                <w:noProof/>
                <w:webHidden/>
              </w:rPr>
              <w:tab/>
            </w:r>
            <w:r w:rsidR="0071328D">
              <w:rPr>
                <w:noProof/>
                <w:webHidden/>
              </w:rPr>
              <w:fldChar w:fldCharType="begin"/>
            </w:r>
            <w:r w:rsidR="0071328D">
              <w:rPr>
                <w:noProof/>
                <w:webHidden/>
              </w:rPr>
              <w:instrText xml:space="preserve"> PAGEREF _Toc193802145 \h </w:instrText>
            </w:r>
            <w:r w:rsidR="0071328D">
              <w:rPr>
                <w:noProof/>
                <w:webHidden/>
              </w:rPr>
            </w:r>
            <w:r w:rsidR="0071328D">
              <w:rPr>
                <w:noProof/>
                <w:webHidden/>
              </w:rPr>
              <w:fldChar w:fldCharType="separate"/>
            </w:r>
            <w:r w:rsidR="005B759D">
              <w:rPr>
                <w:noProof/>
                <w:webHidden/>
              </w:rPr>
              <w:t>45</w:t>
            </w:r>
            <w:r w:rsidR="0071328D">
              <w:rPr>
                <w:noProof/>
                <w:webHidden/>
              </w:rPr>
              <w:fldChar w:fldCharType="end"/>
            </w:r>
          </w:hyperlink>
        </w:p>
        <w:p w:rsidR="0071328D" w:rsidRDefault="001912C9">
          <w:pPr>
            <w:pStyle w:val="TOC2"/>
            <w:tabs>
              <w:tab w:val="left" w:pos="880"/>
              <w:tab w:val="right" w:leader="dot" w:pos="9350"/>
            </w:tabs>
            <w:rPr>
              <w:noProof/>
            </w:rPr>
          </w:pPr>
          <w:hyperlink w:anchor="_Toc193802146" w:history="1">
            <w:r w:rsidR="0071328D" w:rsidRPr="00113399">
              <w:rPr>
                <w:rStyle w:val="Hyperlink"/>
                <w:noProof/>
              </w:rPr>
              <w:t>5.2.</w:t>
            </w:r>
            <w:r w:rsidR="0071328D">
              <w:rPr>
                <w:noProof/>
              </w:rPr>
              <w:tab/>
            </w:r>
            <w:r w:rsidR="0071328D" w:rsidRPr="00113399">
              <w:rPr>
                <w:rStyle w:val="Hyperlink"/>
                <w:rFonts w:ascii="Times New Roman" w:eastAsia="Times New Roman" w:hAnsi="Times New Roman" w:cs="Times New Roman"/>
                <w:b/>
                <w:bCs/>
                <w:noProof/>
              </w:rPr>
              <w:t>Proteomics</w:t>
            </w:r>
            <w:r w:rsidR="0071328D">
              <w:rPr>
                <w:noProof/>
                <w:webHidden/>
              </w:rPr>
              <w:tab/>
            </w:r>
            <w:r w:rsidR="0071328D">
              <w:rPr>
                <w:noProof/>
                <w:webHidden/>
              </w:rPr>
              <w:fldChar w:fldCharType="begin"/>
            </w:r>
            <w:r w:rsidR="0071328D">
              <w:rPr>
                <w:noProof/>
                <w:webHidden/>
              </w:rPr>
              <w:instrText xml:space="preserve"> PAGEREF _Toc193802146 \h </w:instrText>
            </w:r>
            <w:r w:rsidR="0071328D">
              <w:rPr>
                <w:noProof/>
                <w:webHidden/>
              </w:rPr>
            </w:r>
            <w:r w:rsidR="0071328D">
              <w:rPr>
                <w:noProof/>
                <w:webHidden/>
              </w:rPr>
              <w:fldChar w:fldCharType="separate"/>
            </w:r>
            <w:r w:rsidR="005B759D">
              <w:rPr>
                <w:noProof/>
                <w:webHidden/>
              </w:rPr>
              <w:t>46</w:t>
            </w:r>
            <w:r w:rsidR="0071328D">
              <w:rPr>
                <w:noProof/>
                <w:webHidden/>
              </w:rPr>
              <w:fldChar w:fldCharType="end"/>
            </w:r>
          </w:hyperlink>
        </w:p>
        <w:p w:rsidR="0071328D" w:rsidRDefault="001912C9">
          <w:pPr>
            <w:pStyle w:val="TOC2"/>
            <w:tabs>
              <w:tab w:val="left" w:pos="880"/>
              <w:tab w:val="right" w:leader="dot" w:pos="9350"/>
            </w:tabs>
            <w:rPr>
              <w:noProof/>
            </w:rPr>
          </w:pPr>
          <w:hyperlink w:anchor="_Toc193802147" w:history="1">
            <w:r w:rsidR="0071328D" w:rsidRPr="00113399">
              <w:rPr>
                <w:rStyle w:val="Hyperlink"/>
                <w:rFonts w:ascii="Times New Roman" w:hAnsi="Times New Roman" w:cs="Times New Roman"/>
                <w:b/>
                <w:noProof/>
              </w:rPr>
              <w:t>5.3.</w:t>
            </w:r>
            <w:r w:rsidR="0071328D">
              <w:rPr>
                <w:noProof/>
              </w:rPr>
              <w:tab/>
            </w:r>
            <w:r w:rsidR="0071328D" w:rsidRPr="00113399">
              <w:rPr>
                <w:rStyle w:val="Hyperlink"/>
                <w:rFonts w:ascii="Times New Roman" w:eastAsia="Times New Roman" w:hAnsi="Times New Roman" w:cs="Times New Roman"/>
                <w:b/>
                <w:noProof/>
              </w:rPr>
              <w:t>Multi-Marker Approaches</w:t>
            </w:r>
            <w:r w:rsidR="0071328D">
              <w:rPr>
                <w:noProof/>
                <w:webHidden/>
              </w:rPr>
              <w:tab/>
            </w:r>
            <w:r w:rsidR="0071328D">
              <w:rPr>
                <w:noProof/>
                <w:webHidden/>
              </w:rPr>
              <w:fldChar w:fldCharType="begin"/>
            </w:r>
            <w:r w:rsidR="0071328D">
              <w:rPr>
                <w:noProof/>
                <w:webHidden/>
              </w:rPr>
              <w:instrText xml:space="preserve"> PAGEREF _Toc193802147 \h </w:instrText>
            </w:r>
            <w:r w:rsidR="0071328D">
              <w:rPr>
                <w:noProof/>
                <w:webHidden/>
              </w:rPr>
            </w:r>
            <w:r w:rsidR="0071328D">
              <w:rPr>
                <w:noProof/>
                <w:webHidden/>
              </w:rPr>
              <w:fldChar w:fldCharType="separate"/>
            </w:r>
            <w:r w:rsidR="005B759D">
              <w:rPr>
                <w:noProof/>
                <w:webHidden/>
              </w:rPr>
              <w:t>46</w:t>
            </w:r>
            <w:r w:rsidR="0071328D">
              <w:rPr>
                <w:noProof/>
                <w:webHidden/>
              </w:rPr>
              <w:fldChar w:fldCharType="end"/>
            </w:r>
          </w:hyperlink>
        </w:p>
        <w:p w:rsidR="0071328D" w:rsidRDefault="001912C9">
          <w:pPr>
            <w:pStyle w:val="TOC1"/>
            <w:tabs>
              <w:tab w:val="left" w:pos="440"/>
              <w:tab w:val="right" w:leader="dot" w:pos="9350"/>
            </w:tabs>
            <w:rPr>
              <w:noProof/>
            </w:rPr>
          </w:pPr>
          <w:hyperlink w:anchor="_Toc193802148" w:history="1">
            <w:r w:rsidR="0071328D" w:rsidRPr="00113399">
              <w:rPr>
                <w:rStyle w:val="Hyperlink"/>
                <w:rFonts w:ascii="Times New Roman" w:hAnsi="Times New Roman" w:cs="Times New Roman"/>
                <w:b/>
                <w:noProof/>
              </w:rPr>
              <w:t>6.</w:t>
            </w:r>
            <w:r w:rsidR="0071328D">
              <w:rPr>
                <w:noProof/>
              </w:rPr>
              <w:tab/>
            </w:r>
            <w:r w:rsidR="0071328D" w:rsidRPr="00113399">
              <w:rPr>
                <w:rStyle w:val="Hyperlink"/>
                <w:rFonts w:ascii="Times New Roman" w:eastAsia="Times New Roman" w:hAnsi="Times New Roman" w:cs="Times New Roman"/>
                <w:b/>
                <w:noProof/>
              </w:rPr>
              <w:t>Future Directions</w:t>
            </w:r>
            <w:r w:rsidR="0071328D">
              <w:rPr>
                <w:noProof/>
                <w:webHidden/>
              </w:rPr>
              <w:tab/>
            </w:r>
            <w:r w:rsidR="0071328D">
              <w:rPr>
                <w:noProof/>
                <w:webHidden/>
              </w:rPr>
              <w:fldChar w:fldCharType="begin"/>
            </w:r>
            <w:r w:rsidR="0071328D">
              <w:rPr>
                <w:noProof/>
                <w:webHidden/>
              </w:rPr>
              <w:instrText xml:space="preserve"> PAGEREF _Toc193802148 \h </w:instrText>
            </w:r>
            <w:r w:rsidR="0071328D">
              <w:rPr>
                <w:noProof/>
                <w:webHidden/>
              </w:rPr>
            </w:r>
            <w:r w:rsidR="0071328D">
              <w:rPr>
                <w:noProof/>
                <w:webHidden/>
              </w:rPr>
              <w:fldChar w:fldCharType="separate"/>
            </w:r>
            <w:r w:rsidR="005B759D">
              <w:rPr>
                <w:noProof/>
                <w:webHidden/>
              </w:rPr>
              <w:t>47</w:t>
            </w:r>
            <w:r w:rsidR="0071328D">
              <w:rPr>
                <w:noProof/>
                <w:webHidden/>
              </w:rPr>
              <w:fldChar w:fldCharType="end"/>
            </w:r>
          </w:hyperlink>
        </w:p>
        <w:p w:rsidR="0071328D" w:rsidRDefault="001912C9">
          <w:pPr>
            <w:pStyle w:val="TOC2"/>
            <w:tabs>
              <w:tab w:val="left" w:pos="880"/>
              <w:tab w:val="right" w:leader="dot" w:pos="9350"/>
            </w:tabs>
            <w:rPr>
              <w:noProof/>
            </w:rPr>
          </w:pPr>
          <w:hyperlink w:anchor="_Toc193802149" w:history="1">
            <w:r w:rsidR="0071328D" w:rsidRPr="00113399">
              <w:rPr>
                <w:rStyle w:val="Hyperlink"/>
                <w:rFonts w:ascii="Times New Roman" w:eastAsia="Times New Roman" w:hAnsi="Times New Roman" w:cs="Times New Roman"/>
                <w:b/>
                <w:noProof/>
              </w:rPr>
              <w:t>6.1.</w:t>
            </w:r>
            <w:r w:rsidR="0071328D">
              <w:rPr>
                <w:noProof/>
              </w:rPr>
              <w:tab/>
            </w:r>
            <w:r w:rsidR="0071328D" w:rsidRPr="00113399">
              <w:rPr>
                <w:rStyle w:val="Hyperlink"/>
                <w:rFonts w:ascii="Times New Roman" w:eastAsia="Times New Roman" w:hAnsi="Times New Roman" w:cs="Times New Roman"/>
                <w:b/>
                <w:noProof/>
              </w:rPr>
              <w:t>Artificial Intelligence (AI) Integration</w:t>
            </w:r>
            <w:r w:rsidR="0071328D">
              <w:rPr>
                <w:noProof/>
                <w:webHidden/>
              </w:rPr>
              <w:tab/>
            </w:r>
            <w:r w:rsidR="0071328D">
              <w:rPr>
                <w:noProof/>
                <w:webHidden/>
              </w:rPr>
              <w:fldChar w:fldCharType="begin"/>
            </w:r>
            <w:r w:rsidR="0071328D">
              <w:rPr>
                <w:noProof/>
                <w:webHidden/>
              </w:rPr>
              <w:instrText xml:space="preserve"> PAGEREF _Toc193802149 \h </w:instrText>
            </w:r>
            <w:r w:rsidR="0071328D">
              <w:rPr>
                <w:noProof/>
                <w:webHidden/>
              </w:rPr>
            </w:r>
            <w:r w:rsidR="0071328D">
              <w:rPr>
                <w:noProof/>
                <w:webHidden/>
              </w:rPr>
              <w:fldChar w:fldCharType="separate"/>
            </w:r>
            <w:r w:rsidR="005B759D">
              <w:rPr>
                <w:noProof/>
                <w:webHidden/>
              </w:rPr>
              <w:t>47</w:t>
            </w:r>
            <w:r w:rsidR="0071328D">
              <w:rPr>
                <w:noProof/>
                <w:webHidden/>
              </w:rPr>
              <w:fldChar w:fldCharType="end"/>
            </w:r>
          </w:hyperlink>
        </w:p>
        <w:p w:rsidR="0071328D" w:rsidRDefault="001912C9">
          <w:pPr>
            <w:pStyle w:val="TOC2"/>
            <w:tabs>
              <w:tab w:val="left" w:pos="880"/>
              <w:tab w:val="right" w:leader="dot" w:pos="9350"/>
            </w:tabs>
            <w:rPr>
              <w:noProof/>
            </w:rPr>
          </w:pPr>
          <w:hyperlink w:anchor="_Toc193802150" w:history="1">
            <w:r w:rsidR="0071328D" w:rsidRPr="00113399">
              <w:rPr>
                <w:rStyle w:val="Hyperlink"/>
                <w:rFonts w:ascii="Times New Roman" w:eastAsia="Times New Roman" w:hAnsi="Times New Roman" w:cs="Times New Roman"/>
                <w:noProof/>
              </w:rPr>
              <w:t>6.2.</w:t>
            </w:r>
            <w:r w:rsidR="0071328D">
              <w:rPr>
                <w:noProof/>
              </w:rPr>
              <w:tab/>
            </w:r>
            <w:r w:rsidR="0071328D" w:rsidRPr="00113399">
              <w:rPr>
                <w:rStyle w:val="Hyperlink"/>
                <w:rFonts w:ascii="Times New Roman" w:eastAsia="Times New Roman" w:hAnsi="Times New Roman" w:cs="Times New Roman"/>
                <w:b/>
                <w:bCs/>
                <w:noProof/>
              </w:rPr>
              <w:t>Combining proteomics, transcriptomics, and metabolomics with host biomarker data</w:t>
            </w:r>
            <w:r w:rsidR="0071328D">
              <w:rPr>
                <w:noProof/>
                <w:webHidden/>
              </w:rPr>
              <w:tab/>
            </w:r>
            <w:r w:rsidR="0071328D">
              <w:rPr>
                <w:noProof/>
                <w:webHidden/>
              </w:rPr>
              <w:fldChar w:fldCharType="begin"/>
            </w:r>
            <w:r w:rsidR="0071328D">
              <w:rPr>
                <w:noProof/>
                <w:webHidden/>
              </w:rPr>
              <w:instrText xml:space="preserve"> PAGEREF _Toc193802150 \h </w:instrText>
            </w:r>
            <w:r w:rsidR="0071328D">
              <w:rPr>
                <w:noProof/>
                <w:webHidden/>
              </w:rPr>
            </w:r>
            <w:r w:rsidR="0071328D">
              <w:rPr>
                <w:noProof/>
                <w:webHidden/>
              </w:rPr>
              <w:fldChar w:fldCharType="separate"/>
            </w:r>
            <w:r w:rsidR="005B759D">
              <w:rPr>
                <w:noProof/>
                <w:webHidden/>
              </w:rPr>
              <w:t>48</w:t>
            </w:r>
            <w:r w:rsidR="0071328D">
              <w:rPr>
                <w:noProof/>
                <w:webHidden/>
              </w:rPr>
              <w:fldChar w:fldCharType="end"/>
            </w:r>
          </w:hyperlink>
        </w:p>
        <w:p w:rsidR="0071328D" w:rsidRDefault="001912C9">
          <w:pPr>
            <w:pStyle w:val="TOC1"/>
            <w:tabs>
              <w:tab w:val="left" w:pos="440"/>
              <w:tab w:val="right" w:leader="dot" w:pos="9350"/>
            </w:tabs>
            <w:rPr>
              <w:noProof/>
            </w:rPr>
          </w:pPr>
          <w:hyperlink w:anchor="_Toc193802151" w:history="1">
            <w:r w:rsidR="0071328D" w:rsidRPr="00113399">
              <w:rPr>
                <w:rStyle w:val="Hyperlink"/>
                <w:rFonts w:ascii="Times New Roman" w:hAnsi="Times New Roman" w:cs="Times New Roman"/>
                <w:b/>
                <w:noProof/>
              </w:rPr>
              <w:t>7.</w:t>
            </w:r>
            <w:r w:rsidR="0071328D">
              <w:rPr>
                <w:noProof/>
              </w:rPr>
              <w:tab/>
            </w:r>
            <w:r w:rsidR="0071328D" w:rsidRPr="00113399">
              <w:rPr>
                <w:rStyle w:val="Hyperlink"/>
                <w:rFonts w:ascii="Times New Roman" w:hAnsi="Times New Roman" w:cs="Times New Roman"/>
                <w:b/>
                <w:noProof/>
              </w:rPr>
              <w:t>Advantages and Limitations</w:t>
            </w:r>
            <w:r w:rsidR="0071328D">
              <w:rPr>
                <w:noProof/>
                <w:webHidden/>
              </w:rPr>
              <w:tab/>
            </w:r>
            <w:r w:rsidR="0071328D">
              <w:rPr>
                <w:noProof/>
                <w:webHidden/>
              </w:rPr>
              <w:fldChar w:fldCharType="begin"/>
            </w:r>
            <w:r w:rsidR="0071328D">
              <w:rPr>
                <w:noProof/>
                <w:webHidden/>
              </w:rPr>
              <w:instrText xml:space="preserve"> PAGEREF _Toc193802151 \h </w:instrText>
            </w:r>
            <w:r w:rsidR="0071328D">
              <w:rPr>
                <w:noProof/>
                <w:webHidden/>
              </w:rPr>
            </w:r>
            <w:r w:rsidR="0071328D">
              <w:rPr>
                <w:noProof/>
                <w:webHidden/>
              </w:rPr>
              <w:fldChar w:fldCharType="separate"/>
            </w:r>
            <w:r w:rsidR="005B759D">
              <w:rPr>
                <w:noProof/>
                <w:webHidden/>
              </w:rPr>
              <w:t>48</w:t>
            </w:r>
            <w:r w:rsidR="0071328D">
              <w:rPr>
                <w:noProof/>
                <w:webHidden/>
              </w:rPr>
              <w:fldChar w:fldCharType="end"/>
            </w:r>
          </w:hyperlink>
        </w:p>
        <w:p w:rsidR="0071328D" w:rsidRDefault="001912C9">
          <w:pPr>
            <w:pStyle w:val="TOC2"/>
            <w:tabs>
              <w:tab w:val="left" w:pos="880"/>
              <w:tab w:val="right" w:leader="dot" w:pos="9350"/>
            </w:tabs>
            <w:rPr>
              <w:noProof/>
            </w:rPr>
          </w:pPr>
          <w:hyperlink w:anchor="_Toc193802152" w:history="1">
            <w:r w:rsidR="0071328D" w:rsidRPr="00113399">
              <w:rPr>
                <w:rStyle w:val="Hyperlink"/>
                <w:rFonts w:ascii="Times New Roman" w:hAnsi="Times New Roman" w:cs="Times New Roman"/>
                <w:b/>
                <w:noProof/>
              </w:rPr>
              <w:t>7.1.</w:t>
            </w:r>
            <w:r w:rsidR="0071328D">
              <w:rPr>
                <w:noProof/>
              </w:rPr>
              <w:tab/>
            </w:r>
            <w:r w:rsidR="0071328D" w:rsidRPr="00113399">
              <w:rPr>
                <w:rStyle w:val="Hyperlink"/>
                <w:rFonts w:ascii="Times New Roman" w:hAnsi="Times New Roman" w:cs="Times New Roman"/>
                <w:b/>
                <w:noProof/>
              </w:rPr>
              <w:t>Advantages</w:t>
            </w:r>
            <w:r w:rsidR="0071328D">
              <w:rPr>
                <w:noProof/>
                <w:webHidden/>
              </w:rPr>
              <w:tab/>
            </w:r>
            <w:r w:rsidR="0071328D">
              <w:rPr>
                <w:noProof/>
                <w:webHidden/>
              </w:rPr>
              <w:fldChar w:fldCharType="begin"/>
            </w:r>
            <w:r w:rsidR="0071328D">
              <w:rPr>
                <w:noProof/>
                <w:webHidden/>
              </w:rPr>
              <w:instrText xml:space="preserve"> PAGEREF _Toc193802152 \h </w:instrText>
            </w:r>
            <w:r w:rsidR="0071328D">
              <w:rPr>
                <w:noProof/>
                <w:webHidden/>
              </w:rPr>
            </w:r>
            <w:r w:rsidR="0071328D">
              <w:rPr>
                <w:noProof/>
                <w:webHidden/>
              </w:rPr>
              <w:fldChar w:fldCharType="separate"/>
            </w:r>
            <w:r w:rsidR="005B759D">
              <w:rPr>
                <w:noProof/>
                <w:webHidden/>
              </w:rPr>
              <w:t>48</w:t>
            </w:r>
            <w:r w:rsidR="0071328D">
              <w:rPr>
                <w:noProof/>
                <w:webHidden/>
              </w:rPr>
              <w:fldChar w:fldCharType="end"/>
            </w:r>
          </w:hyperlink>
        </w:p>
        <w:p w:rsidR="0071328D" w:rsidRDefault="001912C9">
          <w:pPr>
            <w:pStyle w:val="TOC2"/>
            <w:tabs>
              <w:tab w:val="left" w:pos="880"/>
              <w:tab w:val="right" w:leader="dot" w:pos="9350"/>
            </w:tabs>
            <w:rPr>
              <w:noProof/>
            </w:rPr>
          </w:pPr>
          <w:hyperlink w:anchor="_Toc193802153" w:history="1">
            <w:r w:rsidR="0071328D" w:rsidRPr="00113399">
              <w:rPr>
                <w:rStyle w:val="Hyperlink"/>
                <w:rFonts w:ascii="Times New Roman" w:hAnsi="Times New Roman" w:cs="Times New Roman"/>
                <w:b/>
                <w:noProof/>
              </w:rPr>
              <w:t>7.2.</w:t>
            </w:r>
            <w:r w:rsidR="0071328D">
              <w:rPr>
                <w:noProof/>
              </w:rPr>
              <w:tab/>
            </w:r>
            <w:r w:rsidR="0071328D" w:rsidRPr="00113399">
              <w:rPr>
                <w:rStyle w:val="Hyperlink"/>
                <w:rFonts w:ascii="Times New Roman" w:hAnsi="Times New Roman" w:cs="Times New Roman"/>
                <w:b/>
                <w:noProof/>
              </w:rPr>
              <w:t>Limitation</w:t>
            </w:r>
            <w:r w:rsidR="0071328D">
              <w:rPr>
                <w:noProof/>
                <w:webHidden/>
              </w:rPr>
              <w:tab/>
            </w:r>
            <w:r w:rsidR="0071328D">
              <w:rPr>
                <w:noProof/>
                <w:webHidden/>
              </w:rPr>
              <w:fldChar w:fldCharType="begin"/>
            </w:r>
            <w:r w:rsidR="0071328D">
              <w:rPr>
                <w:noProof/>
                <w:webHidden/>
              </w:rPr>
              <w:instrText xml:space="preserve"> PAGEREF _Toc193802153 \h </w:instrText>
            </w:r>
            <w:r w:rsidR="0071328D">
              <w:rPr>
                <w:noProof/>
                <w:webHidden/>
              </w:rPr>
            </w:r>
            <w:r w:rsidR="0071328D">
              <w:rPr>
                <w:noProof/>
                <w:webHidden/>
              </w:rPr>
              <w:fldChar w:fldCharType="separate"/>
            </w:r>
            <w:r w:rsidR="005B759D">
              <w:rPr>
                <w:noProof/>
                <w:webHidden/>
              </w:rPr>
              <w:t>49</w:t>
            </w:r>
            <w:r w:rsidR="0071328D">
              <w:rPr>
                <w:noProof/>
                <w:webHidden/>
              </w:rPr>
              <w:fldChar w:fldCharType="end"/>
            </w:r>
          </w:hyperlink>
        </w:p>
        <w:p w:rsidR="00C34909" w:rsidRDefault="00C34909">
          <w:r>
            <w:rPr>
              <w:b/>
              <w:bCs/>
              <w:noProof/>
            </w:rPr>
            <w:fldChar w:fldCharType="end"/>
          </w:r>
        </w:p>
      </w:sdtContent>
    </w:sdt>
    <w:p w:rsidR="0056738C" w:rsidRDefault="0056738C" w:rsidP="00F861EB">
      <w:pPr>
        <w:spacing w:line="276" w:lineRule="auto"/>
        <w:rPr>
          <w:rFonts w:ascii="Times New Roman" w:hAnsi="Times New Roman" w:cs="Times New Roman"/>
          <w:b/>
          <w:sz w:val="24"/>
          <w:szCs w:val="24"/>
        </w:rPr>
      </w:pPr>
    </w:p>
    <w:p w:rsidR="0056738C" w:rsidRDefault="0056738C" w:rsidP="00F861EB">
      <w:pPr>
        <w:spacing w:line="276" w:lineRule="auto"/>
        <w:rPr>
          <w:rFonts w:ascii="Times New Roman" w:hAnsi="Times New Roman" w:cs="Times New Roman"/>
          <w:b/>
          <w:sz w:val="24"/>
          <w:szCs w:val="24"/>
        </w:rPr>
      </w:pPr>
    </w:p>
    <w:p w:rsidR="0056738C" w:rsidRDefault="0056738C" w:rsidP="00F861EB">
      <w:pPr>
        <w:spacing w:line="276" w:lineRule="auto"/>
        <w:rPr>
          <w:rFonts w:ascii="Times New Roman" w:hAnsi="Times New Roman" w:cs="Times New Roman"/>
          <w:b/>
          <w:sz w:val="24"/>
          <w:szCs w:val="24"/>
        </w:rPr>
      </w:pPr>
    </w:p>
    <w:p w:rsidR="0056738C" w:rsidRDefault="0056738C" w:rsidP="00F861EB">
      <w:pPr>
        <w:spacing w:line="276" w:lineRule="auto"/>
        <w:rPr>
          <w:rFonts w:ascii="Times New Roman" w:hAnsi="Times New Roman" w:cs="Times New Roman"/>
          <w:b/>
          <w:sz w:val="24"/>
          <w:szCs w:val="24"/>
        </w:rPr>
      </w:pPr>
    </w:p>
    <w:p w:rsidR="0056738C" w:rsidRDefault="0056738C" w:rsidP="00F861EB">
      <w:pPr>
        <w:spacing w:line="276" w:lineRule="auto"/>
        <w:rPr>
          <w:rFonts w:ascii="Times New Roman" w:hAnsi="Times New Roman" w:cs="Times New Roman"/>
          <w:b/>
          <w:sz w:val="24"/>
          <w:szCs w:val="24"/>
        </w:rPr>
      </w:pPr>
    </w:p>
    <w:p w:rsidR="0056738C" w:rsidRDefault="0056738C" w:rsidP="00F861EB">
      <w:pPr>
        <w:spacing w:line="276" w:lineRule="auto"/>
        <w:rPr>
          <w:rFonts w:ascii="Times New Roman" w:hAnsi="Times New Roman" w:cs="Times New Roman"/>
          <w:b/>
          <w:sz w:val="24"/>
          <w:szCs w:val="24"/>
        </w:rPr>
      </w:pPr>
    </w:p>
    <w:p w:rsidR="0056738C" w:rsidRDefault="0056738C" w:rsidP="00F861EB">
      <w:pPr>
        <w:spacing w:line="276" w:lineRule="auto"/>
        <w:rPr>
          <w:rFonts w:ascii="Times New Roman" w:hAnsi="Times New Roman" w:cs="Times New Roman"/>
          <w:b/>
          <w:sz w:val="24"/>
          <w:szCs w:val="24"/>
        </w:rPr>
      </w:pPr>
    </w:p>
    <w:p w:rsidR="0056738C" w:rsidRDefault="0056738C" w:rsidP="00F861EB">
      <w:pPr>
        <w:spacing w:line="276" w:lineRule="auto"/>
        <w:rPr>
          <w:rFonts w:ascii="Times New Roman" w:hAnsi="Times New Roman" w:cs="Times New Roman"/>
          <w:b/>
          <w:sz w:val="24"/>
          <w:szCs w:val="24"/>
        </w:rPr>
      </w:pPr>
    </w:p>
    <w:p w:rsidR="0056738C" w:rsidRDefault="0056738C" w:rsidP="00F861EB">
      <w:pPr>
        <w:spacing w:line="276" w:lineRule="auto"/>
        <w:rPr>
          <w:rFonts w:ascii="Times New Roman" w:hAnsi="Times New Roman" w:cs="Times New Roman"/>
          <w:b/>
          <w:sz w:val="24"/>
          <w:szCs w:val="24"/>
        </w:rPr>
      </w:pPr>
    </w:p>
    <w:p w:rsidR="0056738C" w:rsidRDefault="0056738C" w:rsidP="00F861EB">
      <w:pPr>
        <w:spacing w:line="276" w:lineRule="auto"/>
        <w:rPr>
          <w:rFonts w:ascii="Times New Roman" w:hAnsi="Times New Roman" w:cs="Times New Roman"/>
          <w:b/>
          <w:sz w:val="24"/>
          <w:szCs w:val="24"/>
        </w:rPr>
      </w:pPr>
    </w:p>
    <w:p w:rsidR="0056738C" w:rsidRDefault="0056738C" w:rsidP="00F861EB">
      <w:pPr>
        <w:spacing w:line="276" w:lineRule="auto"/>
        <w:rPr>
          <w:rFonts w:ascii="Times New Roman" w:hAnsi="Times New Roman" w:cs="Times New Roman"/>
          <w:b/>
          <w:sz w:val="24"/>
          <w:szCs w:val="24"/>
        </w:rPr>
      </w:pPr>
    </w:p>
    <w:p w:rsidR="0056738C" w:rsidRDefault="0056738C" w:rsidP="00F861EB">
      <w:pPr>
        <w:spacing w:line="276" w:lineRule="auto"/>
        <w:rPr>
          <w:rFonts w:ascii="Times New Roman" w:hAnsi="Times New Roman" w:cs="Times New Roman"/>
          <w:b/>
          <w:sz w:val="24"/>
          <w:szCs w:val="24"/>
        </w:rPr>
      </w:pPr>
    </w:p>
    <w:p w:rsidR="0056738C" w:rsidRDefault="0056738C" w:rsidP="00F861EB">
      <w:pPr>
        <w:spacing w:line="276" w:lineRule="auto"/>
        <w:rPr>
          <w:rFonts w:ascii="Times New Roman" w:hAnsi="Times New Roman" w:cs="Times New Roman"/>
          <w:b/>
          <w:sz w:val="24"/>
          <w:szCs w:val="24"/>
        </w:rPr>
      </w:pPr>
    </w:p>
    <w:p w:rsidR="0056738C" w:rsidRDefault="0056738C" w:rsidP="00F861EB">
      <w:pPr>
        <w:spacing w:line="276" w:lineRule="auto"/>
        <w:rPr>
          <w:rFonts w:ascii="Times New Roman" w:hAnsi="Times New Roman" w:cs="Times New Roman"/>
          <w:b/>
          <w:sz w:val="24"/>
          <w:szCs w:val="24"/>
        </w:rPr>
      </w:pPr>
    </w:p>
    <w:p w:rsidR="0056738C" w:rsidRDefault="0056738C" w:rsidP="00F861EB">
      <w:pPr>
        <w:spacing w:line="276" w:lineRule="auto"/>
        <w:rPr>
          <w:rFonts w:ascii="Times New Roman" w:hAnsi="Times New Roman" w:cs="Times New Roman"/>
          <w:b/>
          <w:sz w:val="24"/>
          <w:szCs w:val="24"/>
        </w:rPr>
      </w:pPr>
    </w:p>
    <w:p w:rsidR="00742018" w:rsidRDefault="00742018" w:rsidP="00F861EB">
      <w:pPr>
        <w:spacing w:line="276" w:lineRule="auto"/>
        <w:rPr>
          <w:rFonts w:ascii="Times New Roman" w:hAnsi="Times New Roman" w:cs="Times New Roman"/>
          <w:b/>
          <w:sz w:val="24"/>
          <w:szCs w:val="24"/>
        </w:rPr>
      </w:pPr>
    </w:p>
    <w:p w:rsidR="00683C51" w:rsidRPr="00FF046B" w:rsidRDefault="001B29D5" w:rsidP="00FF046B">
      <w:pPr>
        <w:pStyle w:val="Heading1"/>
        <w:rPr>
          <w:rFonts w:ascii="Times New Roman" w:hAnsi="Times New Roman" w:cs="Times New Roman"/>
          <w:b/>
          <w:color w:val="auto"/>
          <w:sz w:val="28"/>
        </w:rPr>
      </w:pPr>
      <w:bookmarkStart w:id="0" w:name="_Toc193802111"/>
      <w:r w:rsidRPr="00FF046B">
        <w:rPr>
          <w:rFonts w:ascii="Times New Roman" w:hAnsi="Times New Roman" w:cs="Times New Roman"/>
          <w:b/>
          <w:color w:val="auto"/>
          <w:sz w:val="28"/>
        </w:rPr>
        <w:lastRenderedPageBreak/>
        <w:t>Abstract</w:t>
      </w:r>
      <w:bookmarkEnd w:id="0"/>
    </w:p>
    <w:p w:rsidR="001137F0" w:rsidRPr="00454CC3" w:rsidRDefault="001137F0" w:rsidP="001137F0">
      <w:pPr>
        <w:spacing w:line="276" w:lineRule="auto"/>
        <w:jc w:val="both"/>
        <w:rPr>
          <w:rFonts w:ascii="Times New Roman" w:hAnsi="Times New Roman" w:cs="Times New Roman"/>
          <w:sz w:val="24"/>
          <w:szCs w:val="24"/>
        </w:rPr>
      </w:pPr>
      <w:r w:rsidRPr="00DA70CF">
        <w:rPr>
          <w:rFonts w:ascii="Times New Roman" w:hAnsi="Times New Roman" w:cs="Times New Roman"/>
          <w:sz w:val="24"/>
          <w:szCs w:val="24"/>
        </w:rPr>
        <w:t xml:space="preserve">Host biomarkers have been useful for the diagnosis of disease for many decades. </w:t>
      </w:r>
      <w:r w:rsidRPr="00DA70CF">
        <w:rPr>
          <w:rStyle w:val="match"/>
          <w:rFonts w:ascii="Times New Roman" w:hAnsi="Times New Roman" w:cs="Times New Roman"/>
          <w:sz w:val="24"/>
          <w:szCs w:val="24"/>
        </w:rPr>
        <w:t xml:space="preserve">Host biomarker-based diagnostics </w:t>
      </w:r>
      <w:r>
        <w:rPr>
          <w:rStyle w:val="match"/>
          <w:rFonts w:ascii="Times New Roman" w:hAnsi="Times New Roman" w:cs="Times New Roman"/>
          <w:sz w:val="24"/>
          <w:szCs w:val="24"/>
        </w:rPr>
        <w:t>identify</w:t>
      </w:r>
      <w:r w:rsidRPr="00DA70CF">
        <w:rPr>
          <w:rStyle w:val="match"/>
          <w:rFonts w:ascii="Times New Roman" w:hAnsi="Times New Roman" w:cs="Times New Roman"/>
          <w:sz w:val="24"/>
          <w:szCs w:val="24"/>
        </w:rPr>
        <w:t xml:space="preserve"> particular biological markers in a patient's body</w:t>
      </w:r>
      <w:r>
        <w:rPr>
          <w:rStyle w:val="match"/>
          <w:rFonts w:ascii="Times New Roman" w:hAnsi="Times New Roman" w:cs="Times New Roman"/>
          <w:sz w:val="24"/>
          <w:szCs w:val="24"/>
        </w:rPr>
        <w:t xml:space="preserve">, </w:t>
      </w:r>
      <w:r w:rsidRPr="00DA70CF">
        <w:rPr>
          <w:rStyle w:val="match"/>
          <w:rFonts w:ascii="Times New Roman" w:hAnsi="Times New Roman" w:cs="Times New Roman"/>
          <w:sz w:val="24"/>
          <w:szCs w:val="24"/>
        </w:rPr>
        <w:t>such as proteins, metabolites, or nucleic acids</w:t>
      </w:r>
      <w:r w:rsidR="004F7308">
        <w:rPr>
          <w:rStyle w:val="match"/>
          <w:rFonts w:ascii="Times New Roman" w:hAnsi="Times New Roman" w:cs="Times New Roman"/>
          <w:sz w:val="24"/>
          <w:szCs w:val="24"/>
        </w:rPr>
        <w:t xml:space="preserve"> </w:t>
      </w:r>
      <w:r w:rsidRPr="00DA70CF">
        <w:rPr>
          <w:rStyle w:val="match"/>
          <w:rFonts w:ascii="Times New Roman" w:hAnsi="Times New Roman" w:cs="Times New Roman"/>
          <w:sz w:val="24"/>
          <w:szCs w:val="24"/>
        </w:rPr>
        <w:t xml:space="preserve">that signify the existence, intensity, or kind of disease. </w:t>
      </w:r>
      <w:r w:rsidRPr="00DA70CF">
        <w:rPr>
          <w:rFonts w:ascii="Times New Roman" w:hAnsi="Times New Roman" w:cs="Times New Roman"/>
          <w:sz w:val="24"/>
          <w:szCs w:val="24"/>
        </w:rPr>
        <w:t xml:space="preserve">Clinical diagnosis </w:t>
      </w:r>
      <w:r>
        <w:rPr>
          <w:rFonts w:ascii="Times New Roman" w:hAnsi="Times New Roman" w:cs="Times New Roman"/>
          <w:bCs/>
          <w:sz w:val="24"/>
          <w:szCs w:val="24"/>
        </w:rPr>
        <w:t>depends significantly on</w:t>
      </w:r>
      <w:r w:rsidRPr="00DA70CF">
        <w:rPr>
          <w:rFonts w:ascii="Times New Roman" w:hAnsi="Times New Roman" w:cs="Times New Roman"/>
          <w:sz w:val="24"/>
          <w:szCs w:val="24"/>
        </w:rPr>
        <w:t xml:space="preserve"> </w:t>
      </w:r>
      <w:r w:rsidRPr="00DA70CF">
        <w:rPr>
          <w:rFonts w:ascii="Times New Roman" w:hAnsi="Times New Roman" w:cs="Times New Roman"/>
          <w:bCs/>
          <w:sz w:val="24"/>
          <w:szCs w:val="24"/>
        </w:rPr>
        <w:t xml:space="preserve">classifying </w:t>
      </w:r>
      <w:r w:rsidRPr="00DA70CF">
        <w:rPr>
          <w:rFonts w:ascii="Times New Roman" w:hAnsi="Times New Roman" w:cs="Times New Roman"/>
          <w:sz w:val="24"/>
          <w:szCs w:val="24"/>
        </w:rPr>
        <w:t xml:space="preserve">patient </w:t>
      </w:r>
      <w:r w:rsidRPr="00DA70CF">
        <w:rPr>
          <w:rFonts w:ascii="Times New Roman" w:hAnsi="Times New Roman" w:cs="Times New Roman"/>
          <w:bCs/>
          <w:sz w:val="24"/>
          <w:szCs w:val="24"/>
        </w:rPr>
        <w:t>diseases</w:t>
      </w:r>
      <w:r w:rsidRPr="00DA70CF">
        <w:rPr>
          <w:rFonts w:ascii="Times New Roman" w:hAnsi="Times New Roman" w:cs="Times New Roman"/>
          <w:sz w:val="24"/>
          <w:szCs w:val="24"/>
        </w:rPr>
        <w:t xml:space="preserve">, </w:t>
      </w:r>
      <w:r w:rsidRPr="00DA70CF">
        <w:rPr>
          <w:rFonts w:ascii="Times New Roman" w:hAnsi="Times New Roman" w:cs="Times New Roman"/>
          <w:bCs/>
          <w:sz w:val="24"/>
          <w:szCs w:val="24"/>
        </w:rPr>
        <w:t>managing cases</w:t>
      </w:r>
      <w:r w:rsidRPr="00DA70CF">
        <w:rPr>
          <w:rFonts w:ascii="Times New Roman" w:hAnsi="Times New Roman" w:cs="Times New Roman"/>
          <w:sz w:val="24"/>
          <w:szCs w:val="24"/>
        </w:rPr>
        <w:t xml:space="preserve">, and </w:t>
      </w:r>
      <w:r w:rsidRPr="00DA70CF">
        <w:rPr>
          <w:rFonts w:ascii="Times New Roman" w:hAnsi="Times New Roman" w:cs="Times New Roman"/>
          <w:bCs/>
          <w:sz w:val="24"/>
          <w:szCs w:val="24"/>
        </w:rPr>
        <w:t>guiding</w:t>
      </w:r>
      <w:r w:rsidRPr="00DA70CF">
        <w:rPr>
          <w:rFonts w:ascii="Times New Roman" w:hAnsi="Times New Roman" w:cs="Times New Roman"/>
          <w:sz w:val="24"/>
          <w:szCs w:val="24"/>
        </w:rPr>
        <w:t xml:space="preserve"> treatment and care </w:t>
      </w:r>
      <w:r w:rsidRPr="00DA70CF">
        <w:rPr>
          <w:rFonts w:ascii="Times New Roman" w:hAnsi="Times New Roman" w:cs="Times New Roman"/>
          <w:bCs/>
          <w:sz w:val="24"/>
          <w:szCs w:val="24"/>
        </w:rPr>
        <w:t>plans</w:t>
      </w:r>
      <w:r w:rsidRPr="00DA70CF">
        <w:rPr>
          <w:rFonts w:ascii="Times New Roman" w:hAnsi="Times New Roman" w:cs="Times New Roman"/>
          <w:sz w:val="24"/>
          <w:szCs w:val="24"/>
        </w:rPr>
        <w:t xml:space="preserve">. </w:t>
      </w:r>
      <w:r w:rsidRPr="00DA70CF">
        <w:rPr>
          <w:rFonts w:ascii="Times New Roman" w:hAnsi="Times New Roman" w:cs="Times New Roman"/>
          <w:bCs/>
          <w:sz w:val="24"/>
          <w:szCs w:val="24"/>
        </w:rPr>
        <w:t>Therefore,</w:t>
      </w:r>
      <w:r w:rsidRPr="00DA70CF">
        <w:rPr>
          <w:rFonts w:ascii="Times New Roman" w:hAnsi="Times New Roman" w:cs="Times New Roman"/>
          <w:sz w:val="24"/>
          <w:szCs w:val="24"/>
        </w:rPr>
        <w:t xml:space="preserve"> there is always a </w:t>
      </w:r>
      <w:r w:rsidRPr="00DA70CF">
        <w:rPr>
          <w:rFonts w:ascii="Times New Roman" w:hAnsi="Times New Roman" w:cs="Times New Roman"/>
          <w:bCs/>
          <w:sz w:val="24"/>
          <w:szCs w:val="24"/>
        </w:rPr>
        <w:t>requirement</w:t>
      </w:r>
      <w:r w:rsidRPr="00DA70CF">
        <w:rPr>
          <w:rFonts w:ascii="Times New Roman" w:hAnsi="Times New Roman" w:cs="Times New Roman"/>
          <w:sz w:val="24"/>
          <w:szCs w:val="24"/>
        </w:rPr>
        <w:t xml:space="preserve"> </w:t>
      </w:r>
      <w:r w:rsidRPr="00DA70CF">
        <w:rPr>
          <w:rFonts w:ascii="Times New Roman" w:hAnsi="Times New Roman" w:cs="Times New Roman"/>
          <w:bCs/>
          <w:sz w:val="24"/>
          <w:szCs w:val="24"/>
        </w:rPr>
        <w:t>for</w:t>
      </w:r>
      <w:r w:rsidRPr="00DA70CF">
        <w:rPr>
          <w:rFonts w:ascii="Times New Roman" w:hAnsi="Times New Roman" w:cs="Times New Roman"/>
          <w:sz w:val="24"/>
          <w:szCs w:val="24"/>
        </w:rPr>
        <w:t xml:space="preserve"> rapid and point</w:t>
      </w:r>
      <w:r w:rsidRPr="00DA70CF">
        <w:rPr>
          <w:rFonts w:ascii="Times New Roman" w:hAnsi="Times New Roman" w:cs="Times New Roman"/>
          <w:bCs/>
          <w:sz w:val="24"/>
          <w:szCs w:val="24"/>
        </w:rPr>
        <w:t>-</w:t>
      </w:r>
      <w:r w:rsidRPr="00DA70CF">
        <w:rPr>
          <w:rFonts w:ascii="Times New Roman" w:hAnsi="Times New Roman" w:cs="Times New Roman"/>
          <w:sz w:val="24"/>
          <w:szCs w:val="24"/>
        </w:rPr>
        <w:t>of</w:t>
      </w:r>
      <w:r w:rsidRPr="00DA70CF">
        <w:rPr>
          <w:rFonts w:ascii="Times New Roman" w:hAnsi="Times New Roman" w:cs="Times New Roman"/>
          <w:bCs/>
          <w:sz w:val="24"/>
          <w:szCs w:val="24"/>
        </w:rPr>
        <w:t>-</w:t>
      </w:r>
      <w:r w:rsidRPr="00DA70CF">
        <w:rPr>
          <w:rFonts w:ascii="Times New Roman" w:hAnsi="Times New Roman" w:cs="Times New Roman"/>
          <w:sz w:val="24"/>
          <w:szCs w:val="24"/>
        </w:rPr>
        <w:t xml:space="preserve">care </w:t>
      </w:r>
      <w:r w:rsidRPr="00DA70CF">
        <w:rPr>
          <w:rFonts w:ascii="Times New Roman" w:hAnsi="Times New Roman" w:cs="Times New Roman"/>
          <w:bCs/>
          <w:sz w:val="24"/>
          <w:szCs w:val="24"/>
        </w:rPr>
        <w:t>testing</w:t>
      </w:r>
      <w:r w:rsidRPr="00DA70CF">
        <w:rPr>
          <w:rFonts w:ascii="Times New Roman" w:hAnsi="Times New Roman" w:cs="Times New Roman"/>
          <w:sz w:val="24"/>
          <w:szCs w:val="24"/>
        </w:rPr>
        <w:t xml:space="preserve">. These biomarkers can </w:t>
      </w:r>
      <w:r w:rsidRPr="00DA70CF">
        <w:rPr>
          <w:rFonts w:ascii="Times New Roman" w:hAnsi="Times New Roman" w:cs="Times New Roman"/>
          <w:bCs/>
          <w:sz w:val="24"/>
          <w:szCs w:val="24"/>
        </w:rPr>
        <w:t>assist</w:t>
      </w:r>
      <w:r w:rsidRPr="00DA70CF">
        <w:rPr>
          <w:rFonts w:ascii="Times New Roman" w:hAnsi="Times New Roman" w:cs="Times New Roman"/>
          <w:sz w:val="24"/>
          <w:szCs w:val="24"/>
        </w:rPr>
        <w:t xml:space="preserve"> </w:t>
      </w:r>
      <w:r w:rsidRPr="00DA70CF">
        <w:rPr>
          <w:rFonts w:ascii="Times New Roman" w:hAnsi="Times New Roman" w:cs="Times New Roman"/>
          <w:bCs/>
          <w:sz w:val="24"/>
          <w:szCs w:val="24"/>
        </w:rPr>
        <w:t>in</w:t>
      </w:r>
      <w:r w:rsidRPr="00DA70CF">
        <w:rPr>
          <w:rFonts w:ascii="Times New Roman" w:hAnsi="Times New Roman" w:cs="Times New Roman"/>
          <w:sz w:val="24"/>
          <w:szCs w:val="24"/>
        </w:rPr>
        <w:t xml:space="preserve"> </w:t>
      </w:r>
      <w:r w:rsidR="0078137D">
        <w:rPr>
          <w:rFonts w:ascii="Times New Roman" w:hAnsi="Times New Roman" w:cs="Times New Roman"/>
          <w:sz w:val="24"/>
          <w:szCs w:val="24"/>
        </w:rPr>
        <w:t xml:space="preserve">the </w:t>
      </w:r>
      <w:r w:rsidR="007E5D96">
        <w:rPr>
          <w:rFonts w:ascii="Times New Roman" w:hAnsi="Times New Roman" w:cs="Times New Roman"/>
          <w:sz w:val="24"/>
          <w:szCs w:val="24"/>
        </w:rPr>
        <w:t>differentiation of</w:t>
      </w:r>
      <w:r w:rsidR="007E5D96">
        <w:rPr>
          <w:rFonts w:ascii="Times New Roman" w:hAnsi="Times New Roman" w:cs="Times New Roman"/>
          <w:bCs/>
          <w:sz w:val="24"/>
          <w:szCs w:val="24"/>
        </w:rPr>
        <w:t xml:space="preserve"> infection amongst </w:t>
      </w:r>
      <w:r w:rsidR="0078137D">
        <w:rPr>
          <w:rFonts w:ascii="Times New Roman" w:hAnsi="Times New Roman" w:cs="Times New Roman"/>
          <w:bCs/>
          <w:sz w:val="24"/>
          <w:szCs w:val="24"/>
        </w:rPr>
        <w:t>pathogens</w:t>
      </w:r>
      <w:r w:rsidR="007E5D96">
        <w:rPr>
          <w:rFonts w:ascii="Times New Roman" w:hAnsi="Times New Roman" w:cs="Times New Roman"/>
          <w:bCs/>
          <w:sz w:val="24"/>
          <w:szCs w:val="24"/>
        </w:rPr>
        <w:t>, such as bacteria and</w:t>
      </w:r>
      <w:r w:rsidRPr="00DA70CF">
        <w:rPr>
          <w:rFonts w:ascii="Times New Roman" w:hAnsi="Times New Roman" w:cs="Times New Roman"/>
          <w:sz w:val="24"/>
          <w:szCs w:val="24"/>
        </w:rPr>
        <w:t xml:space="preserve"> </w:t>
      </w:r>
      <w:r w:rsidR="007E5D96">
        <w:rPr>
          <w:rFonts w:ascii="Times New Roman" w:hAnsi="Times New Roman" w:cs="Times New Roman"/>
          <w:sz w:val="24"/>
          <w:szCs w:val="24"/>
        </w:rPr>
        <w:t>viruses</w:t>
      </w:r>
      <w:r w:rsidRPr="00DA70CF">
        <w:rPr>
          <w:rFonts w:ascii="Times New Roman" w:hAnsi="Times New Roman" w:cs="Times New Roman"/>
          <w:sz w:val="24"/>
          <w:szCs w:val="24"/>
        </w:rPr>
        <w:t xml:space="preserve">, </w:t>
      </w:r>
      <w:r w:rsidRPr="00DA70CF">
        <w:rPr>
          <w:rFonts w:ascii="Times New Roman" w:hAnsi="Times New Roman" w:cs="Times New Roman"/>
          <w:bCs/>
          <w:sz w:val="24"/>
          <w:szCs w:val="24"/>
        </w:rPr>
        <w:t>tracking</w:t>
      </w:r>
      <w:r w:rsidRPr="00DA70CF">
        <w:rPr>
          <w:rFonts w:ascii="Times New Roman" w:hAnsi="Times New Roman" w:cs="Times New Roman"/>
          <w:sz w:val="24"/>
          <w:szCs w:val="24"/>
        </w:rPr>
        <w:t xml:space="preserve"> disease </w:t>
      </w:r>
      <w:r w:rsidRPr="00DA70CF">
        <w:rPr>
          <w:rFonts w:ascii="Times New Roman" w:hAnsi="Times New Roman" w:cs="Times New Roman"/>
          <w:bCs/>
          <w:sz w:val="24"/>
          <w:szCs w:val="24"/>
        </w:rPr>
        <w:t>advancement</w:t>
      </w:r>
      <w:r w:rsidRPr="00DA70CF">
        <w:rPr>
          <w:rFonts w:ascii="Times New Roman" w:hAnsi="Times New Roman" w:cs="Times New Roman"/>
          <w:sz w:val="24"/>
          <w:szCs w:val="24"/>
        </w:rPr>
        <w:t xml:space="preserve">, and </w:t>
      </w:r>
      <w:r w:rsidRPr="00DA70CF">
        <w:rPr>
          <w:rFonts w:ascii="Times New Roman" w:hAnsi="Times New Roman" w:cs="Times New Roman"/>
          <w:bCs/>
          <w:sz w:val="24"/>
          <w:szCs w:val="24"/>
        </w:rPr>
        <w:t>directing</w:t>
      </w:r>
      <w:r w:rsidRPr="00DA70CF">
        <w:rPr>
          <w:rFonts w:ascii="Times New Roman" w:hAnsi="Times New Roman" w:cs="Times New Roman"/>
          <w:sz w:val="24"/>
          <w:szCs w:val="24"/>
        </w:rPr>
        <w:t xml:space="preserve"> treatment </w:t>
      </w:r>
      <w:r w:rsidRPr="00DA70CF">
        <w:rPr>
          <w:rFonts w:ascii="Times New Roman" w:hAnsi="Times New Roman" w:cs="Times New Roman"/>
          <w:bCs/>
          <w:sz w:val="24"/>
          <w:szCs w:val="24"/>
        </w:rPr>
        <w:t>choices</w:t>
      </w:r>
      <w:r w:rsidRPr="00DA70CF">
        <w:rPr>
          <w:rFonts w:ascii="Times New Roman" w:hAnsi="Times New Roman" w:cs="Times New Roman"/>
          <w:sz w:val="24"/>
          <w:szCs w:val="24"/>
        </w:rPr>
        <w:t xml:space="preserve">. However, some candidate biomarkers have emerged from recent studies in infectious </w:t>
      </w:r>
      <w:r>
        <w:rPr>
          <w:rFonts w:ascii="Times New Roman" w:hAnsi="Times New Roman" w:cs="Times New Roman"/>
          <w:sz w:val="24"/>
          <w:szCs w:val="24"/>
        </w:rPr>
        <w:t>diseases</w:t>
      </w:r>
      <w:r w:rsidRPr="00DA70CF">
        <w:rPr>
          <w:rFonts w:ascii="Times New Roman" w:hAnsi="Times New Roman" w:cs="Times New Roman"/>
          <w:sz w:val="24"/>
          <w:szCs w:val="24"/>
        </w:rPr>
        <w:t>, autoimmune diseases</w:t>
      </w:r>
      <w:r>
        <w:rPr>
          <w:rFonts w:ascii="Times New Roman" w:hAnsi="Times New Roman" w:cs="Times New Roman"/>
          <w:sz w:val="24"/>
          <w:szCs w:val="24"/>
        </w:rPr>
        <w:t>,</w:t>
      </w:r>
      <w:r w:rsidRPr="00DA70CF">
        <w:rPr>
          <w:rFonts w:ascii="Times New Roman" w:hAnsi="Times New Roman" w:cs="Times New Roman"/>
          <w:sz w:val="24"/>
          <w:szCs w:val="24"/>
        </w:rPr>
        <w:t xml:space="preserve"> and cancers. The promising biomarkers are </w:t>
      </w:r>
      <w:r w:rsidRPr="00DA70CF">
        <w:rPr>
          <w:rFonts w:ascii="Times New Roman" w:hAnsi="Times New Roman" w:cs="Times New Roman"/>
          <w:bCs/>
          <w:sz w:val="24"/>
          <w:szCs w:val="24"/>
        </w:rPr>
        <w:t>given</w:t>
      </w:r>
      <w:r w:rsidRPr="00DA70CF">
        <w:rPr>
          <w:rFonts w:ascii="Times New Roman" w:hAnsi="Times New Roman" w:cs="Times New Roman"/>
          <w:sz w:val="24"/>
          <w:szCs w:val="24"/>
        </w:rPr>
        <w:t xml:space="preserve"> </w:t>
      </w:r>
      <w:r w:rsidRPr="00DA70CF">
        <w:rPr>
          <w:rFonts w:ascii="Times New Roman" w:hAnsi="Times New Roman" w:cs="Times New Roman"/>
          <w:bCs/>
          <w:sz w:val="24"/>
          <w:szCs w:val="24"/>
        </w:rPr>
        <w:t>strong</w:t>
      </w:r>
      <w:r w:rsidRPr="00DA70CF">
        <w:rPr>
          <w:rFonts w:ascii="Times New Roman" w:hAnsi="Times New Roman" w:cs="Times New Roman"/>
          <w:sz w:val="24"/>
          <w:szCs w:val="24"/>
        </w:rPr>
        <w:t xml:space="preserve"> </w:t>
      </w:r>
      <w:r w:rsidRPr="00DA70CF">
        <w:rPr>
          <w:rFonts w:ascii="Times New Roman" w:hAnsi="Times New Roman" w:cs="Times New Roman"/>
          <w:bCs/>
          <w:sz w:val="24"/>
          <w:szCs w:val="24"/>
        </w:rPr>
        <w:t xml:space="preserve">consideration </w:t>
      </w:r>
      <w:r w:rsidRPr="00DA70CF">
        <w:rPr>
          <w:rFonts w:ascii="Times New Roman" w:hAnsi="Times New Roman" w:cs="Times New Roman"/>
          <w:sz w:val="24"/>
          <w:szCs w:val="24"/>
        </w:rPr>
        <w:t xml:space="preserve">in </w:t>
      </w:r>
      <w:r w:rsidRPr="00DA70CF">
        <w:rPr>
          <w:rFonts w:ascii="Times New Roman" w:hAnsi="Times New Roman" w:cs="Times New Roman"/>
          <w:bCs/>
          <w:sz w:val="24"/>
          <w:szCs w:val="24"/>
        </w:rPr>
        <w:t>current</w:t>
      </w:r>
      <w:r w:rsidRPr="00DA70CF">
        <w:rPr>
          <w:rFonts w:ascii="Times New Roman" w:hAnsi="Times New Roman" w:cs="Times New Roman"/>
          <w:sz w:val="24"/>
          <w:szCs w:val="24"/>
        </w:rPr>
        <w:t xml:space="preserve"> diagnostic </w:t>
      </w:r>
      <w:r w:rsidRPr="00DA70CF">
        <w:rPr>
          <w:rFonts w:ascii="Times New Roman" w:hAnsi="Times New Roman" w:cs="Times New Roman"/>
          <w:bCs/>
          <w:sz w:val="24"/>
          <w:szCs w:val="24"/>
        </w:rPr>
        <w:t>settings</w:t>
      </w:r>
      <w:r>
        <w:rPr>
          <w:rFonts w:ascii="Times New Roman" w:hAnsi="Times New Roman" w:cs="Times New Roman"/>
          <w:sz w:val="24"/>
          <w:szCs w:val="24"/>
        </w:rPr>
        <w:t>: C-reactive protein, P</w:t>
      </w:r>
      <w:r w:rsidR="007E5D96">
        <w:rPr>
          <w:rFonts w:ascii="Times New Roman" w:hAnsi="Times New Roman" w:cs="Times New Roman"/>
          <w:sz w:val="24"/>
          <w:szCs w:val="24"/>
        </w:rPr>
        <w:t xml:space="preserve">rocalcitonin </w:t>
      </w:r>
      <w:r w:rsidRPr="00DA70CF">
        <w:rPr>
          <w:rFonts w:ascii="Times New Roman" w:hAnsi="Times New Roman" w:cs="Times New Roman"/>
          <w:sz w:val="24"/>
          <w:szCs w:val="24"/>
        </w:rPr>
        <w:t xml:space="preserve">for sepsis, various cytokines for diagnosing infectious diseases such as tuberculosis (e.g., </w:t>
      </w:r>
      <w:r w:rsidR="007E5D96" w:rsidRPr="00DA70CF">
        <w:rPr>
          <w:rFonts w:ascii="Times New Roman" w:hAnsi="Times New Roman" w:cs="Times New Roman"/>
          <w:sz w:val="24"/>
          <w:szCs w:val="24"/>
        </w:rPr>
        <w:t>I</w:t>
      </w:r>
      <w:r w:rsidR="007E5D96">
        <w:rPr>
          <w:rFonts w:ascii="Times New Roman" w:hAnsi="Times New Roman" w:cs="Times New Roman"/>
          <w:sz w:val="24"/>
          <w:szCs w:val="24"/>
        </w:rPr>
        <w:t>nterferon</w:t>
      </w:r>
      <w:r w:rsidR="007E5D96" w:rsidRPr="00DA70CF">
        <w:rPr>
          <w:rFonts w:ascii="Times New Roman" w:hAnsi="Times New Roman" w:cs="Times New Roman"/>
          <w:sz w:val="24"/>
          <w:szCs w:val="24"/>
        </w:rPr>
        <w:t>-γ release assays</w:t>
      </w:r>
      <w:r w:rsidR="007E5D96">
        <w:rPr>
          <w:rFonts w:ascii="Times New Roman" w:hAnsi="Times New Roman" w:cs="Times New Roman"/>
          <w:sz w:val="24"/>
          <w:szCs w:val="24"/>
        </w:rPr>
        <w:t xml:space="preserve">, C- reactive proteins, Interleukin-6,  </w:t>
      </w:r>
      <w:r w:rsidRPr="00DA70CF">
        <w:rPr>
          <w:rFonts w:ascii="Times New Roman" w:hAnsi="Times New Roman" w:cs="Times New Roman"/>
          <w:sz w:val="24"/>
          <w:szCs w:val="24"/>
        </w:rPr>
        <w:t>I</w:t>
      </w:r>
      <w:r w:rsidR="007E5D96">
        <w:rPr>
          <w:rFonts w:ascii="Times New Roman" w:hAnsi="Times New Roman" w:cs="Times New Roman"/>
          <w:sz w:val="24"/>
          <w:szCs w:val="24"/>
        </w:rPr>
        <w:t>nterferon gamma induces protein-10</w:t>
      </w:r>
      <w:r w:rsidRPr="00DA70CF">
        <w:rPr>
          <w:rFonts w:ascii="Times New Roman" w:hAnsi="Times New Roman" w:cs="Times New Roman"/>
          <w:sz w:val="24"/>
          <w:szCs w:val="24"/>
        </w:rPr>
        <w:t xml:space="preserve">, </w:t>
      </w:r>
      <w:r>
        <w:rPr>
          <w:rFonts w:ascii="Times New Roman" w:hAnsi="Times New Roman" w:cs="Times New Roman"/>
          <w:sz w:val="24"/>
          <w:szCs w:val="24"/>
        </w:rPr>
        <w:t xml:space="preserve"> I</w:t>
      </w:r>
      <w:r w:rsidR="007E5D96">
        <w:rPr>
          <w:rFonts w:ascii="Times New Roman" w:hAnsi="Times New Roman" w:cs="Times New Roman"/>
          <w:sz w:val="24"/>
          <w:szCs w:val="24"/>
        </w:rPr>
        <w:t>nterleukin</w:t>
      </w:r>
      <w:r>
        <w:rPr>
          <w:rFonts w:ascii="Times New Roman" w:hAnsi="Times New Roman" w:cs="Times New Roman"/>
          <w:sz w:val="24"/>
          <w:szCs w:val="24"/>
        </w:rPr>
        <w:t>-2</w:t>
      </w:r>
      <w:r w:rsidRPr="00DA70CF">
        <w:rPr>
          <w:rFonts w:ascii="Times New Roman" w:hAnsi="Times New Roman" w:cs="Times New Roman"/>
          <w:sz w:val="24"/>
          <w:szCs w:val="24"/>
        </w:rPr>
        <w:t xml:space="preserve">), </w:t>
      </w:r>
      <w:r w:rsidRPr="00DA70CF">
        <w:rPr>
          <w:rFonts w:ascii="Times New Roman" w:hAnsi="Times New Roman" w:cs="Times New Roman"/>
          <w:bCs/>
          <w:sz w:val="24"/>
          <w:szCs w:val="24"/>
        </w:rPr>
        <w:t>quick</w:t>
      </w:r>
      <w:r w:rsidRPr="00DA70CF">
        <w:rPr>
          <w:rFonts w:ascii="Times New Roman" w:hAnsi="Times New Roman" w:cs="Times New Roman"/>
          <w:sz w:val="24"/>
          <w:szCs w:val="24"/>
        </w:rPr>
        <w:t xml:space="preserve"> i</w:t>
      </w:r>
      <w:r w:rsidR="007E5D96">
        <w:rPr>
          <w:rFonts w:ascii="Times New Roman" w:hAnsi="Times New Roman" w:cs="Times New Roman"/>
          <w:sz w:val="24"/>
          <w:szCs w:val="24"/>
        </w:rPr>
        <w:t xml:space="preserve">dentification of sepsis (e. g., </w:t>
      </w:r>
      <w:r w:rsidR="007E5D96" w:rsidRPr="00DA70CF">
        <w:rPr>
          <w:rFonts w:ascii="Times New Roman" w:hAnsi="Times New Roman" w:cs="Times New Roman"/>
          <w:sz w:val="24"/>
          <w:szCs w:val="24"/>
        </w:rPr>
        <w:t>presepson</w:t>
      </w:r>
      <w:r w:rsidR="007E5D96">
        <w:rPr>
          <w:rFonts w:ascii="Times New Roman" w:hAnsi="Times New Roman" w:cs="Times New Roman"/>
          <w:sz w:val="24"/>
          <w:szCs w:val="24"/>
        </w:rPr>
        <w:t xml:space="preserve">, </w:t>
      </w:r>
      <w:r w:rsidRPr="00DA70CF">
        <w:rPr>
          <w:rFonts w:ascii="Times New Roman" w:hAnsi="Times New Roman" w:cs="Times New Roman"/>
          <w:sz w:val="24"/>
          <w:szCs w:val="24"/>
        </w:rPr>
        <w:t>I</w:t>
      </w:r>
      <w:r w:rsidR="007E5D96">
        <w:rPr>
          <w:rFonts w:ascii="Times New Roman" w:hAnsi="Times New Roman" w:cs="Times New Roman"/>
          <w:sz w:val="24"/>
          <w:szCs w:val="24"/>
        </w:rPr>
        <w:t>nterleukin</w:t>
      </w:r>
      <w:r w:rsidRPr="00DA70CF">
        <w:rPr>
          <w:rFonts w:ascii="Times New Roman" w:hAnsi="Times New Roman" w:cs="Times New Roman"/>
          <w:sz w:val="24"/>
          <w:szCs w:val="24"/>
        </w:rPr>
        <w:t xml:space="preserve">-6,), </w:t>
      </w:r>
      <w:r w:rsidRPr="00DA70CF">
        <w:rPr>
          <w:rFonts w:ascii="Times New Roman" w:hAnsi="Times New Roman" w:cs="Times New Roman"/>
          <w:bCs/>
          <w:sz w:val="24"/>
          <w:szCs w:val="24"/>
        </w:rPr>
        <w:t>differentiating</w:t>
      </w:r>
      <w:r w:rsidRPr="00DA70CF">
        <w:rPr>
          <w:rFonts w:ascii="Times New Roman" w:hAnsi="Times New Roman" w:cs="Times New Roman"/>
          <w:sz w:val="24"/>
          <w:szCs w:val="24"/>
        </w:rPr>
        <w:t xml:space="preserve"> between bacterial and viral infections (e. g., Procalcitonin, C-reactive protein), early </w:t>
      </w:r>
      <w:r w:rsidRPr="00DA70CF">
        <w:rPr>
          <w:rFonts w:ascii="Times New Roman" w:hAnsi="Times New Roman" w:cs="Times New Roman"/>
          <w:bCs/>
          <w:sz w:val="24"/>
          <w:szCs w:val="24"/>
        </w:rPr>
        <w:t>identification</w:t>
      </w:r>
      <w:r w:rsidRPr="00DA70CF">
        <w:rPr>
          <w:rFonts w:ascii="Times New Roman" w:hAnsi="Times New Roman" w:cs="Times New Roman"/>
          <w:sz w:val="24"/>
          <w:szCs w:val="24"/>
        </w:rPr>
        <w:t xml:space="preserve"> of cancer (e. g., </w:t>
      </w:r>
      <w:r w:rsidR="007E5D96" w:rsidRPr="00DA70CF">
        <w:rPr>
          <w:rFonts w:ascii="Times New Roman" w:hAnsi="Times New Roman" w:cs="Times New Roman"/>
          <w:sz w:val="24"/>
          <w:szCs w:val="24"/>
        </w:rPr>
        <w:t>C</w:t>
      </w:r>
      <w:r w:rsidR="007E5D96">
        <w:rPr>
          <w:rFonts w:ascii="Times New Roman" w:hAnsi="Times New Roman" w:cs="Times New Roman"/>
          <w:sz w:val="24"/>
          <w:szCs w:val="24"/>
        </w:rPr>
        <w:t xml:space="preserve">ancer </w:t>
      </w:r>
      <w:r w:rsidR="007E5D96" w:rsidRPr="00DA70CF">
        <w:rPr>
          <w:rFonts w:ascii="Times New Roman" w:hAnsi="Times New Roman" w:cs="Times New Roman"/>
          <w:sz w:val="24"/>
          <w:szCs w:val="24"/>
        </w:rPr>
        <w:t>A</w:t>
      </w:r>
      <w:r w:rsidR="007E5D96">
        <w:rPr>
          <w:rFonts w:ascii="Times New Roman" w:hAnsi="Times New Roman" w:cs="Times New Roman"/>
          <w:sz w:val="24"/>
          <w:szCs w:val="24"/>
        </w:rPr>
        <w:t>ntigen</w:t>
      </w:r>
      <w:r w:rsidR="007E5D96" w:rsidRPr="00DA70CF">
        <w:rPr>
          <w:rFonts w:ascii="Times New Roman" w:hAnsi="Times New Roman" w:cs="Times New Roman"/>
          <w:sz w:val="24"/>
          <w:szCs w:val="24"/>
        </w:rPr>
        <w:t>-125 for ovarian cancer</w:t>
      </w:r>
      <w:r w:rsidR="007E5D96">
        <w:rPr>
          <w:rFonts w:ascii="Times New Roman" w:hAnsi="Times New Roman" w:cs="Times New Roman"/>
          <w:sz w:val="24"/>
          <w:szCs w:val="24"/>
        </w:rPr>
        <w:t xml:space="preserve">, </w:t>
      </w:r>
      <w:r w:rsidRPr="00DA70CF">
        <w:rPr>
          <w:rFonts w:ascii="Times New Roman" w:hAnsi="Times New Roman" w:cs="Times New Roman"/>
          <w:sz w:val="24"/>
          <w:szCs w:val="24"/>
        </w:rPr>
        <w:t>P</w:t>
      </w:r>
      <w:r w:rsidR="007E5D96">
        <w:rPr>
          <w:rFonts w:ascii="Times New Roman" w:hAnsi="Times New Roman" w:cs="Times New Roman"/>
          <w:sz w:val="24"/>
          <w:szCs w:val="24"/>
        </w:rPr>
        <w:t>rostate surface antigen, for prostate cancer</w:t>
      </w:r>
      <w:r w:rsidRPr="00DA70CF">
        <w:rPr>
          <w:rFonts w:ascii="Times New Roman" w:hAnsi="Times New Roman" w:cs="Times New Roman"/>
          <w:sz w:val="24"/>
          <w:szCs w:val="24"/>
        </w:rPr>
        <w:t xml:space="preserve">), </w:t>
      </w:r>
      <w:r w:rsidRPr="00DA70CF">
        <w:rPr>
          <w:rFonts w:ascii="Times New Roman" w:hAnsi="Times New Roman" w:cs="Times New Roman"/>
          <w:bCs/>
          <w:sz w:val="24"/>
          <w:szCs w:val="24"/>
        </w:rPr>
        <w:t>monitoring</w:t>
      </w:r>
      <w:r w:rsidRPr="00DA70CF">
        <w:rPr>
          <w:rFonts w:ascii="Times New Roman" w:hAnsi="Times New Roman" w:cs="Times New Roman"/>
          <w:sz w:val="24"/>
          <w:szCs w:val="24"/>
        </w:rPr>
        <w:t xml:space="preserve"> tumor </w:t>
      </w:r>
      <w:r w:rsidRPr="00DA70CF">
        <w:rPr>
          <w:rFonts w:ascii="Times New Roman" w:hAnsi="Times New Roman" w:cs="Times New Roman"/>
          <w:bCs/>
          <w:sz w:val="24"/>
          <w:szCs w:val="24"/>
        </w:rPr>
        <w:t>progression</w:t>
      </w:r>
      <w:r w:rsidRPr="00DA70CF">
        <w:rPr>
          <w:rFonts w:ascii="Times New Roman" w:hAnsi="Times New Roman" w:cs="Times New Roman"/>
          <w:sz w:val="24"/>
          <w:szCs w:val="24"/>
        </w:rPr>
        <w:t xml:space="preserve"> (e. g., circulating tumor DNA), </w:t>
      </w:r>
      <w:r w:rsidRPr="00DA70CF">
        <w:rPr>
          <w:rFonts w:ascii="Times New Roman" w:hAnsi="Times New Roman" w:cs="Times New Roman"/>
          <w:bCs/>
          <w:sz w:val="24"/>
          <w:szCs w:val="24"/>
        </w:rPr>
        <w:t>identifying</w:t>
      </w:r>
      <w:r w:rsidRPr="00DA70CF">
        <w:rPr>
          <w:rFonts w:ascii="Times New Roman" w:hAnsi="Times New Roman" w:cs="Times New Roman"/>
          <w:sz w:val="24"/>
          <w:szCs w:val="24"/>
        </w:rPr>
        <w:t xml:space="preserve"> autoimmune disorders (e. g., anti-nuclear antibodies for lupus), </w:t>
      </w:r>
      <w:r w:rsidRPr="00DA70CF">
        <w:rPr>
          <w:rFonts w:ascii="Times New Roman" w:hAnsi="Times New Roman" w:cs="Times New Roman"/>
          <w:bCs/>
          <w:sz w:val="24"/>
          <w:szCs w:val="24"/>
        </w:rPr>
        <w:t>evaluating</w:t>
      </w:r>
      <w:r w:rsidR="009E748F">
        <w:rPr>
          <w:rFonts w:ascii="Times New Roman" w:hAnsi="Times New Roman" w:cs="Times New Roman"/>
          <w:sz w:val="24"/>
          <w:szCs w:val="24"/>
        </w:rPr>
        <w:t xml:space="preserve"> inflammatory responses</w:t>
      </w:r>
      <w:r w:rsidRPr="00DA70CF">
        <w:rPr>
          <w:rFonts w:ascii="Times New Roman" w:hAnsi="Times New Roman" w:cs="Times New Roman"/>
          <w:sz w:val="24"/>
          <w:szCs w:val="24"/>
        </w:rPr>
        <w:t xml:space="preserve"> (e. g., </w:t>
      </w:r>
      <w:r w:rsidR="00B41ACC" w:rsidRPr="00DA70CF">
        <w:rPr>
          <w:rFonts w:ascii="Times New Roman" w:hAnsi="Times New Roman" w:cs="Times New Roman"/>
          <w:sz w:val="24"/>
          <w:szCs w:val="24"/>
        </w:rPr>
        <w:t>T</w:t>
      </w:r>
      <w:r w:rsidR="00B41ACC">
        <w:rPr>
          <w:rFonts w:ascii="Times New Roman" w:hAnsi="Times New Roman" w:cs="Times New Roman"/>
          <w:sz w:val="24"/>
          <w:szCs w:val="24"/>
        </w:rPr>
        <w:t>umor necrosis factor</w:t>
      </w:r>
      <w:r w:rsidR="00B41ACC" w:rsidRPr="00DA70CF">
        <w:rPr>
          <w:rFonts w:ascii="Times New Roman" w:hAnsi="Times New Roman" w:cs="Times New Roman"/>
          <w:sz w:val="24"/>
          <w:szCs w:val="24"/>
        </w:rPr>
        <w:t>-α</w:t>
      </w:r>
      <w:r w:rsidR="00B41ACC">
        <w:rPr>
          <w:rFonts w:ascii="Times New Roman" w:hAnsi="Times New Roman" w:cs="Times New Roman"/>
          <w:sz w:val="24"/>
          <w:szCs w:val="24"/>
        </w:rPr>
        <w:t xml:space="preserve">, </w:t>
      </w:r>
      <w:r w:rsidR="007E5D96" w:rsidRPr="00DA70CF">
        <w:rPr>
          <w:rFonts w:ascii="Times New Roman" w:hAnsi="Times New Roman" w:cs="Times New Roman"/>
          <w:sz w:val="24"/>
          <w:szCs w:val="24"/>
        </w:rPr>
        <w:t>I</w:t>
      </w:r>
      <w:r w:rsidR="007E5D96">
        <w:rPr>
          <w:rFonts w:ascii="Times New Roman" w:hAnsi="Times New Roman" w:cs="Times New Roman"/>
          <w:sz w:val="24"/>
          <w:szCs w:val="24"/>
        </w:rPr>
        <w:t>nterleukin</w:t>
      </w:r>
      <w:r w:rsidR="007E5D96" w:rsidRPr="00DA70CF">
        <w:rPr>
          <w:rFonts w:ascii="Times New Roman" w:hAnsi="Times New Roman" w:cs="Times New Roman"/>
          <w:sz w:val="24"/>
          <w:szCs w:val="24"/>
        </w:rPr>
        <w:t>-1β</w:t>
      </w:r>
      <w:r w:rsidR="007E5D96">
        <w:rPr>
          <w:rFonts w:ascii="Times New Roman" w:hAnsi="Times New Roman" w:cs="Times New Roman"/>
          <w:sz w:val="24"/>
          <w:szCs w:val="24"/>
        </w:rPr>
        <w:t>),</w:t>
      </w:r>
      <w:r w:rsidRPr="00DA70CF">
        <w:rPr>
          <w:rFonts w:ascii="Times New Roman" w:hAnsi="Times New Roman" w:cs="Times New Roman"/>
          <w:sz w:val="24"/>
          <w:szCs w:val="24"/>
        </w:rPr>
        <w:t xml:space="preserve"> biomarkers for neurodegenerative diseases like Alzheimer’s (e. g., amyloid-beta, tau protein). </w:t>
      </w:r>
      <w:r w:rsidRPr="00DA70CF">
        <w:rPr>
          <w:rFonts w:ascii="Times New Roman" w:hAnsi="Times New Roman" w:cs="Times New Roman"/>
          <w:bCs/>
          <w:sz w:val="24"/>
          <w:szCs w:val="24"/>
        </w:rPr>
        <w:t>Nonetheless</w:t>
      </w:r>
      <w:r w:rsidRPr="00DA70CF">
        <w:rPr>
          <w:rFonts w:ascii="Times New Roman" w:hAnsi="Times New Roman" w:cs="Times New Roman"/>
          <w:sz w:val="24"/>
          <w:szCs w:val="24"/>
        </w:rPr>
        <w:t xml:space="preserve">, there is a </w:t>
      </w:r>
      <w:r w:rsidRPr="00DA70CF">
        <w:rPr>
          <w:rFonts w:ascii="Times New Roman" w:hAnsi="Times New Roman" w:cs="Times New Roman"/>
          <w:bCs/>
          <w:sz w:val="24"/>
          <w:szCs w:val="24"/>
        </w:rPr>
        <w:t>restricted</w:t>
      </w:r>
      <w:r w:rsidRPr="00DA70CF">
        <w:rPr>
          <w:rFonts w:ascii="Times New Roman" w:hAnsi="Times New Roman" w:cs="Times New Roman"/>
          <w:sz w:val="24"/>
          <w:szCs w:val="24"/>
        </w:rPr>
        <w:t xml:space="preserve"> </w:t>
      </w:r>
      <w:r w:rsidRPr="00DA70CF">
        <w:rPr>
          <w:rFonts w:ascii="Times New Roman" w:hAnsi="Times New Roman" w:cs="Times New Roman"/>
          <w:bCs/>
          <w:sz w:val="24"/>
          <w:szCs w:val="24"/>
        </w:rPr>
        <w:t>comprehension</w:t>
      </w:r>
      <w:r w:rsidRPr="00DA70CF">
        <w:rPr>
          <w:rFonts w:ascii="Times New Roman" w:hAnsi="Times New Roman" w:cs="Times New Roman"/>
          <w:sz w:val="24"/>
          <w:szCs w:val="24"/>
        </w:rPr>
        <w:t xml:space="preserve"> of biomarker </w:t>
      </w:r>
      <w:r w:rsidRPr="00DA70CF">
        <w:rPr>
          <w:rFonts w:ascii="Times New Roman" w:hAnsi="Times New Roman" w:cs="Times New Roman"/>
          <w:bCs/>
          <w:sz w:val="24"/>
          <w:szCs w:val="24"/>
        </w:rPr>
        <w:t>effectiveness,</w:t>
      </w:r>
      <w:r w:rsidRPr="00DA70CF">
        <w:rPr>
          <w:rFonts w:ascii="Times New Roman" w:hAnsi="Times New Roman" w:cs="Times New Roman"/>
          <w:sz w:val="24"/>
          <w:szCs w:val="24"/>
        </w:rPr>
        <w:t xml:space="preserve"> and its </w:t>
      </w:r>
      <w:r w:rsidRPr="00DA70CF">
        <w:rPr>
          <w:rFonts w:ascii="Times New Roman" w:hAnsi="Times New Roman" w:cs="Times New Roman"/>
          <w:bCs/>
          <w:sz w:val="24"/>
          <w:szCs w:val="24"/>
        </w:rPr>
        <w:t>consequences</w:t>
      </w:r>
      <w:r w:rsidRPr="00DA70CF">
        <w:rPr>
          <w:rFonts w:ascii="Times New Roman" w:hAnsi="Times New Roman" w:cs="Times New Roman"/>
          <w:sz w:val="24"/>
          <w:szCs w:val="24"/>
        </w:rPr>
        <w:t xml:space="preserve"> in diagnostic </w:t>
      </w:r>
      <w:r w:rsidRPr="00DA70CF">
        <w:rPr>
          <w:rFonts w:ascii="Times New Roman" w:hAnsi="Times New Roman" w:cs="Times New Roman"/>
          <w:bCs/>
          <w:sz w:val="24"/>
          <w:szCs w:val="24"/>
        </w:rPr>
        <w:t>settings</w:t>
      </w:r>
      <w:r w:rsidRPr="00DA70CF">
        <w:rPr>
          <w:rFonts w:ascii="Times New Roman" w:hAnsi="Times New Roman" w:cs="Times New Roman"/>
          <w:sz w:val="24"/>
          <w:szCs w:val="24"/>
        </w:rPr>
        <w:t xml:space="preserve"> are </w:t>
      </w:r>
      <w:r w:rsidRPr="00DA70CF">
        <w:rPr>
          <w:rFonts w:ascii="Times New Roman" w:hAnsi="Times New Roman" w:cs="Times New Roman"/>
          <w:bCs/>
          <w:sz w:val="24"/>
          <w:szCs w:val="24"/>
        </w:rPr>
        <w:t>prompting</w:t>
      </w:r>
      <w:r w:rsidRPr="00DA70CF">
        <w:rPr>
          <w:rFonts w:ascii="Times New Roman" w:hAnsi="Times New Roman" w:cs="Times New Roman"/>
          <w:sz w:val="24"/>
          <w:szCs w:val="24"/>
        </w:rPr>
        <w:t xml:space="preserve"> new </w:t>
      </w:r>
      <w:r w:rsidRPr="00DA70CF">
        <w:rPr>
          <w:rFonts w:ascii="Times New Roman" w:hAnsi="Times New Roman" w:cs="Times New Roman"/>
          <w:bCs/>
          <w:sz w:val="24"/>
          <w:szCs w:val="24"/>
        </w:rPr>
        <w:t>advancements</w:t>
      </w:r>
      <w:r w:rsidRPr="00DA70CF">
        <w:rPr>
          <w:rFonts w:ascii="Times New Roman" w:hAnsi="Times New Roman" w:cs="Times New Roman"/>
          <w:sz w:val="24"/>
          <w:szCs w:val="24"/>
        </w:rPr>
        <w:t xml:space="preserve"> in this </w:t>
      </w:r>
      <w:r w:rsidRPr="00DA70CF">
        <w:rPr>
          <w:rFonts w:ascii="Times New Roman" w:hAnsi="Times New Roman" w:cs="Times New Roman"/>
          <w:bCs/>
          <w:sz w:val="24"/>
          <w:szCs w:val="24"/>
        </w:rPr>
        <w:t>area</w:t>
      </w:r>
      <w:r w:rsidRPr="00DA70CF">
        <w:rPr>
          <w:rFonts w:ascii="Times New Roman" w:hAnsi="Times New Roman" w:cs="Times New Roman"/>
          <w:sz w:val="24"/>
          <w:szCs w:val="24"/>
        </w:rPr>
        <w:t xml:space="preserve">. </w:t>
      </w:r>
      <w:r w:rsidRPr="00454CC3">
        <w:rPr>
          <w:rFonts w:ascii="Times New Roman" w:hAnsi="Times New Roman" w:cs="Times New Roman"/>
          <w:sz w:val="24"/>
          <w:szCs w:val="24"/>
        </w:rPr>
        <w:t xml:space="preserve">In this chapter, we </w:t>
      </w:r>
      <w:r>
        <w:rPr>
          <w:rFonts w:ascii="Times New Roman" w:hAnsi="Times New Roman" w:cs="Times New Roman"/>
          <w:bCs/>
          <w:sz w:val="24"/>
          <w:szCs w:val="24"/>
        </w:rPr>
        <w:t>reviewed</w:t>
      </w:r>
      <w:r w:rsidRPr="00454CC3">
        <w:rPr>
          <w:rFonts w:ascii="Times New Roman" w:hAnsi="Times New Roman" w:cs="Times New Roman"/>
          <w:sz w:val="24"/>
          <w:szCs w:val="24"/>
        </w:rPr>
        <w:t xml:space="preserve"> the scientific </w:t>
      </w:r>
      <w:r w:rsidRPr="00454CC3">
        <w:rPr>
          <w:rFonts w:ascii="Times New Roman" w:hAnsi="Times New Roman" w:cs="Times New Roman"/>
          <w:bCs/>
          <w:sz w:val="24"/>
          <w:szCs w:val="24"/>
        </w:rPr>
        <w:t>bases</w:t>
      </w:r>
      <w:r w:rsidRPr="00454CC3">
        <w:rPr>
          <w:rFonts w:ascii="Times New Roman" w:hAnsi="Times New Roman" w:cs="Times New Roman"/>
          <w:sz w:val="24"/>
          <w:szCs w:val="24"/>
        </w:rPr>
        <w:t xml:space="preserve"> and clinical </w:t>
      </w:r>
      <w:r w:rsidRPr="00454CC3">
        <w:rPr>
          <w:rFonts w:ascii="Times New Roman" w:hAnsi="Times New Roman" w:cs="Times New Roman"/>
          <w:bCs/>
          <w:sz w:val="24"/>
          <w:szCs w:val="24"/>
        </w:rPr>
        <w:t>uses</w:t>
      </w:r>
      <w:r w:rsidRPr="00454CC3">
        <w:rPr>
          <w:rFonts w:ascii="Times New Roman" w:hAnsi="Times New Roman" w:cs="Times New Roman"/>
          <w:sz w:val="24"/>
          <w:szCs w:val="24"/>
        </w:rPr>
        <w:t xml:space="preserve"> of host biomarker-based diagnostics, </w:t>
      </w:r>
      <w:r w:rsidRPr="00454CC3">
        <w:rPr>
          <w:rFonts w:ascii="Times New Roman" w:hAnsi="Times New Roman" w:cs="Times New Roman"/>
          <w:bCs/>
          <w:sz w:val="24"/>
          <w:szCs w:val="24"/>
        </w:rPr>
        <w:t>examining</w:t>
      </w:r>
      <w:r w:rsidRPr="00454CC3">
        <w:rPr>
          <w:rFonts w:ascii="Times New Roman" w:hAnsi="Times New Roman" w:cs="Times New Roman"/>
          <w:sz w:val="24"/>
          <w:szCs w:val="24"/>
        </w:rPr>
        <w:t xml:space="preserve"> their </w:t>
      </w:r>
      <w:r w:rsidRPr="00454CC3">
        <w:rPr>
          <w:rFonts w:ascii="Times New Roman" w:hAnsi="Times New Roman" w:cs="Times New Roman"/>
          <w:bCs/>
          <w:sz w:val="24"/>
          <w:szCs w:val="24"/>
        </w:rPr>
        <w:t>revolutionary</w:t>
      </w:r>
      <w:r w:rsidRPr="00454CC3">
        <w:rPr>
          <w:rFonts w:ascii="Times New Roman" w:hAnsi="Times New Roman" w:cs="Times New Roman"/>
          <w:sz w:val="24"/>
          <w:szCs w:val="24"/>
        </w:rPr>
        <w:t xml:space="preserve"> </w:t>
      </w:r>
      <w:r w:rsidRPr="00454CC3">
        <w:rPr>
          <w:rFonts w:ascii="Times New Roman" w:hAnsi="Times New Roman" w:cs="Times New Roman"/>
          <w:bCs/>
          <w:sz w:val="24"/>
          <w:szCs w:val="24"/>
        </w:rPr>
        <w:t>effect</w:t>
      </w:r>
      <w:r w:rsidRPr="00454CC3">
        <w:rPr>
          <w:rFonts w:ascii="Times New Roman" w:hAnsi="Times New Roman" w:cs="Times New Roman"/>
          <w:sz w:val="24"/>
          <w:szCs w:val="24"/>
        </w:rPr>
        <w:t xml:space="preserve"> on infection management in </w:t>
      </w:r>
      <w:r w:rsidRPr="00454CC3">
        <w:rPr>
          <w:rFonts w:ascii="Times New Roman" w:hAnsi="Times New Roman" w:cs="Times New Roman"/>
          <w:bCs/>
          <w:sz w:val="24"/>
          <w:szCs w:val="24"/>
        </w:rPr>
        <w:t>various</w:t>
      </w:r>
      <w:r w:rsidRPr="00454CC3">
        <w:rPr>
          <w:rFonts w:ascii="Times New Roman" w:hAnsi="Times New Roman" w:cs="Times New Roman"/>
          <w:sz w:val="24"/>
          <w:szCs w:val="24"/>
        </w:rPr>
        <w:t xml:space="preserve"> healthcare </w:t>
      </w:r>
      <w:r w:rsidRPr="00454CC3">
        <w:rPr>
          <w:rFonts w:ascii="Times New Roman" w:hAnsi="Times New Roman" w:cs="Times New Roman"/>
          <w:bCs/>
          <w:sz w:val="24"/>
          <w:szCs w:val="24"/>
        </w:rPr>
        <w:t>settings</w:t>
      </w:r>
      <w:r w:rsidRPr="00454CC3">
        <w:rPr>
          <w:rFonts w:ascii="Times New Roman" w:hAnsi="Times New Roman" w:cs="Times New Roman"/>
          <w:sz w:val="24"/>
          <w:szCs w:val="24"/>
        </w:rPr>
        <w:t>.</w:t>
      </w:r>
    </w:p>
    <w:p w:rsidR="001137F0" w:rsidRDefault="001137F0" w:rsidP="001137F0">
      <w:pPr>
        <w:spacing w:line="276" w:lineRule="auto"/>
        <w:jc w:val="both"/>
        <w:rPr>
          <w:rFonts w:ascii="Times New Roman" w:hAnsi="Times New Roman" w:cs="Times New Roman"/>
          <w:sz w:val="24"/>
          <w:szCs w:val="24"/>
        </w:rPr>
      </w:pPr>
    </w:p>
    <w:p w:rsidR="0071328D" w:rsidRDefault="0071328D" w:rsidP="00F861EB">
      <w:pPr>
        <w:spacing w:line="276" w:lineRule="auto"/>
        <w:jc w:val="both"/>
        <w:rPr>
          <w:rFonts w:ascii="Times New Roman" w:hAnsi="Times New Roman" w:cs="Times New Roman"/>
          <w:sz w:val="24"/>
          <w:szCs w:val="24"/>
        </w:rPr>
      </w:pPr>
    </w:p>
    <w:p w:rsidR="0071328D" w:rsidRDefault="0071328D" w:rsidP="00F861EB">
      <w:pPr>
        <w:spacing w:line="276" w:lineRule="auto"/>
        <w:jc w:val="both"/>
        <w:rPr>
          <w:rFonts w:ascii="Times New Roman" w:hAnsi="Times New Roman" w:cs="Times New Roman"/>
          <w:sz w:val="24"/>
          <w:szCs w:val="24"/>
        </w:rPr>
      </w:pPr>
    </w:p>
    <w:p w:rsidR="0071328D" w:rsidRDefault="0071328D" w:rsidP="00F861EB">
      <w:pPr>
        <w:spacing w:line="276" w:lineRule="auto"/>
        <w:jc w:val="both"/>
        <w:rPr>
          <w:rFonts w:ascii="Times New Roman" w:hAnsi="Times New Roman" w:cs="Times New Roman"/>
          <w:sz w:val="24"/>
          <w:szCs w:val="24"/>
        </w:rPr>
      </w:pPr>
    </w:p>
    <w:p w:rsidR="0071328D" w:rsidRDefault="0071328D" w:rsidP="00F861EB">
      <w:pPr>
        <w:spacing w:line="276" w:lineRule="auto"/>
        <w:jc w:val="both"/>
        <w:rPr>
          <w:rFonts w:ascii="Times New Roman" w:hAnsi="Times New Roman" w:cs="Times New Roman"/>
          <w:sz w:val="24"/>
          <w:szCs w:val="24"/>
        </w:rPr>
      </w:pPr>
    </w:p>
    <w:p w:rsidR="0071328D" w:rsidRDefault="0071328D" w:rsidP="00F861EB">
      <w:pPr>
        <w:spacing w:line="276" w:lineRule="auto"/>
        <w:jc w:val="both"/>
        <w:rPr>
          <w:rFonts w:ascii="Times New Roman" w:hAnsi="Times New Roman" w:cs="Times New Roman"/>
          <w:sz w:val="24"/>
          <w:szCs w:val="24"/>
        </w:rPr>
      </w:pPr>
    </w:p>
    <w:p w:rsidR="0071328D" w:rsidRDefault="0071328D" w:rsidP="00F861EB">
      <w:pPr>
        <w:spacing w:line="276" w:lineRule="auto"/>
        <w:jc w:val="both"/>
        <w:rPr>
          <w:rFonts w:ascii="Times New Roman" w:hAnsi="Times New Roman" w:cs="Times New Roman"/>
          <w:sz w:val="24"/>
          <w:szCs w:val="24"/>
        </w:rPr>
      </w:pPr>
    </w:p>
    <w:p w:rsidR="0071328D" w:rsidRDefault="0071328D" w:rsidP="00F861EB">
      <w:pPr>
        <w:spacing w:line="276" w:lineRule="auto"/>
        <w:jc w:val="both"/>
        <w:rPr>
          <w:rFonts w:ascii="Times New Roman" w:hAnsi="Times New Roman" w:cs="Times New Roman"/>
          <w:sz w:val="24"/>
          <w:szCs w:val="24"/>
        </w:rPr>
      </w:pPr>
    </w:p>
    <w:p w:rsidR="0071328D" w:rsidRDefault="0071328D" w:rsidP="00F861EB">
      <w:pPr>
        <w:spacing w:line="276" w:lineRule="auto"/>
        <w:jc w:val="both"/>
        <w:rPr>
          <w:rFonts w:ascii="Times New Roman" w:hAnsi="Times New Roman" w:cs="Times New Roman"/>
          <w:sz w:val="24"/>
          <w:szCs w:val="24"/>
        </w:rPr>
      </w:pPr>
    </w:p>
    <w:p w:rsidR="0071328D" w:rsidRDefault="0071328D" w:rsidP="00F861EB">
      <w:pPr>
        <w:spacing w:line="276" w:lineRule="auto"/>
        <w:jc w:val="both"/>
        <w:rPr>
          <w:rFonts w:ascii="Times New Roman" w:hAnsi="Times New Roman" w:cs="Times New Roman"/>
          <w:sz w:val="24"/>
          <w:szCs w:val="24"/>
        </w:rPr>
      </w:pPr>
    </w:p>
    <w:p w:rsidR="0071328D" w:rsidRDefault="0071328D" w:rsidP="00F861EB">
      <w:pPr>
        <w:spacing w:line="276" w:lineRule="auto"/>
        <w:jc w:val="both"/>
        <w:rPr>
          <w:rFonts w:ascii="Times New Roman" w:hAnsi="Times New Roman" w:cs="Times New Roman"/>
          <w:b/>
          <w:sz w:val="24"/>
          <w:szCs w:val="24"/>
        </w:rPr>
      </w:pPr>
    </w:p>
    <w:p w:rsidR="009A0D94" w:rsidRPr="00DB776B" w:rsidRDefault="009A0D94" w:rsidP="00DB776B">
      <w:pPr>
        <w:pStyle w:val="Heading1"/>
        <w:numPr>
          <w:ilvl w:val="0"/>
          <w:numId w:val="22"/>
        </w:numPr>
        <w:rPr>
          <w:rFonts w:ascii="Times New Roman" w:hAnsi="Times New Roman" w:cs="Times New Roman"/>
          <w:b/>
          <w:color w:val="auto"/>
          <w:sz w:val="28"/>
        </w:rPr>
      </w:pPr>
      <w:bookmarkStart w:id="1" w:name="_Toc193802112"/>
      <w:r w:rsidRPr="00DB776B">
        <w:rPr>
          <w:rFonts w:ascii="Times New Roman" w:hAnsi="Times New Roman" w:cs="Times New Roman"/>
          <w:b/>
          <w:color w:val="auto"/>
          <w:sz w:val="28"/>
        </w:rPr>
        <w:lastRenderedPageBreak/>
        <w:t>Introduction</w:t>
      </w:r>
      <w:bookmarkEnd w:id="1"/>
    </w:p>
    <w:p w:rsidR="0062399F" w:rsidRPr="0062399F" w:rsidRDefault="0062399F" w:rsidP="0062399F">
      <w:pPr>
        <w:pStyle w:val="Textbody"/>
        <w:jc w:val="both"/>
        <w:rPr>
          <w:rFonts w:ascii="Times New Roman" w:hAnsi="Times New Roman" w:cs="Times New Roman"/>
        </w:rPr>
      </w:pPr>
      <w:r w:rsidRPr="0062399F">
        <w:rPr>
          <w:rFonts w:ascii="Times New Roman" w:hAnsi="Times New Roman" w:cs="Times New Roman"/>
        </w:rPr>
        <w:t>Dominant global health threats, infectious diseases, continue to kill millions each year and stress healthcare systems across every level of society</w:t>
      </w:r>
      <w:r>
        <w:rPr>
          <w:rFonts w:ascii="Times New Roman" w:eastAsia="Times New Roman" w:hAnsi="Times New Roman" w:cs="Times New Roman"/>
          <w:kern w:val="0"/>
          <w:lang w:eastAsia="en-US" w:bidi="ar-SA"/>
        </w:rPr>
        <w:t xml:space="preserve"> </w:t>
      </w:r>
      <w:r>
        <w:rPr>
          <w:rFonts w:ascii="Times New Roman" w:eastAsia="Times New Roman" w:hAnsi="Times New Roman" w:cs="Times New Roman"/>
          <w:kern w:val="0"/>
          <w:lang w:eastAsia="en-US" w:bidi="ar-SA"/>
        </w:rPr>
        <w:fldChar w:fldCharType="begin"/>
      </w:r>
      <w:r w:rsidR="0015022C">
        <w:rPr>
          <w:rFonts w:ascii="Times New Roman" w:eastAsia="Times New Roman" w:hAnsi="Times New Roman" w:cs="Times New Roman"/>
          <w:kern w:val="0"/>
          <w:lang w:eastAsia="en-US" w:bidi="ar-SA"/>
        </w:rPr>
        <w:instrText xml:space="preserve"> ADDIN ZOTERO_ITEM CSL_CITATION {"citationID":"5R9QSxbr","properties":{"formattedCitation":"\\super 1\\nosupersub{}","plainCitation":"1","noteIndex":0},"citationItems":[{"id":388,"uris":["http://zotero.org/users/local/BfzbJtgR/items/IQ3LNM8I"],"itemData":{"id":388,"type":"book","ISBN":"978-1-4648-0524-0","language":"en","note":"DOI: 10.1596/978-1-4648-0524-0","publisher":"The World Bank","source":"DOI.org (Crossref)","title":"Disease Control Priorities, Third Edition (Volume 6): Major Infectious Diseases","title-short":"Disease Control Priorities, Third Edition (Volume 6)","URL":"http://elibrary.worldbank.org/doi/book/10.1596/978-1-4648-0524-0","editor":[{"family":"Holmes","given":"King K."},{"family":"Bertozzi","given":"Stefano"},{"family":"Bloom","given":"Barry R."},{"family":"Jha","given":"Prabhat"}],"accessed":{"date-parts":[["2025",2,16]]},"issued":{"date-parts":[["2017",11,6]]}}}],"schema":"https://github.com/citation-style-language/schema/raw/master/csl-citation.json"} </w:instrText>
      </w:r>
      <w:r>
        <w:rPr>
          <w:rFonts w:ascii="Times New Roman" w:eastAsia="Times New Roman" w:hAnsi="Times New Roman" w:cs="Times New Roman"/>
          <w:kern w:val="0"/>
          <w:lang w:eastAsia="en-US" w:bidi="ar-SA"/>
        </w:rPr>
        <w:fldChar w:fldCharType="separate"/>
      </w:r>
      <w:r w:rsidR="0015022C" w:rsidRPr="0015022C">
        <w:rPr>
          <w:rFonts w:ascii="Times New Roman" w:hAnsi="Times New Roman" w:cs="Times New Roman"/>
          <w:vertAlign w:val="superscript"/>
        </w:rPr>
        <w:t>1</w:t>
      </w:r>
      <w:r>
        <w:rPr>
          <w:rFonts w:ascii="Times New Roman" w:eastAsia="Times New Roman" w:hAnsi="Times New Roman" w:cs="Times New Roman"/>
          <w:kern w:val="0"/>
          <w:lang w:eastAsia="en-US" w:bidi="ar-SA"/>
        </w:rPr>
        <w:fldChar w:fldCharType="end"/>
      </w:r>
      <w:r w:rsidRPr="0062399F">
        <w:rPr>
          <w:rFonts w:ascii="Times New Roman" w:hAnsi="Times New Roman" w:cs="Times New Roman"/>
        </w:rPr>
        <w:t>. Of these, bacterial and viral infections are the two major classes of etiological agents, each causing different but overlapping clinical syndromes, which complicat</w:t>
      </w:r>
      <w:r>
        <w:rPr>
          <w:rFonts w:ascii="Times New Roman" w:hAnsi="Times New Roman" w:cs="Times New Roman"/>
        </w:rPr>
        <w:t>e fast and correct diagnosis</w:t>
      </w:r>
      <w:r w:rsidR="00DD0C3A">
        <w:rPr>
          <w:rFonts w:ascii="Times New Roman" w:hAnsi="Times New Roman" w:cs="Times New Roman"/>
        </w:rPr>
        <w:t xml:space="preserve"> </w:t>
      </w:r>
      <w:r>
        <w:rPr>
          <w:rFonts w:ascii="Times New Roman" w:eastAsia="Times New Roman" w:hAnsi="Times New Roman" w:cs="Times New Roman"/>
          <w:kern w:val="0"/>
          <w:lang w:eastAsia="en-US" w:bidi="ar-SA"/>
        </w:rPr>
        <w:fldChar w:fldCharType="begin"/>
      </w:r>
      <w:r w:rsidR="0015022C">
        <w:rPr>
          <w:rFonts w:ascii="Times New Roman" w:eastAsia="Times New Roman" w:hAnsi="Times New Roman" w:cs="Times New Roman"/>
          <w:kern w:val="0"/>
          <w:lang w:eastAsia="en-US" w:bidi="ar-SA"/>
        </w:rPr>
        <w:instrText xml:space="preserve"> ADDIN ZOTERO_ITEM CSL_CITATION {"citationID":"Ni0Q0IWj","properties":{"formattedCitation":"\\super 2,3\\nosupersub{}","plainCitation":"2,3","noteIndex":0},"citationItems":[{"id":390,"uris":["http://zotero.org/users/local/BfzbJtgR/items/FTRLWJR5"],"itemData":{"id":390,"type":"article-journal","container-title":"Current Opinion in Infectious Diseases","DOI":"10.1097/QCO.0b013e3280964db4","ISSN":"0951-7375","issue":"3","journalAbbreviation":"Current Opinion in Infectious Diseases","language":"en","page":"304-310","source":"DOI.org (Crossref)","title":"Distinction between bacterial and viral infections:","title-short":"Distinction between bacterial and viral infections","volume":"20","author":[{"family":"Nuutila","given":"Jari"},{"family":"Lilius","given":"Esa-Matti"}],"issued":{"date-parts":[["2007",6]]}}},{"id":389,"uris":["http://zotero.org/users/local/BfzbJtgR/items/4KYZ4VHU"],"itemData":{"id":389,"type":"book","edition":"4th","publisher":"Galveston (TX): University of Texas Medical Branch at Galveston","title":"Principles of Diagnosis. In: Baron S, editor. Medical Microbiology.","URL":"Chapter 10. Available from: https://www.ncbi.nlm.nih.gov/books/NBK8014/","author":[{"family":"Washington","given":"JA"}],"issued":{"date-parts":[["1996"]]}}}],"schema":"https://github.com/citation-style-language/schema/raw/master/csl-citation.json"} </w:instrText>
      </w:r>
      <w:r>
        <w:rPr>
          <w:rFonts w:ascii="Times New Roman" w:eastAsia="Times New Roman" w:hAnsi="Times New Roman" w:cs="Times New Roman"/>
          <w:kern w:val="0"/>
          <w:lang w:eastAsia="en-US" w:bidi="ar-SA"/>
        </w:rPr>
        <w:fldChar w:fldCharType="separate"/>
      </w:r>
      <w:r w:rsidR="0015022C" w:rsidRPr="0015022C">
        <w:rPr>
          <w:rFonts w:ascii="Times New Roman" w:hAnsi="Times New Roman" w:cs="Times New Roman"/>
          <w:vertAlign w:val="superscript"/>
        </w:rPr>
        <w:t>2,3</w:t>
      </w:r>
      <w:r>
        <w:rPr>
          <w:rFonts w:ascii="Times New Roman" w:eastAsia="Times New Roman" w:hAnsi="Times New Roman" w:cs="Times New Roman"/>
          <w:kern w:val="0"/>
          <w:lang w:eastAsia="en-US" w:bidi="ar-SA"/>
        </w:rPr>
        <w:fldChar w:fldCharType="end"/>
      </w:r>
      <w:r w:rsidRPr="0062399F">
        <w:rPr>
          <w:rFonts w:ascii="Times New Roman" w:hAnsi="Times New Roman" w:cs="Times New Roman"/>
        </w:rPr>
        <w:t>.</w:t>
      </w:r>
      <w:r w:rsidR="00DD0C3A">
        <w:rPr>
          <w:rFonts w:ascii="Times New Roman" w:hAnsi="Times New Roman" w:cs="Times New Roman"/>
        </w:rPr>
        <w:t xml:space="preserve"> </w:t>
      </w:r>
      <w:r w:rsidRPr="0062399F">
        <w:rPr>
          <w:rFonts w:ascii="Times New Roman" w:hAnsi="Times New Roman" w:cs="Times New Roman"/>
        </w:rPr>
        <w:t xml:space="preserve">The ability to correctly and promptly </w:t>
      </w:r>
      <w:r w:rsidR="009E748F" w:rsidRPr="0062399F">
        <w:rPr>
          <w:rFonts w:ascii="Times New Roman" w:hAnsi="Times New Roman" w:cs="Times New Roman"/>
        </w:rPr>
        <w:t>distinguish</w:t>
      </w:r>
      <w:r w:rsidRPr="0062399F">
        <w:rPr>
          <w:rFonts w:ascii="Times New Roman" w:hAnsi="Times New Roman" w:cs="Times New Roman"/>
        </w:rPr>
        <w:t xml:space="preserve"> between bacterial and viral causes is essential since it affects the course of medical therapy—antibiotics for bacterial pathogens and sup</w:t>
      </w:r>
      <w:r w:rsidR="00B25CE3">
        <w:rPr>
          <w:rFonts w:ascii="Times New Roman" w:hAnsi="Times New Roman" w:cs="Times New Roman"/>
        </w:rPr>
        <w:t>portive care or antiviral agents</w:t>
      </w:r>
      <w:r w:rsidR="00820D2F">
        <w:rPr>
          <w:rFonts w:ascii="Times New Roman" w:hAnsi="Times New Roman" w:cs="Times New Roman"/>
        </w:rPr>
        <w:t xml:space="preserve">. Still, </w:t>
      </w:r>
      <w:r w:rsidRPr="0062399F">
        <w:rPr>
          <w:rFonts w:ascii="Times New Roman" w:hAnsi="Times New Roman" w:cs="Times New Roman"/>
        </w:rPr>
        <w:t>misuse of antibiotics in situations of diagnostic uncertainty has driven a subtle epidemic: the continuous increase of antimicrobial resistance (AMR). This phenomenon undermines the efficacy of prevailing treatments and makes it more difficult</w:t>
      </w:r>
      <w:r w:rsidR="00FD3127">
        <w:rPr>
          <w:rFonts w:ascii="Times New Roman" w:hAnsi="Times New Roman" w:cs="Times New Roman"/>
        </w:rPr>
        <w:t xml:space="preserve"> to cure infections globally </w:t>
      </w:r>
      <w:r w:rsidR="00FD3127" w:rsidRPr="004F7308">
        <w:rPr>
          <w:rFonts w:ascii="Times New Roman" w:hAnsi="Times New Roman" w:cs="Times New Roman"/>
          <w:vertAlign w:val="superscript"/>
        </w:rPr>
        <w:fldChar w:fldCharType="begin"/>
      </w:r>
      <w:r w:rsidR="0015022C">
        <w:rPr>
          <w:rFonts w:ascii="Times New Roman" w:hAnsi="Times New Roman" w:cs="Times New Roman"/>
          <w:vertAlign w:val="superscript"/>
        </w:rPr>
        <w:instrText xml:space="preserve"> ADDIN ZOTERO_ITEM CSL_CITATION {"citationID":"YbYf3AER","properties":{"formattedCitation":"\\super 4,5\\nosupersub{}","plainCitation":"4,5","noteIndex":0},"citationItems":[{"id":393,"uris":["http://zotero.org/users/local/BfzbJtgR/items/7PQ2H5WP"],"itemData":{"id":393,"type":"article-journal","container-title":"Nature Reviews Microbiology","DOI":"10.1038/nrmicro.2017.103","ISSN":"1740-1526, 1740-1534","issue":"11","journalAbbreviation":"Nat Rev Microbiol","language":"en","page":"697-703","source":"DOI.org (Crossref)","title":"Diagnosing antimicrobial resistance","volume":"15","author":[{"family":"Burnham","given":"Carey-Ann D."},{"family":"Leeds","given":"Jennifer"},{"family":"Nordmann","given":"Patrice"},{"family":"O'Grady","given":"Justin"},{"family":"Patel","given":"Jean"}],"issued":{"date-parts":[["2017",11]]}}},{"id":391,"uris":["http://zotero.org/users/local/BfzbJtgR/items/EEDI6N8V"],"itemData":{"id":391,"type":"article-journal","abstract":"Background:\n              Misuse of antibiotics is prevalent worldwide and primary care is a major contributor. Although a clear diagnosis is fundamental for rational antibiotic use, primary care physicians often struggle with diagnostic uncertainty. However, we know little about how physicians cope with this situation and its association with antibiotic prescribing.\n            \n            \n              Methods:\n              A total of 583 primary care physicians were surveyed using the Dealing with Uncertainty Questionnaire. Their prescriptions (\n              n\n              = 949,181) over the year 2018 were retrieved retrospectively. Two categories of behavioral patterns of participants were identified based on latent class analyses (high vs. low openness and collaborativeness) in responding to diagnostic uncertainty. Multi-level logistic regression models were established to determine the associations between these behavioral patterns and antibiotic prescribing (overall and broad-spectrum antibiotics) for illness without an indication for antibiotics and those with a conditional indication for antibiotics, respectively, after adjustment for variations of patient (level one) and physician (level two) characteristics.\n            \n            \n              Results:\n              Most physicians reported open communications with their patients (80.96%), collected further information (85.08%), and referred patients to specialists (68.95%) in dealing with diagnostic uncertainly. More than half (56.95%) sought help from colleagues. Less than 20% acted on intuition or adopted a “wait and see” strategy. About 40% participants (\n              n\n              = 238) were classified into the group of low openness and collaborativeness in coping with diagnostic uncertainty. They were more likely to prescribe antibiotics for the recorded illness without an indication for antibiotics (AOR = 1.013 for all antibiotics,\n              p\n              = 0.024; AOR = 1.047 for broad-spectrum antibiotics,\n              p\n              &amp;lt; 0.001), as well as for the recorded illness with a conditional indication for antibiotics (AOR = 1.226 for all antibiotic,\n              p\n              &amp;lt; 0.001; AOR = 1.257 for broad-spectrum antibiotics,\n              p\n              &amp;lt; 0.001).\n            \n            \n              Conclusion:\n              Low tolerance with diagnostic uncertainty is evident in primary care. Inappropriate and over antibiotic prescribing is shaped by physicians' coping methods of diagnostic uncertainty. Physicians' openness and collaborativeness in responding to diagnostic uncertainty is associated with lower antibiotic prescribing in primary care. Interventions targeting on better management of diagnostic uncertainty may offer a promising approach in reducing antibiotic use in primary care.","container-title":"Frontiers in Public Health","DOI":"10.3389/fpubh.2021.741345","ISSN":"2296-2565","journalAbbreviation":"Front. Public Health","page":"741345","source":"DOI.org (Crossref)","title":"Coping With Diagnostic Uncertainty in Antibiotic Prescribing: A Latent Class Study of Primary Care Physicians in Hubei China","title-short":"Coping With Diagnostic Uncertainty in Antibiotic Prescribing","volume":"9","author":[{"family":"Liu","given":"Chaojie"},{"family":"Wang","given":"Dan"},{"family":"Duan","given":"Lixia"},{"family":"Zhang","given":"Xinping"},{"family":"Liu","given":"Chenxi"}],"issued":{"date-parts":[["2021",12,9]]}}}],"schema":"https://github.com/citation-style-language/schema/raw/master/csl-citation.json"} </w:instrText>
      </w:r>
      <w:r w:rsidR="00FD3127" w:rsidRPr="004F7308">
        <w:rPr>
          <w:rFonts w:ascii="Times New Roman" w:hAnsi="Times New Roman" w:cs="Times New Roman"/>
          <w:vertAlign w:val="superscript"/>
        </w:rPr>
        <w:fldChar w:fldCharType="separate"/>
      </w:r>
      <w:r w:rsidR="0015022C" w:rsidRPr="0015022C">
        <w:rPr>
          <w:rFonts w:ascii="Times New Roman" w:hAnsi="Times New Roman" w:cs="Times New Roman"/>
          <w:vertAlign w:val="superscript"/>
        </w:rPr>
        <w:t>4,5</w:t>
      </w:r>
      <w:r w:rsidR="00FD3127" w:rsidRPr="004F7308">
        <w:rPr>
          <w:rFonts w:ascii="Times New Roman" w:hAnsi="Times New Roman" w:cs="Times New Roman"/>
          <w:vertAlign w:val="superscript"/>
        </w:rPr>
        <w:fldChar w:fldCharType="end"/>
      </w:r>
      <w:r w:rsidR="00FD3127" w:rsidRPr="004F7308">
        <w:rPr>
          <w:rFonts w:ascii="Times New Roman" w:hAnsi="Times New Roman" w:cs="Times New Roman"/>
          <w:vertAlign w:val="superscript"/>
        </w:rPr>
        <w:t>.</w:t>
      </w:r>
      <w:r w:rsidRPr="0062399F">
        <w:rPr>
          <w:rFonts w:ascii="Times New Roman" w:hAnsi="Times New Roman" w:cs="Times New Roman"/>
        </w:rPr>
        <w:t>.</w:t>
      </w:r>
    </w:p>
    <w:p w:rsidR="0062399F" w:rsidRPr="0062399F" w:rsidRDefault="0062399F" w:rsidP="0062399F">
      <w:pPr>
        <w:pStyle w:val="Textbody"/>
        <w:jc w:val="both"/>
        <w:rPr>
          <w:rFonts w:ascii="Times New Roman" w:hAnsi="Times New Roman" w:cs="Times New Roman"/>
        </w:rPr>
      </w:pPr>
      <w:r w:rsidRPr="0062399F">
        <w:rPr>
          <w:rFonts w:ascii="Times New Roman" w:hAnsi="Times New Roman" w:cs="Times New Roman"/>
        </w:rPr>
        <w:t>Furthermore, exacerbating this problem is the restriction of modern diagnostic techniques that include blood culture, gram stain, and polymerase chain reaction (PCR).</w:t>
      </w:r>
      <w:r>
        <w:rPr>
          <w:rFonts w:ascii="Times New Roman" w:hAnsi="Times New Roman" w:cs="Times New Roman"/>
        </w:rPr>
        <w:t xml:space="preserve"> </w:t>
      </w:r>
      <w:r w:rsidRPr="0062399F">
        <w:rPr>
          <w:rFonts w:ascii="Times New Roman" w:hAnsi="Times New Roman" w:cs="Times New Roman"/>
        </w:rPr>
        <w:t>Though these techniques still establish gold standards for pathogen identification, they often call for much knowledge and resources, have limited sensitivity to certain pathogens, and require long turnaround times</w:t>
      </w:r>
      <w:r w:rsidR="00FD3127">
        <w:rPr>
          <w:rFonts w:ascii="Times New Roman" w:hAnsi="Times New Roman" w:cs="Times New Roman"/>
        </w:rPr>
        <w:t xml:space="preserve">. Their performance also drops </w:t>
      </w:r>
      <w:r w:rsidRPr="0062399F">
        <w:rPr>
          <w:rFonts w:ascii="Times New Roman" w:hAnsi="Times New Roman" w:cs="Times New Roman"/>
        </w:rPr>
        <w:t>in instances where pathogen identification is incomplete due to low bacterial or viral counts, or with polymicrobial infections</w:t>
      </w:r>
      <w:r w:rsidR="00FD3127">
        <w:rPr>
          <w:rFonts w:ascii="Times New Roman" w:hAnsi="Times New Roman" w:cs="Times New Roman"/>
        </w:rPr>
        <w:t xml:space="preserve"> </w:t>
      </w:r>
      <w:r w:rsidR="00FD3127">
        <w:rPr>
          <w:rFonts w:ascii="Times New Roman" w:hAnsi="Times New Roman" w:cs="Times New Roman"/>
        </w:rPr>
        <w:fldChar w:fldCharType="begin"/>
      </w:r>
      <w:r w:rsidR="0015022C">
        <w:rPr>
          <w:rFonts w:ascii="Times New Roman" w:hAnsi="Times New Roman" w:cs="Times New Roman"/>
        </w:rPr>
        <w:instrText xml:space="preserve"> ADDIN ZOTERO_ITEM CSL_CITATION {"citationID":"PnscgbSs","properties":{"formattedCitation":"\\super 6\\nosupersub{}","plainCitation":"6","noteIndex":0},"citationItems":[{"id":394,"uris":["http://zotero.org/users/local/BfzbJtgR/items/UN6P2IIU"],"itemData":{"id":394,"type":"article-journal","container-title":"Médecine et Maladies Infectieuses","DOI":"10.1016/j.medmal.2018.12.004","ISSN":"0399077X","issue":"2","journalAbbreviation":"Médecine et Maladies Infectieuses","language":"en","page":"98-101","source":"DOI.org (Crossref)","title":"Limitations of diagnostic tests for bacterial infections","volume":"49","author":[{"family":"Eldin","given":"C."},{"family":"Parola","given":"P."},{"family":"Raoult","given":"D."}],"issued":{"date-parts":[["2019",3]]}}}],"schema":"https://github.com/citation-style-language/schema/raw/master/csl-citation.json"} </w:instrText>
      </w:r>
      <w:r w:rsidR="00FD3127">
        <w:rPr>
          <w:rFonts w:ascii="Times New Roman" w:hAnsi="Times New Roman" w:cs="Times New Roman"/>
        </w:rPr>
        <w:fldChar w:fldCharType="separate"/>
      </w:r>
      <w:r w:rsidR="0015022C" w:rsidRPr="0015022C">
        <w:rPr>
          <w:rFonts w:ascii="Times New Roman" w:hAnsi="Times New Roman" w:cs="Times New Roman"/>
          <w:vertAlign w:val="superscript"/>
        </w:rPr>
        <w:t>6</w:t>
      </w:r>
      <w:r w:rsidR="00FD3127">
        <w:rPr>
          <w:rFonts w:ascii="Times New Roman" w:hAnsi="Times New Roman" w:cs="Times New Roman"/>
        </w:rPr>
        <w:fldChar w:fldCharType="end"/>
      </w:r>
      <w:r w:rsidRPr="0062399F">
        <w:rPr>
          <w:rFonts w:ascii="Times New Roman" w:hAnsi="Times New Roman" w:cs="Times New Roman"/>
        </w:rPr>
        <w:t>.</w:t>
      </w:r>
    </w:p>
    <w:p w:rsidR="0062399F" w:rsidRPr="00A750AD" w:rsidRDefault="0062399F" w:rsidP="0062399F">
      <w:pPr>
        <w:pStyle w:val="Textbody"/>
        <w:jc w:val="both"/>
        <w:rPr>
          <w:rFonts w:ascii="Times New Roman" w:hAnsi="Times New Roman" w:cs="Times New Roman"/>
        </w:rPr>
      </w:pPr>
      <w:r w:rsidRPr="0062399F">
        <w:rPr>
          <w:rFonts w:ascii="Times New Roman" w:hAnsi="Times New Roman" w:cs="Times New Roman"/>
        </w:rPr>
        <w:t>With these problems, host biomarker-based diagnostic tools present a revolutionary answer. Traditional exams focus on finding the causative pathogen; these fresh approach</w:t>
      </w:r>
      <w:r w:rsidR="00FA674E">
        <w:rPr>
          <w:rFonts w:ascii="Times New Roman" w:hAnsi="Times New Roman" w:cs="Times New Roman"/>
        </w:rPr>
        <w:t xml:space="preserve">es use the </w:t>
      </w:r>
      <w:r w:rsidRPr="0062399F">
        <w:rPr>
          <w:rFonts w:ascii="Times New Roman" w:hAnsi="Times New Roman" w:cs="Times New Roman"/>
        </w:rPr>
        <w:t>host</w:t>
      </w:r>
      <w:r w:rsidR="00FA674E">
        <w:rPr>
          <w:rFonts w:ascii="Times New Roman" w:hAnsi="Times New Roman" w:cs="Times New Roman"/>
        </w:rPr>
        <w:t xml:space="preserve"> immune system</w:t>
      </w:r>
      <w:r w:rsidRPr="0062399F">
        <w:rPr>
          <w:rFonts w:ascii="Times New Roman" w:hAnsi="Times New Roman" w:cs="Times New Roman"/>
        </w:rPr>
        <w:t xml:space="preserve"> complex interplay</w:t>
      </w:r>
      <w:r w:rsidR="00FA674E">
        <w:rPr>
          <w:rFonts w:ascii="Times New Roman" w:hAnsi="Times New Roman" w:cs="Times New Roman"/>
        </w:rPr>
        <w:t>s of the</w:t>
      </w:r>
      <w:r w:rsidRPr="0062399F">
        <w:rPr>
          <w:rFonts w:ascii="Times New Roman" w:hAnsi="Times New Roman" w:cs="Times New Roman"/>
        </w:rPr>
        <w:t xml:space="preserve"> cell activation markers, acutely active agents, and inflammation cytokines</w:t>
      </w:r>
      <w:r w:rsidR="00FD34DD">
        <w:rPr>
          <w:rFonts w:ascii="Times New Roman" w:hAnsi="Times New Roman" w:cs="Times New Roman"/>
        </w:rPr>
        <w:t xml:space="preserve">, </w:t>
      </w:r>
      <w:r w:rsidRPr="0062399F">
        <w:rPr>
          <w:rFonts w:ascii="Times New Roman" w:hAnsi="Times New Roman" w:cs="Times New Roman"/>
        </w:rPr>
        <w:t>to expose the fundamental kind of diseas</w:t>
      </w:r>
      <w:r w:rsidR="00FA674E">
        <w:rPr>
          <w:rFonts w:ascii="Times New Roman" w:hAnsi="Times New Roman" w:cs="Times New Roman"/>
        </w:rPr>
        <w:t xml:space="preserve">e. For example, biomarkers like </w:t>
      </w:r>
      <w:r w:rsidR="00FA674E" w:rsidRPr="0062399F">
        <w:rPr>
          <w:rFonts w:ascii="Times New Roman" w:hAnsi="Times New Roman" w:cs="Times New Roman"/>
        </w:rPr>
        <w:t xml:space="preserve">C-reactive protein (CRP) </w:t>
      </w:r>
      <w:r w:rsidR="00FA674E">
        <w:rPr>
          <w:rFonts w:ascii="Times New Roman" w:hAnsi="Times New Roman" w:cs="Times New Roman"/>
        </w:rPr>
        <w:t xml:space="preserve">and </w:t>
      </w:r>
      <w:r w:rsidRPr="0062399F">
        <w:rPr>
          <w:rFonts w:ascii="Times New Roman" w:hAnsi="Times New Roman" w:cs="Times New Roman"/>
        </w:rPr>
        <w:t xml:space="preserve">Procalcitonin (PCT) </w:t>
      </w:r>
      <w:r w:rsidR="009E748F" w:rsidRPr="0062399F">
        <w:rPr>
          <w:rFonts w:ascii="Times New Roman" w:hAnsi="Times New Roman" w:cs="Times New Roman"/>
        </w:rPr>
        <w:t>deliver</w:t>
      </w:r>
      <w:r w:rsidRPr="0062399F">
        <w:rPr>
          <w:rFonts w:ascii="Times New Roman" w:hAnsi="Times New Roman" w:cs="Times New Roman"/>
        </w:rPr>
        <w:t xml:space="preserve"> surrogate measures of the general inflammatory state of the host, thus offering information on whether the immune reaction is caused by bacterial or viral triggers. Recent developments in multi-marker panels and artificial intelligence systems</w:t>
      </w:r>
      <w:r w:rsidR="00FD3127">
        <w:rPr>
          <w:rFonts w:ascii="Times New Roman" w:hAnsi="Times New Roman" w:cs="Times New Roman"/>
        </w:rPr>
        <w:t>,</w:t>
      </w:r>
      <w:r w:rsidRPr="0062399F">
        <w:rPr>
          <w:rFonts w:ascii="Times New Roman" w:hAnsi="Times New Roman" w:cs="Times New Roman"/>
        </w:rPr>
        <w:t xml:space="preserve"> together with these biomarkers</w:t>
      </w:r>
      <w:r w:rsidR="00FD3127">
        <w:rPr>
          <w:rFonts w:ascii="Times New Roman" w:hAnsi="Times New Roman" w:cs="Times New Roman"/>
        </w:rPr>
        <w:t>,</w:t>
      </w:r>
      <w:r w:rsidRPr="0062399F">
        <w:rPr>
          <w:rFonts w:ascii="Times New Roman" w:hAnsi="Times New Roman" w:cs="Times New Roman"/>
        </w:rPr>
        <w:t xml:space="preserve"> greatly enhance their diagnostic ability by enabling accurate, real-time differentiati</w:t>
      </w:r>
      <w:r w:rsidR="00FD3127">
        <w:rPr>
          <w:rFonts w:ascii="Times New Roman" w:hAnsi="Times New Roman" w:cs="Times New Roman"/>
        </w:rPr>
        <w:t>on previously not possible</w:t>
      </w:r>
      <w:r w:rsidR="00FD3127">
        <w:rPr>
          <w:rFonts w:ascii="Times New Roman" w:hAnsi="Times New Roman" w:cs="Times New Roman"/>
        </w:rPr>
        <w:fldChar w:fldCharType="begin"/>
      </w:r>
      <w:r w:rsidR="0015022C">
        <w:rPr>
          <w:rFonts w:ascii="Times New Roman" w:hAnsi="Times New Roman" w:cs="Times New Roman"/>
        </w:rPr>
        <w:instrText xml:space="preserve"> ADDIN ZOTERO_ITEM CSL_CITATION {"citationID":"a2cg8usa8hr","properties":{"formattedCitation":"\\super 7,8\\nosupersub{}","plainCitation":"7,8","noteIndex":0},"citationItems":[{"id":396,"uris":["http://zotero.org/users/local/BfzbJtgR/items/B8EC7H5L"],"itemData":{"id":396,"type":"article-journal","container-title":"Heliyon","DOI":"10.1016/j.heliyon.2024.e29372","ISSN":"24058440","issue":"8","journalAbbreviation":"Heliyon","language":"en","page":"e29372","source":"DOI.org (Crossref)","title":"Differentiating viral and bacterial infections: A machine learning model based on routine blood test values","title-short":"Differentiating viral and bacterial infections","volume":"10","author":[{"family":"Guncar","given":"Gregor"},{"family":"Kukar","given":"Matjaž"},{"family":"Smole","given":"Tim"},{"family":"Moškon","given":"Sašo"},{"family":"Vovko","given":"Tomaž"},{"family":"Podnar","given":"Simon"},{"family":"Černelč","given":"Peter"},{"family":"Brvar","given":"Miran"},{"family":"Notar","given":"Mateja"},{"family":"Köster","given":"Manca"},{"family":"Jelenc","given":"Marjeta Tušek"},{"family":"Osterc","given":"Žiga"},{"family":"Notar","given":"Marko"}],"issued":{"date-parts":[["2024",4]]}}},{"id":398,"uris":["http://zotero.org/users/local/BfzbJtgR/items/M885DQTG"],"itemData":{"id":398,"type":"article-journal","abstract":"BACKGROUND: Distinguishing bacterial and viral infections based on clinical symptoms in febrile children attending the emergency department (ED) is challenging. The aim of this study is to determine a novel combination of host protein biomarkers and to assess its performance in distinguishing between bacterial and viral infection in febrile children attending EDs.\nMETHODS: A literature search was performed to identify blood protein biomarkers able to distinguish bacterial and viral infections (May 2015-May 2019). We selected 7 protein biomarkers: Procalcitonin, TNF-related apoptosis-inducing ligand (TRAIL), interleukin (IL)-4, IL-6, Interferon gamma-induced protein-10 (CXCL-10), interferon-gamma and lipocalin 2 (LCN2). These were measured in blood plasma using a bead-based immunoassay in children with a confirmed bacterial or viral infection attending EDs in the Netherlands. We used generalized linear modeling to classify bacterial and viral infections and applied a previously developed feature selection algorithm to select the optimal combination of proteins. We performed a subgroup analysis of this protein signature in patients with C-reactive protein &lt;60 mg/L, representing a clinically challenging diagnostic group.\nRESULTS: In total 102 children were included (N = 67 bacterial; N = 35 viral). Individual performance of the 7 biomarkers in classifying bacterial versus viral infections ranged from 60.8%-74.5% area under the receiver operator curve (AUC). TRAIL, LCN2 and IL-6 were identified as the best 3-protein signature with an AUC of 86% (95% CI: 71.3%-100%). In 57 patients with C-reactive protein levels &lt;60 mg/L, the 3-protein signature had an AUC of 85.1% (95% CI: 75.3%-94.9%).\nCONCLUSION: We demonstrate a promising novel combination of 3 host protein biomarkers; TRAIL, LCN2 and IL-6, which performs well in classifying bacterial and viral infections in febrile children in emergency care.","container-title":"The Pediatric Infectious Disease Journal","DOI":"10.1097/INF.0000000000003952","ISSN":"1532-0987","issue":"7","journalAbbreviation":"Pediatr Infect Dis J","language":"eng","note":"PMID: 37200500","page":"e235-e242","source":"PubMed","title":"A Novel Combination of Host Protein Biomarkers to Distinguish Bacterial From Viral Infections in Febrile Children in Emergency Care","volume":"42","author":[{"family":"Tan","given":"Chantal D."},{"family":"Broek","given":"Bryan","non-dropping-particle":"van den"},{"family":"Womersley","given":"Rebecca S."},{"family":"Kaforou","given":"Myrsini"},{"family":"Hagedoorn","given":"Nienke N."},{"family":"Flier","given":"Michiel","non-dropping-particle":"van der"},{"family":"Jackson","given":"Heather"},{"family":"Moll","given":"Henriette A."},{"family":"Snijder","given":"Rozemarijn"},{"family":"Jonge","given":"Marien I.","non-dropping-particle":"de"},{"family":"Vermont","given":"Clementien L."},{"literal":"PERFORM Consortium"}],"issued":{"date-parts":[["2023",7,1]]}}}],"schema":"https://github.com/citation-style-language/schema/raw/master/csl-citation.json"} </w:instrText>
      </w:r>
      <w:r w:rsidR="00FD3127">
        <w:rPr>
          <w:rFonts w:ascii="Times New Roman" w:hAnsi="Times New Roman" w:cs="Times New Roman"/>
        </w:rPr>
        <w:fldChar w:fldCharType="separate"/>
      </w:r>
      <w:r w:rsidR="0015022C" w:rsidRPr="0015022C">
        <w:rPr>
          <w:rFonts w:ascii="Times New Roman" w:hAnsi="Times New Roman" w:cs="Times New Roman"/>
          <w:vertAlign w:val="superscript"/>
        </w:rPr>
        <w:t>7,8</w:t>
      </w:r>
      <w:r w:rsidR="00FD3127">
        <w:rPr>
          <w:rFonts w:ascii="Times New Roman" w:hAnsi="Times New Roman" w:cs="Times New Roman"/>
        </w:rPr>
        <w:fldChar w:fldCharType="end"/>
      </w:r>
      <w:r w:rsidRPr="0062399F">
        <w:rPr>
          <w:rFonts w:ascii="Times New Roman" w:hAnsi="Times New Roman" w:cs="Times New Roman"/>
        </w:rPr>
        <w:t>.</w:t>
      </w:r>
    </w:p>
    <w:p w:rsidR="00DD0C3A" w:rsidRPr="00DD0C3A" w:rsidRDefault="00DD0C3A" w:rsidP="00DD0C3A">
      <w:pPr>
        <w:pStyle w:val="Textbody"/>
        <w:jc w:val="both"/>
        <w:rPr>
          <w:rFonts w:ascii="Times New Roman" w:hAnsi="Times New Roman" w:cs="Times New Roman"/>
        </w:rPr>
      </w:pPr>
      <w:r w:rsidRPr="00DD0C3A">
        <w:rPr>
          <w:rFonts w:ascii="Times New Roman" w:hAnsi="Times New Roman" w:cs="Times New Roman"/>
        </w:rPr>
        <w:t>This change in approach opens the door for focused antimicrobial stewardship initiatives that would lower the likelihood of AMR by limiting the unselective use of antibiotics in addition to enhancing clinical decision-making. This chapter investigates the scientific foundation and practical uses of host biomarker-based diagnostics</w:t>
      </w:r>
      <w:r w:rsidR="00FD34DD">
        <w:rPr>
          <w:rFonts w:ascii="Times New Roman" w:hAnsi="Times New Roman" w:cs="Times New Roman"/>
        </w:rPr>
        <w:t>,</w:t>
      </w:r>
      <w:r w:rsidRPr="00DD0C3A">
        <w:rPr>
          <w:rFonts w:ascii="Times New Roman" w:hAnsi="Times New Roman" w:cs="Times New Roman"/>
        </w:rPr>
        <w:t xml:space="preserve"> together with their revolutionizing effect on infection control in several kinds of medical settings.</w:t>
      </w:r>
    </w:p>
    <w:p w:rsidR="009A0D94" w:rsidRDefault="00DB776B" w:rsidP="00905BA9">
      <w:pPr>
        <w:pStyle w:val="Textbody"/>
        <w:jc w:val="both"/>
        <w:rPr>
          <w:rFonts w:ascii="Times New Roman" w:eastAsia="Times New Roman" w:hAnsi="Times New Roman" w:cs="Times New Roman"/>
          <w:bCs/>
          <w:sz w:val="28"/>
          <w:szCs w:val="28"/>
        </w:rPr>
      </w:pPr>
      <w:r w:rsidRPr="00DB776B">
        <w:rPr>
          <w:rStyle w:val="Heading1Char"/>
          <w:rFonts w:ascii="Times New Roman" w:hAnsi="Times New Roman" w:cs="Times New Roman"/>
          <w:b/>
          <w:color w:val="auto"/>
          <w:sz w:val="28"/>
          <w:szCs w:val="28"/>
        </w:rPr>
        <w:t xml:space="preserve">2. </w:t>
      </w:r>
      <w:bookmarkStart w:id="2" w:name="_Toc193802113"/>
      <w:r w:rsidR="00977F45" w:rsidRPr="00DB776B">
        <w:rPr>
          <w:rStyle w:val="Heading1Char"/>
          <w:rFonts w:ascii="Times New Roman" w:hAnsi="Times New Roman" w:cs="Times New Roman"/>
          <w:b/>
          <w:color w:val="auto"/>
          <w:sz w:val="28"/>
          <w:szCs w:val="28"/>
        </w:rPr>
        <w:t>Host Biomarker-Based Diagnostics</w:t>
      </w:r>
      <w:r w:rsidR="00977F45" w:rsidRPr="00DB776B">
        <w:rPr>
          <w:rFonts w:ascii="Times New Roman" w:eastAsia="Times New Roman" w:hAnsi="Times New Roman" w:cs="Times New Roman"/>
          <w:bCs/>
          <w:sz w:val="28"/>
          <w:szCs w:val="28"/>
        </w:rPr>
        <w:t>:</w:t>
      </w:r>
      <w:bookmarkEnd w:id="2"/>
    </w:p>
    <w:p w:rsidR="00905BA9" w:rsidRPr="00DB776B" w:rsidRDefault="00905BA9" w:rsidP="00905BA9">
      <w:pPr>
        <w:pStyle w:val="Textbody"/>
        <w:jc w:val="both"/>
        <w:rPr>
          <w:rFonts w:ascii="Times New Roman" w:eastAsia="Times New Roman" w:hAnsi="Times New Roman" w:cs="Times New Roman"/>
          <w:bCs/>
          <w:sz w:val="28"/>
          <w:szCs w:val="28"/>
        </w:rPr>
      </w:pPr>
      <w:r w:rsidRPr="00DD0C3A">
        <w:rPr>
          <w:rFonts w:ascii="Times New Roman" w:hAnsi="Times New Roman" w:cs="Times New Roman"/>
        </w:rPr>
        <w:t xml:space="preserve">Host biomarker-based tests use immune system-generated compounds to help identify diseases, inflammation, or illness. Important groups include— </w:t>
      </w:r>
    </w:p>
    <w:p w:rsidR="007F098B" w:rsidRPr="00DB776B" w:rsidRDefault="00DB776B" w:rsidP="00DB776B">
      <w:pPr>
        <w:pStyle w:val="Heading2"/>
        <w:rPr>
          <w:rStyle w:val="match"/>
          <w:rFonts w:ascii="Times New Roman" w:hAnsi="Times New Roman" w:cs="Times New Roman"/>
          <w:b/>
          <w:color w:val="auto"/>
          <w:sz w:val="24"/>
          <w:lang w:bidi="hi-IN"/>
        </w:rPr>
      </w:pPr>
      <w:bookmarkStart w:id="3" w:name="_Toc193802114"/>
      <w:r>
        <w:rPr>
          <w:rStyle w:val="match"/>
          <w:rFonts w:ascii="Times New Roman" w:hAnsi="Times New Roman" w:cs="Times New Roman"/>
          <w:b/>
          <w:color w:val="auto"/>
          <w:sz w:val="24"/>
        </w:rPr>
        <w:t xml:space="preserve">2.1. </w:t>
      </w:r>
      <w:r w:rsidR="007F098B" w:rsidRPr="00DB776B">
        <w:rPr>
          <w:rStyle w:val="match"/>
          <w:rFonts w:ascii="Times New Roman" w:hAnsi="Times New Roman" w:cs="Times New Roman"/>
          <w:b/>
          <w:color w:val="auto"/>
          <w:sz w:val="24"/>
        </w:rPr>
        <w:t>Cytokines:</w:t>
      </w:r>
      <w:bookmarkEnd w:id="3"/>
      <w:r w:rsidR="007F098B" w:rsidRPr="00DB776B">
        <w:rPr>
          <w:rStyle w:val="match"/>
          <w:rFonts w:ascii="Times New Roman" w:hAnsi="Times New Roman" w:cs="Times New Roman"/>
          <w:b/>
          <w:color w:val="auto"/>
          <w:sz w:val="24"/>
          <w:lang w:bidi="hi-IN"/>
        </w:rPr>
        <w:t xml:space="preserve"> </w:t>
      </w:r>
    </w:p>
    <w:p w:rsidR="001E4BA4" w:rsidRDefault="007F098B" w:rsidP="00F861EB">
      <w:pPr>
        <w:pStyle w:val="Standard"/>
        <w:suppressAutoHyphens w:val="0"/>
        <w:spacing w:before="280" w:after="280" w:line="276" w:lineRule="auto"/>
        <w:jc w:val="both"/>
        <w:textAlignment w:val="auto"/>
      </w:pPr>
      <w:r>
        <w:rPr>
          <w:rStyle w:val="match"/>
        </w:rPr>
        <w:t xml:space="preserve">Cytokines are </w:t>
      </w:r>
      <w:r w:rsidR="00FA674E">
        <w:rPr>
          <w:rStyle w:val="match"/>
        </w:rPr>
        <w:t>crucial</w:t>
      </w:r>
      <w:r>
        <w:rPr>
          <w:rStyle w:val="match"/>
        </w:rPr>
        <w:t xml:space="preserve"> </w:t>
      </w:r>
      <w:r w:rsidR="00001F28">
        <w:rPr>
          <w:rStyle w:val="match"/>
        </w:rPr>
        <w:t>signaling</w:t>
      </w:r>
      <w:r w:rsidR="00FA674E">
        <w:rPr>
          <w:rStyle w:val="match"/>
        </w:rPr>
        <w:t xml:space="preserve"> molecules released </w:t>
      </w:r>
      <w:r>
        <w:rPr>
          <w:rStyle w:val="match"/>
        </w:rPr>
        <w:t xml:space="preserve">by immune cells that </w:t>
      </w:r>
      <w:r w:rsidR="00FA674E">
        <w:rPr>
          <w:rStyle w:val="match"/>
        </w:rPr>
        <w:t>control</w:t>
      </w:r>
      <w:r>
        <w:rPr>
          <w:rStyle w:val="match"/>
        </w:rPr>
        <w:t xml:space="preserve"> inflammation, immune activation, and tissue homeostasis </w:t>
      </w:r>
      <w:r>
        <w:rPr>
          <w:rStyle w:val="match"/>
        </w:rPr>
        <w:fldChar w:fldCharType="begin"/>
      </w:r>
      <w:r w:rsidR="0015022C">
        <w:rPr>
          <w:rStyle w:val="match"/>
        </w:rPr>
        <w:instrText xml:space="preserve"> ADDIN ZOTERO_ITEM CSL_CITATION {"citationID":"JnwsmKfa","properties":{"formattedCitation":"\\super 9\\nosupersub{}","plainCitation":"9","noteIndex":0},"citationItems":[{"id":401,"uris":["http://zotero.org/users/local/BfzbJtgR/items/U9EGRM7L"],"itemData":{"id":401,"type":"article-journal","container-title":"European Journal of Immunology","DOI":"10.1002/eji.200737772","ISSN":"00142980, 15214141","issue":"S1","journalAbbreviation":"Eur. J. Immunol.","language":"en","license":"http://doi.wiley.com/10.1002/tdm_license_1.1","page":"S34-S45","source":"DOI.org (Crossref)","title":"Historical insights into cytokines","volume":"37","author":[{"family":"Dinarello","given":"Charles A."}],"issued":{"date-parts":[["2007",11]]}}}],"schema":"https://github.com/citation-style-language/schema/raw/master/csl-citation.json"} </w:instrText>
      </w:r>
      <w:r>
        <w:rPr>
          <w:rStyle w:val="match"/>
        </w:rPr>
        <w:fldChar w:fldCharType="separate"/>
      </w:r>
      <w:r w:rsidR="0015022C" w:rsidRPr="0015022C">
        <w:rPr>
          <w:rFonts w:cs="Times New Roman"/>
          <w:vertAlign w:val="superscript"/>
        </w:rPr>
        <w:t>9</w:t>
      </w:r>
      <w:r>
        <w:rPr>
          <w:rStyle w:val="match"/>
        </w:rPr>
        <w:fldChar w:fldCharType="end"/>
      </w:r>
      <w:r>
        <w:rPr>
          <w:rStyle w:val="match"/>
        </w:rPr>
        <w:t xml:space="preserve">. Their levels can fluctuate in response to infections, autoimmune diseases, and cancer, making them valuable biomarkers for diagnosing, prognosing, </w:t>
      </w:r>
      <w:r>
        <w:rPr>
          <w:rStyle w:val="match"/>
        </w:rPr>
        <w:lastRenderedPageBreak/>
        <w:t xml:space="preserve">and monitoring diseases </w:t>
      </w:r>
      <w:r>
        <w:rPr>
          <w:rStyle w:val="match"/>
        </w:rPr>
        <w:fldChar w:fldCharType="begin"/>
      </w:r>
      <w:r w:rsidR="0015022C">
        <w:rPr>
          <w:rStyle w:val="match"/>
        </w:rPr>
        <w:instrText xml:space="preserve"> ADDIN ZOTERO_ITEM CSL_CITATION {"citationID":"ikJFOUrl","properties":{"formattedCitation":"\\super 10,11\\nosupersub{}","plainCitation":"10,11","noteIndex":0},"citationItems":[{"id":407,"uris":["http://zotero.org/users/local/BfzbJtgR/items/ZFS2LYYF"],"itemData":{"id":407,"type":"article-journal","abstract":"Systemic Lupus Erythematosus (SLE) is a chronic autoimmune disease. The disease is characterized by activation and dysregulation of both the innate and the adaptive immune systems. The autoimmune response targets self-molecules including cell nuclei, double stranded DNA and other intra and extracellular structures. Multiple susceptibility genes within the immune system have been identified, as well as disturbances in different immune pathways. SLE may affect different organs and organ systems, and organ involvement is diverse among individuals. A universal understanding of pathophysiological mechanism of the disease, as well as directed therapies, are still missing. Cytokines are immunomodulating molecules produced by cells of the immune system. Interferons (IFNs) are a broad group of cytokines, primarily produced by the innate immune system. The IFN system has been observed to be dysregulated in SLE, and therefore IFNs have been extensively studied with a hope to understand the disease mechanisms and identify novel targeted therapies. In several autoimmune diseases identification and subsequent blockade of specific cytokines has led to successful therapies, for example tumor necrosis factor-alpha (TNF-α) inhibition in rheumatoid arthritis. Authors of this review have sought corresponding developments in SLE. In the current review, we cover the actual knowledge on IFNs and other studied cytokines as biomarkers and treatment targets in SLE.","container-title":"International Journal of Molecular Sciences","DOI":"10.3390/ijms222111327","ISSN":"1422-0067","issue":"21","journalAbbreviation":"IJMS","language":"en","license":"https://creativecommons.org/licenses/by/4.0/","page":"11327","source":"DOI.org (Crossref)","title":"Cytokines as Biomarkers in Systemic Lupus Erythematosus: Value for Diagnosis and Drug Therapy","title-short":"Cytokines as Biomarkers in Systemic Lupus Erythematosus","volume":"22","author":[{"family":"Idborg","given":"Helena"},{"family":"Oke","given":"Vilija"}],"issued":{"date-parts":[["2021",10,20]]}}},{"id":405,"uris":["http://zotero.org/users/local/BfzbJtgR/items/82C7UQIN"],"itemData":{"id":405,"type":"article-journal","abstract":"Cytokines, including interleukins, interferons, tumor necrosis factors, and chemokines, have a variety of pro- and anti-inflammatory effects in the body through a number of biochemical pathways and interactions. Stimuli, actions, interactions, and downstream effects of cytokines have been investigated in more depth in recent years, and clinical research has also been conducted to implicate cytokines in causal patterns in certain diseases. However, particular cutoffs of cytokines as biomarkers for disease processes have not been well studied, and this warrants future work to potentially improve diagnoses for diseases with inflammatory markers. A limited number of studies in this area are reviewed, considering diseases correlated with abnormal cytokine profiles, as well as specific cutoffs at which cytokines have been deemed clinically useful for diagnosing those diseases through Receiver Operator Characteristics modeling. In light of studies such as those discussed in this review, cytokine testing has the potential to support diagnosis due to its lack of invasiveness and low cost, compared to other common types of testing for infections and inflammatory diseases.","container-title":"International Journal of Inflammation","DOI":"10.1155/2017/4309485","ISSN":"2090-8040, 2042-0099","journalAbbreviation":"International Journal of Inflammation","language":"en","license":"http://creativecommons.org/licenses/by/4.0/","page":"1-11","source":"DOI.org (Crossref)","title":"Cytokines as Biomarkers and Their Respective Clinical Cutoff Levels","volume":"2017","author":[{"family":"Monastero","given":"Rebecca N."},{"family":"Pentyala","given":"Srinivas"}],"issued":{"date-parts":[["2017"]]}}}],"schema":"https://github.com/citation-style-language/schema/raw/master/csl-citation.json"} </w:instrText>
      </w:r>
      <w:r>
        <w:rPr>
          <w:rStyle w:val="match"/>
        </w:rPr>
        <w:fldChar w:fldCharType="separate"/>
      </w:r>
      <w:r w:rsidR="0015022C" w:rsidRPr="0015022C">
        <w:rPr>
          <w:rFonts w:cs="Times New Roman"/>
          <w:vertAlign w:val="superscript"/>
        </w:rPr>
        <w:t>10,11</w:t>
      </w:r>
      <w:r>
        <w:rPr>
          <w:rStyle w:val="match"/>
        </w:rPr>
        <w:fldChar w:fldCharType="end"/>
      </w:r>
      <w:r>
        <w:rPr>
          <w:rStyle w:val="match"/>
        </w:rPr>
        <w:t xml:space="preserve">. </w:t>
      </w:r>
      <w:r w:rsidR="007C39E4" w:rsidRPr="007C39E4">
        <w:t xml:space="preserve">Cytokines are </w:t>
      </w:r>
      <w:r w:rsidR="007C39E4" w:rsidRPr="007C39E4">
        <w:rPr>
          <w:bCs/>
        </w:rPr>
        <w:t>secreted</w:t>
      </w:r>
      <w:r w:rsidR="007C39E4" w:rsidRPr="007C39E4">
        <w:t xml:space="preserve"> </w:t>
      </w:r>
      <w:r w:rsidR="007C39E4" w:rsidRPr="007C39E4">
        <w:rPr>
          <w:bCs/>
        </w:rPr>
        <w:t>through</w:t>
      </w:r>
      <w:r w:rsidR="007C39E4" w:rsidRPr="007C39E4">
        <w:t xml:space="preserve"> </w:t>
      </w:r>
      <w:r w:rsidR="007C39E4" w:rsidRPr="007C39E4">
        <w:rPr>
          <w:bCs/>
        </w:rPr>
        <w:t>different</w:t>
      </w:r>
      <w:r w:rsidR="007C39E4" w:rsidRPr="007C39E4">
        <w:t xml:space="preserve"> paracrine and</w:t>
      </w:r>
      <w:r w:rsidR="006020B7">
        <w:t xml:space="preserve"> autocrine or endocrine </w:t>
      </w:r>
      <w:r w:rsidR="00FD34DD">
        <w:t>systems</w:t>
      </w:r>
      <w:r w:rsidR="007C39E4" w:rsidRPr="007C39E4">
        <w:t xml:space="preserve"> and </w:t>
      </w:r>
      <w:r w:rsidR="00FD34DD">
        <w:rPr>
          <w:bCs/>
        </w:rPr>
        <w:t xml:space="preserve">are involved </w:t>
      </w:r>
      <w:r w:rsidR="007C39E4" w:rsidRPr="007C39E4">
        <w:t>in various infections</w:t>
      </w:r>
      <w:r w:rsidR="007C39E4" w:rsidRPr="007C39E4">
        <w:rPr>
          <w:bCs/>
        </w:rPr>
        <w:t>,</w:t>
      </w:r>
      <w:r w:rsidR="007C39E4" w:rsidRPr="007C39E4">
        <w:t xml:space="preserve"> </w:t>
      </w:r>
      <w:r w:rsidR="007C39E4" w:rsidRPr="007C39E4">
        <w:rPr>
          <w:bCs/>
        </w:rPr>
        <w:t>influencing</w:t>
      </w:r>
      <w:r w:rsidR="007C39E4" w:rsidRPr="007C39E4">
        <w:t xml:space="preserve"> </w:t>
      </w:r>
      <w:r w:rsidR="007C39E4" w:rsidRPr="007C39E4">
        <w:rPr>
          <w:bCs/>
        </w:rPr>
        <w:t>patients</w:t>
      </w:r>
      <w:r w:rsidR="007C39E4" w:rsidRPr="007C39E4">
        <w:t xml:space="preserve"> </w:t>
      </w:r>
      <w:r w:rsidR="007C39E4" w:rsidRPr="007C39E4">
        <w:rPr>
          <w:bCs/>
        </w:rPr>
        <w:t>through</w:t>
      </w:r>
      <w:r w:rsidR="007C39E4" w:rsidRPr="007C39E4">
        <w:t xml:space="preserve"> </w:t>
      </w:r>
      <w:r w:rsidR="007C39E4" w:rsidRPr="007C39E4">
        <w:rPr>
          <w:bCs/>
        </w:rPr>
        <w:t>both</w:t>
      </w:r>
      <w:r w:rsidR="007C39E4" w:rsidRPr="007C39E4">
        <w:t xml:space="preserve"> inflammatory and anti-inflammatory </w:t>
      </w:r>
      <w:r w:rsidR="007C39E4" w:rsidRPr="007C39E4">
        <w:rPr>
          <w:bCs/>
        </w:rPr>
        <w:t>processes</w:t>
      </w:r>
      <w:r w:rsidR="007D09C0">
        <w:rPr>
          <w:bCs/>
        </w:rPr>
        <w:t xml:space="preserve"> </w:t>
      </w:r>
      <w:r w:rsidR="007C39E4">
        <w:rPr>
          <w:bCs/>
        </w:rPr>
        <w:fldChar w:fldCharType="begin"/>
      </w:r>
      <w:r w:rsidR="0015022C">
        <w:rPr>
          <w:bCs/>
        </w:rPr>
        <w:instrText xml:space="preserve"> ADDIN ZOTERO_ITEM CSL_CITATION {"citationID":"za0IIKbB","properties":{"formattedCitation":"\\super 12,13\\nosupersub{}","plainCitation":"12,13","noteIndex":0},"citationItems":[{"id":410,"uris":["http://zotero.org/users/local/BfzbJtgR/items/XFB5SEMZ"],"itemData":{"id":410,"type":"article-journal","abstract":"Interleukins (ILs) are signaling molecules that are crucial in regulating immune responses during infectious diseases. Pro-inflammatory ILs contribute to the activation and recruitment of immune cells, whereas anti-inflammatory ILs help to suppress excessive inflammation and promote tissue repair. Here, we provide a comprehensive overview of the role of pro-inflammatory and anti-inflammatory ILs in infectious diseases, with a focus on the mechanisms underlying their effects, their diagnostic and therapeutic potential, and emerging trends in IL-based therapies.","container-title":"Tropical Medicine and Infectious Disease","DOI":"10.3390/tropicalmed9010013","ISSN":"2414-6366","issue":"1","journalAbbreviation":"Trop Med Infect Dis","language":"eng","note":"PMID: 38251210\nPMCID: PMC10818686","page":"13","source":"PubMed","title":"Pro-Inflammatory and Anti-Inflammatory Interleukins in Infectious Diseases: A Comprehensive Review","title-short":"Pro-Inflammatory and Anti-Inflammatory Interleukins in Infectious Diseases","volume":"9","author":[{"family":"Al-Qahtani","given":"Arwa A."},{"family":"Alhamlan","given":"Fatimah S."},{"family":"Al-Qahtani","given":"Ahmed Ali"}],"issued":{"date-parts":[["2024",1,4]]}}},{"id":409,"uris":["http://zotero.org/users/local/BfzbJtgR/items/PDYYDH7E"],"itemData":{"id":409,"type":"book","edition":"In: Anaya JM, Shoenfeld Y, Rojas-Villarraga A, et al., editors. Autoimmunity: From Bench to Bedside [Internet].","publisher":"Bogota (Colombia): El Rosario University Press;","title":"Cytokines, chemokines and growth factors.","URL":"https://www.ncbi.nlm.nih.gov/books/NBK459450/","author":[{"family":"Garcia","given":"Morán GA"},{"family":"Parra-Medina","given":"R"},{"family":"Cardona","given":"AG","suffix":""}],"issued":{"date-parts":[["2013",7,18]]}}}],"schema":"https://github.com/citation-style-language/schema/raw/master/csl-citation.json"} </w:instrText>
      </w:r>
      <w:r w:rsidR="007C39E4">
        <w:rPr>
          <w:bCs/>
        </w:rPr>
        <w:fldChar w:fldCharType="separate"/>
      </w:r>
      <w:r w:rsidR="0015022C" w:rsidRPr="0015022C">
        <w:rPr>
          <w:rFonts w:cs="Times New Roman"/>
          <w:vertAlign w:val="superscript"/>
        </w:rPr>
        <w:t>12,13</w:t>
      </w:r>
      <w:r w:rsidR="007C39E4">
        <w:rPr>
          <w:bCs/>
        </w:rPr>
        <w:fldChar w:fldCharType="end"/>
      </w:r>
      <w:r w:rsidR="007C39E4" w:rsidRPr="007C39E4">
        <w:t>.</w:t>
      </w:r>
      <w:r w:rsidR="00B70865">
        <w:t xml:space="preserve"> </w:t>
      </w:r>
      <w:r w:rsidR="007D09C0" w:rsidRPr="007D09C0">
        <w:t xml:space="preserve">There are </w:t>
      </w:r>
      <w:r w:rsidR="007D09C0" w:rsidRPr="007D09C0">
        <w:rPr>
          <w:bCs/>
        </w:rPr>
        <w:t>different</w:t>
      </w:r>
      <w:r w:rsidR="007D09C0" w:rsidRPr="007D09C0">
        <w:t xml:space="preserve"> pro-inflammatory cytokines</w:t>
      </w:r>
      <w:r w:rsidR="00905BA9">
        <w:t>,</w:t>
      </w:r>
      <w:r w:rsidR="007D09C0" w:rsidRPr="007D09C0">
        <w:t xml:space="preserve"> </w:t>
      </w:r>
      <w:r w:rsidR="007D09C0" w:rsidRPr="007D09C0">
        <w:rPr>
          <w:bCs/>
        </w:rPr>
        <w:t>including</w:t>
      </w:r>
      <w:r w:rsidR="007D09C0" w:rsidRPr="007D09C0">
        <w:t xml:space="preserve"> interferon</w:t>
      </w:r>
      <w:r w:rsidR="007D09C0" w:rsidRPr="007D09C0">
        <w:rPr>
          <w:bCs/>
        </w:rPr>
        <w:t>-ϒ,</w:t>
      </w:r>
      <w:r w:rsidR="00C3436D">
        <w:t xml:space="preserve"> interleukin-17, </w:t>
      </w:r>
      <w:r w:rsidR="00C3436D" w:rsidRPr="007D09C0">
        <w:t>tumor necrosis factor-α (TNF-α)</w:t>
      </w:r>
      <w:r w:rsidR="00C3436D">
        <w:t xml:space="preserve">, </w:t>
      </w:r>
      <w:r w:rsidR="00C3436D" w:rsidRPr="007D09C0">
        <w:t>interleukin</w:t>
      </w:r>
      <w:r w:rsidR="00C3436D" w:rsidRPr="007D09C0">
        <w:rPr>
          <w:bCs/>
        </w:rPr>
        <w:t>-β</w:t>
      </w:r>
      <w:r w:rsidR="00C3436D">
        <w:rPr>
          <w:bCs/>
        </w:rPr>
        <w:t xml:space="preserve"> and </w:t>
      </w:r>
      <w:r w:rsidR="00C3436D">
        <w:t>interleukin-6</w:t>
      </w:r>
      <w:r w:rsidR="00FD34DD">
        <w:t>,</w:t>
      </w:r>
      <w:r w:rsidR="00C3436D">
        <w:t xml:space="preserve"> </w:t>
      </w:r>
      <w:r w:rsidR="007D09C0" w:rsidRPr="007D09C0">
        <w:rPr>
          <w:bCs/>
        </w:rPr>
        <w:t>as</w:t>
      </w:r>
      <w:r w:rsidR="007D09C0" w:rsidRPr="007D09C0">
        <w:t xml:space="preserve"> </w:t>
      </w:r>
      <w:r w:rsidR="007D09C0" w:rsidRPr="007D09C0">
        <w:rPr>
          <w:bCs/>
        </w:rPr>
        <w:t xml:space="preserve">well as </w:t>
      </w:r>
      <w:r w:rsidR="00C3436D">
        <w:rPr>
          <w:bCs/>
        </w:rPr>
        <w:t xml:space="preserve">immune suppressive </w:t>
      </w:r>
      <w:r w:rsidR="007D09C0" w:rsidRPr="007D09C0">
        <w:t xml:space="preserve">cytokines </w:t>
      </w:r>
      <w:r w:rsidR="007D09C0" w:rsidRPr="007D09C0">
        <w:rPr>
          <w:bCs/>
        </w:rPr>
        <w:t>like</w:t>
      </w:r>
      <w:r w:rsidR="007D09C0" w:rsidRPr="007D09C0">
        <w:t xml:space="preserve"> </w:t>
      </w:r>
      <w:r w:rsidR="00C3436D" w:rsidRPr="007D09C0">
        <w:t>I</w:t>
      </w:r>
      <w:r w:rsidR="00C3436D">
        <w:t>nterleukin</w:t>
      </w:r>
      <w:r w:rsidR="00C3436D" w:rsidRPr="007D09C0">
        <w:t>-4</w:t>
      </w:r>
      <w:r w:rsidR="00C3436D">
        <w:t xml:space="preserve">, </w:t>
      </w:r>
      <w:r w:rsidR="007D09C0" w:rsidRPr="007D09C0">
        <w:t>I</w:t>
      </w:r>
      <w:r w:rsidR="00C3436D">
        <w:t>nterleukin</w:t>
      </w:r>
      <w:r w:rsidR="007D09C0" w:rsidRPr="007D09C0">
        <w:t>-10, I</w:t>
      </w:r>
      <w:r w:rsidR="00C3436D">
        <w:t>nterleukin</w:t>
      </w:r>
      <w:r w:rsidR="007D09C0" w:rsidRPr="007D09C0">
        <w:t>-1ra</w:t>
      </w:r>
      <w:r w:rsidR="007D09C0">
        <w:fldChar w:fldCharType="begin"/>
      </w:r>
      <w:r w:rsidR="00B41ACC">
        <w:instrText xml:space="preserve"> ADDIN ZOTERO_ITEM CSL_CITATION {"citationID":"ybAKtXFB","properties":{"formattedCitation":"\\super 14\\uc0\\u8211{}16\\nosupersub{}","plainCitation":"14–16","dontUpdate":true,"noteIndex":0},"citationItems":[{"id":442,"uris":["http://zotero.org/users/local/BfzbJtgR/items/7YBJZAJ7"],"itemData":{"id":442,"type":"article-journal","abstract":"The capacity to down-regulate the production of IL-8 by LPS-activated human polymorphonuclear cells (PMN) has been demonstrated for IL-4, IL-10, and TGFbeta. We compared their relative capacities and further extended this property to IL-13. We report a great heterogeneity among individuals related to the responsiveness of PMN to the IL-4 and IL-13 inhibitory effects while their response to the IL-10 effect was homogenous. The inhibitory activities were observed at the transcriptional level. IL-8 induction by TNFalpha was, unlike its induction by LPS, resistant to the inhibitory effects of IL-10, IL-4, IL-13 and TGFbeta. Furthermore, IL-10 and IL-4 inhibitory activity were less effective when TNFalpha was acting synergistically with LPS to induce IL-8 production by PMN. LPS-induced cell-associated IL-8, detected in the PMN cultures, could be marginally inhibited by IL-4 and IL-10. Altogether, our data demonstrate that IL-13 is able to inhibit LPS-induced IL-8 production by human PMN, although IL-10 remains the most active anti-inflammatory cytokine. Despite the capacity of IL-4, IL-10, and IL-13 to limit the production of TNFalpha-induced IL-8 in a whole blood assay, none was able to inhibit this production when studying isolated human polymorphonuclear cells.","container-title":"Mediators of Inflammation","DOI":"10.1155/S0962935196000488","ISSN":"0962-9351","issue":"5","journalAbbreviation":"Mediators Inflamm","language":"eng","note":"PMID: 18475727\nPMCID: PMC2365804","page":"334-340","source":"PubMed","title":"Regulation by anti-inflammatory cytokines (IL-4, IL-10, IL-13, TGFbeta)of interleukin-8 production by LPS- and/ or TNFalpha-activated human polymorphonuclear cells","volume":"5","author":[{"family":"Marie","given":"C."},{"family":"Pitton","given":"C."},{"family":"Fitting","given":"C."},{"family":"Cavaillon","given":"J. M."}],"issued":{"date-parts":[["1996"]]}}},{"id":439,"uris":["http://zotero.org/users/local/BfzbJtgR/items/CZNI8WLG"],"itemData":{"id":439,"type":"article-journal","abstract":"Pro-inflammatory cytokines, tumor necrosis factor (TNF-alpha), interleukin-6 (IL-6) and interleukin-1beta (IL-1beta) as well as anti-inflammatory compounds, soluble TNF-Receptor p55 (sTNFRp55), sTNFRp75 and IL-1 receptor antagonist (sIL-1Ra), were investigated in 34 Brazilian cases of dengue fever (DF) originated from a study of exanthematic virosis. The presence of pro-inflammatory cytokines was detected in sera from these patients by ELISA. TNF-alpha and IL-6 levels were significantly higher than control subjects in 32% and 52% patients, respectively. To our knowledge this was the first time a receptor antagonist and soluble receptors for cytokines were detected in sera obtained during exanthematic DF without hemorrhagic manifestations. Both sTNFRp55 and sTNFRp75 were consistently elevated in 42% and 84% patients, respectively. Most patients had IL-1beta levels not different from those of normal subjects, except for one case. Only 16% patients had altered levels of IL-1Ra. Previous studies in dengue hemorrhagic fever patients demonstrated production of these soluble factors; here we observed that they are found in absence of hemorrhagic manifestations. The possible role of these anti-inflammatory compounds in immune cell activation and in regulating cytokine-mediated pathogenesis during dengue infection is discussed.","container-title":"Memorias Do Instituto Oswaldo Cruz","DOI":"10.1590/s0074-02761999000300019","ISSN":"0074-0276","issue":"3","journalAbbreviation":"Mem Inst Oswaldo Cruz","language":"eng","note":"PMID: 10348988","page":"387-394","source":"PubMed","title":"Increased pro-inflammatory cytokines (TNF-alpha and IL-6) and anti-inflammatory compounds (sTNFRp55 and sTNFRp75) in Brazilian patients during exanthematic dengue fever","volume":"94","author":[{"family":"Pinto","given":"L. M."},{"family":"Oliveira","given":"S. A."},{"family":"Braga","given":"E. L."},{"family":"Nogueira","given":"R. M."},{"family":"Kubelka","given":"C. F."}],"issued":{"date-parts":[["1999"]]}}},{"id":436,"uris":["http://zotero.org/users/local/BfzbJtgR/items/EY33ETHW"],"itemData":{"id":436,"type":"article-journal","abstract":"SLE is an autoimmune inflammatory disease in which various pro- and anti-inflammatory cytokines, including TGF-β, IL-10, BAFF, IL-6, IFN-α, IFN-γ, IL-17, and IL-23, play crucial pathogenic roles. Virtually, all these cytokines can be generated by both innate and adaptive immune cells and exert different effects depending on specific local microenvironment. They can also interact with each other, forming a complex network to maintain delicate immune homeostasis. In this paper, we elaborate on the abnormal secretion and functions of these cytokines in SLE, analyze their potential pathogenic roles, and probe into the possibility of them being utilized as targets for therapy.","container-title":"Journal of Biomedicine &amp; Biotechnology","DOI":"10.1155/2012/347141","ISSN":"1110-7251","journalAbbreviation":"J Biomed Biotechnol","language":"eng","note":"PMID: 22500087\nPMCID: PMC3303597","page":"347141","source":"PubMed","title":"Roles of pro- and anti-inflammatory cytokines in the pathogenesis of SLE","volume":"2012","author":[{"family":"Su","given":"Ding-Lei"},{"family":"Lu","given":"Zhi-Min"},{"family":"Shen","given":"Min-Ning"},{"family":"Li","given":"Xia"},{"family":"Sun","given":"Ling-Yun"}],"issued":{"date-parts":[["2012"]]}}}],"schema":"https://github.com/citation-style-language/schema/raw/master/csl-citation.json"} </w:instrText>
      </w:r>
      <w:r w:rsidR="007D09C0">
        <w:fldChar w:fldCharType="separate"/>
      </w:r>
      <w:r w:rsidR="0015022C" w:rsidRPr="0015022C">
        <w:rPr>
          <w:rFonts w:cs="Times New Roman"/>
          <w:vertAlign w:val="superscript"/>
        </w:rPr>
        <w:t>14</w:t>
      </w:r>
      <w:r w:rsidR="00FD34DD">
        <w:rPr>
          <w:rFonts w:cs="Times New Roman"/>
          <w:vertAlign w:val="superscript"/>
        </w:rPr>
        <w:t xml:space="preserve"> </w:t>
      </w:r>
      <w:r w:rsidR="0015022C" w:rsidRPr="0015022C">
        <w:rPr>
          <w:rFonts w:cs="Times New Roman"/>
          <w:vertAlign w:val="superscript"/>
        </w:rPr>
        <w:t>16</w:t>
      </w:r>
      <w:r w:rsidR="007D09C0">
        <w:fldChar w:fldCharType="end"/>
      </w:r>
      <w:r w:rsidR="007D09C0" w:rsidRPr="007D09C0">
        <w:t>.</w:t>
      </w:r>
      <w:r w:rsidR="007D09C0">
        <w:t xml:space="preserve"> </w:t>
      </w:r>
      <w:r w:rsidR="00D43B23" w:rsidRPr="00D43B23">
        <w:rPr>
          <w:bCs/>
        </w:rPr>
        <w:t>Nonetheless</w:t>
      </w:r>
      <w:r w:rsidR="00D43B23" w:rsidRPr="00D43B23">
        <w:t xml:space="preserve">, the </w:t>
      </w:r>
      <w:r w:rsidR="00C3436D" w:rsidRPr="00D43B23">
        <w:rPr>
          <w:bCs/>
        </w:rPr>
        <w:t>difference</w:t>
      </w:r>
      <w:r w:rsidR="00C3436D">
        <w:t xml:space="preserve"> between pro-inflammatory </w:t>
      </w:r>
      <w:r w:rsidR="007A6E56">
        <w:t xml:space="preserve">or </w:t>
      </w:r>
      <w:r w:rsidR="00D43B23" w:rsidRPr="00D43B23">
        <w:t>anti-infl</w:t>
      </w:r>
      <w:r w:rsidR="007A6E56">
        <w:t>ammatory pathways is well known</w:t>
      </w:r>
      <w:r w:rsidR="00D43B23" w:rsidRPr="00D43B23">
        <w:t xml:space="preserve">—various </w:t>
      </w:r>
      <w:r w:rsidR="00D43B23" w:rsidRPr="00D43B23">
        <w:rPr>
          <w:bCs/>
        </w:rPr>
        <w:t>factors</w:t>
      </w:r>
      <w:r w:rsidR="00D43B23" w:rsidRPr="00D43B23">
        <w:t xml:space="preserve"> </w:t>
      </w:r>
      <w:r w:rsidR="00D43B23" w:rsidRPr="00D43B23">
        <w:rPr>
          <w:bCs/>
        </w:rPr>
        <w:t>such</w:t>
      </w:r>
      <w:r w:rsidR="00D43B23" w:rsidRPr="00D43B23">
        <w:t xml:space="preserve"> </w:t>
      </w:r>
      <w:r w:rsidR="00D43B23" w:rsidRPr="00D43B23">
        <w:rPr>
          <w:bCs/>
        </w:rPr>
        <w:t xml:space="preserve">as </w:t>
      </w:r>
      <w:r w:rsidR="00D43B23" w:rsidRPr="00D43B23">
        <w:t xml:space="preserve">pathway interactions </w:t>
      </w:r>
      <w:r w:rsidR="00D43B23" w:rsidRPr="00D43B23">
        <w:rPr>
          <w:bCs/>
        </w:rPr>
        <w:t>greatly</w:t>
      </w:r>
      <w:r w:rsidR="00D43B23" w:rsidRPr="00D43B23">
        <w:t xml:space="preserve"> </w:t>
      </w:r>
      <w:r w:rsidR="00D43B23" w:rsidRPr="00D43B23">
        <w:rPr>
          <w:bCs/>
        </w:rPr>
        <w:t>influence</w:t>
      </w:r>
      <w:r w:rsidR="00D43B23" w:rsidRPr="00D43B23">
        <w:t xml:space="preserve"> a patient, and the </w:t>
      </w:r>
      <w:r w:rsidR="00D43B23" w:rsidRPr="00D43B23">
        <w:rPr>
          <w:bCs/>
        </w:rPr>
        <w:t>mixtures</w:t>
      </w:r>
      <w:r w:rsidR="00D43B23" w:rsidRPr="00D43B23">
        <w:t xml:space="preserve"> of </w:t>
      </w:r>
      <w:r w:rsidR="00D43B23" w:rsidRPr="00D43B23">
        <w:rPr>
          <w:bCs/>
        </w:rPr>
        <w:t>multiple</w:t>
      </w:r>
      <w:r w:rsidR="00D43B23" w:rsidRPr="00D43B23">
        <w:t xml:space="preserve"> cytokines may either </w:t>
      </w:r>
      <w:r w:rsidR="00D43B23" w:rsidRPr="00D43B23">
        <w:rPr>
          <w:bCs/>
        </w:rPr>
        <w:t>enhance</w:t>
      </w:r>
      <w:r w:rsidR="00D43B23" w:rsidRPr="00D43B23">
        <w:t xml:space="preserve"> or </w:t>
      </w:r>
      <w:r w:rsidR="00D43B23" w:rsidRPr="00D43B23">
        <w:rPr>
          <w:bCs/>
        </w:rPr>
        <w:t>weaken</w:t>
      </w:r>
      <w:r w:rsidR="00D43B23" w:rsidRPr="00D43B23">
        <w:t xml:space="preserve"> the effects of other cytokines, and </w:t>
      </w:r>
      <w:r w:rsidR="00D43B23" w:rsidRPr="00D43B23">
        <w:rPr>
          <w:bCs/>
        </w:rPr>
        <w:t>certain</w:t>
      </w:r>
      <w:r w:rsidR="00D43B23" w:rsidRPr="00D43B23">
        <w:t xml:space="preserve"> cytokines </w:t>
      </w:r>
      <w:r w:rsidR="00D43B23" w:rsidRPr="00D43B23">
        <w:rPr>
          <w:bCs/>
        </w:rPr>
        <w:t>might</w:t>
      </w:r>
      <w:r w:rsidR="00D43B23" w:rsidRPr="00D43B23">
        <w:t xml:space="preserve"> </w:t>
      </w:r>
      <w:r w:rsidR="00D43B23" w:rsidRPr="00D43B23">
        <w:rPr>
          <w:bCs/>
        </w:rPr>
        <w:t>play</w:t>
      </w:r>
      <w:r w:rsidR="00D43B23" w:rsidRPr="00D43B23">
        <w:t xml:space="preserve"> a dual </w:t>
      </w:r>
      <w:r w:rsidR="00D43B23" w:rsidRPr="00D43B23">
        <w:rPr>
          <w:bCs/>
        </w:rPr>
        <w:t>role</w:t>
      </w:r>
      <w:r w:rsidR="00D43B23" w:rsidRPr="00D43B23">
        <w:t xml:space="preserve"> as </w:t>
      </w:r>
      <w:r w:rsidR="00C3436D" w:rsidRPr="00D43B23">
        <w:t xml:space="preserve">anti-inflammatory </w:t>
      </w:r>
      <w:r w:rsidR="00C3436D">
        <w:t xml:space="preserve">or pro-inflammatory </w:t>
      </w:r>
      <w:r w:rsidR="007A6E56">
        <w:t>based</w:t>
      </w:r>
      <w:r w:rsidR="00D43B23" w:rsidRPr="00D43B23">
        <w:t xml:space="preserve"> on the immune </w:t>
      </w:r>
      <w:r w:rsidR="007A6E56" w:rsidRPr="00D43B23">
        <w:t>background</w:t>
      </w:r>
      <w:r w:rsidR="00D43B23" w:rsidRPr="00D43B23">
        <w:t xml:space="preserve">, </w:t>
      </w:r>
      <w:r w:rsidR="00D43B23" w:rsidRPr="00D43B23">
        <w:rPr>
          <w:bCs/>
        </w:rPr>
        <w:t>like</w:t>
      </w:r>
      <w:r w:rsidR="007A6E56">
        <w:t xml:space="preserve"> Interleukin</w:t>
      </w:r>
      <w:r w:rsidR="00D43B23" w:rsidRPr="00D43B23">
        <w:t xml:space="preserve">-6—pro-inflammatory during acute infections but anti-inflammatory by </w:t>
      </w:r>
      <w:r w:rsidR="00D43B23" w:rsidRPr="00D43B23">
        <w:rPr>
          <w:bCs/>
        </w:rPr>
        <w:t>promoting</w:t>
      </w:r>
      <w:r w:rsidR="007A6E56">
        <w:t xml:space="preserve"> Interleukin-10 </w:t>
      </w:r>
      <w:r w:rsidR="007A6E56" w:rsidRPr="006E2B8F">
        <w:t>induction</w:t>
      </w:r>
      <w:r w:rsidR="00D43B23" w:rsidRPr="006E2B8F">
        <w:t xml:space="preserve"> </w:t>
      </w:r>
      <w:r w:rsidR="001912C9">
        <w:fldChar w:fldCharType="begin"/>
      </w:r>
      <w:r w:rsidR="001912C9">
        <w:instrText xml:space="preserve"> ADDIN ZOTERO_ITEM CSL_CITATION {"citationID":"WJVPolyE","properties":{"formattedCitation":"\\super 17,18\\nosupersub{}","plainCitation":"17,18","noteIndex":0},"citationItems":[{"id":413,"uris":["http://zotero.org/users/local/BfzbJtgR/items/VKIAMPLK"],"itemData":{"id":413,"type":"article-journal","abstract":"Interleukin 6 (IL-6), promptly and transiently produced in response to infections and tissue injuries, contributes to host defense through the stimulation of acute phase responses, hematopoiesis, and immune reactions. Although its expression is strictly controlled by transcriptional and posttranscriptional mechanisms, dysregulated continual synthesis of IL-6 plays a pathological effect on chronic inflammation and autoimmunity. For this reason, tocilizumab, a humanized anti-IL-6 receptor antibody was developed. Various clinical trials have since shown the exceptional efficacy of tocilizumab, which resulted in its approval for the treatment of rheumatoid arthritis and juvenile idiopathic arthritis. Moreover, tocilizumab is expected to be effective for other intractable immune-mediated diseases. In this context, the mechanism for the continual synthesis of IL-6 needs to be elucidated to facilitate the development of more specific therapeutic approaches and analysis of the pathogenesis of specific diseases.","container-title":"Cold Spring Harbor Perspectives in Biology","DOI":"10.1101/cshperspect.a016295","ISSN":"1943-0264","issue":"10","journalAbbreviation":"Cold Spring Harb Perspect Biol","language":"eng","note":"PMID: 25190079\nPMCID: PMC4176007","page":"a016295","source":"PubMed","title":"IL-6 in inflammation, immunity, and disease","volume":"6","author":[{"family":"Tanaka","given":"Toshio"},{"family":"Narazaki","given":"Masashi"},{"family":"Kishimoto","given":"Tadamitsu"}],"issued":{"date-parts":[["2014",9,4]]}}},{"id":416,"uris":["http://zotero.org/users/local/BfzbJtgR/items/K36S98I4"],"itemData":{"id":416,"type":"article-journal","abstract":"IL-6 is induced often together with the proinflammatory cytokines TNFalpha and IL-1 in many alarm conditions, and circulating IL-6 plays an important role in the induction of acute phase reactions. However, whether this endogenous IL-6 plays any additional pro- or antiinflammatory roles in local or systemic responses remains unclear. In this study, the role of IL-6 in acute inflammatory responses was investigated in animal models of endotoxic lung or endotoxemia by using IL-6+/+ and IL-6-/- mice. Aerosol exposure of endotoxin induced increased IL-6 and proinflammatory cytokines TNFalpha and MIP-2 and a neutrophilic response in the lung of IL-6+/+ mice. However, the levels of TNFalpha and MIP-2 and neutrophilia were significantly higher in the lung of IL-6-/- mice. The rate of neutrophil apoptosis in these mice was similar to that in IL-6+/+ mice. A low constitutive level of antiinflammatory cytokine IL-10 was not enhanced by endotoxin and remained similar in the lung in both IL-6+/+ and IL-6-/- mice. Systemically, intraperitoneal delivery of endotoxin resulted in much more pronounced circulating levels of TNFalpha, MIP-2, GM-CSF, and IFNgamma in IL-6-/- mice than in IL-6+/+ mice, and administration of recombinant IL-6 to IL-6-/- mice abolished these differences. In contrast, circulating IL-10 levels were induced to a similar degree in both IL-6+/+ and IL-6-/- mice. Thus, our studies reveal that endogenous IL-6 plays a crucial antiinflammatory role in both local and systemic acute inflammatory responses by controlling the level of proinflammatory, but not antiinflammatory, cytokines, and that these antiinflammatory activities by IL-6 cannot be compensated for by IL-10 or other IL-6 family members.","container-title":"The Journal of Clinical Investigation","DOI":"10.1172/JCI1368","ISSN":"0021-9738","issue":"2","journalAbbreviation":"J Clin Invest","language":"eng","note":"PMID: 9435302\nPMCID: PMC508569","page":"311-320","source":"PubMed","title":"IL-6 is an antiinflammatory cytokine required for controlling local or systemic acute inflammatory responses","volume":"101","author":[{"family":"Xing","given":"Z."},{"family":"Gauldie","given":"J."},{"family":"Cox","given":"G."},{"family":"Baumann","given":"H."},{"family":"Jordana","given":"M."},{"family":"Lei","given":"X. F."},{"family":"Achong","given":"M. K."}],"issued":{"date-parts":[["1998",1,15]]}}}],"schema":"https://github.com/citation-style-language/schema/raw/master/csl-citation.json"} </w:instrText>
      </w:r>
      <w:r w:rsidR="001912C9">
        <w:fldChar w:fldCharType="separate"/>
      </w:r>
      <w:r w:rsidR="001912C9" w:rsidRPr="001912C9">
        <w:rPr>
          <w:rFonts w:cs="Times New Roman"/>
          <w:vertAlign w:val="superscript"/>
        </w:rPr>
        <w:t>17,18</w:t>
      </w:r>
      <w:r w:rsidR="001912C9">
        <w:fldChar w:fldCharType="end"/>
      </w:r>
      <w:r w:rsidR="00D43B23" w:rsidRPr="006E2B8F">
        <w:t>;</w:t>
      </w:r>
      <w:r w:rsidR="00D43B23" w:rsidRPr="00D43B23">
        <w:t xml:space="preserve"> TGF-β </w:t>
      </w:r>
      <w:r w:rsidR="00D43B23" w:rsidRPr="00D43B23">
        <w:rPr>
          <w:bCs/>
        </w:rPr>
        <w:t>reduces</w:t>
      </w:r>
      <w:r w:rsidR="00D43B23" w:rsidRPr="00D43B23">
        <w:t xml:space="preserve"> inflammation but can also </w:t>
      </w:r>
      <w:r w:rsidR="00D43B23" w:rsidRPr="00D43B23">
        <w:rPr>
          <w:bCs/>
        </w:rPr>
        <w:t>promote</w:t>
      </w:r>
      <w:r w:rsidR="00D43B23" w:rsidRPr="00D43B23">
        <w:t xml:space="preserve"> fibrosis and immune evasion during cancer </w:t>
      </w:r>
      <w:r w:rsidR="00D43B23" w:rsidRPr="00D43B23">
        <w:rPr>
          <w:bCs/>
        </w:rPr>
        <w:t>progression</w:t>
      </w:r>
      <w:r w:rsidR="00D43B23" w:rsidRPr="00D43B23">
        <w:t xml:space="preserve"> and </w:t>
      </w:r>
      <w:r w:rsidR="007A6E56">
        <w:t xml:space="preserve">involved </w:t>
      </w:r>
      <w:r w:rsidR="00D43B23" w:rsidRPr="00D43B23">
        <w:rPr>
          <w:bCs/>
        </w:rPr>
        <w:t xml:space="preserve">in </w:t>
      </w:r>
      <w:r w:rsidR="00D43B23" w:rsidRPr="00D43B23">
        <w:t>the differentiat</w:t>
      </w:r>
      <w:r w:rsidR="00D43B23">
        <w:t>ion of</w:t>
      </w:r>
      <w:r w:rsidR="007A6E56">
        <w:t xml:space="preserve">  Th17 molecules</w:t>
      </w:r>
      <w:r w:rsidR="00D43B23">
        <w:t>;</w:t>
      </w:r>
      <w:r w:rsidR="00D43B23" w:rsidRPr="00D43B23">
        <w:t xml:space="preserve"> IL-27 – </w:t>
      </w:r>
      <w:r w:rsidR="00D43B23" w:rsidRPr="00D43B23">
        <w:rPr>
          <w:bCs/>
        </w:rPr>
        <w:t>Regulates</w:t>
      </w:r>
      <w:r w:rsidR="007A6E56">
        <w:t xml:space="preserve"> both Th1 and </w:t>
      </w:r>
      <w:r w:rsidR="000A647F">
        <w:t xml:space="preserve"> T</w:t>
      </w:r>
      <w:r w:rsidR="007A6E56" w:rsidRPr="007A6E56">
        <w:rPr>
          <w:vertAlign w:val="subscript"/>
        </w:rPr>
        <w:t>reg</w:t>
      </w:r>
      <w:r w:rsidR="000A647F" w:rsidRPr="007A6E56">
        <w:rPr>
          <w:vertAlign w:val="subscript"/>
        </w:rPr>
        <w:t xml:space="preserve"> </w:t>
      </w:r>
      <w:r w:rsidR="000A647F">
        <w:t>cell</w:t>
      </w:r>
      <w:r w:rsidR="00D43B23" w:rsidRPr="00D43B23">
        <w:t xml:space="preserve"> responses, </w:t>
      </w:r>
      <w:r w:rsidR="00D43B23" w:rsidRPr="00D43B23">
        <w:rPr>
          <w:bCs/>
        </w:rPr>
        <w:t>maintaining</w:t>
      </w:r>
      <w:r w:rsidR="00D43B23" w:rsidRPr="00D43B23">
        <w:t xml:space="preserve"> </w:t>
      </w:r>
      <w:r w:rsidR="00D43B23" w:rsidRPr="00D43B23">
        <w:rPr>
          <w:bCs/>
        </w:rPr>
        <w:t xml:space="preserve">a balance in </w:t>
      </w:r>
      <w:r w:rsidR="00D43B23" w:rsidRPr="00D43B23">
        <w:t>inflammation</w:t>
      </w:r>
      <w:r w:rsidR="001912C9">
        <w:fldChar w:fldCharType="begin"/>
      </w:r>
      <w:r w:rsidR="001912C9">
        <w:instrText xml:space="preserve"> ADDIN ZOTERO_ITEM CSL_CITATION {"citationID":"QSe1xNrO","properties":{"formattedCitation":"\\super 19\\uc0\\u8211{}22\\nosupersub{}","plainCitation":"19–22","noteIndex":0},"citationItems":[{"id":419,"uris":["http://zotero.org/users/local/BfzbJtgR/items/YUWQEJK3"],"itemData":{"id":419,"type":"article-journal","abstract":"The transforming growth factor-β (TGF-β) family of secreted growth factors controls many aspects of cell and tissue physiology in multicellular eukaryotes. Dysregulation of its pathway contributes to a broad variety of pathologies, including fibrosis and cancer. TGF-β acts as a powerful tumor suppressor in epithelial cells but during later stages of tumor development cancer cells eventually respond to this cytokine with epithelial-mesenchymal transition (EMT), invasion, metastasis, and immunosuppression. This collection of articles covers some important aspects of TGF-β signaling in cancer. Two articles focus on the role of TGF-β in tumor immunity and pro- and anti-inflammatory signaling, with one analyzing its impact on T-cell biology and different T-cell subsets, while the other deals with modulation of anti-inflammatory signaling by TGF-β receptors through proinflammatory signaling by immune receptors and the role of mechanotransduction in TGF-β-dependent immunosuppression. Another set of four chapters highlights the fact that context-dependent responsiveness to TGF-β is largely controlled by inputs from negative regulators and cooperation with proinflammatory and proapoptotic pathways. This theme is extended to the regulation of Smad signaling by differential phosphorylation, eventually converting canonical Smad signaling to a mitogenic, fibrogenic and carcinogenic outcome. Last, it is discussed how another posttranslational modification, SUMOylation, can modify protein function and impact TGF-β-induced EMT, invasion and metastasis.","container-title":"Cancers","DOI":"10.3390/cancers11030384","ISSN":"2072-6694","issue":"3","journalAbbreviation":"Cancers (Basel)","language":"eng","note":"PMID: 30893848\nPMCID: PMC6468838","page":"384","source":"PubMed","title":"TGF-β Signaling in Cancer: Control by Negative Regulators and Crosstalk with Proinflammatory and Fibrogenic Pathways","title-short":"TGF-β Signaling in Cancer","volume":"11","author":[{"family":"Ungefroren","given":"Hendrik"}],"issued":{"date-parts":[["2019",3,19]]}}},{"id":425,"uris":["http://zotero.org/users/local/BfzbJtgR/items/X6DFSTML"],"itemData":{"id":425,"type":"article-journal","abstract":"Dysregulated transforming growth factor beta (TGFbeta) signaling is observed in a variety of human cancers. TGFbeta is produced in large quantities by many tumor types and is known to be pro-oncogenic. Therapeutic strategies directed against TGFbeta signaling using neutralizing antibodies and small molecular inhibitors have been developed. However, TGFbeta is also found to function as a tumor suppressor. This switch from a tumor suppressor in premalignant stages of tumorigenesis to a tumor promoter in later stages of the disease poses great challenges in TGFbeta-targeted cancer therapy. It remains unclear what mechanisms underlie the dual role of TGFbeta and what factors mediate the switch. In the past, most work on dissecting underlying mechanisms was focused on differential regulation of signaling pathways by tumor cell autonomous TGFbeta signaling. Recent progress in elucidating TGFbeta effects on host immune/inflammatory reactions in the tumor microenvironment and distant organs brings exciting new perspectives to the field.","container-title":"Cancer Metastasis Reviews","DOI":"10.1007/s10555-010-9226-3","ISSN":"1573-7233","issue":"2","journalAbbreviation":"Cancer Metastasis Rev","language":"eng","note":"PMID: 20437081\nPMCID: PMC6640647","page":"263-271","source":"PubMed","title":"TGFbeta and cancer metastasis: an inflammation link","title-short":"TGFbeta and cancer metastasis","volume":"29","author":[{"family":"Yang","given":"Li"}],"issued":{"date-parts":[["2010",6]]}}},{"id":428,"uris":["http://zotero.org/users/local/BfzbJtgR/items/RB726WRJ"],"itemData":{"id":428,"type":"article-journal","abstract":"T helper 17 (Th17) cells play critical roles in inflammatory and autoimmune diseases. The lineage-specific transcription factor RORγt is the key regulator for Th17 cell fate commitment. A substantial number of studies have established the importance of transforming growth factor β (TGF-β) -dependent pathways in inducing RORγt expression and Th17 differentiation. TGF-β superfamily members TGF-β1 , TGF-β3 or activin A, in concert with interleukin-6 or interleukin-21, differentiate naive T cells into Th17 cells. Alternatively, Th17 differentiation can occur through TGF-β-independent pathways. However, the mechanism of how TGF-β-dependent and TGF-β-independent pathways control Th17 differentiation remains controversial. This review focuses on the perplexing role of TGF-β in Th17 differentiation, depicts the requirement of TGF-β for Th17 development, and underscores the multiple mechanisms underlying TGF-β-promoted Th17 generation, pathogenicity and plasticity. With new insights and comprehension from recent findings, this review specifically tackles the involvement of the canonical TGF-β signalling components, SMAD2, SMAD3 and SMAD4, summarizes diverse SMAD-independent mechanisms, and highlights the importance of TGF-β signalling in balancing the reciprocal conversion of Th17 and regulatory T cells. Finally, this review includes discussions and perspectives and raises important mechanistic questions about the role of TGF-β in Th17 generation and function.","container-title":"Immunology","DOI":"10.1111/imm.12938","ISSN":"1365-2567","issue":"1","journalAbbreviation":"Immunology","language":"eng","note":"PMID: 29682722\nPMCID: PMC6099164","page":"24-35","source":"PubMed","title":"The role of transforming growth factor β in T helper 17 differentiation","volume":"155","author":[{"family":"Zhang","given":"Song"}],"issued":{"date-parts":[["2018",9]]}}},{"id":1202,"uris":["http://zotero.org/users/local/BfzbJtgR/items/FLSB827G"],"itemData":{"id":1202,"type":"article-journal","container-title":"Seminars in Immunology","DOI":"10.1016/j.smim.2011.07.005","ISSN":"10445323","issue":"3","journalAbbreviation":"Seminars in Immunology","language":"en","license":"https://www.elsevier.com/tdm/userlicense/1.0/","page":"202-208","source":"DOI.org (Crossref)","title":"Type 1 regulatory T cells (Tr1) in autoimmunity","volume":"23","author":[{"family":"Pot","given":"Caroline"},{"family":"Apetoh","given":"Lionel"},{"family":"Kuchroo","given":"Vijay K."}],"issued":{"date-parts":[["2011",6]]}}}],"schema":"https://github.com/citation-style-language/schema/raw/master/csl-citation.json"} </w:instrText>
      </w:r>
      <w:r w:rsidR="001912C9">
        <w:fldChar w:fldCharType="separate"/>
      </w:r>
      <w:r w:rsidR="001912C9" w:rsidRPr="001912C9">
        <w:rPr>
          <w:rFonts w:cs="Times New Roman"/>
          <w:vertAlign w:val="superscript"/>
        </w:rPr>
        <w:t>19–22</w:t>
      </w:r>
      <w:r w:rsidR="001912C9">
        <w:fldChar w:fldCharType="end"/>
      </w:r>
      <w:r w:rsidR="00D43B23" w:rsidRPr="006E2B8F">
        <w:t>.</w:t>
      </w:r>
      <w:r w:rsidR="005A43C0" w:rsidRPr="006E2B8F">
        <w:t xml:space="preserve"> </w:t>
      </w:r>
      <w:r w:rsidR="00D43B23" w:rsidRPr="006E2B8F">
        <w:t xml:space="preserve"> (Ungefroren, 2019; Yang, 2010; Zhang, 2018; Pot et al., 2011).</w:t>
      </w:r>
      <w:r w:rsidR="00D43B23">
        <w:t xml:space="preserve"> </w:t>
      </w:r>
      <w:r w:rsidR="007A6E56">
        <w:t>The function</w:t>
      </w:r>
      <w:r w:rsidR="005A43C0">
        <w:t xml:space="preserve"> of</w:t>
      </w:r>
      <w:r w:rsidR="00C07D4D">
        <w:t xml:space="preserve"> </w:t>
      </w:r>
      <w:r w:rsidR="007A6E56">
        <w:t>Interleukin-27</w:t>
      </w:r>
      <w:r w:rsidR="005A43C0" w:rsidRPr="005A43C0">
        <w:t xml:space="preserve"> </w:t>
      </w:r>
      <w:r w:rsidR="007A6E56">
        <w:rPr>
          <w:bCs/>
        </w:rPr>
        <w:t>in Th1 control</w:t>
      </w:r>
      <w:r w:rsidR="005A43C0">
        <w:rPr>
          <w:bCs/>
        </w:rPr>
        <w:t xml:space="preserve"> is pivotal</w:t>
      </w:r>
      <w:r w:rsidR="005A43C0">
        <w:t xml:space="preserve"> </w:t>
      </w:r>
      <w:r w:rsidR="005A43C0">
        <w:rPr>
          <w:bCs/>
        </w:rPr>
        <w:t>in</w:t>
      </w:r>
      <w:r w:rsidR="005A43C0" w:rsidRPr="005A43C0">
        <w:t xml:space="preserve"> </w:t>
      </w:r>
      <w:r w:rsidR="00B465F0">
        <w:t xml:space="preserve">the </w:t>
      </w:r>
      <w:r w:rsidR="005A43C0" w:rsidRPr="005A43C0">
        <w:rPr>
          <w:bCs/>
        </w:rPr>
        <w:t>initial</w:t>
      </w:r>
      <w:r w:rsidR="005A43C0" w:rsidRPr="005A43C0">
        <w:t xml:space="preserve"> differentiation </w:t>
      </w:r>
      <w:r w:rsidR="005A43C0" w:rsidRPr="005A43C0">
        <w:rPr>
          <w:bCs/>
        </w:rPr>
        <w:t>of</w:t>
      </w:r>
      <w:r w:rsidR="00595C54">
        <w:rPr>
          <w:bCs/>
        </w:rPr>
        <w:t xml:space="preserve"> </w:t>
      </w:r>
      <w:r w:rsidR="005A43C0" w:rsidRPr="005A43C0">
        <w:rPr>
          <w:bCs/>
        </w:rPr>
        <w:t xml:space="preserve"> Th1 cells </w:t>
      </w:r>
      <w:r w:rsidR="005A43C0" w:rsidRPr="005A43C0">
        <w:t xml:space="preserve">by </w:t>
      </w:r>
      <w:r w:rsidR="005A43C0" w:rsidRPr="005A43C0">
        <w:rPr>
          <w:bCs/>
        </w:rPr>
        <w:t>stimulating</w:t>
      </w:r>
      <w:r w:rsidR="005A43C0" w:rsidRPr="005A43C0">
        <w:t xml:space="preserve"> </w:t>
      </w:r>
      <w:r w:rsidR="005A43C0">
        <w:t xml:space="preserve">T-box transcription factor </w:t>
      </w:r>
      <w:r w:rsidR="007A6E56">
        <w:t xml:space="preserve">(T-bet, </w:t>
      </w:r>
      <w:r w:rsidR="005A43C0">
        <w:t xml:space="preserve">TBX21; responsible for </w:t>
      </w:r>
      <w:r w:rsidR="007A6E56">
        <w:t>the variation</w:t>
      </w:r>
      <w:r w:rsidR="005A43C0">
        <w:t xml:space="preserve"> and function of Th1 cells) </w:t>
      </w:r>
      <w:r w:rsidR="005A43C0" w:rsidRPr="005A43C0">
        <w:t xml:space="preserve">and </w:t>
      </w:r>
      <w:r w:rsidR="005A43C0" w:rsidRPr="005A43C0">
        <w:rPr>
          <w:bCs/>
        </w:rPr>
        <w:t>increasing</w:t>
      </w:r>
      <w:r w:rsidR="005A43C0" w:rsidRPr="005A43C0">
        <w:t xml:space="preserve"> IFN-γ production</w:t>
      </w:r>
      <w:r w:rsidR="00C07D4D">
        <w:t xml:space="preserve"> </w:t>
      </w:r>
      <w:r w:rsidR="00C07D4D">
        <w:fldChar w:fldCharType="begin"/>
      </w:r>
      <w:r w:rsidR="001912C9">
        <w:instrText xml:space="preserve"> ADDIN ZOTERO_ITEM CSL_CITATION {"citationID":"2zOLt4pp","properties":{"formattedCitation":"\\super 23,24\\nosupersub{}","plainCitation":"23,24","noteIndex":0},"citationItems":[{"id":448,"uris":["http://zotero.org/users/local/BfzbJtgR/items/IWW3XQMJ"],"itemData":{"id":448,"type":"article-journal","abstract":"Interleukin-27 (IL-27) supports proliferation of naive CD4(+) T cells and enhances interferon-gamma (IFN-gamma) production by activated T cells and natural killer (NK) cells. We report here that IL-27 induces Stat1 and Stat3 phosphorylation and activation in human and murine cell lines and primary human T cells. IL-27 also induces T-Bet, a Stat1-dependent gene crucial to Th1 cell commitment. Similarly, IFN-alpha activates Stat1 and Stat3 and T-Bet expression in naive T cells. Induction of T-Bet results in upregulation of IL-12Rbeta2 on naive T cells, which is essential for responsiveness to IL-12 and differentiation to a Th1 phenotype. Both IL-27 and IFN-alpha induce expression of IL-12Rbeta2 in T cells. In contrast, IFN-gamma, which activates Stat1 but not Stat3, induces expression of T-Bet but not IL-12Rbeta2 in naive T cells. We propose that IL-27 and IFN-alpha are important for early Th1 commitment and act upstream of IL-12 and IFN-gamma in this pathway.","container-title":"Journal of Interferon &amp; Cytokine Research: The Official Journal of the International Society for Interferon and Cytokine Research","DOI":"10.1089/10799900360708632","ISSN":"1079-9907","issue":"9","journalAbbreviation":"J Interferon Cytokine Res","language":"eng","note":"PMID: 14565860","page":"513-522","source":"PubMed","title":"IL-27 and IFN-alpha signal via Stat1 and Stat3 and induce T-Bet and IL-12Rbeta2 in naive T cells","volume":"23","author":[{"family":"Hibbert","given":"Linda"},{"family":"Pflanz","given":"Stefan"},{"family":"De Waal Malefyt","given":"Rene"},{"family":"Kastelein","given":"Robert A."}],"issued":{"date-parts":[["2003",9]]}}},{"id":445,"uris":["http://zotero.org/users/local/BfzbJtgR/items/DRDPUN35"],"itemData":{"id":445,"type":"article-journal","abstract":"IL-27 is a novel IL-12 family member that plays a role in the early regulation of Th1 initiation, induces proliferation of naive CD4+ T cells, and synergizes with IL-12 in IFN-gamma production. It has been recently reported that IL-27 induces T-bet and IL-12Rbeta2 expression through JAK1/STAT1 activation. In the present study, we further investigated the JAK/STAT signaling molecules activated by IL-27 and also the role of STAT1 in IL-27-mediated responses using STAT1-deficient mice. In addition to JAK1 and STAT1, IL-27-activated JAK2, tyrosine kinase-2, and STAT2, -3, and -5 in naive CD4+ T cells. The activation of STAT2 and STAT5, but not of STAT3, was greatly diminished in STAT1-deficient naive CD4+ T cells. Comparable proliferative response to IL-27 was observed between STAT1-deficient and wild-type naive CD4+ T cells. In contrast, IL-27 hardly induced T-bet and subsequent IL-12Rbeta2 expression, and synergistic IFN-gamma production by IL-27 and IL-12 was impaired in STAT1-deficient naive CD4+ T cells. Moreover, IL-27 augmented the expression of MHC class I on naive CD4+ T cells in a STAT1-dependent manner. These results suggest that IL-27 activates JAK1 and -2, tyrosine kinase-2, STAT1, -2, -3, and -5 in naive CD4+ T cells and that STAT1 plays an indispensable role in IL-27-induced T-bet and subsequent IL-12Rbeta2 expression and MHC class I expression as well but not proliferation, while STAT3 presumably plays an important role in IL-27-induced proliferation.","container-title":"Journal of Immunology (Baltimore, Md.: 1950)","DOI":"10.4049/jimmunol.173.6.3871","ISSN":"0022-1767","issue":"6","journalAbbreviation":"J Immunol","language":"eng","note":"PMID: 15356135","page":"3871-3877","source":"PubMed","title":"An indispensable role for STAT1 in IL-27-induced T-bet expression but not proliferation of naive CD4+ T cells","volume":"173","author":[{"family":"Kamiya","given":"Sadahiro"},{"family":"Owaki","given":"Toshiyuki"},{"family":"Morishima","given":"Noriko"},{"family":"Fukai","given":"Fumio"},{"family":"Mizuguchi","given":"Junichiro"},{"family":"Yoshimoto","given":"Takayuki"}],"issued":{"date-parts":[["2004",9,15]]}}}],"schema":"https://github.com/citation-style-language/schema/raw/master/csl-citation.json"} </w:instrText>
      </w:r>
      <w:r w:rsidR="00C07D4D">
        <w:fldChar w:fldCharType="separate"/>
      </w:r>
      <w:r w:rsidR="001912C9" w:rsidRPr="001912C9">
        <w:rPr>
          <w:rFonts w:cs="Times New Roman"/>
          <w:vertAlign w:val="superscript"/>
        </w:rPr>
        <w:t>23,24</w:t>
      </w:r>
      <w:r w:rsidR="00C07D4D">
        <w:fldChar w:fldCharType="end"/>
      </w:r>
      <w:r w:rsidR="005A43C0" w:rsidRPr="005A43C0">
        <w:t xml:space="preserve">. </w:t>
      </w:r>
      <w:r w:rsidR="005A43C0" w:rsidRPr="005A43C0">
        <w:rPr>
          <w:bCs/>
        </w:rPr>
        <w:t>However</w:t>
      </w:r>
      <w:r w:rsidR="005A43C0" w:rsidRPr="005A43C0">
        <w:t xml:space="preserve">, </w:t>
      </w:r>
      <w:r w:rsidR="005A43C0" w:rsidRPr="005A43C0">
        <w:rPr>
          <w:bCs/>
        </w:rPr>
        <w:t>subsequently</w:t>
      </w:r>
      <w:r w:rsidR="00B465F0">
        <w:rPr>
          <w:bCs/>
        </w:rPr>
        <w:t>,</w:t>
      </w:r>
      <w:r w:rsidR="005A43C0" w:rsidRPr="005A43C0">
        <w:t xml:space="preserve"> </w:t>
      </w:r>
      <w:r w:rsidR="00D577CE">
        <w:t xml:space="preserve">it </w:t>
      </w:r>
      <w:r w:rsidR="005A43C0" w:rsidRPr="005A43C0">
        <w:rPr>
          <w:bCs/>
        </w:rPr>
        <w:t>inhibit</w:t>
      </w:r>
      <w:r w:rsidR="00D577CE">
        <w:rPr>
          <w:bCs/>
        </w:rPr>
        <w:t>s</w:t>
      </w:r>
      <w:r w:rsidR="005A43C0" w:rsidRPr="005A43C0">
        <w:t xml:space="preserve"> excessive Th1 responses, </w:t>
      </w:r>
      <w:r w:rsidR="005A43C0" w:rsidRPr="005A43C0">
        <w:rPr>
          <w:bCs/>
        </w:rPr>
        <w:t>thereby</w:t>
      </w:r>
      <w:r w:rsidR="005A43C0" w:rsidRPr="005A43C0">
        <w:t xml:space="preserve"> </w:t>
      </w:r>
      <w:r w:rsidR="005A43C0" w:rsidRPr="005A43C0">
        <w:rPr>
          <w:bCs/>
        </w:rPr>
        <w:t xml:space="preserve">averting </w:t>
      </w:r>
      <w:r w:rsidR="005A43C0" w:rsidRPr="005A43C0">
        <w:t>tissue damage.</w:t>
      </w:r>
      <w:r w:rsidR="000300D5">
        <w:t xml:space="preserve"> </w:t>
      </w:r>
      <w:r w:rsidR="005A43C0" w:rsidRPr="005A43C0">
        <w:t xml:space="preserve">IL-27 </w:t>
      </w:r>
      <w:r w:rsidR="005A43C0" w:rsidRPr="005A43C0">
        <w:rPr>
          <w:bCs/>
        </w:rPr>
        <w:t>boosts</w:t>
      </w:r>
      <w:r w:rsidR="005A43C0" w:rsidRPr="005A43C0">
        <w:t xml:space="preserve"> the </w:t>
      </w:r>
      <w:r w:rsidR="005A43C0" w:rsidRPr="005A43C0">
        <w:rPr>
          <w:bCs/>
        </w:rPr>
        <w:t>growth</w:t>
      </w:r>
      <w:r w:rsidR="005A43C0" w:rsidRPr="005A43C0">
        <w:t xml:space="preserve"> of Foxp3+ Tregs and </w:t>
      </w:r>
      <w:r w:rsidR="005A43C0" w:rsidRPr="005A43C0">
        <w:rPr>
          <w:bCs/>
        </w:rPr>
        <w:t>stimulates</w:t>
      </w:r>
      <w:r w:rsidR="005A43C0" w:rsidRPr="005A43C0">
        <w:t xml:space="preserve"> </w:t>
      </w:r>
      <w:r w:rsidR="005A43C0" w:rsidRPr="005A43C0">
        <w:rPr>
          <w:bCs/>
        </w:rPr>
        <w:t xml:space="preserve">the creation of </w:t>
      </w:r>
      <w:r w:rsidR="005A43C0" w:rsidRPr="005A43C0">
        <w:t>Tr1 cells (regulatory T cells</w:t>
      </w:r>
      <w:r w:rsidR="0066660F">
        <w:rPr>
          <w:bCs/>
        </w:rPr>
        <w:t xml:space="preserve"> that in</w:t>
      </w:r>
      <w:r w:rsidR="005A43C0" w:rsidRPr="005A43C0">
        <w:rPr>
          <w:bCs/>
        </w:rPr>
        <w:t>duce I</w:t>
      </w:r>
      <w:r w:rsidR="0012570D">
        <w:rPr>
          <w:bCs/>
        </w:rPr>
        <w:t>nterleukin</w:t>
      </w:r>
      <w:r w:rsidR="005A43C0" w:rsidRPr="005A43C0">
        <w:rPr>
          <w:bCs/>
        </w:rPr>
        <w:t>-10</w:t>
      </w:r>
      <w:r w:rsidR="005A43C0" w:rsidRPr="005A43C0">
        <w:t xml:space="preserve">), </w:t>
      </w:r>
      <w:r w:rsidR="0012570D">
        <w:rPr>
          <w:bCs/>
        </w:rPr>
        <w:t>assisting the</w:t>
      </w:r>
      <w:r w:rsidR="005A43C0" w:rsidRPr="005A43C0">
        <w:t xml:space="preserve"> </w:t>
      </w:r>
      <w:r w:rsidR="005A43C0" w:rsidRPr="005A43C0">
        <w:rPr>
          <w:bCs/>
        </w:rPr>
        <w:t xml:space="preserve">limitation of </w:t>
      </w:r>
      <w:r w:rsidR="005A43C0" w:rsidRPr="005A43C0">
        <w:t xml:space="preserve">immune-mediated </w:t>
      </w:r>
      <w:r w:rsidR="005A43C0" w:rsidRPr="005A43C0">
        <w:rPr>
          <w:bCs/>
        </w:rPr>
        <w:t>disease</w:t>
      </w:r>
      <w:r w:rsidR="00C07D4D">
        <w:rPr>
          <w:bCs/>
        </w:rPr>
        <w:t xml:space="preserve"> </w:t>
      </w:r>
      <w:r w:rsidR="00C07D4D">
        <w:rPr>
          <w:bCs/>
        </w:rPr>
        <w:fldChar w:fldCharType="begin"/>
      </w:r>
      <w:r w:rsidR="001912C9">
        <w:rPr>
          <w:bCs/>
        </w:rPr>
        <w:instrText xml:space="preserve"> ADDIN ZOTERO_ITEM CSL_CITATION {"citationID":"SAmmY8J4","properties":{"formattedCitation":"\\super 25,26\\nosupersub{}","plainCitation":"25,26","noteIndex":0},"citationItems":[{"id":453,"uris":["http://zotero.org/users/local/BfzbJtgR/items/E9RRFBPG"],"itemData":{"id":453,"type":"article-journal","abstract":"Interleukin (IL)-27, a member of IL-12/IL-23 heterodimeric family of cytokines, has pleiotropic properties that can enhance or limit immune responses. IL-27 acts on various cell types, including T cells, B cells, macrophages, dendritic cells, natural killer (NK) cells and non-hematopoietic cells. Intensive studies have been conducted especially on T cells, revealing that various subsets of T cells respond uniquely to IL-27. IL-27 induces expansion of Th1 cells by activating signal transducer and activator of transcription (STAT) 1-mediated T-bet signaling pathway. On the other hand, IL-27 suppresses immune responses through inhibition of the development of T helper (Th) 17 cells and induction of IL-10 production in a STAT1- and STAT3-dependent manner. IL-27 is a potentially promising cytokine for therapeutic approaches on various human diseases. Here, we provide an overview of the biology of IL-27 related to T cell subsets, its structure, and production mechanism.","container-title":"International Journal of Molecular Sciences","DOI":"10.3390/ijms16022851","ISSN":"1422-0067","issue":"2","journalAbbreviation":"Int J Mol Sci","language":"eng","note":"PMID: 25633106\nPMCID: PMC4346869","page":"2851-2863","source":"PubMed","title":"Interleukin-27 in T cell immunity","volume":"16","author":[{"family":"Iwasaki","given":"Yukiko"},{"family":"Fujio","given":"Keishi"},{"family":"Okamura","given":"Tomohisa"},{"family":"Yamamoto","given":"Kazuhiko"}],"issued":{"date-parts":[["2015",1,27]]}}},{"id":450,"uris":["http://zotero.org/users/local/BfzbJtgR/items/LNXHJCDW"],"itemData":{"id":450,"type":"article-journal","abstract":"Although the physiologic pathways that control regulatory T cells (Foxp3-expressing regulatory T cells, IL-10-secreting Tr1 cells) and Th17 cells in rodents have been defined, the factors that control these differentiation pathways in humans are not well understood. In this study, we show that IL-27 promotes the differentiation of IL-10-secreting Tr1 cells while inhibiting Th17 generation and molecules associated with Th17 function. Furthermore, IL-27 inhibits IL-17-polarizing cytokines on dendritic cells, which in turn decrease IL-17 secretion from T cells. Our results demonstrate that IL-27 plays a key role in human T cells by promoting IL-10-secreting Tr1 cells and inhibiting Th17 cells and thus provides a dual regulatory mechanism to control autoimmunity and tissue inflammation.","container-title":"Journal of Immunology (Baltimore, Md.: 1950)","DOI":"10.4049/jimmunol.0900568","ISSN":"1550-6606","issue":"4","journalAbbreviation":"J Immunol","language":"eng","note":"PMID: 19625647\nPMCID: PMC2904948","page":"2435-2443","source":"PubMed","title":"IL-27 is a key regulator of IL-10 and IL-17 production by human CD4+ T cells","volume":"183","author":[{"family":"Murugaiyan","given":"Gopal"},{"family":"Mittal","given":"Akanksha"},{"family":"Lopez-Diego","given":"Rocio"},{"family":"Maier","given":"Lisa M."},{"family":"Anderson","given":"David E."},{"family":"Weiner","given":"Howard L."}],"issued":{"date-parts":[["2009",8,15]]}}}],"schema":"https://github.com/citation-style-language/schema/raw/master/csl-citation.json"} </w:instrText>
      </w:r>
      <w:r w:rsidR="00C07D4D">
        <w:rPr>
          <w:bCs/>
        </w:rPr>
        <w:fldChar w:fldCharType="separate"/>
      </w:r>
      <w:r w:rsidR="001912C9" w:rsidRPr="001912C9">
        <w:rPr>
          <w:rFonts w:cs="Times New Roman"/>
          <w:vertAlign w:val="superscript"/>
        </w:rPr>
        <w:t>25,26</w:t>
      </w:r>
      <w:r w:rsidR="00C07D4D">
        <w:rPr>
          <w:bCs/>
        </w:rPr>
        <w:fldChar w:fldCharType="end"/>
      </w:r>
      <w:r w:rsidR="005A43C0" w:rsidRPr="005A43C0">
        <w:t>.</w:t>
      </w:r>
      <w:r w:rsidR="005A43C0">
        <w:t xml:space="preserve"> Simultaneously, </w:t>
      </w:r>
      <w:r w:rsidR="005A43C0" w:rsidRPr="005A43C0">
        <w:t>I</w:t>
      </w:r>
      <w:r w:rsidR="0012570D">
        <w:t>nterleukin</w:t>
      </w:r>
      <w:r w:rsidR="005A43C0" w:rsidRPr="005A43C0">
        <w:t xml:space="preserve">-27 </w:t>
      </w:r>
      <w:r w:rsidR="005A43C0" w:rsidRPr="005A43C0">
        <w:rPr>
          <w:bCs/>
        </w:rPr>
        <w:t>suppresses</w:t>
      </w:r>
      <w:r w:rsidR="005A43C0" w:rsidRPr="005A43C0">
        <w:t xml:space="preserve"> Th2 and Th17 responses, </w:t>
      </w:r>
      <w:r w:rsidR="002F762F" w:rsidRPr="005A43C0">
        <w:rPr>
          <w:bCs/>
        </w:rPr>
        <w:t>decreasing</w:t>
      </w:r>
      <w:r w:rsidR="005A43C0" w:rsidRPr="005A43C0">
        <w:t xml:space="preserve"> the </w:t>
      </w:r>
      <w:r w:rsidR="005A43C0" w:rsidRPr="005A43C0">
        <w:rPr>
          <w:bCs/>
        </w:rPr>
        <w:t>intensity</w:t>
      </w:r>
      <w:r w:rsidR="005A43C0" w:rsidRPr="005A43C0">
        <w:t xml:space="preserve"> of autoimmune and inflammatory </w:t>
      </w:r>
      <w:r w:rsidR="005A43C0" w:rsidRPr="005A43C0">
        <w:rPr>
          <w:bCs/>
        </w:rPr>
        <w:t>disorders</w:t>
      </w:r>
      <w:r w:rsidR="005A43C0" w:rsidRPr="005A43C0">
        <w:t xml:space="preserve">. It </w:t>
      </w:r>
      <w:r w:rsidR="005A43C0" w:rsidRPr="005A43C0">
        <w:rPr>
          <w:bCs/>
        </w:rPr>
        <w:t>additionally</w:t>
      </w:r>
      <w:r w:rsidR="005A43C0" w:rsidRPr="005A43C0">
        <w:t xml:space="preserve"> </w:t>
      </w:r>
      <w:r w:rsidR="005A43C0" w:rsidRPr="005A43C0">
        <w:rPr>
          <w:bCs/>
        </w:rPr>
        <w:t>decreases</w:t>
      </w:r>
      <w:r w:rsidR="005A43C0" w:rsidRPr="005A43C0">
        <w:t xml:space="preserve"> pro-inflammatory cytokines </w:t>
      </w:r>
      <w:r w:rsidR="005A43C0" w:rsidRPr="005A43C0">
        <w:rPr>
          <w:bCs/>
        </w:rPr>
        <w:t>such</w:t>
      </w:r>
      <w:r w:rsidR="005A43C0" w:rsidRPr="005A43C0">
        <w:t xml:space="preserve"> </w:t>
      </w:r>
      <w:r w:rsidR="005A43C0" w:rsidRPr="005A43C0">
        <w:rPr>
          <w:bCs/>
        </w:rPr>
        <w:t xml:space="preserve">as </w:t>
      </w:r>
      <w:r w:rsidR="00807A30" w:rsidRPr="005A43C0">
        <w:t>T</w:t>
      </w:r>
      <w:r w:rsidR="00807A30">
        <w:t xml:space="preserve">umor </w:t>
      </w:r>
      <w:r w:rsidR="00807A30" w:rsidRPr="005A43C0">
        <w:t>N</w:t>
      </w:r>
      <w:r w:rsidR="00807A30">
        <w:t xml:space="preserve">ecrosis </w:t>
      </w:r>
      <w:r w:rsidR="00807A30" w:rsidRPr="005A43C0">
        <w:t>F</w:t>
      </w:r>
      <w:r w:rsidR="00807A30">
        <w:t>actor</w:t>
      </w:r>
      <w:r w:rsidR="00807A30" w:rsidRPr="005A43C0">
        <w:t>-α</w:t>
      </w:r>
      <w:r w:rsidR="00807A30">
        <w:t xml:space="preserve"> and </w:t>
      </w:r>
      <w:r w:rsidR="005A43C0" w:rsidRPr="005A43C0">
        <w:t>I</w:t>
      </w:r>
      <w:r w:rsidR="00807A30">
        <w:t>nterleukin-6</w:t>
      </w:r>
      <w:r w:rsidR="005A43C0" w:rsidRPr="005A43C0">
        <w:t>.</w:t>
      </w:r>
      <w:r w:rsidR="005A43C0">
        <w:t xml:space="preserve"> </w:t>
      </w:r>
      <w:r w:rsidR="00807A30">
        <w:t xml:space="preserve">The </w:t>
      </w:r>
      <w:r w:rsidR="005A43C0">
        <w:t xml:space="preserve">IL-27 also has antimicrobial and antitumor </w:t>
      </w:r>
      <w:r w:rsidR="0027094C">
        <w:t>effects</w:t>
      </w:r>
      <w:r w:rsidR="00D577CE">
        <w:t xml:space="preserve"> </w:t>
      </w:r>
      <w:r w:rsidR="00D577CE">
        <w:fldChar w:fldCharType="begin"/>
      </w:r>
      <w:r w:rsidR="001912C9">
        <w:instrText xml:space="preserve"> ADDIN ZOTERO_ITEM CSL_CITATION {"citationID":"DGCVQRl2","properties":{"formattedCitation":"\\super 25,27\\nosupersub{}","plainCitation":"25,27","noteIndex":0},"citationItems":[{"id":453,"uris":["http://zotero.org/users/local/BfzbJtgR/items/E9RRFBPG"],"itemData":{"id":453,"type":"article-journal","abstract":"Interleukin (IL)-27, a member of IL-12/IL-23 heterodimeric family of cytokines, has pleiotropic properties that can enhance or limit immune responses. IL-27 acts on various cell types, including T cells, B cells, macrophages, dendritic cells, natural killer (NK) cells and non-hematopoietic cells. Intensive studies have been conducted especially on T cells, revealing that various subsets of T cells respond uniquely to IL-27. IL-27 induces expansion of Th1 cells by activating signal transducer and activator of transcription (STAT) 1-mediated T-bet signaling pathway. On the other hand, IL-27 suppresses immune responses through inhibition of the development of T helper (Th) 17 cells and induction of IL-10 production in a STAT1- and STAT3-dependent manner. IL-27 is a potentially promising cytokine for therapeutic approaches on various human diseases. Here, we provide an overview of the biology of IL-27 related to T cell subsets, its structure, and production mechanism.","container-title":"International Journal of Molecular Sciences","DOI":"10.3390/ijms16022851","ISSN":"1422-0067","issue":"2","journalAbbreviation":"Int J Mol Sci","language":"eng","note":"PMID: 25633106\nPMCID: PMC4346869","page":"2851-2863","source":"PubMed","title":"Interleukin-27 in T cell immunity","volume":"16","author":[{"family":"Iwasaki","given":"Yukiko"},{"family":"Fujio","given":"Keishi"},{"family":"Okamura","given":"Tomohisa"},{"family":"Yamamoto","given":"Kazuhiko"}],"issued":{"date-parts":[["2015",1,27]]}}},{"id":456,"uris":["http://zotero.org/users/local/BfzbJtgR/items/5CRWK6D2"],"itemData":{"id":456,"type":"article-journal","abstract":"IL-27 up-regulates Th1 but down-regulates Th2 responses. However, its molecular mechanism and regulatory effects on polarized Th2 cells remain unclear. In this study, we have revealed that IL-27 inhibits Th2 cell development as well as Th2 cytokines production from already polarized Th2 cells by down-regulation of GATA-3 and up-regulation of T-bet expression simultaneously. In vivo daily IL-27 treatment for 1 wk after Leishmania major infection protects BALB/c mice from footpad swelling by diminishing parasite burden via reciprocal regulation of Th1 and Th2 responses. Furthermore, IL-27 stimulation causes marked reduction in the capacity of host mouse to mount a Th2 response against Strongyloides venezuelensis infection. Thus, IL-27-treated mice failed to develop intestinal mastocytosis after S. venezuelensis infection and exhibited a marked delay in parasite expulsion. Finally, intranasal administration of IL-27 inhibits OVA-induced airway hyperresponsiveness and inflammation in OVA-sensitized animals. Thus, IL-27 could provide us with a novel therapeutic way for treating Th2-associated diseases such as bronchial asthma.","container-title":"Journal of Immunology (Baltimore, Md.: 1950)","DOI":"10.4049/jimmunol.179.7.4415","ISSN":"0022-1767","issue":"7","journalAbbreviation":"J Immunol","language":"eng","note":"PMID: 17878337","page":"4415-4423","source":"PubMed","title":"IL-27 suppresses Th2 cell development and Th2 cytokines production from polarized Th2 cells: a novel therapeutic way for Th2-mediated allergic inflammation","title-short":"IL-27 suppresses Th2 cell development and Th2 cytokines production from polarized Th2 cells","volume":"179","author":[{"family":"Yoshimoto","given":"Tomohiro"},{"family":"Yoshimoto","given":"Takayuki"},{"family":"Yasuda","given":"Koubun"},{"family":"Mizuguchi","given":"Junichiro"},{"family":"Nakanishi","given":"Kenji"}],"issued":{"date-parts":[["2007",10,1]]}}}],"schema":"https://github.com/citation-style-language/schema/raw/master/csl-citation.json"} </w:instrText>
      </w:r>
      <w:r w:rsidR="00D577CE">
        <w:fldChar w:fldCharType="separate"/>
      </w:r>
      <w:r w:rsidR="001912C9" w:rsidRPr="001912C9">
        <w:rPr>
          <w:rFonts w:cs="Times New Roman"/>
          <w:vertAlign w:val="superscript"/>
        </w:rPr>
        <w:t>25,27</w:t>
      </w:r>
      <w:r w:rsidR="00D577CE">
        <w:fldChar w:fldCharType="end"/>
      </w:r>
      <w:r w:rsidR="005A43C0">
        <w:t xml:space="preserve">. </w:t>
      </w:r>
      <w:r w:rsidR="005F0D8C" w:rsidRPr="0027094C">
        <w:t xml:space="preserve">Two of the </w:t>
      </w:r>
      <w:r w:rsidR="005F0D8C" w:rsidRPr="0027094C">
        <w:rPr>
          <w:bCs/>
        </w:rPr>
        <w:t>primary</w:t>
      </w:r>
      <w:r w:rsidR="005F0D8C" w:rsidRPr="0027094C">
        <w:t xml:space="preserve"> effector pathways </w:t>
      </w:r>
      <w:r w:rsidR="005F0D8C" w:rsidRPr="0027094C">
        <w:rPr>
          <w:bCs/>
        </w:rPr>
        <w:t xml:space="preserve">of cytokines </w:t>
      </w:r>
      <w:r w:rsidR="005F0D8C" w:rsidRPr="0027094C">
        <w:t xml:space="preserve">are </w:t>
      </w:r>
      <w:r w:rsidR="005F0D8C" w:rsidRPr="0027094C">
        <w:rPr>
          <w:bCs/>
        </w:rPr>
        <w:t xml:space="preserve">the </w:t>
      </w:r>
      <w:r w:rsidR="009C550D">
        <w:t>NF-κB and JAK-STAT</w:t>
      </w:r>
      <w:r w:rsidR="005F0D8C" w:rsidRPr="0027094C">
        <w:t>.</w:t>
      </w:r>
    </w:p>
    <w:p w:rsidR="000B1C16" w:rsidRDefault="0027094C" w:rsidP="00F861EB">
      <w:pPr>
        <w:pStyle w:val="Standard"/>
        <w:suppressAutoHyphens w:val="0"/>
        <w:spacing w:before="280" w:after="280" w:line="276" w:lineRule="auto"/>
        <w:jc w:val="both"/>
        <w:textAlignment w:val="auto"/>
        <w:rPr>
          <w:bCs/>
        </w:rPr>
      </w:pPr>
      <w:r w:rsidRPr="0027094C">
        <w:t xml:space="preserve">JAK-STAT </w:t>
      </w:r>
      <w:r>
        <w:t xml:space="preserve">Pathway- </w:t>
      </w:r>
      <w:r w:rsidR="009C550D">
        <w:t>This pathway is</w:t>
      </w:r>
      <w:r w:rsidR="006C188F" w:rsidRPr="006C188F">
        <w:t xml:space="preserve"> </w:t>
      </w:r>
      <w:r w:rsidR="006C188F" w:rsidRPr="006C188F">
        <w:rPr>
          <w:bCs/>
        </w:rPr>
        <w:t>initiated</w:t>
      </w:r>
      <w:r w:rsidR="009C550D">
        <w:t xml:space="preserve"> by a cytokine ligand and</w:t>
      </w:r>
      <w:r w:rsidR="006C188F" w:rsidRPr="006C188F">
        <w:t xml:space="preserve"> </w:t>
      </w:r>
      <w:r w:rsidR="006C188F" w:rsidRPr="006C188F">
        <w:rPr>
          <w:bCs/>
        </w:rPr>
        <w:t>regulated</w:t>
      </w:r>
      <w:r w:rsidR="006C188F" w:rsidRPr="006C188F">
        <w:t xml:space="preserve"> by </w:t>
      </w:r>
      <w:r w:rsidR="009C550D">
        <w:t xml:space="preserve">pro-inflammatory cytokines such as Interleukin-12, </w:t>
      </w:r>
      <w:r w:rsidR="006C188F" w:rsidRPr="006C188F">
        <w:t xml:space="preserve">and </w:t>
      </w:r>
      <w:r w:rsidR="009C550D">
        <w:rPr>
          <w:bCs/>
        </w:rPr>
        <w:t>promotes</w:t>
      </w:r>
      <w:r w:rsidR="006C188F" w:rsidRPr="006C188F">
        <w:t xml:space="preserve"> </w:t>
      </w:r>
      <w:r w:rsidR="006C188F" w:rsidRPr="006C188F">
        <w:rPr>
          <w:bCs/>
        </w:rPr>
        <w:t xml:space="preserve">cytokine </w:t>
      </w:r>
      <w:r w:rsidR="009C550D">
        <w:t>production</w:t>
      </w:r>
      <w:r w:rsidR="006C188F" w:rsidRPr="006C188F">
        <w:t xml:space="preserve">. </w:t>
      </w:r>
      <w:r w:rsidR="00B265D2">
        <w:t>Cytokines</w:t>
      </w:r>
      <w:r w:rsidR="006C188F" w:rsidRPr="006C188F">
        <w:t xml:space="preserve"> and growth factors </w:t>
      </w:r>
      <w:r w:rsidR="00B265D2">
        <w:t xml:space="preserve">interact with </w:t>
      </w:r>
      <w:r w:rsidR="006C188F" w:rsidRPr="006C188F">
        <w:rPr>
          <w:bCs/>
        </w:rPr>
        <w:t>specific</w:t>
      </w:r>
      <w:r w:rsidR="006C188F" w:rsidRPr="006C188F">
        <w:t xml:space="preserve"> receptors within the JAK-STAT pathway, </w:t>
      </w:r>
      <w:r w:rsidR="006C188F" w:rsidRPr="006C188F">
        <w:rPr>
          <w:bCs/>
        </w:rPr>
        <w:t xml:space="preserve">causing </w:t>
      </w:r>
      <w:r w:rsidR="006C188F" w:rsidRPr="006C188F">
        <w:t xml:space="preserve">the receptor </w:t>
      </w:r>
      <w:r w:rsidR="006C188F" w:rsidRPr="006C188F">
        <w:rPr>
          <w:bCs/>
        </w:rPr>
        <w:t>to</w:t>
      </w:r>
      <w:r w:rsidR="006C188F" w:rsidRPr="006C188F">
        <w:t xml:space="preserve"> </w:t>
      </w:r>
      <w:r w:rsidR="006C188F" w:rsidRPr="006C188F">
        <w:rPr>
          <w:bCs/>
        </w:rPr>
        <w:t>dimerize</w:t>
      </w:r>
      <w:r w:rsidR="006C188F" w:rsidRPr="006C188F">
        <w:t xml:space="preserve"> and </w:t>
      </w:r>
      <w:r w:rsidR="006C188F" w:rsidRPr="006C188F">
        <w:rPr>
          <w:bCs/>
        </w:rPr>
        <w:t>leading</w:t>
      </w:r>
      <w:r w:rsidR="006C188F" w:rsidRPr="006C188F">
        <w:t xml:space="preserve"> </w:t>
      </w:r>
      <w:r w:rsidR="006C188F" w:rsidRPr="006C188F">
        <w:rPr>
          <w:bCs/>
        </w:rPr>
        <w:t>to</w:t>
      </w:r>
      <w:r w:rsidR="006C188F" w:rsidRPr="006C188F">
        <w:t xml:space="preserve"> the activation of Janus Kinases (JAKs) </w:t>
      </w:r>
      <w:r w:rsidR="006C188F" w:rsidRPr="006C188F">
        <w:rPr>
          <w:bCs/>
        </w:rPr>
        <w:t>linked</w:t>
      </w:r>
      <w:r w:rsidR="006C188F" w:rsidRPr="006C188F">
        <w:t xml:space="preserve"> </w:t>
      </w:r>
      <w:r w:rsidR="00E103B8">
        <w:rPr>
          <w:bCs/>
        </w:rPr>
        <w:t xml:space="preserve">with the receptor’s </w:t>
      </w:r>
      <w:r w:rsidR="00E103B8">
        <w:t>intracellular domain</w:t>
      </w:r>
      <w:r w:rsidR="006C188F" w:rsidRPr="006C188F">
        <w:t xml:space="preserve">. The JAK proteins </w:t>
      </w:r>
      <w:r w:rsidR="006C188F" w:rsidRPr="006C188F">
        <w:rPr>
          <w:bCs/>
        </w:rPr>
        <w:t>then</w:t>
      </w:r>
      <w:r w:rsidR="006C188F" w:rsidRPr="006C188F">
        <w:t xml:space="preserve"> </w:t>
      </w:r>
      <w:r w:rsidR="006C188F" w:rsidRPr="006C188F">
        <w:rPr>
          <w:bCs/>
        </w:rPr>
        <w:t>phosphorylate</w:t>
      </w:r>
      <w:r w:rsidR="006C188F" w:rsidRPr="006C188F">
        <w:t xml:space="preserve">, in turn, </w:t>
      </w:r>
      <w:r w:rsidR="006C188F" w:rsidRPr="006C188F">
        <w:rPr>
          <w:bCs/>
        </w:rPr>
        <w:t>facilitating</w:t>
      </w:r>
      <w:r w:rsidR="006C188F" w:rsidRPr="006C188F">
        <w:t xml:space="preserve"> </w:t>
      </w:r>
      <w:r w:rsidR="006C188F" w:rsidRPr="006C188F">
        <w:rPr>
          <w:bCs/>
        </w:rPr>
        <w:t xml:space="preserve">phosphorylation of </w:t>
      </w:r>
      <w:r w:rsidR="006C188F" w:rsidRPr="006C188F">
        <w:t xml:space="preserve">the tyrosine. This </w:t>
      </w:r>
      <w:r w:rsidR="006C188F" w:rsidRPr="006C188F">
        <w:rPr>
          <w:bCs/>
        </w:rPr>
        <w:t>establishes</w:t>
      </w:r>
      <w:r w:rsidR="006C188F">
        <w:t xml:space="preserve"> </w:t>
      </w:r>
      <w:r w:rsidR="00E103B8">
        <w:t>a lodging site</w:t>
      </w:r>
      <w:r w:rsidR="006C188F">
        <w:t xml:space="preserve"> for signal t</w:t>
      </w:r>
      <w:r w:rsidR="006C188F" w:rsidRPr="006C188F">
        <w:t>rans</w:t>
      </w:r>
      <w:r w:rsidR="006C188F">
        <w:t>ducers and activators of t</w:t>
      </w:r>
      <w:r w:rsidR="006C188F" w:rsidRPr="006C188F">
        <w:t xml:space="preserve">ranscription (STATs). </w:t>
      </w:r>
      <w:r w:rsidR="00E103B8">
        <w:t xml:space="preserve">The </w:t>
      </w:r>
      <w:r w:rsidR="006C188F" w:rsidRPr="006C188F">
        <w:t xml:space="preserve">STATs are </w:t>
      </w:r>
      <w:r w:rsidR="006C188F" w:rsidRPr="006C188F">
        <w:rPr>
          <w:bCs/>
        </w:rPr>
        <w:t>attracted</w:t>
      </w:r>
      <w:r w:rsidR="00E103B8">
        <w:t xml:space="preserve"> to the receptor complex also </w:t>
      </w:r>
      <w:r w:rsidR="006C188F" w:rsidRPr="006C188F">
        <w:t xml:space="preserve">phosphorylated on tyrosine </w:t>
      </w:r>
      <w:r w:rsidR="006C188F" w:rsidRPr="006C188F">
        <w:rPr>
          <w:bCs/>
        </w:rPr>
        <w:t>by</w:t>
      </w:r>
      <w:r w:rsidR="006C188F" w:rsidRPr="006C188F">
        <w:t xml:space="preserve"> JAK; STATs </w:t>
      </w:r>
      <w:r w:rsidR="00AA03C4" w:rsidRPr="006C188F">
        <w:rPr>
          <w:bCs/>
        </w:rPr>
        <w:t>detach</w:t>
      </w:r>
      <w:r w:rsidR="006C188F" w:rsidRPr="006C188F">
        <w:t xml:space="preserve"> from the</w:t>
      </w:r>
      <w:r w:rsidR="00E103B8">
        <w:t xml:space="preserve"> receptor and</w:t>
      </w:r>
      <w:r w:rsidR="006C188F" w:rsidRPr="006C188F">
        <w:t xml:space="preserve"> </w:t>
      </w:r>
      <w:r w:rsidR="00AA03C4">
        <w:rPr>
          <w:bCs/>
        </w:rPr>
        <w:t>produce</w:t>
      </w:r>
      <w:r w:rsidR="006C188F" w:rsidRPr="006C188F">
        <w:t xml:space="preserve"> </w:t>
      </w:r>
      <w:r w:rsidR="006C188F" w:rsidRPr="006C188F">
        <w:rPr>
          <w:bCs/>
        </w:rPr>
        <w:t xml:space="preserve">either </w:t>
      </w:r>
      <w:r w:rsidR="006C188F" w:rsidRPr="006C188F">
        <w:t>h</w:t>
      </w:r>
      <w:r w:rsidR="00E103B8">
        <w:t xml:space="preserve">omodimers or </w:t>
      </w:r>
      <w:r w:rsidR="006C188F" w:rsidRPr="006C188F">
        <w:t xml:space="preserve">heterodimers; </w:t>
      </w:r>
      <w:r w:rsidR="006C188F" w:rsidRPr="006C188F">
        <w:rPr>
          <w:bCs/>
        </w:rPr>
        <w:t xml:space="preserve">the </w:t>
      </w:r>
      <w:r w:rsidR="006C188F" w:rsidRPr="006C188F">
        <w:t xml:space="preserve">STAT dimers </w:t>
      </w:r>
      <w:r w:rsidR="006C188F" w:rsidRPr="006C188F">
        <w:rPr>
          <w:bCs/>
        </w:rPr>
        <w:t>enter</w:t>
      </w:r>
      <w:r w:rsidR="006C188F" w:rsidRPr="006C188F">
        <w:t xml:space="preserve"> the nucleus, </w:t>
      </w:r>
      <w:r w:rsidR="006C188F" w:rsidRPr="006C188F">
        <w:rPr>
          <w:bCs/>
        </w:rPr>
        <w:t>bind</w:t>
      </w:r>
      <w:r w:rsidR="006C188F" w:rsidRPr="006C188F">
        <w:t xml:space="preserve"> to DNA, and </w:t>
      </w:r>
      <w:r w:rsidR="006C188F" w:rsidRPr="006C188F">
        <w:rPr>
          <w:bCs/>
        </w:rPr>
        <w:t>affect</w:t>
      </w:r>
      <w:r w:rsidR="006C188F" w:rsidRPr="006C188F">
        <w:t xml:space="preserve"> transcription. This </w:t>
      </w:r>
      <w:r w:rsidR="006C188F" w:rsidRPr="006C188F">
        <w:rPr>
          <w:bCs/>
        </w:rPr>
        <w:t>allows</w:t>
      </w:r>
      <w:r w:rsidR="006C188F" w:rsidRPr="006C188F">
        <w:t xml:space="preserve"> the STATs to </w:t>
      </w:r>
      <w:r w:rsidR="003839BB">
        <w:t xml:space="preserve">form </w:t>
      </w:r>
      <w:r w:rsidR="00FD34DD">
        <w:t xml:space="preserve">a </w:t>
      </w:r>
      <w:r w:rsidR="003839BB">
        <w:t>dimer</w:t>
      </w:r>
      <w:r w:rsidR="006C188F" w:rsidRPr="006C188F">
        <w:t xml:space="preserve"> and </w:t>
      </w:r>
      <w:r w:rsidR="006C188F" w:rsidRPr="006C188F">
        <w:rPr>
          <w:bCs/>
        </w:rPr>
        <w:t>translocate</w:t>
      </w:r>
      <w:r w:rsidR="003839BB">
        <w:t xml:space="preserve"> to the nucleus, causing</w:t>
      </w:r>
      <w:r w:rsidR="006C188F" w:rsidRPr="006C188F">
        <w:t xml:space="preserve"> </w:t>
      </w:r>
      <w:r w:rsidR="003839BB">
        <w:rPr>
          <w:bCs/>
        </w:rPr>
        <w:t>regulation of</w:t>
      </w:r>
      <w:r w:rsidR="006C188F" w:rsidRPr="006C188F">
        <w:t xml:space="preserve"> gene expression</w:t>
      </w:r>
      <w:r w:rsidR="002C05A4">
        <w:t xml:space="preserve"> </w:t>
      </w:r>
      <w:r w:rsidR="002C05A4">
        <w:fldChar w:fldCharType="begin"/>
      </w:r>
      <w:r w:rsidR="001912C9">
        <w:instrText xml:space="preserve"> ADDIN ZOTERO_ITEM CSL_CITATION {"citationID":"c5Af7GQV","properties":{"formattedCitation":"\\super 28\\uc0\\u8211{}30\\nosupersub{}","plainCitation":"28–30","noteIndex":0},"citationItems":[{"id":470,"uris":["http://zotero.org/users/local/BfzbJtgR/items/FBYPDPZ3"],"itemData":{"id":470,"type":"article-journal","abstract":"Janus kinase/signal transduction and transcription activation (JAK/STAT) pathways were originally thought to be intracellular signaling pathways that mediate cytokine signals in mammals. Existing studies show that the JAK/STAT pathway regulates the downstream signaling of numerous membrane proteins such as such as G-protein-associated receptors, integrins and so on. Mounting evidence shows that the JAK/STAT pathways play an important role in human disease pathology and pharmacological mechanism. The JAK/STAT pathways are related to aspects of all aspects of the immune system function, such as fighting infection, maintaining immune tolerance, strengthening barrier function, and cancer prevention, which are all important factors involved in immune response. In addition, the JAK/STAT pathways play an important role in extracellular mechanistic signaling and might be an important mediator of mechanistic signals that influence disease progression, immune environment. Therefore, it is important to understand the mechanism of the JAK/STAT pathways, which provides ideas for us to design more drugs targeting diseases based on the JAK/STAT pathway. In this review, we discuss the role of the JAK/STAT pathway in mechanistic signaling, disease progression, immune environment, and therapeutic targets.","container-title":"Frontiers in Bioengineering and Biotechnology","DOI":"10.3389/fbioe.2023.1110765","ISSN":"2296-4185","journalAbbreviation":"Front Bioeng Biotechnol","language":"eng","note":"PMID: 36911202\nPMCID: PMC9995824","page":"1110765","source":"PubMed","title":"JAK/STAT pathway: Extracellular signals, diseases, immunity, and therapeutic regimens","title-short":"JAK/STAT pathway","volume":"11","author":[{"family":"Hu","given":"Qian"},{"family":"Bian","given":"Qihui"},{"family":"Rong","given":"Dingchao"},{"family":"Wang","given":"Leiyun"},{"family":"Song","given":"Jianan"},{"family":"Huang","given":"Hsuan-Shun"},{"family":"Zeng","given":"Jun"},{"family":"Mei","given":"Jie"},{"family":"Wang","given":"Peng-Yuan"}],"issued":{"date-parts":[["2023"]]}}},{"id":466,"uris":["http://zotero.org/users/local/BfzbJtgR/items/4K4CCSQ3"],"itemData":{"id":466,"type":"article-journal","abstract":"Abstract\n            The Janus kinase/signal transducer and activator of transcription (JAK/STAT) signaling pathway was discovered more than a quarter-century ago. As a fulcrum of many vital cellular processes, the JAK/STAT pathway constitutes a rapid membrane-to-nucleus signaling module and induces the expression of various critical mediators of cancer and inflammation. Growing evidence suggests that dysregulation of the JAK/STAT pathway is associated with various cancers and autoimmune diseases. In this review, we discuss the current knowledge about the composition, activation, and regulation of the JAK/STAT pathway. Moreover, we highlight the role of the JAK/STAT pathway and its inhibitors in various diseases.","container-title":"Signal Transduction and Targeted Therapy","DOI":"10.1038/s41392-021-00791-1","ISSN":"2059-3635","issue":"1","journalAbbreviation":"Sig Transduct Target Ther","language":"en","page":"402","source":"DOI.org (Crossref)","title":"The JAK/STAT signaling pathway: from bench to clinic","title-short":"The JAK/STAT signaling pathway","volume":"6","author":[{"family":"Hu","given":"Xiaoyi"},{"family":"Li","given":"Jing"},{"family":"Fu","given":"Maorong"},{"family":"Zhao","given":"Xia"},{"family":"Wang","given":"Wei"}],"issued":{"date-parts":[["2021",11,26]]}}},{"id":468,"uris":["http://zotero.org/users/local/BfzbJtgR/items/MC6RN9AG"],"itemData":{"id":468,"type":"article-journal","abstract":"Abstract\n            The Janus kinase (JAK) signal transducer and activator of transcription (JAK-STAT) pathway is an evolutionarily conserved mechanism of transmembrane signal transduction that enables cells to communicate with the exterior environment. Various cytokines, interferons, growth factors, and other specific molecules activate JAK-STAT signaling to drive a series of physiological and pathological processes, including proliferation, metabolism, immune response, inflammation, and malignancy. Dysregulated JAK-STAT signaling and related genetic mutations are strongly associated with immune activation and cancer progression. Insights into the structures and functions of the JAK-STAT pathway have led to the development and approval of diverse drugs for the clinical treatment of diseases. Currently, drugs have been developed to mainly target the JAK-STAT pathway and are commonly divided into three subtypes: cytokine or receptor antibodies, JAK inhibitors, and STAT inhibitors. And novel agents also continue to be developed and tested in preclinical and clinical studies. The effectiveness and safety of each kind of drug also warrant further scientific trials before put into being clinical applications. Here, we review the current understanding of the fundamental composition and function of the JAK-STAT signaling pathway. We also discuss advancements in the understanding of JAK-STAT–related pathogenic mechanisms; targeted JAK-STAT therapies for various diseases, especially immune disorders, and cancers; newly developed JAK inhibitors; and current challenges and directions in the field.","container-title":"Signal Transduction and Targeted Therapy","DOI":"10.1038/s41392-023-01468-7","ISSN":"2059-3635","issue":"1","journalAbbreviation":"Sig Transduct Target Ther","language":"en","page":"204","source":"DOI.org (Crossref)","title":"Evolving cognition of the JAK-STAT signaling pathway: autoimmune disorders and cancer","title-short":"Evolving cognition of the JAK-STAT signaling pathway","volume":"8","author":[{"family":"Xue","given":"Chen"},{"family":"Yao","given":"Qinfan"},{"family":"Gu","given":"Xinyu"},{"family":"Shi","given":"Qingmiao"},{"family":"Yuan","given":"Xin"},{"family":"Chu","given":"Qingfei"},{"family":"Bao","given":"Zhengyi"},{"family":"Lu","given":"Juan"},{"family":"Li","given":"Lanjuan"}],"issued":{"date-parts":[["2023",5,19]]}}}],"schema":"https://github.com/citation-style-language/schema/raw/master/csl-citation.json"} </w:instrText>
      </w:r>
      <w:r w:rsidR="002C05A4">
        <w:fldChar w:fldCharType="separate"/>
      </w:r>
      <w:r w:rsidR="001912C9" w:rsidRPr="001912C9">
        <w:rPr>
          <w:rFonts w:cs="Times New Roman"/>
          <w:vertAlign w:val="superscript"/>
        </w:rPr>
        <w:t>28–30</w:t>
      </w:r>
      <w:r w:rsidR="002C05A4">
        <w:fldChar w:fldCharType="end"/>
      </w:r>
      <w:r w:rsidR="006C188F" w:rsidRPr="006C188F">
        <w:rPr>
          <w:bCs/>
        </w:rPr>
        <w:t xml:space="preserve"> (</w:t>
      </w:r>
      <w:r w:rsidR="00AD6418" w:rsidRPr="006C188F">
        <w:t>Figure 1)</w:t>
      </w:r>
      <w:r w:rsidRPr="006C188F">
        <w:rPr>
          <w:bCs/>
        </w:rPr>
        <w:t>.</w:t>
      </w:r>
    </w:p>
    <w:p w:rsidR="000B1C16" w:rsidRDefault="00AD6418" w:rsidP="00F861EB">
      <w:pPr>
        <w:pStyle w:val="Standard"/>
        <w:suppressAutoHyphens w:val="0"/>
        <w:spacing w:before="280" w:after="280" w:line="276" w:lineRule="auto"/>
        <w:jc w:val="both"/>
        <w:textAlignment w:val="auto"/>
        <w:rPr>
          <w:bCs/>
        </w:rPr>
      </w:pPr>
      <w:r>
        <w:rPr>
          <w:bCs/>
        </w:rPr>
        <w:t xml:space="preserve">    </w:t>
      </w:r>
    </w:p>
    <w:p w:rsidR="00BC0512" w:rsidRPr="00BC0512" w:rsidRDefault="000B1C16" w:rsidP="00F861EB">
      <w:pPr>
        <w:pStyle w:val="Standard"/>
        <w:suppressAutoHyphens w:val="0"/>
        <w:spacing w:before="280" w:after="280" w:line="276" w:lineRule="auto"/>
        <w:jc w:val="both"/>
        <w:textAlignment w:val="auto"/>
        <w:rPr>
          <w:bCs/>
        </w:rPr>
      </w:pPr>
      <w:r>
        <w:rPr>
          <w:bCs/>
          <w:noProof/>
          <w:lang w:eastAsia="en-US" w:bidi="ar-SA"/>
        </w:rPr>
        <w:lastRenderedPageBreak/>
        <w:drawing>
          <wp:inline distT="0" distB="0" distL="0" distR="0" wp14:anchorId="20797CD3">
            <wp:extent cx="6712086" cy="2752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1545" cy="2773009"/>
                    </a:xfrm>
                    <a:prstGeom prst="rect">
                      <a:avLst/>
                    </a:prstGeom>
                    <a:ln>
                      <a:noFill/>
                    </a:ln>
                    <a:effectLst>
                      <a:softEdge rad="112500"/>
                    </a:effectLst>
                  </pic:spPr>
                </pic:pic>
              </a:graphicData>
            </a:graphic>
          </wp:inline>
        </w:drawing>
      </w:r>
    </w:p>
    <w:p w:rsidR="000B1C16" w:rsidRDefault="00AD6418" w:rsidP="00F861EB">
      <w:pPr>
        <w:pStyle w:val="Standard"/>
        <w:suppressAutoHyphens w:val="0"/>
        <w:spacing w:before="280" w:after="280" w:line="276" w:lineRule="auto"/>
        <w:jc w:val="both"/>
        <w:textAlignment w:val="auto"/>
      </w:pPr>
      <w:r>
        <w:t>Figure 1: A</w:t>
      </w:r>
      <w:r w:rsidR="00C00588">
        <w:t xml:space="preserve"> </w:t>
      </w:r>
      <w:r w:rsidR="00CA336F">
        <w:t>diagrammatic overview</w:t>
      </w:r>
      <w:r>
        <w:t xml:space="preserve"> of</w:t>
      </w:r>
      <w:r w:rsidR="00CA336F">
        <w:t xml:space="preserve"> the JAK-STAT pathway </w:t>
      </w:r>
      <w:r w:rsidR="00CA336F" w:rsidRPr="0027094C">
        <w:t xml:space="preserve">NF-κB </w:t>
      </w:r>
      <w:r w:rsidR="00CA336F">
        <w:t>pathway. Several</w:t>
      </w:r>
      <w:r>
        <w:t xml:space="preserve"> STAT proteins are not mentioned in this representation </w:t>
      </w:r>
      <w:r w:rsidRPr="006E2B8F">
        <w:fldChar w:fldCharType="begin"/>
      </w:r>
      <w:r w:rsidR="003D446B" w:rsidRPr="006E2B8F">
        <w:instrText xml:space="preserve"> ADDIN ZOTERO_ITEM CSL_CITATION {"citationID":"ZrhQJLkj","properties":{"formattedCitation":"(Bousoik and Montazeri Aliabadi, 2018)","plainCitation":"(Bousoik and Montazeri Aliabadi, 2018)","dontUpdate":true,"noteIndex":0},"citationItems":[{"id":462,"uris":["http://zotero.org/users/local/BfzbJtgR/items/B4MMTINS"],"itemData":{"id":462,"type":"article-journal","container-title":"Frontiers in Oncology","DOI":"10.3389/fonc.2018.00287","ISSN":"2234-943X","journalAbbreviation":"Front. Oncol.","page":"287","source":"DOI.org (Crossref)","title":"“Do We Know Jack” About JAK? A Closer Look at JAK/STAT Signaling Pathway","title-short":"“Do We Know Jack” About JAK?","volume":"8","author":[{"family":"Bousoik","given":"Emira"},{"family":"Montazeri Aliabadi","given":"Hamidreza"}],"issued":{"date-parts":[["2018",7,31]]}}}],"schema":"https://github.com/citation-style-language/schema/raw/master/csl-citation.json"} </w:instrText>
      </w:r>
      <w:r w:rsidRPr="006E2B8F">
        <w:fldChar w:fldCharType="separate"/>
      </w:r>
      <w:r w:rsidRPr="006E2B8F">
        <w:t>(</w:t>
      </w:r>
      <w:r w:rsidR="00772AC3" w:rsidRPr="006E2B8F">
        <w:t xml:space="preserve">Image </w:t>
      </w:r>
      <w:r w:rsidR="0015022C" w:rsidRPr="006E2B8F">
        <w:t>Courtesy</w:t>
      </w:r>
      <w:r w:rsidR="00772AC3" w:rsidRPr="006E2B8F">
        <w:t xml:space="preserve"> of</w:t>
      </w:r>
      <w:r w:rsidRPr="006E2B8F">
        <w:t xml:space="preserve"> Bousoik and Montazeri Aliabadi, 2018</w:t>
      </w:r>
      <w:r w:rsidRPr="006E2B8F">
        <w:fldChar w:fldCharType="end"/>
      </w:r>
      <w:r w:rsidR="007151A9">
        <w:t>,</w:t>
      </w:r>
      <w:r w:rsidR="000B1C16" w:rsidRPr="006E2B8F">
        <w:t xml:space="preserve"> </w:t>
      </w:r>
      <w:r w:rsidR="00792364">
        <w:fldChar w:fldCharType="begin"/>
      </w:r>
      <w:r w:rsidR="00792364">
        <w:instrText xml:space="preserve"> ADDIN ZOTERO_ITEM CSL_CITATION {"citationID":"sZraTifX","properties":{"formattedCitation":"\\super 31,32\\nosupersub{}","plainCitation":"31,32","noteIndex":0},"citationItems":[{"id":462,"uris":["http://zotero.org/users/local/BfzbJtgR/items/B4MMTINS"],"itemData":{"id":462,"type":"article-journal","container-title":"Frontiers in Oncology","DOI":"10.3389/fonc.2018.00287","ISSN":"2234-943X","journalAbbreviation":"Front. Oncol.","page":"287","source":"DOI.org (Crossref)","title":"“Do We Know Jack” About JAK? A Closer Look at JAK/STAT Signaling Pathway","title-short":"“Do We Know Jack” About JAK?","volume":"8","author":[{"family":"Bousoik","given":"Emira"},{"family":"Montazeri Aliabadi","given":"Hamidreza"}],"issued":{"date-parts":[["2018",7,31]]}}},{"id":464,"uris":["http://zotero.org/users/local/BfzbJtgR/items/AJ6IEWKQ"],"itemData":{"id":464,"type":"article-journal","abstract":"Asthma and chronic obstructive pulmonary disease (COPD) are obstructive airway disorders which differ in their underlying causes and phenotypes but overlap in patterns of pharmacological treatments. In both asthma and COPD, oxidative stress contributes to airway inflammation by inducing inflammatory gene expression. The redox-sensitive transcription factor, nuclear factor (NF)-kappaB (NF-κB), is an important participant in a broad spectrum of inflammatory networks that regulate cytokine activity in airway pathology. The anti-inflammatory actions of glucocorticoids (GCs), a mainstay treatment for asthma, involve inhibition of NF-κB induced gene transcription. Ligand bound GC receptors (GRs) bind NF-κB to suppress the transcription of NF-κB responsive genes (i.e., transrepression). However, in severe asthma and COPD, the transrepression of NF-κB by GCs is negated as a consequence of post-translational changes to GR and histones involved in chromatin remodeling. Therapeutics which target NF-κB activation, including inhibitors of IκB kinases (IKKs) are potential treatments for asthma and COPD. Furthermore, reversing GR/histone acetylation shows promise as a strategy to treat steroid refractory airway disease by augmenting NF-κB transrepression. This review examines NF-κB signaling in airway inflammation and its potential as target for treatment of asthma and COPD.","container-title":"Biomolecules","DOI":"10.3390/biom5031266","ISSN":"2218-273X","issue":"3","journalAbbreviation":"Biomolecules","language":"en","license":"https://creativecommons.org/licenses/by/4.0/","page":"1266-1283","source":"DOI.org (Crossref)","title":"NF-kappaB Signaling in Chronic Inflammatory Airway Disease","volume":"5","author":[{"family":"Schuliga","given":"Michael"}],"issued":{"date-parts":[["2015",6,26]]}}}],"schema":"https://github.com/citation-style-language/schema/raw/master/csl-citation.json"} </w:instrText>
      </w:r>
      <w:r w:rsidR="00792364">
        <w:fldChar w:fldCharType="separate"/>
      </w:r>
      <w:r w:rsidR="00792364" w:rsidRPr="00792364">
        <w:rPr>
          <w:rFonts w:cs="Times New Roman"/>
          <w:vertAlign w:val="superscript"/>
        </w:rPr>
        <w:t>31,32</w:t>
      </w:r>
      <w:r w:rsidR="00792364">
        <w:fldChar w:fldCharType="end"/>
      </w:r>
      <w:r w:rsidR="000B1C16">
        <w:t xml:space="preserve"> </w:t>
      </w:r>
      <w:r w:rsidR="00792364">
        <w:t>.</w:t>
      </w:r>
    </w:p>
    <w:p w:rsidR="00762B05" w:rsidRDefault="00762B05" w:rsidP="00F861EB">
      <w:pPr>
        <w:pStyle w:val="Standard"/>
        <w:suppressAutoHyphens w:val="0"/>
        <w:spacing w:before="280" w:after="280" w:line="276" w:lineRule="auto"/>
        <w:jc w:val="both"/>
        <w:textAlignment w:val="auto"/>
      </w:pPr>
      <w:r>
        <w:t>Nuclear Factor kappa-light-chain-enhancer of activated B cells (NF-κB pathways)-</w:t>
      </w:r>
    </w:p>
    <w:p w:rsidR="00C45908" w:rsidRDefault="00762B05" w:rsidP="00F861EB">
      <w:pPr>
        <w:pStyle w:val="Standard"/>
        <w:suppressAutoHyphens w:val="0"/>
        <w:spacing w:before="280" w:after="280" w:line="276" w:lineRule="auto"/>
        <w:jc w:val="both"/>
        <w:textAlignment w:val="auto"/>
        <w:rPr>
          <w:rFonts w:ascii="Times New Roman" w:eastAsia="Times New Roman" w:hAnsi="Times New Roman" w:cs="Times New Roman"/>
        </w:rPr>
      </w:pPr>
      <w:r>
        <w:t xml:space="preserve">The </w:t>
      </w:r>
      <w:r w:rsidR="00AA03C4">
        <w:t>pathway involves IκB protein</w:t>
      </w:r>
      <w:r>
        <w:t>s, which obstruct the κB component</w:t>
      </w:r>
      <w:r w:rsidR="00AA03C4">
        <w:t xml:space="preserve"> in the </w:t>
      </w:r>
      <w:r>
        <w:t>lack</w:t>
      </w:r>
      <w:r w:rsidR="00AA03C4">
        <w:t xml:space="preserve"> of a ligand, </w:t>
      </w:r>
      <w:r>
        <w:t>avoiding</w:t>
      </w:r>
      <w:r w:rsidR="00AA03C4">
        <w:t xml:space="preserve"> κB from initiating the </w:t>
      </w:r>
      <w:r>
        <w:t xml:space="preserve">gene transcription associated with inflammatory </w:t>
      </w:r>
      <w:r w:rsidR="00AA03C4">
        <w:t xml:space="preserve">and stress </w:t>
      </w:r>
      <w:r>
        <w:t>reactions. This</w:t>
      </w:r>
      <w:r w:rsidR="00AA03C4">
        <w:t xml:space="preserve"> pathway is often triggered by external stimuli, incl</w:t>
      </w:r>
      <w:r>
        <w:t>uding pro-inflammatory mediators</w:t>
      </w:r>
      <w:r w:rsidR="00AA03C4">
        <w:t xml:space="preserve"> (such as </w:t>
      </w:r>
      <w:r>
        <w:t xml:space="preserve">Interleukin-1 and </w:t>
      </w:r>
      <w:r w:rsidR="00AA03C4">
        <w:t>T</w:t>
      </w:r>
      <w:r>
        <w:t>umor necrosis factor-</w:t>
      </w:r>
      <w:r>
        <w:rPr>
          <w:rFonts w:ascii="Times New Roman" w:hAnsi="Times New Roman" w:cs="Times New Roman"/>
        </w:rPr>
        <w:t>α</w:t>
      </w:r>
      <w:r w:rsidR="00AA03C4">
        <w:t>), pathogen-associated</w:t>
      </w:r>
      <w:r w:rsidR="00751AB5">
        <w:t xml:space="preserve"> molecular patterns</w:t>
      </w:r>
      <w:r w:rsidR="00AA03C4">
        <w:t xml:space="preserve">, or other stressors. These stimuli </w:t>
      </w:r>
      <w:r w:rsidR="00751AB5">
        <w:t>trigger</w:t>
      </w:r>
      <w:r w:rsidR="00AA03C4">
        <w:t xml:space="preserve"> the IκB kinase complex (IKK), which phosphorylates the IκB proteins that typic</w:t>
      </w:r>
      <w:r w:rsidR="00751AB5">
        <w:t>ally inhibit NF-κB dimers p65/p50</w:t>
      </w:r>
      <w:r w:rsidR="00AA03C4">
        <w:t>. The phosphorylation of IκB leads to its degradation via the pro</w:t>
      </w:r>
      <w:r w:rsidR="00EC533C">
        <w:t>teasome. This mechanism</w:t>
      </w:r>
      <w:r w:rsidR="00AA03C4">
        <w:t xml:space="preserve"> releases NF-κB dimers from the inhibitory complex. </w:t>
      </w:r>
      <w:r w:rsidR="00905BA9">
        <w:rPr>
          <w:rStyle w:val="match"/>
        </w:rPr>
        <w:t>T</w:t>
      </w:r>
      <w:r w:rsidR="00EC533C">
        <w:rPr>
          <w:rStyle w:val="match"/>
        </w:rPr>
        <w:t xml:space="preserve">he released NF-κB dimers move into the nucleus to combine with κB sites in DNA to activate the </w:t>
      </w:r>
      <w:r w:rsidR="00905BA9">
        <w:rPr>
          <w:rStyle w:val="match"/>
        </w:rPr>
        <w:t xml:space="preserve">target </w:t>
      </w:r>
      <w:r w:rsidR="00EC533C">
        <w:rPr>
          <w:rStyle w:val="match"/>
        </w:rPr>
        <w:t>genes' transcription</w:t>
      </w:r>
      <w:r w:rsidR="00905BA9">
        <w:rPr>
          <w:rStyle w:val="match"/>
        </w:rPr>
        <w:t>.</w:t>
      </w:r>
      <w:r w:rsidR="00AA03C4">
        <w:t xml:space="preserve"> </w:t>
      </w:r>
      <w:r w:rsidR="00EC533C">
        <w:t xml:space="preserve">The </w:t>
      </w:r>
      <w:r w:rsidR="00AA03C4">
        <w:t>NF-κB regulates g</w:t>
      </w:r>
      <w:r w:rsidR="00EC533C">
        <w:t>enes associated</w:t>
      </w:r>
      <w:r w:rsidR="00AA03C4">
        <w:t xml:space="preserve"> </w:t>
      </w:r>
      <w:r w:rsidR="00EC533C">
        <w:t>with</w:t>
      </w:r>
      <w:r w:rsidR="00AA03C4">
        <w:t xml:space="preserve"> immune responses, inflammation, cell survival, and</w:t>
      </w:r>
      <w:r w:rsidR="00EC533C">
        <w:t xml:space="preserve"> programmed cell death</w:t>
      </w:r>
      <w:r w:rsidR="00AA03C4">
        <w:t>. This pathway is crucial for</w:t>
      </w:r>
      <w:r w:rsidR="00084375">
        <w:t xml:space="preserve"> activation of inflammation, which enables the ability of the immune system's response against</w:t>
      </w:r>
      <w:r w:rsidR="00AA03C4">
        <w:t xml:space="preserve"> infections and stressors</w:t>
      </w:r>
      <w:r w:rsidR="004F7308">
        <w:t xml:space="preserve"> </w:t>
      </w:r>
      <w:r w:rsidR="002C695E">
        <w:fldChar w:fldCharType="begin"/>
      </w:r>
      <w:r w:rsidR="001912C9">
        <w:instrText xml:space="preserve"> ADDIN ZOTERO_ITEM CSL_CITATION {"citationID":"a21p16dc4mu","properties":{"formattedCitation":"\\super 33,34\\nosupersub{}","plainCitation":"33,34","noteIndex":0},"citationItems":[{"id":480,"uris":["http://zotero.org/users/local/BfzbJtgR/items/VPB2T2SQ"],"itemData":{"id":480,"type":"article-journal","container-title":"Annual Review of Immunology","DOI":"10.1146/annurev.iy.12.040194.001041","ISSN":"0732-0582, 1545-3278","issue":"1","journalAbbreviation":"Annu. Rev. Immunol.","language":"en","page":"141-179","source":"DOI.org (Crossref)","title":"Function and Activation of NF-kappaB in the Immune System","volume":"12","author":[{"family":"Baeuerle","given":"P A"},{"family":"Henkel","given":"T"}],"issued":{"date-parts":[["1994",4]]}}},{"id":477,"uris":["http://zotero.org/users/local/BfzbJtgR/items/S6HZPA2D"],"itemData":{"id":477,"type":"article-journal","abstract":"The nuclear factor-κB (NF-κB) family of transcription factors plays important roles in various biological processes including apoptosis, stress response, immunity, and inflammation. NF-κB signaling is involved in both immune cell development and function, and it is critical in modulation of the immune response through the transcriptional regulation of cytokine and chemokine expression. An area of great interest in T-cell-mediated adaptive immunity is the ability of naive CD4(+) T cells generated in the thymus to differentiate into various subsets including T-helper 1 (Th1), Th2, Th17, Th9, follicular helper T (Tfh), Th22, and regulatory T (Treg) cells, upon encountering different pathogens and microenvironments. In this review, we discuss the role of NF-κB pathway in the development and functional divergence of the different helper T-cell subsets as well as in regulatory T cells.","container-title":"Immunological Reviews","DOI":"10.1111/imr.12033","ISSN":"1600-065X","issue":"1","journalAbbreviation":"Immunol Rev","language":"eng","note":"PMID: 23405894\nPMCID: PMC3576882","page":"41-51","source":"PubMed","title":"NF-κB: roles and regulation in different CD4(+) T-cell subsets","title-short":"NF-κB","volume":"252","author":[{"family":"Oh","given":"Hyunju"},{"family":"Ghosh","given":"Sankar"}],"issued":{"date-parts":[["2013",3]]}}}],"schema":"https://github.com/citation-style-language/schema/raw/master/csl-citation.json"} </w:instrText>
      </w:r>
      <w:r w:rsidR="002C695E">
        <w:fldChar w:fldCharType="separate"/>
      </w:r>
      <w:r w:rsidR="001912C9" w:rsidRPr="001912C9">
        <w:rPr>
          <w:rFonts w:cs="Times New Roman"/>
          <w:vertAlign w:val="superscript"/>
        </w:rPr>
        <w:t>33,34</w:t>
      </w:r>
      <w:r w:rsidR="002C695E">
        <w:fldChar w:fldCharType="end"/>
      </w:r>
      <w:r w:rsidR="004F7308">
        <w:t>.</w:t>
      </w:r>
      <w:r w:rsidR="00C45908">
        <w:rPr>
          <w:rFonts w:ascii="Times New Roman" w:eastAsia="Times New Roman" w:hAnsi="Times New Roman" w:cs="Times New Roman"/>
        </w:rPr>
        <w:t xml:space="preserve">                </w:t>
      </w:r>
      <w:r w:rsidR="00A57B16">
        <w:rPr>
          <w:rFonts w:ascii="Times New Roman" w:eastAsia="Times New Roman" w:hAnsi="Times New Roman" w:cs="Times New Roman"/>
        </w:rPr>
        <w:t xml:space="preserve">                  </w:t>
      </w:r>
      <w:r w:rsidR="00C45908">
        <w:rPr>
          <w:rFonts w:ascii="Times New Roman" w:eastAsia="Times New Roman" w:hAnsi="Times New Roman" w:cs="Times New Roman"/>
        </w:rPr>
        <w:t xml:space="preserve">    </w:t>
      </w:r>
    </w:p>
    <w:p w:rsidR="005F0B1C" w:rsidRDefault="000871FC" w:rsidP="00F861EB">
      <w:pPr>
        <w:pStyle w:val="Standard"/>
        <w:suppressAutoHyphens w:val="0"/>
        <w:spacing w:before="280" w:after="280" w:line="276" w:lineRule="auto"/>
        <w:jc w:val="both"/>
        <w:textAlignment w:val="auto"/>
        <w:rPr>
          <w:bCs/>
        </w:rPr>
      </w:pPr>
      <w:r>
        <w:t>These</w:t>
      </w:r>
      <w:r w:rsidR="005F0B1C" w:rsidRPr="005F0B1C">
        <w:t xml:space="preserve"> pathways </w:t>
      </w:r>
      <w:r w:rsidR="005F0B1C" w:rsidRPr="005F0B1C">
        <w:rPr>
          <w:bCs/>
        </w:rPr>
        <w:t>possess</w:t>
      </w:r>
      <w:r w:rsidR="005F0B1C" w:rsidRPr="005F0B1C">
        <w:t xml:space="preserve"> </w:t>
      </w:r>
      <w:r w:rsidR="005F0B1C" w:rsidRPr="005F0B1C">
        <w:rPr>
          <w:bCs/>
        </w:rPr>
        <w:t>various</w:t>
      </w:r>
      <w:r w:rsidR="005F0B1C" w:rsidRPr="005F0B1C">
        <w:t xml:space="preserve"> </w:t>
      </w:r>
      <w:r w:rsidR="005F0B1C" w:rsidRPr="005F0B1C">
        <w:rPr>
          <w:bCs/>
        </w:rPr>
        <w:t>modes</w:t>
      </w:r>
      <w:r w:rsidR="005F0B1C" w:rsidRPr="005F0B1C">
        <w:t xml:space="preserve"> of action </w:t>
      </w:r>
      <w:r w:rsidR="005F0B1C" w:rsidRPr="005F0B1C">
        <w:rPr>
          <w:bCs/>
        </w:rPr>
        <w:t>in</w:t>
      </w:r>
      <w:r w:rsidR="005F0B1C" w:rsidRPr="005F0B1C">
        <w:t xml:space="preserve"> </w:t>
      </w:r>
      <w:r w:rsidR="005F0B1C" w:rsidRPr="005F0B1C">
        <w:rPr>
          <w:bCs/>
        </w:rPr>
        <w:t xml:space="preserve">conjunction </w:t>
      </w:r>
      <w:r w:rsidR="005F0B1C" w:rsidRPr="005F0B1C">
        <w:t xml:space="preserve">with cytokines. For </w:t>
      </w:r>
      <w:r w:rsidR="005F0B1C" w:rsidRPr="005F0B1C">
        <w:rPr>
          <w:bCs/>
        </w:rPr>
        <w:t>instance</w:t>
      </w:r>
      <w:r w:rsidR="005F0B1C" w:rsidRPr="005F0B1C">
        <w:t>, in macrophages</w:t>
      </w:r>
      <w:r w:rsidR="005F0B1C" w:rsidRPr="005F0B1C">
        <w:rPr>
          <w:bCs/>
        </w:rPr>
        <w:t>,</w:t>
      </w:r>
      <w:r w:rsidR="005F0B1C" w:rsidRPr="005F0B1C">
        <w:t xml:space="preserve"> </w:t>
      </w:r>
      <w:r w:rsidR="005F0B1C" w:rsidRPr="005F0B1C">
        <w:rPr>
          <w:bCs/>
        </w:rPr>
        <w:t>when</w:t>
      </w:r>
      <w:r w:rsidR="000710FF">
        <w:t xml:space="preserve"> Interleukin</w:t>
      </w:r>
      <w:r w:rsidR="005F0B1C" w:rsidRPr="005F0B1C">
        <w:t xml:space="preserve">-12 </w:t>
      </w:r>
      <w:r w:rsidR="005F0B1C" w:rsidRPr="005F0B1C">
        <w:rPr>
          <w:bCs/>
        </w:rPr>
        <w:t>acts</w:t>
      </w:r>
      <w:r w:rsidR="005F0B1C" w:rsidRPr="005F0B1C">
        <w:t xml:space="preserve"> </w:t>
      </w:r>
      <w:r w:rsidR="005F0B1C" w:rsidRPr="005F0B1C">
        <w:rPr>
          <w:bCs/>
        </w:rPr>
        <w:t xml:space="preserve">as </w:t>
      </w:r>
      <w:r w:rsidR="000710FF">
        <w:t xml:space="preserve">a ligand of </w:t>
      </w:r>
      <w:r w:rsidR="005F0B1C" w:rsidRPr="005F0B1C">
        <w:t>JAK-STAT pathways</w:t>
      </w:r>
      <w:r w:rsidR="005F0B1C" w:rsidRPr="005F0B1C">
        <w:rPr>
          <w:bCs/>
        </w:rPr>
        <w:t>,</w:t>
      </w:r>
      <w:r w:rsidR="005F0B1C" w:rsidRPr="005F0B1C">
        <w:t xml:space="preserve"> pro-inflammatory cytokines are </w:t>
      </w:r>
      <w:r w:rsidR="005F0B1C" w:rsidRPr="005F0B1C">
        <w:rPr>
          <w:bCs/>
        </w:rPr>
        <w:t>increased</w:t>
      </w:r>
      <w:r w:rsidR="005F0B1C" w:rsidRPr="005F0B1C">
        <w:t xml:space="preserve">. </w:t>
      </w:r>
      <w:r w:rsidR="005F0B1C" w:rsidRPr="005F0B1C">
        <w:rPr>
          <w:bCs/>
        </w:rPr>
        <w:t>Conversely,</w:t>
      </w:r>
      <w:r w:rsidR="005F0B1C" w:rsidRPr="005F0B1C">
        <w:t xml:space="preserve"> </w:t>
      </w:r>
      <w:r w:rsidR="005F0B1C" w:rsidRPr="005F0B1C">
        <w:rPr>
          <w:bCs/>
        </w:rPr>
        <w:t xml:space="preserve">with </w:t>
      </w:r>
      <w:r w:rsidR="005F0B1C" w:rsidRPr="005F0B1C">
        <w:t xml:space="preserve">the </w:t>
      </w:r>
      <w:r w:rsidR="000710FF" w:rsidRPr="005F0B1C">
        <w:rPr>
          <w:bCs/>
        </w:rPr>
        <w:t>existence</w:t>
      </w:r>
      <w:r w:rsidR="005F0B1C" w:rsidRPr="005F0B1C">
        <w:t xml:space="preserve"> </w:t>
      </w:r>
      <w:r w:rsidR="005F0B1C" w:rsidRPr="005F0B1C">
        <w:rPr>
          <w:bCs/>
        </w:rPr>
        <w:t>of</w:t>
      </w:r>
      <w:r w:rsidR="000710FF">
        <w:rPr>
          <w:bCs/>
        </w:rPr>
        <w:t xml:space="preserve"> </w:t>
      </w:r>
      <w:r w:rsidR="00FD34DD">
        <w:t>Interleukin-10</w:t>
      </w:r>
      <w:r w:rsidR="005F0B1C" w:rsidRPr="005F0B1C">
        <w:rPr>
          <w:bCs/>
        </w:rPr>
        <w:t>,</w:t>
      </w:r>
      <w:r w:rsidR="005F0B1C" w:rsidRPr="005F0B1C">
        <w:t xml:space="preserve"> </w:t>
      </w:r>
      <w:r w:rsidR="005F0B1C" w:rsidRPr="005F0B1C">
        <w:rPr>
          <w:bCs/>
        </w:rPr>
        <w:t>the</w:t>
      </w:r>
      <w:r w:rsidR="005F0B1C" w:rsidRPr="005F0B1C">
        <w:t xml:space="preserve"> </w:t>
      </w:r>
      <w:r w:rsidR="005F0B1C" w:rsidRPr="005F0B1C">
        <w:rPr>
          <w:bCs/>
        </w:rPr>
        <w:t>activities</w:t>
      </w:r>
      <w:r w:rsidR="005F0B1C" w:rsidRPr="005F0B1C">
        <w:t xml:space="preserve"> </w:t>
      </w:r>
      <w:r w:rsidR="005F0B1C" w:rsidRPr="005F0B1C">
        <w:rPr>
          <w:bCs/>
        </w:rPr>
        <w:t>of</w:t>
      </w:r>
      <w:r w:rsidR="005F0B1C" w:rsidRPr="005F0B1C">
        <w:t xml:space="preserve"> </w:t>
      </w:r>
      <w:r w:rsidR="000710FF">
        <w:t xml:space="preserve"> </w:t>
      </w:r>
      <w:r w:rsidR="005F0B1C" w:rsidRPr="005F0B1C">
        <w:t>I</w:t>
      </w:r>
      <w:r w:rsidR="000710FF">
        <w:t>nterleukin</w:t>
      </w:r>
      <w:r w:rsidR="005F0B1C" w:rsidRPr="005F0B1C">
        <w:t xml:space="preserve">-12 are </w:t>
      </w:r>
      <w:r w:rsidR="005F0B1C" w:rsidRPr="005F0B1C">
        <w:rPr>
          <w:bCs/>
        </w:rPr>
        <w:t>reduced</w:t>
      </w:r>
      <w:r w:rsidR="005F0B1C" w:rsidRPr="005F0B1C">
        <w:t xml:space="preserve">, </w:t>
      </w:r>
      <w:r w:rsidR="004F0927">
        <w:t xml:space="preserve">causing </w:t>
      </w:r>
      <w:r w:rsidR="004F0927">
        <w:rPr>
          <w:bCs/>
        </w:rPr>
        <w:t>downregulation</w:t>
      </w:r>
      <w:r w:rsidR="005F0B1C" w:rsidRPr="005F0B1C">
        <w:t xml:space="preserve"> of pro-inflammatory pathways</w:t>
      </w:r>
      <w:r w:rsidR="003C66A3">
        <w:t xml:space="preserve"> </w:t>
      </w:r>
      <w:r w:rsidR="003C66A3">
        <w:fldChar w:fldCharType="begin"/>
      </w:r>
      <w:r w:rsidR="001912C9">
        <w:instrText xml:space="preserve"> ADDIN ZOTERO_ITEM CSL_CITATION {"citationID":"3pQqyl5a","properties":{"formattedCitation":"\\super 35,36\\nosupersub{}","plainCitation":"35,36","noteIndex":0},"citationItems":[{"id":482,"uris":["http://zotero.org/users/local/BfzbJtgR/items/UEK3MTGK"],"itemData":{"id":482,"type":"article-journal","abstract":"The early phase of acquired cellular immunity to Mycobacterium tuberculosis infection is mediated by the emergence of protective CD4 T lymphocytes that secrete cytokines including interferon-gamma (IFN-gamma), a molecule which is pivotal in the expression of resistance to tuberculosis. Recent evidence demonstrates that infection with M. tuberculosis induces peripheral blood mononuclear cells to release the cytokine interleukin-12 (IL-12), a molecule that promotes the emergence of T-helper type-1 (Th1), IFN-gamma-producing T cells. We demonstrate here that IL-12 mRNA expression was induced by M. tuberculosis infection both in vivo and in vitro and that exogenous administration of IL-12 to mice transiently resulted in increased resistance to the infection. IL-12 also increased the production of IFN-gamma by both splenocytes derived from infected animals treated in vivo and by antigen-stimulated CD4 cells from untreated infected animals, with maximal effects at times associated with the expansion of antigen-specific CD4 T cells in vivo. In the absence of a T-cell response, as seen in SCID mice or nude mice, IL-12 only slightly augmented the moderate bacteriostatic capacity of these immunocompromised mice. Neutralization of IL-12 by specific monoclonal antibodies resulted in a reduction in granuloma integrity and slowing of the capacity of the animal to control bacterial growth.","container-title":"Immunology","ISSN":"0019-2805","issue":"3","journalAbbreviation":"Immunology","language":"eng","note":"PMID: 7751026\nPMCID: PMC1415123","page":"423-432","source":"PubMed","title":"The role of interleukin-12 in acquired immunity to Mycobacterium tuberculosis infection","volume":"84","author":[{"family":"Cooper","given":"A. M."},{"family":"Roberts","given":"A. D."},{"family":"Rhoades","given":"E. R."},{"family":"Callahan","given":"J. E."},{"family":"Getzy","given":"D. M."},{"family":"Orme","given":"I. M."}],"issued":{"date-parts":[["1995",3]]}}},{"id":481,"uris":["http://zotero.org/users/local/BfzbJtgR/items/3N2XLVTF"],"itemData":{"id":481,"type":"article-journal","container-title":"Nature Reviews Immunology","DOI":"10.1038/nri1001","ISSN":"1474-1733, 1474-1741","issue":"2","journalAbbreviation":"Nat Rev Immunol","language":"en","license":"http://www.springer.com/tdm","page":"133-146","source":"DOI.org (Crossref)","title":"Interleukin-12 and the regulation of innate resistance and adaptive immunity","volume":"3","author":[{"family":"Trinchieri","given":"Giorgio"}],"issued":{"date-parts":[["2003",2]]}}}],"schema":"https://github.com/citation-style-language/schema/raw/master/csl-citation.json"} </w:instrText>
      </w:r>
      <w:r w:rsidR="003C66A3">
        <w:fldChar w:fldCharType="separate"/>
      </w:r>
      <w:r w:rsidR="001912C9" w:rsidRPr="001912C9">
        <w:rPr>
          <w:rFonts w:cs="Times New Roman"/>
          <w:vertAlign w:val="superscript"/>
        </w:rPr>
        <w:t>35,36</w:t>
      </w:r>
      <w:r w:rsidR="003C66A3">
        <w:fldChar w:fldCharType="end"/>
      </w:r>
      <w:r w:rsidR="005F0B1C" w:rsidRPr="005F0B1C">
        <w:rPr>
          <w:bCs/>
        </w:rPr>
        <w:t>.</w:t>
      </w:r>
      <w:r w:rsidR="003A2EF5">
        <w:rPr>
          <w:bCs/>
        </w:rPr>
        <w:t xml:space="preserve"> </w:t>
      </w:r>
      <w:r>
        <w:rPr>
          <w:bCs/>
        </w:rPr>
        <w:t>Similarly</w:t>
      </w:r>
      <w:r w:rsidR="00353461" w:rsidRPr="00353461">
        <w:rPr>
          <w:bCs/>
        </w:rPr>
        <w:t xml:space="preserve">, in mast cells, when </w:t>
      </w:r>
      <w:r>
        <w:rPr>
          <w:bCs/>
        </w:rPr>
        <w:t>TNF functions</w:t>
      </w:r>
      <w:r w:rsidR="00353461" w:rsidRPr="00353461">
        <w:rPr>
          <w:bCs/>
        </w:rPr>
        <w:t xml:space="preserve"> as a ligand for t</w:t>
      </w:r>
      <w:r w:rsidR="004F0927">
        <w:rPr>
          <w:bCs/>
        </w:rPr>
        <w:t>he NF-κB pathway, resulting in</w:t>
      </w:r>
      <w:r w:rsidR="00353461" w:rsidRPr="00353461">
        <w:rPr>
          <w:bCs/>
        </w:rPr>
        <w:t xml:space="preserve"> pro-inflammatory </w:t>
      </w:r>
      <w:r w:rsidR="00001F28">
        <w:rPr>
          <w:bCs/>
        </w:rPr>
        <w:t>Signaling</w:t>
      </w:r>
      <w:r w:rsidR="003D3B14">
        <w:rPr>
          <w:bCs/>
        </w:rPr>
        <w:t xml:space="preserve"> </w:t>
      </w:r>
      <w:r w:rsidR="007F680F">
        <w:rPr>
          <w:bCs/>
        </w:rPr>
        <w:fldChar w:fldCharType="begin"/>
      </w:r>
      <w:r w:rsidR="001912C9">
        <w:rPr>
          <w:bCs/>
        </w:rPr>
        <w:instrText xml:space="preserve"> ADDIN ZOTERO_ITEM CSL_CITATION {"citationID":"YF2N6GDy","properties":{"formattedCitation":"\\super 37,38\\nosupersub{}","plainCitation":"37,38","noteIndex":0},"citationItems":[{"id":492,"uris":["http://zotero.org/users/local/BfzbJtgR/items/J4XULP4D"],"itemData":{"id":492,"type":"article-journal","abstract":"BACKGROUND: The transcription factor nuclear factor-kappaB (NF-kappaB) has been implicated in the regulation of a number of inflammatory cytokines and has been the proposed target for anti-inflammatory therapeutics.\nOBJECTIVE: Our purpose was to explore the role of NF-kappaB in the regulation of allergic inflammation.\nMETHODS: To determine whether NF-kappaB is activated during IgE-mediated reactions and what types of mediators it regulates, a mutant form of IkappaB was used to block the ability of NF-kappaB to translocate to the nucleus and promote the transcription of selected genes.\nRESULTS: Mouse bone marrow-derived mast cells stimulated by IgE receptor cross-linking exhibited an activation of NF-kappaB as assessed by electrophoretic mobility shift assays. Transfected mast cells expressing the mutant IkappaB showed very little NF-kappaB activation. Both control and transfected cells released beta-hexosaminidase after specific antigen challenge, and this release could be potentiated by exogenous adenosine. Transfected mast cells that failed to develop NF-kappaB activation did not produce IL-6 messenger RNA or protein after IgE-mediated stimulation, but these cells retained the ability to produce transcripts for IL-4 and IL-5 in spite of the suppression of NF-kappaB activity.\nCONCLUSIONS: It appears that NF-kappaB is activated during IgE-mediated allergic inflammation and that this activity is necessary for the production of IL-6, but not IL-4 or IL-5. When considering the use of agents that target NF-kappaB to reduce inflammatory processes, it is important to know precisely which cytokines are under its control.","container-title":"The Journal of Allergy and Clinical Immunology","DOI":"10.1067/mai.2000.104942","ISSN":"0091-6749","issue":"3","journalAbbreviation":"J Allergy Clin Immunol","language":"eng","note":"PMID: 10719300","page":"500-505","source":"PubMed","title":"Dependence of mast cell IgE-mediated cytokine production on nuclear factor-kappaB activity","volume":"105","author":[{"family":"Marquardt","given":"D. L."},{"family":"Walker","given":"L. L."}],"issued":{"date-parts":[["2000",3]]}}},{"id":489,"uris":["http://zotero.org/users/local/BfzbJtgR/items/3Y3IVBCJ"],"itemData":{"id":489,"type":"article-journal","abstract":"The recent development of a consensus definition and proposed diagnostic criteria for anaphylaxis offers promise for research efforts and a better understanding of the epidemiology and pathogenesis of this enigmatic and life-threatening disease. This review examines basic principles and recent research advances in the mechanisms of mast cell signaling believed to underlie anaphylaxis. The unfolding complexity of mast cell signaling suggests that the system is sensitive to regulation by any of several individual signaling pathways and intermediates and that complementary pathways regulate mast cell activation by amplified signals. The signaling events underlying anaphylactic reactions have largely been identified through experiments in genetically modified mice and supported by biochemical studies of mast cells derived from these mice. These studies have revealed that signaling pathways exist to both upregulate and downregulate mast cell responses. In this review we will thus describe the key molecular players in these pathways in the context of anaphylaxis.","container-title":"The Journal of Allergy and Clinical Immunology","DOI":"10.1016/j.jaci.2009.08.035","ISSN":"1097-6825","issue":"4","journalAbbreviation":"J Allergy Clin Immunol","language":"eng","note":"PMID: 19815110\nPMCID: PMC2788154","page":"639-646; quiz 647-648","source":"PubMed","title":"Mechanisms of mast cell signaling in anaphylaxis","volume":"124","author":[{"family":"Metcalfe","given":"Dean D."},{"family":"Peavy","given":"Richard D."},{"family":"Gilfillan","given":"Alasdair M."}],"issued":{"date-parts":[["2009",10]]}}}],"schema":"https://github.com/citation-style-language/schema/raw/master/csl-citation.json"} </w:instrText>
      </w:r>
      <w:r w:rsidR="007F680F">
        <w:rPr>
          <w:bCs/>
        </w:rPr>
        <w:fldChar w:fldCharType="separate"/>
      </w:r>
      <w:r w:rsidR="001912C9" w:rsidRPr="001912C9">
        <w:rPr>
          <w:rFonts w:cs="Times New Roman"/>
          <w:vertAlign w:val="superscript"/>
        </w:rPr>
        <w:t>37,38</w:t>
      </w:r>
      <w:r w:rsidR="007F680F">
        <w:rPr>
          <w:bCs/>
        </w:rPr>
        <w:fldChar w:fldCharType="end"/>
      </w:r>
      <w:r w:rsidR="004F0927">
        <w:rPr>
          <w:bCs/>
        </w:rPr>
        <w:t>. Conversely</w:t>
      </w:r>
      <w:r w:rsidR="00353461" w:rsidRPr="00353461">
        <w:rPr>
          <w:bCs/>
        </w:rPr>
        <w:t xml:space="preserve">, in the presence of </w:t>
      </w:r>
      <w:r w:rsidR="004F0927">
        <w:rPr>
          <w:bCs/>
        </w:rPr>
        <w:t xml:space="preserve"> </w:t>
      </w:r>
      <w:r w:rsidR="00353461" w:rsidRPr="00353461">
        <w:rPr>
          <w:bCs/>
        </w:rPr>
        <w:t>IL-10, the NF-κB pathway diminishes pro-inflammatory responses</w:t>
      </w:r>
      <w:r w:rsidR="003A3EE7">
        <w:rPr>
          <w:bCs/>
        </w:rPr>
        <w:t xml:space="preserve"> </w:t>
      </w:r>
      <w:r w:rsidR="003C66A3">
        <w:rPr>
          <w:bCs/>
        </w:rPr>
        <w:fldChar w:fldCharType="begin"/>
      </w:r>
      <w:r w:rsidR="001912C9">
        <w:rPr>
          <w:bCs/>
        </w:rPr>
        <w:instrText xml:space="preserve"> ADDIN ZOTERO_ITEM CSL_CITATION {"citationID":"IpsQRm1t","properties":{"formattedCitation":"\\super 39,40\\nosupersub{}","plainCitation":"39,40","noteIndex":0},"citationItems":[{"id":484,"uris":["http://zotero.org/users/local/BfzbJtgR/items/XSTCXXCW"],"itemData":{"id":484,"type":"article-journal","abstract":"Interleukin-10 (IL-10), first recognized for its ability to inhibit activation and effector function of T cells, monocytes, and macrophages, is a multifunctional cytokine with diverse effects on most hemopoietic cell types. The principal routine function of IL-10 appears to be to limit and ultimately terminate inflammatory responses. In addition to these activities, IL-10 regulates growth and/or differentiation of B cells, NK cells, cytotoxic and helper T cells, mast cells, granulocytes, dendritic cells, keratinocytes, and endothelial cells. IL-10 plays a key role in differentiation and function of a newly appreciated type of T cell, the T regulatory cell, which may figure prominently in control of immune responses and tolerance in vivo. Uniquely among hemopoietic cytokines, IL-10 has closely related homologs in several virus genomes, which testify to its crucial role in regulating immune and inflammatory responses. This review highlights findings that have advanced our understanding of IL-10 and its receptor, as well as its in vivo function in health and disease.","container-title":"Annual Review of Immunology","DOI":"10.1146/annurev.immunol.19.1.683","ISSN":"0732-0582","journalAbbreviation":"Annu Rev Immunol","language":"eng","note":"PMID: 11244051","page":"683-765","source":"PubMed","title":"Interleukin-10 and the interleukin-10 receptor","volume":"19","author":[{"family":"Moore","given":"K. W."},{"family":"Waal Malefyt","given":"R.","non-dropping-particle":"de"},{"family":"Coffman","given":"R. L."},{"family":"O'Garra","given":"A."}],"issued":{"date-parts":[["2001"]]}}},{"id":487,"uris":["http://zotero.org/users/local/BfzbJtgR/items/58NJ6VV9"],"itemData":{"id":487,"type":"article-journal","abstract":"Interleukin-10 (IL-10) is a cytokine with broad anti-inflammatory properties by its suppression of both macrophage and dendritic cell function, including antigen-presenting cell function and the production of proinflammatory cytokines. This can result subsequently in the feedback regulation of both T-helper 1 (Th1)-type and Th2-type responses. This review discusses the potential use of IL-10 or agents that induce IL-10 as potential anti-inflammatory therapies in inflammatory diseases. Although IL-10-deficient mice develop colitis in the presence of normal gut flora and clear certain intracellular pathogens more efficiently, this is often accompanied by immunopathology, which can be lethal to the host. This reinforces the anti-inflammatory properties of IL-10, although it should be noted that as discussed below, IL-10 can also promote B-cell and other immune responses under particular settings. A penalty of its role to limit the immune and inflammatory responses to pathogens and prevent damage to the host is that high or dysregulated levels of IL-10 may result in chronic infection. Thus, antagonists of IL-10 show great potential as adjuvants in preventative or therapeutic vaccines against chronic infection or cancer. This article reviews basic published studies on IL-10, which may lead to potential uses of IL-10 or its antagonists in human disease.","container-title":"Immunological Reviews","DOI":"10.1111/j.1600-065X.2008.00635.x","ISSN":"1600-065X","journalAbbreviation":"Immunol Rev","language":"eng","note":"PMID: 18613832","page":"114-131","source":"PubMed","title":"Strategies for use of IL-10 or its antagonists in human disease","volume":"223","author":[{"family":"O'Garra","given":"Anne"},{"family":"Barrat","given":"Franck J."},{"family":"Castro","given":"Antonio G."},{"family":"Vicari","given":"Alain"},{"family":"Hawrylowicz","given":"Catherine"}],"issued":{"date-parts":[["2008",6]]}}}],"schema":"https://github.com/citation-style-language/schema/raw/master/csl-citation.json"} </w:instrText>
      </w:r>
      <w:r w:rsidR="003C66A3">
        <w:rPr>
          <w:bCs/>
        </w:rPr>
        <w:fldChar w:fldCharType="separate"/>
      </w:r>
      <w:r w:rsidR="001912C9" w:rsidRPr="001912C9">
        <w:rPr>
          <w:rFonts w:cs="Times New Roman"/>
          <w:vertAlign w:val="superscript"/>
        </w:rPr>
        <w:t>39,40</w:t>
      </w:r>
      <w:r w:rsidR="003C66A3">
        <w:rPr>
          <w:bCs/>
        </w:rPr>
        <w:fldChar w:fldCharType="end"/>
      </w:r>
      <w:r w:rsidR="00353461" w:rsidRPr="00353461">
        <w:rPr>
          <w:bCs/>
        </w:rPr>
        <w:t>.</w:t>
      </w:r>
      <w:r w:rsidR="003A2EF5">
        <w:rPr>
          <w:bCs/>
        </w:rPr>
        <w:t xml:space="preserve"> </w:t>
      </w:r>
      <w:r w:rsidRPr="000871FC">
        <w:rPr>
          <w:bCs/>
        </w:rPr>
        <w:t xml:space="preserve">Another cytokine, IL-6, is likewise engaged in proinflammatory </w:t>
      </w:r>
      <w:r w:rsidRPr="000871FC">
        <w:rPr>
          <w:bCs/>
        </w:rPr>
        <w:lastRenderedPageBreak/>
        <w:t xml:space="preserve">responses, and IL-6 promotes the IL-21 responses, leading to increased activity of CD4+ cells and inhibition of IFN-γ mediated T-cell differentiation. This facilitates the </w:t>
      </w:r>
      <w:r w:rsidR="0087629E">
        <w:rPr>
          <w:bCs/>
        </w:rPr>
        <w:t>TGF-β-mediated</w:t>
      </w:r>
      <w:r w:rsidRPr="000871FC">
        <w:rPr>
          <w:bCs/>
        </w:rPr>
        <w:t xml:space="preserve"> CD4+ differentiation</w:t>
      </w:r>
      <w:r w:rsidR="002270BC">
        <w:rPr>
          <w:bCs/>
        </w:rPr>
        <w:t xml:space="preserve"> </w:t>
      </w:r>
      <w:r w:rsidR="007F680F">
        <w:rPr>
          <w:bCs/>
        </w:rPr>
        <w:fldChar w:fldCharType="begin"/>
      </w:r>
      <w:r w:rsidR="001912C9">
        <w:rPr>
          <w:bCs/>
        </w:rPr>
        <w:instrText xml:space="preserve"> ADDIN ZOTERO_ITEM CSL_CITATION {"citationID":"y5U4dBf3","properties":{"formattedCitation":"\\super 41\\uc0\\u8211{}43\\nosupersub{}","plainCitation":"41–43","noteIndex":0},"citationItems":[{"id":498,"uris":["http://zotero.org/users/local/BfzbJtgR/items/2IGPVEAZ"],"itemData":{"id":498,"type":"article-journal","abstract":"IL-6 is implicated in the development and progression of autoimmune diseases in part by influencing CD4 T cell lineage and regulation. Elevated IL-6 levels drive inflammation in a wide range of autoimmune diseases, some of which are also characterized by enhanced T cell responses to IL-6. Notably, the impact of IL-6 on inflammation is contextual in nature and dependent on the cell type, cytokine milieu and tissue. Targeting the IL-6/IL-6R axis in humans has been shown to successfully ameliorate a subset of autoimmune conditions. In this review, we discuss recent studies investigating how IL-6 regulates the CD4 T cell response in the context of autoimmune disease and highlight how blocking different aspects of the IL-6 pathway is advantageous in the treatment of disease.","container-title":"Current Opinion in Immunology","DOI":"10.1016/j.coi.2018.09.002","ISSN":"1879-0372","journalAbbreviation":"Curr Opin Immunol","language":"eng","note":"PMID: 30248523\nPMCID: PMC6286200","page":"9-14","source":"PubMed","title":"IL-6: a cytokine at the crossroads of autoimmunity","title-short":"IL-6","volume":"55","author":[{"family":"Jones","given":"Britta E."},{"family":"Maerz","given":"Megan D."},{"family":"Buckner","given":"Jane H."}],"issued":{"date-parts":[["2018",12]]}}},{"id":496,"uris":["http://zotero.org/users/local/BfzbJtgR/items/ILEHZMEC"],"itemData":{"id":496,"type":"article-journal","abstract":"The discovery of IL-17-producing helper T cells (Th17) has led to new concepts of T-cell differentiation and immunity. Importantly, Th17 cells are thought to be important drivers of autoimmunity. TGF-β and IL-6 in combination were shown to induce differentiation of murine naive CD4 T cells into IL-17-producing cells in vitro. By contrast, human Th17 differentiation was shown to be independent of TGF-β and could be induced by IL-6 in conjunction with IL-21 or with IL-1. Ghoreschi et al. have elegantly demonstrated that mouse Th17 cell differentiation can also occur in the absence of TGF-β. A combination of IL-23, IL-1 and IL-6 can give rise to IL-17-producing cells, which are characterized by the expression of T-bet. Intriguingly, the adoptive transfer of such in vitro differentiated Th17 cells into lymphocyte-deficient mice resulted in the induction of experimental allergic encephalitis, which was more severe than in mice receiving Th17 cells differentiated in the presence of TGF-β. Collectively, the results suggest that a subpopulation of Th17 cells differentiated in the absence of TGF-β, expressing T-bet and RORγt, occur in vivo and may be responsible for autoimmunity.","container-title":"Expert Review of Clinical Immunology","DOI":"10.1586/eci.11.7","ISSN":"1744-8409","issue":"3","journalAbbreviation":"Expert Rev Clin Immunol","language":"eng","note":"PMID: 21595594","page":"283-285","source":"PubMed","title":"Th17 cells generated in the absence of TGF-β induce experimental allergic encephalitis upon adoptive transfer","volume":"7","author":[{"family":"Kyburz","given":"Diego"},{"family":"Corr","given":"Maripat"}],"issued":{"date-parts":[["2011",5]]}}},{"id":494,"uris":["http://zotero.org/users/local/BfzbJtgR/items/WSAFQUX7"],"itemData":{"id":494,"type":"article-journal","abstract":"Thromboangiitis obliterans (TAO) (also known as Buerger's disease) is an inflammatory vascular disease that predominantly affects small- and medium-sized blood vessels of extremities. Endothelial cells play critical roles in the initiation and progression of this disease, but the underlying mechanisms remain unclear. In the present study, we demonstrate that patients with TAO had significantly higher levels of interleukin-6 (IL-6), soluble intercellular adhesion molecule-1 (sICAM-1) and soluble vascular cell adhesion molecule-1 (sVCAM-1) in their plasmas, and the involved arterial tissues expressed higher levels of phosphorylated signal transducer and activator of transcription 3 (p-STAT3), ICAM-1 and VCAM-1. In exploring the molecular mechanisms with human aortic endothelial cells (HAECs), we found that recombinant IL-6 activated the STAT3 pathway, leading to the upregulation and overproduction of ICAM-1 and VCAM-1. RhoA (Ras homolog family member A), eNOS (endothelial nitric oxide synthase) and MMP-9 (matrix metalloproteinase-9) participated in this cellular signaling, and their interaction regulated the expression of ICAM-1 and VCAM-1. The activated STAT3 pathway by IL-6 also modulated the cytoskeleton of HAECs by regulating phosphorylation of focal adhesion kinase (FAK) and acetylation of α-tubulin through interplaying with RhoA. In summary, the present results indicate that activation of the IL-6/STAT3 pathway contributes to the pathogenesis of TAO by regulating cellular adhesion molecules and cytoskeleton of vascular endothelial cells, suggesting that targeting this pathway may provide a potential approach for the management of TAO.","container-title":"Cellular Signalling","DOI":"10.1016/j.cellsig.2018.01.015","ISSN":"1873-3913","journalAbbreviation":"Cell Signal","language":"eng","note":"PMID: 29339086","page":"118-126","source":"PubMed","title":"The IL-6/STAT3 pathway regulates adhesion molecules and cytoskeleton of endothelial cells in thromboangiitis obliterans","volume":"44","author":[{"family":"Wei","given":"Zheng"},{"family":"Jiang","given":"Wenjing"},{"family":"Wang","given":"Hengzhen"},{"family":"Li","given":"Hali"},{"family":"Tang","given":"Bo"},{"family":"Liu","given":"Bing"},{"family":"Jiang","given":"Hongchi"},{"family":"Sun","given":"Xueying"}],"issued":{"date-parts":[["2018",4]]}}}],"schema":"https://github.com/citation-style-language/schema/raw/master/csl-citation.json"} </w:instrText>
      </w:r>
      <w:r w:rsidR="007F680F">
        <w:rPr>
          <w:bCs/>
        </w:rPr>
        <w:fldChar w:fldCharType="separate"/>
      </w:r>
      <w:r w:rsidR="001912C9" w:rsidRPr="001912C9">
        <w:rPr>
          <w:rFonts w:cs="Times New Roman"/>
          <w:vertAlign w:val="superscript"/>
        </w:rPr>
        <w:t>41–43</w:t>
      </w:r>
      <w:r w:rsidR="007F680F">
        <w:rPr>
          <w:bCs/>
        </w:rPr>
        <w:fldChar w:fldCharType="end"/>
      </w:r>
      <w:r w:rsidRPr="000871FC">
        <w:rPr>
          <w:bCs/>
        </w:rPr>
        <w:t xml:space="preserve">. This exemplifies </w:t>
      </w:r>
      <w:r w:rsidR="00F019F4">
        <w:rPr>
          <w:bCs/>
        </w:rPr>
        <w:t>an</w:t>
      </w:r>
      <w:r w:rsidRPr="000871FC">
        <w:rPr>
          <w:bCs/>
        </w:rPr>
        <w:t xml:space="preserve"> </w:t>
      </w:r>
      <w:r w:rsidR="00631937" w:rsidRPr="000871FC">
        <w:rPr>
          <w:bCs/>
        </w:rPr>
        <w:t>outdated</w:t>
      </w:r>
      <w:r w:rsidRPr="000871FC">
        <w:rPr>
          <w:bCs/>
        </w:rPr>
        <w:t xml:space="preserve"> instance of </w:t>
      </w:r>
      <w:r w:rsidR="0087629E">
        <w:rPr>
          <w:bCs/>
        </w:rPr>
        <w:t>signaling</w:t>
      </w:r>
      <w:r w:rsidRPr="000871FC">
        <w:rPr>
          <w:bCs/>
        </w:rPr>
        <w:t xml:space="preserve"> pathways mediated by multiple cytokines.</w:t>
      </w:r>
    </w:p>
    <w:p w:rsidR="00F57508" w:rsidRDefault="00DF6B59" w:rsidP="00F861EB">
      <w:pPr>
        <w:pStyle w:val="Standard"/>
        <w:suppressAutoHyphens w:val="0"/>
        <w:spacing w:before="280" w:after="280" w:line="276" w:lineRule="auto"/>
        <w:jc w:val="both"/>
        <w:textAlignment w:val="auto"/>
        <w:rPr>
          <w:bCs/>
        </w:rPr>
      </w:pPr>
      <w:r w:rsidRPr="0087629E">
        <w:rPr>
          <w:bCs/>
        </w:rPr>
        <w:t>Cytokines</w:t>
      </w:r>
      <w:r w:rsidRPr="0087629E">
        <w:t xml:space="preserve"> </w:t>
      </w:r>
      <w:r w:rsidRPr="0087629E">
        <w:rPr>
          <w:bCs/>
        </w:rPr>
        <w:t>are</w:t>
      </w:r>
      <w:r w:rsidRPr="0087629E">
        <w:t xml:space="preserve"> </w:t>
      </w:r>
      <w:r w:rsidRPr="0087629E">
        <w:rPr>
          <w:bCs/>
        </w:rPr>
        <w:t>essential</w:t>
      </w:r>
      <w:r w:rsidRPr="0087629E">
        <w:t xml:space="preserve"> in disease </w:t>
      </w:r>
      <w:r w:rsidRPr="0087629E">
        <w:rPr>
          <w:bCs/>
        </w:rPr>
        <w:t>mechanisms; however</w:t>
      </w:r>
      <w:r w:rsidRPr="0087629E">
        <w:t xml:space="preserve">, their </w:t>
      </w:r>
      <w:r w:rsidRPr="0087629E">
        <w:rPr>
          <w:bCs/>
        </w:rPr>
        <w:t>usefulness</w:t>
      </w:r>
      <w:r w:rsidRPr="0087629E">
        <w:t xml:space="preserve"> </w:t>
      </w:r>
      <w:r w:rsidRPr="0087629E">
        <w:rPr>
          <w:bCs/>
        </w:rPr>
        <w:t>for</w:t>
      </w:r>
      <w:r w:rsidRPr="0087629E">
        <w:t xml:space="preserve"> </w:t>
      </w:r>
      <w:r w:rsidRPr="0087629E">
        <w:rPr>
          <w:bCs/>
        </w:rPr>
        <w:t>diagnosis</w:t>
      </w:r>
      <w:r w:rsidRPr="0087629E">
        <w:t xml:space="preserve"> </w:t>
      </w:r>
      <w:r w:rsidRPr="0087629E">
        <w:rPr>
          <w:bCs/>
        </w:rPr>
        <w:t>is</w:t>
      </w:r>
      <w:r w:rsidRPr="0087629E">
        <w:t xml:space="preserve"> </w:t>
      </w:r>
      <w:r w:rsidRPr="0087629E">
        <w:rPr>
          <w:bCs/>
        </w:rPr>
        <w:t>complicated</w:t>
      </w:r>
      <w:r w:rsidRPr="0087629E">
        <w:t xml:space="preserve"> </w:t>
      </w:r>
      <w:r w:rsidRPr="0087629E">
        <w:rPr>
          <w:bCs/>
        </w:rPr>
        <w:t>by</w:t>
      </w:r>
      <w:r w:rsidRPr="0087629E">
        <w:t xml:space="preserve"> </w:t>
      </w:r>
      <w:r w:rsidRPr="0087629E">
        <w:rPr>
          <w:bCs/>
        </w:rPr>
        <w:t>variations</w:t>
      </w:r>
      <w:r w:rsidRPr="0087629E">
        <w:t xml:space="preserve"> in expression levels, </w:t>
      </w:r>
      <w:r w:rsidRPr="0087629E">
        <w:rPr>
          <w:bCs/>
        </w:rPr>
        <w:t xml:space="preserve">differences among </w:t>
      </w:r>
      <w:r w:rsidRPr="0087629E">
        <w:t xml:space="preserve">individual </w:t>
      </w:r>
      <w:r w:rsidRPr="0087629E">
        <w:rPr>
          <w:bCs/>
        </w:rPr>
        <w:t>patients</w:t>
      </w:r>
      <w:r w:rsidRPr="0087629E">
        <w:t xml:space="preserve">, and the </w:t>
      </w:r>
      <w:r w:rsidRPr="0087629E">
        <w:rPr>
          <w:bCs/>
        </w:rPr>
        <w:t>ever-changing</w:t>
      </w:r>
      <w:r w:rsidRPr="0087629E">
        <w:t xml:space="preserve"> nature of immune responses. </w:t>
      </w:r>
      <w:r w:rsidR="0087629E" w:rsidRPr="0087629E">
        <w:t>Although there is still a lack of standardization, several studies have given certain cytokine thresholds for diseases, including sepsis, rheumatoid arthritis, and particular infections. Future research should focus on thorough validation work, study cytokine panels instead of single markers, and merge cytokine data with other biomarkers to improve diagnostic accuracy.</w:t>
      </w:r>
      <w:r w:rsidR="0087629E">
        <w:t xml:space="preserve"> </w:t>
      </w:r>
      <w:r w:rsidRPr="0087629E">
        <w:t xml:space="preserve">However, cytokines have been evident as novel biomarkers in some </w:t>
      </w:r>
      <w:r w:rsidRPr="0087629E">
        <w:rPr>
          <w:bCs/>
        </w:rPr>
        <w:t>extensively</w:t>
      </w:r>
      <w:r w:rsidRPr="0087629E">
        <w:t xml:space="preserve"> </w:t>
      </w:r>
      <w:r w:rsidRPr="0087629E">
        <w:rPr>
          <w:bCs/>
        </w:rPr>
        <w:t>researched</w:t>
      </w:r>
      <w:r w:rsidRPr="0087629E">
        <w:t xml:space="preserve"> </w:t>
      </w:r>
      <w:r w:rsidRPr="0087629E">
        <w:rPr>
          <w:bCs/>
        </w:rPr>
        <w:t>fields</w:t>
      </w:r>
      <w:r w:rsidR="008B6F88">
        <w:rPr>
          <w:bCs/>
        </w:rPr>
        <w:t>,</w:t>
      </w:r>
      <w:r w:rsidRPr="0087629E">
        <w:t xml:space="preserve"> </w:t>
      </w:r>
      <w:r w:rsidR="008B6F88">
        <w:rPr>
          <w:bCs/>
        </w:rPr>
        <w:t>including</w:t>
      </w:r>
      <w:r w:rsidRPr="0087629E">
        <w:rPr>
          <w:bCs/>
        </w:rPr>
        <w:t xml:space="preserve"> </w:t>
      </w:r>
      <w:r w:rsidRPr="0087629E">
        <w:t xml:space="preserve">sepsis, autoimmune </w:t>
      </w:r>
      <w:r w:rsidR="00D607D7">
        <w:rPr>
          <w:bCs/>
        </w:rPr>
        <w:t>disease</w:t>
      </w:r>
      <w:r w:rsidRPr="0087629E">
        <w:t xml:space="preserve"> (e.g., </w:t>
      </w:r>
      <w:r w:rsidR="00D607D7">
        <w:t>SLE, rheumatoid arthritis</w:t>
      </w:r>
      <w:r w:rsidRPr="0087629E">
        <w:t xml:space="preserve">), infectious </w:t>
      </w:r>
      <w:r w:rsidRPr="0087629E">
        <w:rPr>
          <w:bCs/>
        </w:rPr>
        <w:t>illnesses</w:t>
      </w:r>
      <w:r w:rsidRPr="0087629E">
        <w:t xml:space="preserve"> (e.g., COVID-19, tuberculosis), </w:t>
      </w:r>
      <w:r w:rsidR="00D607D7">
        <w:t xml:space="preserve">cancer </w:t>
      </w:r>
      <w:r w:rsidRPr="0087629E">
        <w:t xml:space="preserve">and neurological </w:t>
      </w:r>
      <w:r w:rsidR="00D607D7" w:rsidRPr="0087629E">
        <w:rPr>
          <w:bCs/>
        </w:rPr>
        <w:t>disorders</w:t>
      </w:r>
      <w:r w:rsidRPr="0087629E">
        <w:t xml:space="preserve"> (e.g., </w:t>
      </w:r>
      <w:r w:rsidR="00D607D7" w:rsidRPr="0087629E">
        <w:t>multiple sclerosis</w:t>
      </w:r>
      <w:r w:rsidR="00D607D7">
        <w:t xml:space="preserve">, </w:t>
      </w:r>
      <w:r w:rsidR="0087629E">
        <w:t>Alzheimer's</w:t>
      </w:r>
      <w:r w:rsidR="00AA03C4" w:rsidRPr="0087629E">
        <w:rPr>
          <w:bCs/>
        </w:rPr>
        <w:t xml:space="preserve"> disease</w:t>
      </w:r>
      <w:r w:rsidRPr="0087629E">
        <w:t>).</w:t>
      </w:r>
      <w:r w:rsidR="004B4310" w:rsidRPr="0087629E">
        <w:t xml:space="preserve"> </w:t>
      </w:r>
      <w:r w:rsidR="00701BFC">
        <w:t>For instance, cytokines are involved</w:t>
      </w:r>
      <w:r w:rsidRPr="0087629E">
        <w:t xml:space="preserve"> </w:t>
      </w:r>
      <w:r w:rsidR="006D537F">
        <w:t>in the pathogenesis</w:t>
      </w:r>
      <w:r w:rsidRPr="0087629E">
        <w:t xml:space="preserve"> of sepsis, and </w:t>
      </w:r>
      <w:r w:rsidRPr="0087629E">
        <w:rPr>
          <w:bCs/>
        </w:rPr>
        <w:t xml:space="preserve">measuring </w:t>
      </w:r>
      <w:r w:rsidRPr="0087629E">
        <w:t xml:space="preserve">their </w:t>
      </w:r>
      <w:r w:rsidRPr="0087629E">
        <w:rPr>
          <w:bCs/>
        </w:rPr>
        <w:t>levels</w:t>
      </w:r>
      <w:r w:rsidRPr="0087629E">
        <w:t xml:space="preserve"> can </w:t>
      </w:r>
      <w:r w:rsidRPr="0087629E">
        <w:rPr>
          <w:bCs/>
        </w:rPr>
        <w:t>assist</w:t>
      </w:r>
      <w:r w:rsidRPr="0087629E">
        <w:t xml:space="preserve"> in diagnosis and prognosis. </w:t>
      </w:r>
      <w:r w:rsidR="008B13DB" w:rsidRPr="0087629E">
        <w:rPr>
          <w:bCs/>
        </w:rPr>
        <w:t>The important Cytokines as biomarkers assessed in various studies are stated below</w:t>
      </w:r>
      <w:r w:rsidR="00C13B34" w:rsidRPr="0087629E">
        <w:rPr>
          <w:bCs/>
        </w:rPr>
        <w:t xml:space="preserve"> (Table 1)</w:t>
      </w:r>
      <w:r w:rsidR="00F57508" w:rsidRPr="0087629E">
        <w:rPr>
          <w:bCs/>
        </w:rPr>
        <w:t>.</w:t>
      </w:r>
    </w:p>
    <w:p w:rsidR="0054252E" w:rsidRDefault="0054252E" w:rsidP="00F861EB">
      <w:pPr>
        <w:pStyle w:val="Standard"/>
        <w:suppressAutoHyphens w:val="0"/>
        <w:spacing w:before="280" w:after="280" w:line="276" w:lineRule="auto"/>
        <w:jc w:val="both"/>
        <w:textAlignment w:val="auto"/>
      </w:pPr>
    </w:p>
    <w:p w:rsidR="0054252E" w:rsidRDefault="0054252E" w:rsidP="00F861EB">
      <w:pPr>
        <w:pStyle w:val="Standard"/>
        <w:suppressAutoHyphens w:val="0"/>
        <w:spacing w:before="280" w:after="280" w:line="276" w:lineRule="auto"/>
        <w:jc w:val="both"/>
        <w:textAlignment w:val="auto"/>
      </w:pPr>
    </w:p>
    <w:p w:rsidR="0054252E" w:rsidRDefault="0054252E" w:rsidP="00F861EB">
      <w:pPr>
        <w:pStyle w:val="Standard"/>
        <w:suppressAutoHyphens w:val="0"/>
        <w:spacing w:before="280" w:after="280" w:line="276" w:lineRule="auto"/>
        <w:jc w:val="both"/>
        <w:textAlignment w:val="auto"/>
      </w:pPr>
    </w:p>
    <w:p w:rsidR="0054252E" w:rsidRDefault="0054252E" w:rsidP="00F861EB">
      <w:pPr>
        <w:pStyle w:val="Standard"/>
        <w:suppressAutoHyphens w:val="0"/>
        <w:spacing w:before="280" w:after="280" w:line="276" w:lineRule="auto"/>
        <w:jc w:val="both"/>
        <w:textAlignment w:val="auto"/>
      </w:pPr>
    </w:p>
    <w:p w:rsidR="0054252E" w:rsidRDefault="0054252E" w:rsidP="00F861EB">
      <w:pPr>
        <w:pStyle w:val="Standard"/>
        <w:suppressAutoHyphens w:val="0"/>
        <w:spacing w:before="280" w:after="280" w:line="276" w:lineRule="auto"/>
        <w:jc w:val="both"/>
        <w:textAlignment w:val="auto"/>
      </w:pPr>
    </w:p>
    <w:p w:rsidR="0054252E" w:rsidRDefault="0054252E" w:rsidP="00F861EB">
      <w:pPr>
        <w:pStyle w:val="Standard"/>
        <w:suppressAutoHyphens w:val="0"/>
        <w:spacing w:before="280" w:after="280" w:line="276" w:lineRule="auto"/>
        <w:jc w:val="both"/>
        <w:textAlignment w:val="auto"/>
      </w:pPr>
    </w:p>
    <w:p w:rsidR="0054252E" w:rsidRDefault="0054252E" w:rsidP="00F861EB">
      <w:pPr>
        <w:pStyle w:val="Standard"/>
        <w:suppressAutoHyphens w:val="0"/>
        <w:spacing w:before="280" w:after="280" w:line="276" w:lineRule="auto"/>
        <w:jc w:val="both"/>
        <w:textAlignment w:val="auto"/>
      </w:pPr>
    </w:p>
    <w:p w:rsidR="0054252E" w:rsidRDefault="0054252E" w:rsidP="00F861EB">
      <w:pPr>
        <w:pStyle w:val="Standard"/>
        <w:suppressAutoHyphens w:val="0"/>
        <w:spacing w:before="280" w:after="280" w:line="276" w:lineRule="auto"/>
        <w:jc w:val="both"/>
        <w:textAlignment w:val="auto"/>
      </w:pPr>
    </w:p>
    <w:p w:rsidR="0054252E" w:rsidRDefault="0054252E" w:rsidP="00F861EB">
      <w:pPr>
        <w:pStyle w:val="Standard"/>
        <w:suppressAutoHyphens w:val="0"/>
        <w:spacing w:before="280" w:after="280" w:line="276" w:lineRule="auto"/>
        <w:jc w:val="both"/>
        <w:textAlignment w:val="auto"/>
      </w:pPr>
    </w:p>
    <w:p w:rsidR="0054252E" w:rsidRDefault="0054252E" w:rsidP="00F861EB">
      <w:pPr>
        <w:pStyle w:val="Standard"/>
        <w:suppressAutoHyphens w:val="0"/>
        <w:spacing w:before="280" w:after="280" w:line="276" w:lineRule="auto"/>
        <w:jc w:val="both"/>
        <w:textAlignment w:val="auto"/>
      </w:pPr>
    </w:p>
    <w:p w:rsidR="0054252E" w:rsidRDefault="0054252E" w:rsidP="00F861EB">
      <w:pPr>
        <w:pStyle w:val="Standard"/>
        <w:suppressAutoHyphens w:val="0"/>
        <w:spacing w:before="280" w:after="280" w:line="276" w:lineRule="auto"/>
        <w:jc w:val="both"/>
        <w:textAlignment w:val="auto"/>
      </w:pPr>
    </w:p>
    <w:p w:rsidR="008B6F88" w:rsidRDefault="008B6F88" w:rsidP="00F861EB">
      <w:pPr>
        <w:pStyle w:val="Standard"/>
        <w:suppressAutoHyphens w:val="0"/>
        <w:spacing w:before="280" w:after="280" w:line="276" w:lineRule="auto"/>
        <w:jc w:val="both"/>
        <w:textAlignment w:val="auto"/>
      </w:pPr>
    </w:p>
    <w:p w:rsidR="008B6F88" w:rsidRDefault="008B6F88" w:rsidP="00F861EB">
      <w:pPr>
        <w:pStyle w:val="Standard"/>
        <w:suppressAutoHyphens w:val="0"/>
        <w:spacing w:before="280" w:after="280" w:line="276" w:lineRule="auto"/>
        <w:jc w:val="both"/>
        <w:textAlignment w:val="auto"/>
      </w:pPr>
    </w:p>
    <w:p w:rsidR="003E01D4" w:rsidRDefault="003E01D4" w:rsidP="00F861EB">
      <w:pPr>
        <w:pStyle w:val="Standard"/>
        <w:suppressAutoHyphens w:val="0"/>
        <w:spacing w:before="280" w:after="280" w:line="276" w:lineRule="auto"/>
        <w:jc w:val="both"/>
        <w:textAlignment w:val="auto"/>
        <w:rPr>
          <w:bCs/>
        </w:rPr>
      </w:pPr>
      <w:r>
        <w:t xml:space="preserve">Table 1: </w:t>
      </w:r>
      <w:r w:rsidRPr="00EC4F9D">
        <w:t xml:space="preserve">The important cytokines as host-biomarkers </w:t>
      </w:r>
      <w:r w:rsidRPr="00EC4F9D">
        <w:rPr>
          <w:bCs/>
        </w:rPr>
        <w:t xml:space="preserve">along </w:t>
      </w:r>
      <w:r w:rsidRPr="00EC4F9D">
        <w:t xml:space="preserve">with their </w:t>
      </w:r>
      <w:r w:rsidR="00EC4F9D">
        <w:rPr>
          <w:bCs/>
        </w:rPr>
        <w:t xml:space="preserve">disease/disorder </w:t>
      </w:r>
      <w:r w:rsidR="001F4D71" w:rsidRPr="00265D22">
        <w:rPr>
          <w:b/>
          <w:bCs/>
        </w:rPr>
        <w:t xml:space="preserve"> </w:t>
      </w:r>
      <w:r w:rsidR="001F4D71" w:rsidRPr="00265D22">
        <w:rPr>
          <w:b/>
          <w:bCs/>
        </w:rPr>
        <w:fldChar w:fldCharType="begin"/>
      </w:r>
      <w:r w:rsidR="001912C9">
        <w:rPr>
          <w:b/>
          <w:bCs/>
        </w:rPr>
        <w:instrText xml:space="preserve"> ADDIN ZOTERO_ITEM CSL_CITATION {"citationID":"Y5VG1wHQ","properties":{"formattedCitation":"\\super 44\\uc0\\u8211{}46\\nosupersub{}","plainCitation":"44–46","noteIndex":0},"citationItems":[{"id":"CxaW6x6n/Yii6wygy","uris":["http://zotero.org/users/local/BfzbJtgR/items/UDMFMDBW"],"itemData":{"id":855,"type":"article-journal","abstract":"Cytokines are critical mediators that oversee and regulate immune and inflammatory responses via complex networks and serve as biomarkers for many diseases. Quantification of cytokines has significant value in both clinical medicine and biology as the levels provide insights into physiological and pathological processes and can be used to aid diagnosis and treatment. Cytokines and their clinical significance are introduced from the perspective of their pro- and anti-inflammatory effects. Factors affecting cytokines quantification in biological fluids, native levels in different body fluids, sample processing and storage conditions, sensitivity to freeze-thaw, and soluble cytokine receptors are discussed. In addition, recent advances in in vitro and in vivo assays, biosensors based on different signal outputs and intracellular to extracellular protein expression are summarized. Various quantification platforms for high-sensitivity and reliable measurement of cytokines in different scenarios are discussed, and commercially available cytokine assays are compared. A discussion of challenges in the development and advancement of technologies for cytokine quantification that aim to achieve real-time multiplex cytokine analysis for point-of-care situations applicable for both biomedical research and clinical practice are discussed.","container-title":"Advanced Science (Weinheim, Baden-Wurttemberg, Germany)","DOI":"10.1002/advs.202004433","ISSN":"2198-3844","issue":"15","journalAbbreviation":"Adv Sci (Weinh)","language":"eng","note":"PMID: 34114369\nPMCID: PMC8336501","page":"e2004433","source":"PubMed","title":"Cytokines: From Clinical Significance to Quantification","title-short":"Cytokines","volume":"8","author":[{"family":"Liu","given":"Chao"},{"family":"Chu","given":"Dewei"},{"family":"Kalantar-Zadeh","given":"Kourosh"},{"family":"George","given":"Jacob"},{"family":"Young","given":"Howard A."},{"family":"Liu","given":"Guozhen"}],"issued":{"date-parts":[["2021",8]]}}},{"id":858,"uris":["http://zotero.org/users/local/BfzbJtgR/items/PDF3S8EP"],"itemData":{"id":858,"type":"article-journal","abstract":"Abstract\n            Cytokines are critical mediators that oversee and regulate immune and inflammatory responses via complex networks and serve as biomarkers for many diseases. Quantification of cytokines has significant value in both clinical medicine and biology as the levels provide insights into physiological and pathological processes and can be used to aid diagnosis and treatment. Cytokines and their clinical significance are introduced from the perspective of their pro‐ and anti‐inflammatory effects. Factors affecting cytokines quantification in biological fluids, native levels in different body fluids, sample processing and storage conditions, sensitivity to freeze‐thaw, and soluble cytokine receptors are discussed. In addition, recent advances in in vitro and in vivo assays, biosensors based on different signal outputs and intracellular to extracellular protein expression are summarized. Various quantification platforms for high‐sensitivity and reliable measurement of cytokines in different scenarios are discussed, and commercially available cytokine assays are compared. A discussion of challenges in the development and advancement of technologies for cytokine quantification that aim to achieve real‐time multiplex cytokine analysis for point‐of‐care situations applicable for both biomedical research and clinical practice are discussed.","container-title":"Advanced Science","DOI":"10.1002/advs.202004433","ISSN":"2198-3844, 2198-3844","issue":"15","journalAbbreviation":"Advanced Science","language":"en","page":"2004433","source":"DOI.org (Crossref)","title":"Cytokines: From Clinical Significance to Quantification","title-short":"Cytokines","volume":"8","author":[{"family":"Liu","given":"Chao"},{"family":"Chu","given":"Dewei"},{"family":"Kalantar‐Zadeh","given":"Kourosh"},{"family":"George","given":"Jacob"},{"family":"Young","given":"Howard A."},{"family":"Liu","given":"Guozhen"}],"issued":{"date-parts":[["2021",8]]}}},{"id":860,"uris":["http://zotero.org/users/local/BfzbJtgR/items/DATJ7KVV"],"itemData":{"id":860,"type":"article-journal","abstract":"BACKGROUND: Severe malaria (SM) is a fatal multi-system disease which accounted for an estimated 619,000 deaths in 2021. Less than 30% of children presenting with SM are diagnosed and treated promptly, resulting in increased mortality and neurologic impairments in survivors. Studies have identified cytokine profiles that differentiate the various clinical manifestations of malaria (severe and uncomplicated). However, the diagnostic capability of these cytokines in differentiating between the disease states in terms of cut-off values has not yet been determined.\nMETHODS: The plasma levels of 22 pro-inflammatory cytokines (Eotaxin/CCL 11, interferon-gamma (IFN-γ), interleukin (IL)- 2, IL-6, IL-1β, IL-12p40/p70, IL-17A, RANTES, MCP-1, IL-15, IL-5, IL-1RA, IL-2R, IFN-α, IP-10, TNF, MIG, MIP-1α, MIP-1β, IL-7, IL-8 and Granulocyte Macrophage-Colony Stimulating Factor (GM-CSF), and 3 anti-inflammatory cytokines-(IL-4, IL-13 and IL-10) in patients with SM, uncomplicated malaria (UM) and other febrile conditions, were measured and compared using the Human Cytokine Magnetic 25-Plex Panel. The receiver operating characteristic (ROC) curve analysis was used to determine the diagnostic value of these cytokines.\nRESULTS: The level of the pro-inflammatory cytokine, IL-17A, was significantly higher in the SM group as compared to the UM group. Levels of the anti-inflammatory cytokines however did not differ significantly among the SM and UM groups. Only IL-1β and IL-17A showed good diagnostic potential after ROC curve analysis.\nCONCLUSION: The data show that levels of pro-inflammatory cytokines correlate with malaria disease severity. IL-1β and IL-17A showed good diagnostic potentials and can be considered for use in clinical practice to target treatment.","container-title":"Malaria Journal","DOI":"10.1186/s12936-023-04652-w","ISSN":"1475-2875","issue":"1","journalAbbreviation":"Malar J","language":"eng","note":"PMID: 37525227\nPMCID: PMC10388454","page":"220","source":"PubMed","title":"Inflammatory cytokines as potential biomarkers for early diagnosis of severe malaria in children in Ghana","volume":"22","author":[{"family":"Obeng-Aboagye","given":"Elizabeth"},{"family":"Frimpong","given":"Augustina"},{"family":"Amponsah","given":"Jones Amo"},{"family":"Danso","given":"Samuel E."},{"family":"Owusu","given":"Ewurama D. A."},{"family":"Ofori","given":"Michael Fokuo"}],"issued":{"date-parts":[["2023",7,31]]}}}],"schema":"https://github.com/citation-style-language/schema/raw/master/csl-citation.json"} </w:instrText>
      </w:r>
      <w:r w:rsidR="001F4D71" w:rsidRPr="00265D22">
        <w:rPr>
          <w:b/>
          <w:bCs/>
        </w:rPr>
        <w:fldChar w:fldCharType="separate"/>
      </w:r>
      <w:r w:rsidR="001912C9" w:rsidRPr="001912C9">
        <w:rPr>
          <w:rFonts w:cs="Times New Roman"/>
          <w:vertAlign w:val="superscript"/>
        </w:rPr>
        <w:t>44–46</w:t>
      </w:r>
      <w:r w:rsidR="001F4D71" w:rsidRPr="00265D22">
        <w:rPr>
          <w:b/>
          <w:bCs/>
        </w:rPr>
        <w:fldChar w:fldCharType="end"/>
      </w:r>
      <w:r w:rsidRPr="00265D22">
        <w:rPr>
          <w:b/>
        </w:rPr>
        <w:t>.</w:t>
      </w:r>
      <w:r w:rsidR="00980F20">
        <w:rPr>
          <w:b/>
        </w:rPr>
        <w:t xml:space="preserve">    </w:t>
      </w:r>
    </w:p>
    <w:tbl>
      <w:tblPr>
        <w:tblStyle w:val="TableGrid"/>
        <w:tblW w:w="11430" w:type="dxa"/>
        <w:tblInd w:w="-995" w:type="dxa"/>
        <w:tblLayout w:type="fixed"/>
        <w:tblLook w:val="04A0" w:firstRow="1" w:lastRow="0" w:firstColumn="1" w:lastColumn="0" w:noHBand="0" w:noVBand="1"/>
      </w:tblPr>
      <w:tblGrid>
        <w:gridCol w:w="2250"/>
        <w:gridCol w:w="1800"/>
        <w:gridCol w:w="3901"/>
        <w:gridCol w:w="3479"/>
      </w:tblGrid>
      <w:tr w:rsidR="008B13DB" w:rsidRPr="00BF5AFC" w:rsidTr="00F57508">
        <w:tc>
          <w:tcPr>
            <w:tcW w:w="2250" w:type="dxa"/>
          </w:tcPr>
          <w:p w:rsidR="008B13DB" w:rsidRPr="00E4643D" w:rsidRDefault="008B13DB"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Cytokines</w:t>
            </w:r>
          </w:p>
        </w:tc>
        <w:tc>
          <w:tcPr>
            <w:tcW w:w="1800" w:type="dxa"/>
          </w:tcPr>
          <w:p w:rsidR="008B13DB" w:rsidRPr="00E4643D" w:rsidRDefault="008B13DB"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Host-Biomarkers</w:t>
            </w:r>
          </w:p>
        </w:tc>
        <w:tc>
          <w:tcPr>
            <w:tcW w:w="3901" w:type="dxa"/>
          </w:tcPr>
          <w:p w:rsidR="008B13DB" w:rsidRPr="00E4643D" w:rsidRDefault="008B13DB"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 xml:space="preserve"> Disease / Disorder</w:t>
            </w:r>
          </w:p>
        </w:tc>
        <w:tc>
          <w:tcPr>
            <w:tcW w:w="3479" w:type="dxa"/>
          </w:tcPr>
          <w:p w:rsidR="008B13DB" w:rsidRPr="00E4643D" w:rsidRDefault="008B13DB"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 xml:space="preserve">  Use in Diagnostic</w:t>
            </w:r>
          </w:p>
        </w:tc>
      </w:tr>
      <w:tr w:rsidR="008B13DB" w:rsidRPr="00BF5AFC" w:rsidTr="00F57508">
        <w:trPr>
          <w:trHeight w:val="1007"/>
        </w:trPr>
        <w:tc>
          <w:tcPr>
            <w:tcW w:w="2250" w:type="dxa"/>
          </w:tcPr>
          <w:p w:rsidR="008B13DB" w:rsidRPr="00E4643D" w:rsidRDefault="008B13DB"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IL-6</w:t>
            </w:r>
          </w:p>
        </w:tc>
        <w:tc>
          <w:tcPr>
            <w:tcW w:w="1800" w:type="dxa"/>
          </w:tcPr>
          <w:p w:rsidR="008B13DB" w:rsidRPr="00E4643D" w:rsidRDefault="008B13DB"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Pro-inflammatory</w:t>
            </w:r>
          </w:p>
        </w:tc>
        <w:tc>
          <w:tcPr>
            <w:tcW w:w="3901" w:type="dxa"/>
          </w:tcPr>
          <w:p w:rsidR="008B13DB" w:rsidRPr="00E4643D" w:rsidRDefault="008B13DB"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 xml:space="preserve">Various </w:t>
            </w:r>
            <w:r w:rsidR="00285103" w:rsidRPr="00E4643D">
              <w:rPr>
                <w:rFonts w:ascii="Times New Roman" w:hAnsi="Times New Roman" w:cs="Times New Roman"/>
                <w:sz w:val="22"/>
                <w:szCs w:val="22"/>
              </w:rPr>
              <w:t xml:space="preserve">infections ( Sepsis, COVID-19), </w:t>
            </w:r>
            <w:r w:rsidR="0088360F">
              <w:rPr>
                <w:rFonts w:ascii="Times New Roman" w:hAnsi="Times New Roman" w:cs="Times New Roman"/>
                <w:sz w:val="22"/>
                <w:szCs w:val="22"/>
              </w:rPr>
              <w:t xml:space="preserve">autoimmune disorders and </w:t>
            </w:r>
            <w:r w:rsidRPr="00E4643D">
              <w:rPr>
                <w:rFonts w:ascii="Times New Roman" w:hAnsi="Times New Roman" w:cs="Times New Roman"/>
                <w:sz w:val="22"/>
                <w:szCs w:val="22"/>
              </w:rPr>
              <w:t>Cancer</w:t>
            </w:r>
          </w:p>
        </w:tc>
        <w:tc>
          <w:tcPr>
            <w:tcW w:w="3479" w:type="dxa"/>
          </w:tcPr>
          <w:p w:rsidR="008B13DB" w:rsidRPr="00E4643D" w:rsidRDefault="008B13DB"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Critical illness markers</w:t>
            </w:r>
            <w:r w:rsidR="00285103" w:rsidRPr="00E4643D">
              <w:rPr>
                <w:rFonts w:ascii="Times New Roman" w:hAnsi="Times New Roman" w:cs="Times New Roman"/>
                <w:sz w:val="22"/>
                <w:szCs w:val="22"/>
              </w:rPr>
              <w:t xml:space="preserve"> and cytokine</w:t>
            </w:r>
            <w:r w:rsidRPr="00E4643D">
              <w:rPr>
                <w:rFonts w:ascii="Times New Roman" w:hAnsi="Times New Roman" w:cs="Times New Roman"/>
                <w:sz w:val="22"/>
                <w:szCs w:val="22"/>
              </w:rPr>
              <w:t xml:space="preserve"> </w:t>
            </w:r>
            <w:r w:rsidR="00285103" w:rsidRPr="00E4643D">
              <w:rPr>
                <w:rFonts w:ascii="Times New Roman" w:hAnsi="Times New Roman" w:cs="Times New Roman"/>
                <w:sz w:val="22"/>
                <w:szCs w:val="22"/>
              </w:rPr>
              <w:t>storm</w:t>
            </w:r>
            <w:r w:rsidRPr="00E4643D">
              <w:rPr>
                <w:rFonts w:ascii="Times New Roman" w:hAnsi="Times New Roman" w:cs="Times New Roman"/>
                <w:sz w:val="22"/>
                <w:szCs w:val="22"/>
              </w:rPr>
              <w:t xml:space="preserve"> indicators </w:t>
            </w:r>
            <w:r w:rsidR="00285103" w:rsidRPr="00E4643D">
              <w:rPr>
                <w:rFonts w:ascii="Times New Roman" w:hAnsi="Times New Roman" w:cs="Times New Roman"/>
                <w:sz w:val="22"/>
                <w:szCs w:val="22"/>
              </w:rPr>
              <w:t xml:space="preserve">are </w:t>
            </w:r>
            <w:r w:rsidRPr="00E4643D">
              <w:rPr>
                <w:rFonts w:ascii="Times New Roman" w:hAnsi="Times New Roman" w:cs="Times New Roman"/>
                <w:sz w:val="22"/>
                <w:szCs w:val="22"/>
              </w:rPr>
              <w:t xml:space="preserve">useful in </w:t>
            </w:r>
            <w:r w:rsidR="00285103" w:rsidRPr="00E4643D">
              <w:rPr>
                <w:rFonts w:ascii="Times New Roman" w:hAnsi="Times New Roman" w:cs="Times New Roman"/>
                <w:sz w:val="22"/>
                <w:szCs w:val="22"/>
              </w:rPr>
              <w:t xml:space="preserve">the </w:t>
            </w:r>
            <w:r w:rsidRPr="00E4643D">
              <w:rPr>
                <w:rFonts w:ascii="Times New Roman" w:hAnsi="Times New Roman" w:cs="Times New Roman"/>
                <w:sz w:val="22"/>
                <w:szCs w:val="22"/>
              </w:rPr>
              <w:t xml:space="preserve">Diagnosis </w:t>
            </w:r>
            <w:r w:rsidR="00285103" w:rsidRPr="00E4643D">
              <w:rPr>
                <w:rFonts w:ascii="Times New Roman" w:hAnsi="Times New Roman" w:cs="Times New Roman"/>
                <w:sz w:val="22"/>
                <w:szCs w:val="22"/>
              </w:rPr>
              <w:t>of</w:t>
            </w:r>
            <w:r w:rsidRPr="00E4643D">
              <w:rPr>
                <w:rFonts w:ascii="Times New Roman" w:hAnsi="Times New Roman" w:cs="Times New Roman"/>
                <w:sz w:val="22"/>
                <w:szCs w:val="22"/>
              </w:rPr>
              <w:t xml:space="preserve"> Cancer</w:t>
            </w:r>
            <w:r w:rsidR="00285103" w:rsidRPr="00E4643D">
              <w:rPr>
                <w:rFonts w:ascii="Times New Roman" w:hAnsi="Times New Roman" w:cs="Times New Roman"/>
                <w:sz w:val="22"/>
                <w:szCs w:val="22"/>
              </w:rPr>
              <w:t>.</w:t>
            </w:r>
          </w:p>
        </w:tc>
      </w:tr>
      <w:tr w:rsidR="008B13DB" w:rsidRPr="00BF5AFC" w:rsidTr="00F57508">
        <w:tc>
          <w:tcPr>
            <w:tcW w:w="2250" w:type="dxa"/>
          </w:tcPr>
          <w:p w:rsidR="008B13DB" w:rsidRPr="00E4643D" w:rsidRDefault="008B13DB"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IFN-ϒ</w:t>
            </w:r>
          </w:p>
        </w:tc>
        <w:tc>
          <w:tcPr>
            <w:tcW w:w="1800" w:type="dxa"/>
          </w:tcPr>
          <w:p w:rsidR="008B13DB" w:rsidRPr="00E4643D" w:rsidRDefault="008B13DB"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Pro-inflammatory</w:t>
            </w:r>
          </w:p>
        </w:tc>
        <w:tc>
          <w:tcPr>
            <w:tcW w:w="3901" w:type="dxa"/>
          </w:tcPr>
          <w:p w:rsidR="008B13DB" w:rsidRPr="00E4643D" w:rsidRDefault="008B13DB"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Tuberculosis, viral infection ( Predicts severity in viral infections (COVID-19, dengue, RSV</w:t>
            </w:r>
            <w:r w:rsidR="00285103" w:rsidRPr="00E4643D">
              <w:rPr>
                <w:rFonts w:ascii="Times New Roman" w:hAnsi="Times New Roman" w:cs="Times New Roman"/>
                <w:sz w:val="22"/>
                <w:szCs w:val="22"/>
              </w:rPr>
              <w:t>, the high level found in severe Zika Virus</w:t>
            </w:r>
            <w:r w:rsidRPr="00E4643D">
              <w:rPr>
                <w:rFonts w:ascii="Times New Roman" w:hAnsi="Times New Roman" w:cs="Times New Roman"/>
                <w:sz w:val="22"/>
                <w:szCs w:val="22"/>
              </w:rPr>
              <w:t>; monitors antiviral Th1 response</w:t>
            </w:r>
            <w:r w:rsidR="00285103" w:rsidRPr="00E4643D">
              <w:rPr>
                <w:rFonts w:ascii="Times New Roman" w:hAnsi="Times New Roman" w:cs="Times New Roman"/>
                <w:sz w:val="22"/>
                <w:szCs w:val="22"/>
              </w:rPr>
              <w:t>)</w:t>
            </w:r>
          </w:p>
        </w:tc>
        <w:tc>
          <w:tcPr>
            <w:tcW w:w="3479" w:type="dxa"/>
          </w:tcPr>
          <w:p w:rsidR="008B13DB" w:rsidRPr="00E4643D" w:rsidRDefault="00285103"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Diagnostic in TB (IGRA tests), Biomarker for immune activation.</w:t>
            </w:r>
          </w:p>
        </w:tc>
      </w:tr>
      <w:tr w:rsidR="008B13DB" w:rsidRPr="00BF5AFC" w:rsidTr="00F57508">
        <w:tc>
          <w:tcPr>
            <w:tcW w:w="2250" w:type="dxa"/>
          </w:tcPr>
          <w:p w:rsidR="008B13DB" w:rsidRPr="00E4643D" w:rsidRDefault="00DB4585"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I</w:t>
            </w:r>
            <w:r w:rsidR="00285103" w:rsidRPr="00E4643D">
              <w:rPr>
                <w:rFonts w:ascii="Times New Roman" w:hAnsi="Times New Roman" w:cs="Times New Roman"/>
                <w:sz w:val="22"/>
                <w:szCs w:val="22"/>
              </w:rPr>
              <w:t>FN-α, IFN-β</w:t>
            </w:r>
          </w:p>
        </w:tc>
        <w:tc>
          <w:tcPr>
            <w:tcW w:w="1800" w:type="dxa"/>
          </w:tcPr>
          <w:p w:rsidR="008B13DB" w:rsidRPr="00E4643D" w:rsidRDefault="00285103"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Pro-inflammatory</w:t>
            </w:r>
          </w:p>
        </w:tc>
        <w:tc>
          <w:tcPr>
            <w:tcW w:w="3901" w:type="dxa"/>
          </w:tcPr>
          <w:p w:rsidR="008B13DB" w:rsidRPr="00E4643D" w:rsidRDefault="00285103" w:rsidP="00AB6CC4">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Ear</w:t>
            </w:r>
            <w:r w:rsidR="00AB6CC4">
              <w:rPr>
                <w:rFonts w:ascii="Times New Roman" w:hAnsi="Times New Roman" w:cs="Times New Roman"/>
                <w:sz w:val="22"/>
                <w:szCs w:val="22"/>
              </w:rPr>
              <w:t xml:space="preserve">ly detection of infection in virus </w:t>
            </w:r>
            <w:r w:rsidRPr="00E4643D">
              <w:rPr>
                <w:rFonts w:ascii="Times New Roman" w:hAnsi="Times New Roman" w:cs="Times New Roman"/>
                <w:sz w:val="22"/>
                <w:szCs w:val="22"/>
              </w:rPr>
              <w:t xml:space="preserve"> (e.g., </w:t>
            </w:r>
            <w:r w:rsidR="00AB6CC4">
              <w:rPr>
                <w:rFonts w:ascii="Times New Roman" w:hAnsi="Times New Roman" w:cs="Times New Roman"/>
                <w:sz w:val="22"/>
                <w:szCs w:val="22"/>
              </w:rPr>
              <w:t>COVID-19, influenza</w:t>
            </w:r>
            <w:r w:rsidRPr="00E4643D">
              <w:rPr>
                <w:rFonts w:ascii="Times New Roman" w:hAnsi="Times New Roman" w:cs="Times New Roman"/>
                <w:sz w:val="22"/>
                <w:szCs w:val="22"/>
              </w:rPr>
              <w:t>); cytokine storms in severe COVID-19 linked to deregulated IFN-α/β</w:t>
            </w:r>
          </w:p>
        </w:tc>
        <w:tc>
          <w:tcPr>
            <w:tcW w:w="3479" w:type="dxa"/>
          </w:tcPr>
          <w:p w:rsidR="008B13DB" w:rsidRPr="00E4643D" w:rsidRDefault="00285103" w:rsidP="00AB6CC4">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Early antiviral defense is produced by infected cells marked by severe disease.</w:t>
            </w:r>
          </w:p>
        </w:tc>
      </w:tr>
      <w:tr w:rsidR="008B13DB" w:rsidRPr="00BF5AFC" w:rsidTr="00F57508">
        <w:tc>
          <w:tcPr>
            <w:tcW w:w="2250" w:type="dxa"/>
          </w:tcPr>
          <w:p w:rsidR="008B13DB" w:rsidRPr="00E4643D" w:rsidRDefault="00DB4585"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I</w:t>
            </w:r>
            <w:r w:rsidR="00285103" w:rsidRPr="00E4643D">
              <w:rPr>
                <w:rFonts w:ascii="Times New Roman" w:hAnsi="Times New Roman" w:cs="Times New Roman"/>
                <w:sz w:val="22"/>
                <w:szCs w:val="22"/>
              </w:rPr>
              <w:t>FN-λ</w:t>
            </w:r>
          </w:p>
        </w:tc>
        <w:tc>
          <w:tcPr>
            <w:tcW w:w="1800" w:type="dxa"/>
          </w:tcPr>
          <w:p w:rsidR="008B13DB" w:rsidRPr="00E4643D" w:rsidRDefault="00285103"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Pro-inflammatory</w:t>
            </w:r>
          </w:p>
        </w:tc>
        <w:tc>
          <w:tcPr>
            <w:tcW w:w="3901" w:type="dxa"/>
          </w:tcPr>
          <w:p w:rsidR="008B13DB" w:rsidRPr="00E4643D" w:rsidRDefault="00285103"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Mucosal immunity; antiviral response at epithelial barriers (lung, gut)</w:t>
            </w:r>
          </w:p>
        </w:tc>
        <w:tc>
          <w:tcPr>
            <w:tcW w:w="3479" w:type="dxa"/>
          </w:tcPr>
          <w:p w:rsidR="008B13DB" w:rsidRPr="00E4643D" w:rsidRDefault="00285103"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 xml:space="preserve"> Host-biomarkers for respiratory viruses  (e.g., RSV, influenza); prospective prognostic marker in chronic HBV/HCV</w:t>
            </w:r>
          </w:p>
        </w:tc>
      </w:tr>
      <w:tr w:rsidR="008B13DB" w:rsidRPr="00BF5AFC" w:rsidTr="00F57508">
        <w:tc>
          <w:tcPr>
            <w:tcW w:w="2250" w:type="dxa"/>
          </w:tcPr>
          <w:p w:rsidR="008B13DB" w:rsidRPr="00E4643D" w:rsidRDefault="00285103"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IL1-β</w:t>
            </w:r>
          </w:p>
        </w:tc>
        <w:tc>
          <w:tcPr>
            <w:tcW w:w="1800" w:type="dxa"/>
          </w:tcPr>
          <w:p w:rsidR="008B13DB" w:rsidRPr="00E4643D" w:rsidRDefault="00285103"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Pro-inflammatory</w:t>
            </w:r>
          </w:p>
        </w:tc>
        <w:tc>
          <w:tcPr>
            <w:tcW w:w="3901" w:type="dxa"/>
          </w:tcPr>
          <w:p w:rsidR="008B13DB" w:rsidRPr="00E4643D" w:rsidRDefault="00285103"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 xml:space="preserve">Infections (Sepsis, Bacterial Pneumonia, COVID-19, Tuberculosis), autoimmune disease ( </w:t>
            </w:r>
            <w:r w:rsidR="00B66A2B" w:rsidRPr="00E4643D">
              <w:rPr>
                <w:rFonts w:ascii="Times New Roman" w:hAnsi="Times New Roman" w:cs="Times New Roman"/>
                <w:sz w:val="22"/>
                <w:szCs w:val="22"/>
              </w:rPr>
              <w:t>Rheumatoid Arthritis, Gout, SLE)</w:t>
            </w:r>
            <w:r w:rsidR="00AB6CC4">
              <w:rPr>
                <w:rFonts w:ascii="Times New Roman" w:hAnsi="Times New Roman" w:cs="Times New Roman"/>
                <w:sz w:val="22"/>
                <w:szCs w:val="22"/>
              </w:rPr>
              <w:t>,</w:t>
            </w:r>
            <w:r w:rsidR="00B66A2B" w:rsidRPr="00E4643D">
              <w:rPr>
                <w:rFonts w:ascii="Times New Roman" w:hAnsi="Times New Roman" w:cs="Times New Roman"/>
                <w:sz w:val="22"/>
                <w:szCs w:val="22"/>
              </w:rPr>
              <w:t xml:space="preserve"> </w:t>
            </w:r>
            <w:r w:rsidRPr="00E4643D">
              <w:rPr>
                <w:rFonts w:ascii="Times New Roman" w:hAnsi="Times New Roman" w:cs="Times New Roman"/>
                <w:sz w:val="22"/>
                <w:szCs w:val="22"/>
              </w:rPr>
              <w:t>Inflammato</w:t>
            </w:r>
            <w:r w:rsidR="00B66A2B" w:rsidRPr="00E4643D">
              <w:rPr>
                <w:rFonts w:ascii="Times New Roman" w:hAnsi="Times New Roman" w:cs="Times New Roman"/>
                <w:sz w:val="22"/>
                <w:szCs w:val="22"/>
              </w:rPr>
              <w:t xml:space="preserve">ry Bowel Disease, Cancer </w:t>
            </w:r>
          </w:p>
        </w:tc>
        <w:tc>
          <w:tcPr>
            <w:tcW w:w="3479" w:type="dxa"/>
          </w:tcPr>
          <w:p w:rsidR="008B13DB" w:rsidRPr="00E4643D" w:rsidRDefault="00B66A2B"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 xml:space="preserve">Inflammatory markers, associated with </w:t>
            </w:r>
            <w:r w:rsidR="00AB6CC4" w:rsidRPr="00E4643D">
              <w:rPr>
                <w:rFonts w:ascii="Times New Roman" w:hAnsi="Times New Roman" w:cs="Times New Roman"/>
                <w:sz w:val="22"/>
                <w:szCs w:val="22"/>
              </w:rPr>
              <w:t>Inflammasome</w:t>
            </w:r>
            <w:r w:rsidRPr="00E4643D">
              <w:rPr>
                <w:rFonts w:ascii="Times New Roman" w:hAnsi="Times New Roman" w:cs="Times New Roman"/>
                <w:sz w:val="22"/>
                <w:szCs w:val="22"/>
              </w:rPr>
              <w:t xml:space="preserve"> activation. </w:t>
            </w:r>
          </w:p>
        </w:tc>
      </w:tr>
      <w:tr w:rsidR="008B13DB" w:rsidRPr="00BF5AFC" w:rsidTr="00F57508">
        <w:tc>
          <w:tcPr>
            <w:tcW w:w="2250" w:type="dxa"/>
          </w:tcPr>
          <w:p w:rsidR="008B13DB" w:rsidRPr="00E4643D" w:rsidRDefault="00B66A2B"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TNF-α</w:t>
            </w:r>
          </w:p>
        </w:tc>
        <w:tc>
          <w:tcPr>
            <w:tcW w:w="1800" w:type="dxa"/>
          </w:tcPr>
          <w:p w:rsidR="008B13DB" w:rsidRPr="00E4643D" w:rsidRDefault="00B66A2B"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Pro-inflammatory</w:t>
            </w:r>
          </w:p>
        </w:tc>
        <w:tc>
          <w:tcPr>
            <w:tcW w:w="3901" w:type="dxa"/>
          </w:tcPr>
          <w:p w:rsidR="00B66A2B" w:rsidRPr="00E4643D" w:rsidRDefault="00D0289C"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Infections</w:t>
            </w:r>
            <w:r w:rsidR="00B66A2B" w:rsidRPr="00E4643D">
              <w:rPr>
                <w:rFonts w:ascii="Times New Roman" w:hAnsi="Times New Roman" w:cs="Times New Roman"/>
                <w:sz w:val="22"/>
                <w:szCs w:val="22"/>
              </w:rPr>
              <w:t xml:space="preserve"> (sepsis, tuberculosis, COVID-19,</w:t>
            </w:r>
            <w:r w:rsidRPr="00E4643D">
              <w:rPr>
                <w:rFonts w:ascii="Times New Roman" w:hAnsi="Times New Roman" w:cs="Times New Roman"/>
                <w:sz w:val="22"/>
                <w:szCs w:val="22"/>
              </w:rPr>
              <w:t xml:space="preserve"> </w:t>
            </w:r>
            <w:r w:rsidR="00B66A2B" w:rsidRPr="00E4643D">
              <w:rPr>
                <w:rFonts w:ascii="Times New Roman" w:hAnsi="Times New Roman" w:cs="Times New Roman"/>
                <w:sz w:val="22"/>
                <w:szCs w:val="22"/>
              </w:rPr>
              <w:t>Malaria),</w:t>
            </w:r>
            <w:r w:rsidRPr="00E4643D">
              <w:rPr>
                <w:rFonts w:ascii="Times New Roman" w:hAnsi="Times New Roman" w:cs="Times New Roman"/>
                <w:sz w:val="22"/>
                <w:szCs w:val="22"/>
              </w:rPr>
              <w:t xml:space="preserve"> Autoimmune disorders (Rheumatoid Arthritis (RA), Crohn’s Disease, Psoriasis, SLE), Cancer [Solid tumors (e.g.</w:t>
            </w:r>
            <w:r w:rsidR="00BF288D" w:rsidRPr="00E4643D">
              <w:rPr>
                <w:rFonts w:ascii="Times New Roman" w:hAnsi="Times New Roman" w:cs="Times New Roman"/>
                <w:sz w:val="22"/>
                <w:szCs w:val="22"/>
              </w:rPr>
              <w:t xml:space="preserve">, melanoma, colorectal cancer), </w:t>
            </w:r>
            <w:r w:rsidRPr="00E4643D">
              <w:rPr>
                <w:rFonts w:ascii="Times New Roman" w:hAnsi="Times New Roman" w:cs="Times New Roman"/>
                <w:sz w:val="22"/>
                <w:szCs w:val="22"/>
              </w:rPr>
              <w:t>Leukemia], Inflammatory Disease (IBD, asthma),</w:t>
            </w:r>
            <w:r w:rsidR="00BF288D" w:rsidRPr="00E4643D">
              <w:rPr>
                <w:rFonts w:ascii="Times New Roman" w:hAnsi="Times New Roman" w:cs="Times New Roman"/>
                <w:sz w:val="22"/>
                <w:szCs w:val="22"/>
              </w:rPr>
              <w:t xml:space="preserve"> </w:t>
            </w:r>
            <w:r w:rsidRPr="00E4643D">
              <w:rPr>
                <w:rFonts w:ascii="Times New Roman" w:hAnsi="Times New Roman" w:cs="Times New Roman"/>
                <w:sz w:val="22"/>
                <w:szCs w:val="22"/>
              </w:rPr>
              <w:t>Neurological disorders (Alzheimer’s Disease, Multiple Sclerosis</w:t>
            </w:r>
            <w:r w:rsidR="00BF288D" w:rsidRPr="00E4643D">
              <w:rPr>
                <w:rFonts w:ascii="Times New Roman" w:hAnsi="Times New Roman" w:cs="Times New Roman"/>
                <w:sz w:val="22"/>
                <w:szCs w:val="22"/>
              </w:rPr>
              <w:t>)</w:t>
            </w:r>
          </w:p>
        </w:tc>
        <w:tc>
          <w:tcPr>
            <w:tcW w:w="3479" w:type="dxa"/>
          </w:tcPr>
          <w:p w:rsidR="008B13DB" w:rsidRPr="00E4643D" w:rsidRDefault="00BF288D"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 xml:space="preserve">Inflammation marker, Severity marker for autoimmune disease, response to anti-TNF.  </w:t>
            </w:r>
          </w:p>
        </w:tc>
      </w:tr>
      <w:tr w:rsidR="008B13DB" w:rsidRPr="00BF5AFC" w:rsidTr="00F57508">
        <w:tc>
          <w:tcPr>
            <w:tcW w:w="2250" w:type="dxa"/>
          </w:tcPr>
          <w:p w:rsidR="008B13DB" w:rsidRPr="00E4643D" w:rsidRDefault="00DB4585"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eastAsia="Times New Roman" w:hAnsi="Times New Roman" w:cs="Times New Roman"/>
                <w:bCs/>
                <w:sz w:val="22"/>
                <w:szCs w:val="22"/>
              </w:rPr>
              <w:t>IL-17</w:t>
            </w:r>
          </w:p>
        </w:tc>
        <w:tc>
          <w:tcPr>
            <w:tcW w:w="1800" w:type="dxa"/>
          </w:tcPr>
          <w:p w:rsidR="008B13DB" w:rsidRPr="00E4643D" w:rsidRDefault="003E01D4"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eastAsia="Times New Roman" w:hAnsi="Times New Roman" w:cs="Times New Roman"/>
                <w:sz w:val="22"/>
                <w:szCs w:val="22"/>
              </w:rPr>
              <w:t>Pro-inflammatory</w:t>
            </w:r>
          </w:p>
        </w:tc>
        <w:tc>
          <w:tcPr>
            <w:tcW w:w="3901" w:type="dxa"/>
          </w:tcPr>
          <w:p w:rsidR="008B13DB" w:rsidRPr="00E4643D" w:rsidRDefault="00DB4585"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eastAsia="Times New Roman" w:hAnsi="Times New Roman" w:cs="Times New Roman"/>
                <w:sz w:val="22"/>
                <w:szCs w:val="22"/>
              </w:rPr>
              <w:t>Autoimmune dise</w:t>
            </w:r>
            <w:r w:rsidR="00FD34DD">
              <w:rPr>
                <w:rFonts w:ascii="Times New Roman" w:eastAsia="Times New Roman" w:hAnsi="Times New Roman" w:cs="Times New Roman"/>
                <w:sz w:val="22"/>
                <w:szCs w:val="22"/>
              </w:rPr>
              <w:t>ases (e.g., psoriasis, RA), Helmi</w:t>
            </w:r>
            <w:r w:rsidR="00FD34DD" w:rsidRPr="00E4643D">
              <w:rPr>
                <w:rFonts w:ascii="Times New Roman" w:eastAsia="Times New Roman" w:hAnsi="Times New Roman" w:cs="Times New Roman"/>
                <w:sz w:val="22"/>
                <w:szCs w:val="22"/>
              </w:rPr>
              <w:t>nthes</w:t>
            </w:r>
            <w:r w:rsidRPr="00E4643D">
              <w:rPr>
                <w:rFonts w:ascii="Times New Roman" w:eastAsia="Times New Roman" w:hAnsi="Times New Roman" w:cs="Times New Roman"/>
                <w:sz w:val="22"/>
                <w:szCs w:val="22"/>
              </w:rPr>
              <w:t xml:space="preserve"> and fungal infections</w:t>
            </w:r>
          </w:p>
        </w:tc>
        <w:tc>
          <w:tcPr>
            <w:tcW w:w="3479" w:type="dxa"/>
          </w:tcPr>
          <w:p w:rsidR="008B13DB" w:rsidRPr="00E4643D" w:rsidRDefault="003E01D4"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Marker for Th17 and association with chronic inflammation</w:t>
            </w:r>
          </w:p>
        </w:tc>
      </w:tr>
      <w:tr w:rsidR="003E01D4" w:rsidRPr="00BF5AFC" w:rsidTr="00F57508">
        <w:tc>
          <w:tcPr>
            <w:tcW w:w="2250"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bCs/>
              </w:rPr>
              <w:t>GM-CSF</w:t>
            </w:r>
          </w:p>
        </w:tc>
        <w:tc>
          <w:tcPr>
            <w:tcW w:w="1800"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Pro-inflammatory</w:t>
            </w:r>
          </w:p>
        </w:tc>
        <w:tc>
          <w:tcPr>
            <w:tcW w:w="3901" w:type="dxa"/>
          </w:tcPr>
          <w:p w:rsidR="003E01D4" w:rsidRPr="00E4643D" w:rsidRDefault="003E01D4"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eastAsia="Times New Roman" w:hAnsi="Times New Roman" w:cs="Times New Roman"/>
                <w:sz w:val="22"/>
                <w:szCs w:val="22"/>
              </w:rPr>
              <w:t>Autoimmune diseases, infections and cancer</w:t>
            </w:r>
          </w:p>
        </w:tc>
        <w:tc>
          <w:tcPr>
            <w:tcW w:w="3479" w:type="dxa"/>
          </w:tcPr>
          <w:p w:rsidR="003E01D4" w:rsidRPr="00E4643D" w:rsidRDefault="003E01D4"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Recruitment of myeloid cells, resolution of inflammation</w:t>
            </w:r>
          </w:p>
        </w:tc>
      </w:tr>
      <w:tr w:rsidR="003E01D4" w:rsidRPr="00BF5AFC" w:rsidTr="00F57508">
        <w:tc>
          <w:tcPr>
            <w:tcW w:w="2250" w:type="dxa"/>
          </w:tcPr>
          <w:p w:rsidR="003E01D4" w:rsidRPr="00E4643D" w:rsidRDefault="003E01D4"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eastAsia="Times New Roman" w:hAnsi="Times New Roman" w:cs="Times New Roman"/>
                <w:bCs/>
                <w:sz w:val="22"/>
                <w:szCs w:val="22"/>
              </w:rPr>
              <w:t>IL-12</w:t>
            </w:r>
          </w:p>
        </w:tc>
        <w:tc>
          <w:tcPr>
            <w:tcW w:w="1800" w:type="dxa"/>
          </w:tcPr>
          <w:p w:rsidR="003E01D4" w:rsidRPr="00E4643D" w:rsidRDefault="003E01D4"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eastAsia="Times New Roman" w:hAnsi="Times New Roman" w:cs="Times New Roman"/>
                <w:sz w:val="22"/>
                <w:szCs w:val="22"/>
              </w:rPr>
              <w:t>Pro-inflammatory</w:t>
            </w:r>
          </w:p>
        </w:tc>
        <w:tc>
          <w:tcPr>
            <w:tcW w:w="3901"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 xml:space="preserve">Infections, autoimmune diseases, </w:t>
            </w:r>
            <w:r w:rsidR="00FD34DD">
              <w:rPr>
                <w:rFonts w:ascii="Times New Roman" w:eastAsia="Times New Roman" w:hAnsi="Times New Roman" w:cs="Times New Roman"/>
              </w:rPr>
              <w:t xml:space="preserve">and </w:t>
            </w:r>
            <w:r w:rsidRPr="00E4643D">
              <w:rPr>
                <w:rFonts w:ascii="Times New Roman" w:eastAsia="Times New Roman" w:hAnsi="Times New Roman" w:cs="Times New Roman"/>
              </w:rPr>
              <w:t>cancer</w:t>
            </w:r>
          </w:p>
        </w:tc>
        <w:tc>
          <w:tcPr>
            <w:tcW w:w="3479" w:type="dxa"/>
          </w:tcPr>
          <w:p w:rsidR="003E01D4" w:rsidRPr="00E4643D" w:rsidRDefault="003E01D4" w:rsidP="003D47A3">
            <w:pPr>
              <w:spacing w:line="276" w:lineRule="auto"/>
              <w:rPr>
                <w:rFonts w:ascii="Times New Roman" w:eastAsia="Times New Roman" w:hAnsi="Times New Roman" w:cs="Times New Roman"/>
              </w:rPr>
            </w:pPr>
            <w:r w:rsidRPr="00E4643D">
              <w:rPr>
                <w:rFonts w:ascii="Times New Roman" w:eastAsia="Times New Roman" w:hAnsi="Times New Roman" w:cs="Times New Roman"/>
              </w:rPr>
              <w:t xml:space="preserve">Th1 polarization, </w:t>
            </w:r>
            <w:r w:rsidR="00FD34DD">
              <w:rPr>
                <w:rFonts w:ascii="Times New Roman" w:eastAsia="Times New Roman" w:hAnsi="Times New Roman" w:cs="Times New Roman"/>
              </w:rPr>
              <w:t xml:space="preserve">an </w:t>
            </w:r>
            <w:r w:rsidRPr="00E4643D">
              <w:rPr>
                <w:rFonts w:ascii="Times New Roman" w:eastAsia="Times New Roman" w:hAnsi="Times New Roman" w:cs="Times New Roman"/>
              </w:rPr>
              <w:t xml:space="preserve">indicator </w:t>
            </w:r>
            <w:r w:rsidR="003D47A3">
              <w:rPr>
                <w:rFonts w:ascii="Times New Roman" w:eastAsia="Times New Roman" w:hAnsi="Times New Roman" w:cs="Times New Roman"/>
              </w:rPr>
              <w:t>of</w:t>
            </w:r>
            <w:r w:rsidRPr="00E4643D">
              <w:rPr>
                <w:rFonts w:ascii="Times New Roman" w:eastAsia="Times New Roman" w:hAnsi="Times New Roman" w:cs="Times New Roman"/>
              </w:rPr>
              <w:t xml:space="preserve"> immunotherapy</w:t>
            </w:r>
          </w:p>
        </w:tc>
      </w:tr>
      <w:tr w:rsidR="003E01D4" w:rsidRPr="00BF5AFC" w:rsidTr="00F57508">
        <w:tc>
          <w:tcPr>
            <w:tcW w:w="2250"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bCs/>
              </w:rPr>
              <w:t>IL-23</w:t>
            </w:r>
          </w:p>
        </w:tc>
        <w:tc>
          <w:tcPr>
            <w:tcW w:w="1800"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Pro-inflammatory</w:t>
            </w:r>
          </w:p>
        </w:tc>
        <w:tc>
          <w:tcPr>
            <w:tcW w:w="3901"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Autoimmune diseases (e.g., psoriasis, IBD)</w:t>
            </w:r>
          </w:p>
        </w:tc>
        <w:tc>
          <w:tcPr>
            <w:tcW w:w="3479"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Th17 polarization, target for biologics</w:t>
            </w:r>
          </w:p>
        </w:tc>
      </w:tr>
      <w:tr w:rsidR="003E01D4" w:rsidRPr="00BF5AFC" w:rsidTr="00F57508">
        <w:tc>
          <w:tcPr>
            <w:tcW w:w="2250"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bCs/>
              </w:rPr>
              <w:lastRenderedPageBreak/>
              <w:t>IL-18</w:t>
            </w:r>
          </w:p>
        </w:tc>
        <w:tc>
          <w:tcPr>
            <w:tcW w:w="1800"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Pro-inflammatory</w:t>
            </w:r>
          </w:p>
        </w:tc>
        <w:tc>
          <w:tcPr>
            <w:tcW w:w="3901"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 xml:space="preserve">Infections, autoimmune diseases, </w:t>
            </w:r>
            <w:r w:rsidR="00FD34DD">
              <w:rPr>
                <w:rFonts w:ascii="Times New Roman" w:eastAsia="Times New Roman" w:hAnsi="Times New Roman" w:cs="Times New Roman"/>
              </w:rPr>
              <w:t xml:space="preserve">and </w:t>
            </w:r>
            <w:r w:rsidRPr="00E4643D">
              <w:rPr>
                <w:rFonts w:ascii="Times New Roman" w:eastAsia="Times New Roman" w:hAnsi="Times New Roman" w:cs="Times New Roman"/>
              </w:rPr>
              <w:t>cancer</w:t>
            </w:r>
          </w:p>
        </w:tc>
        <w:tc>
          <w:tcPr>
            <w:tcW w:w="3479"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Inflammasome activation marker, disease severity predictor</w:t>
            </w:r>
          </w:p>
        </w:tc>
      </w:tr>
      <w:tr w:rsidR="003E01D4" w:rsidRPr="00BF5AFC" w:rsidTr="00F57508">
        <w:tc>
          <w:tcPr>
            <w:tcW w:w="2250"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bCs/>
              </w:rPr>
              <w:t>IL-2</w:t>
            </w:r>
          </w:p>
        </w:tc>
        <w:tc>
          <w:tcPr>
            <w:tcW w:w="1800"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Pro-inflammatory</w:t>
            </w:r>
          </w:p>
        </w:tc>
        <w:tc>
          <w:tcPr>
            <w:tcW w:w="3901"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Infections, cancer immunotherapy</w:t>
            </w:r>
          </w:p>
        </w:tc>
        <w:tc>
          <w:tcPr>
            <w:tcW w:w="3479"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T cell activation marker, response in immunotherapy</w:t>
            </w:r>
          </w:p>
        </w:tc>
      </w:tr>
      <w:tr w:rsidR="003E01D4" w:rsidRPr="00BF5AFC" w:rsidTr="00F57508">
        <w:tc>
          <w:tcPr>
            <w:tcW w:w="2250"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bCs/>
              </w:rPr>
              <w:t>IL-4</w:t>
            </w:r>
          </w:p>
        </w:tc>
        <w:tc>
          <w:tcPr>
            <w:tcW w:w="1800"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Anti-inflammatory (Th2 cytokine)</w:t>
            </w:r>
          </w:p>
        </w:tc>
        <w:tc>
          <w:tcPr>
            <w:tcW w:w="3901"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 xml:space="preserve">Allergies, parasitic infections, </w:t>
            </w:r>
            <w:r w:rsidR="00FD34DD">
              <w:rPr>
                <w:rFonts w:ascii="Times New Roman" w:eastAsia="Times New Roman" w:hAnsi="Times New Roman" w:cs="Times New Roman"/>
              </w:rPr>
              <w:t xml:space="preserve">and </w:t>
            </w:r>
            <w:r w:rsidRPr="00E4643D">
              <w:rPr>
                <w:rFonts w:ascii="Times New Roman" w:eastAsia="Times New Roman" w:hAnsi="Times New Roman" w:cs="Times New Roman"/>
              </w:rPr>
              <w:t>asthma</w:t>
            </w:r>
          </w:p>
        </w:tc>
        <w:tc>
          <w:tcPr>
            <w:tcW w:w="3479" w:type="dxa"/>
          </w:tcPr>
          <w:p w:rsidR="003E01D4" w:rsidRPr="00E4643D" w:rsidRDefault="00FD34DD" w:rsidP="00F861EB">
            <w:pPr>
              <w:spacing w:line="276" w:lineRule="auto"/>
              <w:rPr>
                <w:rFonts w:ascii="Times New Roman" w:eastAsia="Times New Roman" w:hAnsi="Times New Roman" w:cs="Times New Roman"/>
              </w:rPr>
            </w:pPr>
            <w:r>
              <w:rPr>
                <w:rFonts w:ascii="Times New Roman" w:eastAsia="Times New Roman" w:hAnsi="Times New Roman" w:cs="Times New Roman"/>
              </w:rPr>
              <w:t>An indicator</w:t>
            </w:r>
            <w:r w:rsidR="003E01D4" w:rsidRPr="00E4643D">
              <w:rPr>
                <w:rFonts w:ascii="Times New Roman" w:eastAsia="Times New Roman" w:hAnsi="Times New Roman" w:cs="Times New Roman"/>
              </w:rPr>
              <w:t xml:space="preserve"> of Th2 response, </w:t>
            </w:r>
            <w:r>
              <w:rPr>
                <w:rFonts w:ascii="Times New Roman" w:eastAsia="Times New Roman" w:hAnsi="Times New Roman" w:cs="Times New Roman"/>
              </w:rPr>
              <w:t xml:space="preserve">an </w:t>
            </w:r>
            <w:r w:rsidR="003E01D4" w:rsidRPr="00E4643D">
              <w:rPr>
                <w:rFonts w:ascii="Times New Roman" w:eastAsia="Times New Roman" w:hAnsi="Times New Roman" w:cs="Times New Roman"/>
              </w:rPr>
              <w:t>allergy biomarker</w:t>
            </w:r>
          </w:p>
        </w:tc>
      </w:tr>
      <w:tr w:rsidR="00552EEB" w:rsidRPr="00BF5AFC" w:rsidTr="00F57508">
        <w:tc>
          <w:tcPr>
            <w:tcW w:w="2250" w:type="dxa"/>
          </w:tcPr>
          <w:p w:rsidR="00552EEB" w:rsidRPr="00E4643D" w:rsidRDefault="00552EEB"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bCs/>
              </w:rPr>
              <w:t>TGF-β</w:t>
            </w:r>
          </w:p>
        </w:tc>
        <w:tc>
          <w:tcPr>
            <w:tcW w:w="1800" w:type="dxa"/>
          </w:tcPr>
          <w:p w:rsidR="00552EEB" w:rsidRPr="00E4643D" w:rsidRDefault="00552EEB"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Anti-inflammatory</w:t>
            </w:r>
          </w:p>
        </w:tc>
        <w:tc>
          <w:tcPr>
            <w:tcW w:w="3901" w:type="dxa"/>
          </w:tcPr>
          <w:p w:rsidR="00552EEB" w:rsidRPr="00E4643D" w:rsidRDefault="00552EEB"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 xml:space="preserve">Fibrosis, cancer, </w:t>
            </w:r>
            <w:r w:rsidR="00AB6CC4">
              <w:rPr>
                <w:rFonts w:ascii="Times New Roman" w:eastAsia="Times New Roman" w:hAnsi="Times New Roman" w:cs="Times New Roman"/>
              </w:rPr>
              <w:t xml:space="preserve">and </w:t>
            </w:r>
            <w:r w:rsidRPr="00E4643D">
              <w:rPr>
                <w:rFonts w:ascii="Times New Roman" w:eastAsia="Times New Roman" w:hAnsi="Times New Roman" w:cs="Times New Roman"/>
              </w:rPr>
              <w:t>autoimmune diseases</w:t>
            </w:r>
          </w:p>
        </w:tc>
        <w:tc>
          <w:tcPr>
            <w:tcW w:w="3479" w:type="dxa"/>
          </w:tcPr>
          <w:p w:rsidR="00552EEB" w:rsidRPr="00E4643D" w:rsidRDefault="00552EEB"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Marker of immunosuppression, tumor progression</w:t>
            </w:r>
          </w:p>
        </w:tc>
      </w:tr>
      <w:tr w:rsidR="00552EEB" w:rsidRPr="00BF5AFC" w:rsidTr="00F57508">
        <w:tc>
          <w:tcPr>
            <w:tcW w:w="2250" w:type="dxa"/>
          </w:tcPr>
          <w:p w:rsidR="00552EEB" w:rsidRPr="00E4643D" w:rsidRDefault="00552EEB"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bCs/>
              </w:rPr>
              <w:t>IL-10</w:t>
            </w:r>
          </w:p>
        </w:tc>
        <w:tc>
          <w:tcPr>
            <w:tcW w:w="1800" w:type="dxa"/>
          </w:tcPr>
          <w:p w:rsidR="00552EEB" w:rsidRPr="00E4643D" w:rsidRDefault="00552EEB"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Anti-inflammatory</w:t>
            </w:r>
          </w:p>
        </w:tc>
        <w:tc>
          <w:tcPr>
            <w:tcW w:w="3901" w:type="dxa"/>
          </w:tcPr>
          <w:p w:rsidR="00552EEB" w:rsidRPr="00E4643D" w:rsidRDefault="00552EEB"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 xml:space="preserve">Infections, autoimmune diseases, </w:t>
            </w:r>
            <w:r w:rsidR="00AB6CC4">
              <w:rPr>
                <w:rFonts w:ascii="Times New Roman" w:eastAsia="Times New Roman" w:hAnsi="Times New Roman" w:cs="Times New Roman"/>
              </w:rPr>
              <w:t xml:space="preserve">and </w:t>
            </w:r>
            <w:r w:rsidRPr="00E4643D">
              <w:rPr>
                <w:rFonts w:ascii="Times New Roman" w:eastAsia="Times New Roman" w:hAnsi="Times New Roman" w:cs="Times New Roman"/>
              </w:rPr>
              <w:t>cancer</w:t>
            </w:r>
          </w:p>
        </w:tc>
        <w:tc>
          <w:tcPr>
            <w:tcW w:w="3479" w:type="dxa"/>
          </w:tcPr>
          <w:p w:rsidR="00552EEB" w:rsidRPr="00E4643D" w:rsidRDefault="00552EEB"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Immunoregulatory marker, predictor of immunosuppression</w:t>
            </w:r>
          </w:p>
          <w:p w:rsidR="00552EEB" w:rsidRPr="00E4643D" w:rsidRDefault="00552EEB" w:rsidP="00F861EB">
            <w:pPr>
              <w:spacing w:line="276" w:lineRule="auto"/>
              <w:rPr>
                <w:rFonts w:ascii="Times New Roman" w:eastAsia="Times New Roman" w:hAnsi="Times New Roman" w:cs="Times New Roman"/>
              </w:rPr>
            </w:pPr>
          </w:p>
        </w:tc>
      </w:tr>
      <w:tr w:rsidR="00552EEB" w:rsidRPr="00BF5AFC" w:rsidTr="00F57508">
        <w:tc>
          <w:tcPr>
            <w:tcW w:w="2250" w:type="dxa"/>
          </w:tcPr>
          <w:p w:rsidR="00552EEB" w:rsidRPr="00E4643D" w:rsidRDefault="00552EEB"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bCs/>
              </w:rPr>
              <w:t>IL-8</w:t>
            </w:r>
            <w:r w:rsidRPr="00E4643D">
              <w:rPr>
                <w:rFonts w:ascii="Times New Roman" w:eastAsia="Times New Roman" w:hAnsi="Times New Roman" w:cs="Times New Roman"/>
              </w:rPr>
              <w:t xml:space="preserve"> (CXCL8)</w:t>
            </w:r>
          </w:p>
        </w:tc>
        <w:tc>
          <w:tcPr>
            <w:tcW w:w="1800" w:type="dxa"/>
          </w:tcPr>
          <w:p w:rsidR="00552EEB" w:rsidRPr="00E4643D" w:rsidRDefault="00552EEB"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Chemokine</w:t>
            </w:r>
          </w:p>
        </w:tc>
        <w:tc>
          <w:tcPr>
            <w:tcW w:w="3901" w:type="dxa"/>
          </w:tcPr>
          <w:p w:rsidR="00552EEB" w:rsidRPr="00E4643D" w:rsidRDefault="00552EEB"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 xml:space="preserve">Bacterial infections, cancer, </w:t>
            </w:r>
            <w:r w:rsidR="00AB6CC4">
              <w:rPr>
                <w:rFonts w:ascii="Times New Roman" w:eastAsia="Times New Roman" w:hAnsi="Times New Roman" w:cs="Times New Roman"/>
              </w:rPr>
              <w:t xml:space="preserve">and </w:t>
            </w:r>
            <w:r w:rsidRPr="00E4643D">
              <w:rPr>
                <w:rFonts w:ascii="Times New Roman" w:eastAsia="Times New Roman" w:hAnsi="Times New Roman" w:cs="Times New Roman"/>
              </w:rPr>
              <w:t>inflammation</w:t>
            </w:r>
          </w:p>
        </w:tc>
        <w:tc>
          <w:tcPr>
            <w:tcW w:w="3479" w:type="dxa"/>
          </w:tcPr>
          <w:p w:rsidR="00552EEB" w:rsidRPr="00E4643D" w:rsidRDefault="00552EEB"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Neutrophil recruitment marker, cancer progression</w:t>
            </w:r>
          </w:p>
        </w:tc>
      </w:tr>
      <w:tr w:rsidR="005870C3" w:rsidRPr="00BF5AFC" w:rsidTr="00F57508">
        <w:tc>
          <w:tcPr>
            <w:tcW w:w="2250" w:type="dxa"/>
          </w:tcPr>
          <w:p w:rsidR="005870C3" w:rsidRPr="00E4643D" w:rsidRDefault="005870C3" w:rsidP="00F861EB">
            <w:pPr>
              <w:spacing w:line="276" w:lineRule="auto"/>
              <w:rPr>
                <w:rFonts w:ascii="Times New Roman" w:eastAsia="Times New Roman" w:hAnsi="Times New Roman" w:cs="Times New Roman"/>
                <w:bCs/>
              </w:rPr>
            </w:pPr>
            <w:r w:rsidRPr="00E4643D">
              <w:rPr>
                <w:rFonts w:ascii="Times New Roman" w:hAnsi="Times New Roman" w:cs="Times New Roman"/>
              </w:rPr>
              <w:t>Monocyte Chemoattractant Protein-1 (MCP-1) (CCL-2)</w:t>
            </w:r>
          </w:p>
        </w:tc>
        <w:tc>
          <w:tcPr>
            <w:tcW w:w="1800" w:type="dxa"/>
          </w:tcPr>
          <w:p w:rsidR="005870C3" w:rsidRPr="00E4643D" w:rsidRDefault="005870C3"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Chemokine</w:t>
            </w:r>
          </w:p>
        </w:tc>
        <w:tc>
          <w:tcPr>
            <w:tcW w:w="3901" w:type="dxa"/>
          </w:tcPr>
          <w:p w:rsidR="005870C3" w:rsidRPr="00E4643D" w:rsidRDefault="002B4B0C" w:rsidP="00AB6CC4">
            <w:pPr>
              <w:spacing w:line="276" w:lineRule="auto"/>
              <w:jc w:val="center"/>
              <w:rPr>
                <w:rFonts w:ascii="Times New Roman" w:eastAsia="Times New Roman" w:hAnsi="Times New Roman" w:cs="Times New Roman"/>
              </w:rPr>
            </w:pPr>
            <w:r w:rsidRPr="00E4643D">
              <w:rPr>
                <w:rFonts w:ascii="Times New Roman" w:eastAsia="Times New Roman" w:hAnsi="Times New Roman" w:cs="Times New Roman"/>
              </w:rPr>
              <w:t xml:space="preserve">TB, HIV, </w:t>
            </w:r>
            <w:r w:rsidRPr="00E4643D">
              <w:rPr>
                <w:rFonts w:ascii="Times New Roman" w:hAnsi="Times New Roman" w:cs="Times New Roman"/>
              </w:rPr>
              <w:t>Autoimmune Diseases</w:t>
            </w:r>
          </w:p>
        </w:tc>
        <w:tc>
          <w:tcPr>
            <w:tcW w:w="3479" w:type="dxa"/>
          </w:tcPr>
          <w:p w:rsidR="005870C3" w:rsidRPr="00E4643D" w:rsidRDefault="00AB6CC4" w:rsidP="00AB6CC4">
            <w:pPr>
              <w:spacing w:line="276" w:lineRule="auto"/>
              <w:rPr>
                <w:rFonts w:ascii="Times New Roman" w:eastAsia="Times New Roman" w:hAnsi="Times New Roman" w:cs="Times New Roman"/>
              </w:rPr>
            </w:pPr>
            <w:r>
              <w:rPr>
                <w:rFonts w:ascii="Times New Roman" w:hAnsi="Times New Roman" w:cs="Times New Roman"/>
              </w:rPr>
              <w:t>M</w:t>
            </w:r>
            <w:r w:rsidR="002B4B0C" w:rsidRPr="00E4643D">
              <w:rPr>
                <w:rFonts w:ascii="Times New Roman" w:hAnsi="Times New Roman" w:cs="Times New Roman"/>
              </w:rPr>
              <w:t xml:space="preserve">onocytes, macrophages, </w:t>
            </w:r>
            <w:r w:rsidRPr="00E4643D">
              <w:rPr>
                <w:rFonts w:ascii="Times New Roman" w:hAnsi="Times New Roman" w:cs="Times New Roman"/>
              </w:rPr>
              <w:t>fibroblasts</w:t>
            </w:r>
            <w:r>
              <w:rPr>
                <w:rFonts w:ascii="Times New Roman" w:hAnsi="Times New Roman" w:cs="Times New Roman"/>
              </w:rPr>
              <w:t>,</w:t>
            </w:r>
            <w:r w:rsidRPr="00E4643D">
              <w:rPr>
                <w:rFonts w:ascii="Times New Roman" w:hAnsi="Times New Roman" w:cs="Times New Roman"/>
              </w:rPr>
              <w:t xml:space="preserve"> </w:t>
            </w:r>
            <w:r>
              <w:rPr>
                <w:rFonts w:ascii="Times New Roman" w:hAnsi="Times New Roman" w:cs="Times New Roman"/>
              </w:rPr>
              <w:t>and endothelial cells</w:t>
            </w:r>
          </w:p>
        </w:tc>
      </w:tr>
      <w:tr w:rsidR="002B4B0C" w:rsidRPr="00BF5AFC" w:rsidTr="00F57508">
        <w:tc>
          <w:tcPr>
            <w:tcW w:w="2250" w:type="dxa"/>
          </w:tcPr>
          <w:p w:rsidR="002B4B0C" w:rsidRPr="00E4643D" w:rsidRDefault="002B4B0C" w:rsidP="00F861EB">
            <w:pPr>
              <w:spacing w:line="276" w:lineRule="auto"/>
              <w:rPr>
                <w:rFonts w:ascii="Times New Roman" w:hAnsi="Times New Roman" w:cs="Times New Roman"/>
              </w:rPr>
            </w:pPr>
            <w:r w:rsidRPr="00E4643D">
              <w:rPr>
                <w:rFonts w:ascii="Times New Roman" w:hAnsi="Times New Roman" w:cs="Times New Roman"/>
              </w:rPr>
              <w:t>MIP-1α (Macrophage Inflammatory Protein-1 Alpha) (CCL-3)</w:t>
            </w:r>
          </w:p>
        </w:tc>
        <w:tc>
          <w:tcPr>
            <w:tcW w:w="1800" w:type="dxa"/>
          </w:tcPr>
          <w:p w:rsidR="002B4B0C" w:rsidRPr="00E4643D" w:rsidRDefault="001F576C"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Chemokine</w:t>
            </w:r>
          </w:p>
        </w:tc>
        <w:tc>
          <w:tcPr>
            <w:tcW w:w="3901" w:type="dxa"/>
          </w:tcPr>
          <w:p w:rsidR="002B4B0C" w:rsidRPr="00E4643D" w:rsidRDefault="001F576C" w:rsidP="00F57F11">
            <w:pPr>
              <w:spacing w:line="276" w:lineRule="auto"/>
              <w:rPr>
                <w:rFonts w:ascii="Times New Roman" w:eastAsia="Times New Roman" w:hAnsi="Times New Roman" w:cs="Times New Roman"/>
              </w:rPr>
            </w:pPr>
            <w:r w:rsidRPr="00E4643D">
              <w:rPr>
                <w:rFonts w:ascii="Times New Roman" w:hAnsi="Times New Roman" w:cs="Times New Roman"/>
              </w:rPr>
              <w:t xml:space="preserve">It is critical in </w:t>
            </w:r>
            <w:r w:rsidRPr="00E4643D">
              <w:rPr>
                <w:rStyle w:val="Strong"/>
                <w:rFonts w:ascii="Times New Roman" w:hAnsi="Times New Roman" w:cs="Times New Roman"/>
                <w:b w:val="0"/>
              </w:rPr>
              <w:t xml:space="preserve">immune cell </w:t>
            </w:r>
            <w:r w:rsidR="00F57F11">
              <w:rPr>
                <w:rStyle w:val="Strong"/>
                <w:rFonts w:ascii="Times New Roman" w:hAnsi="Times New Roman" w:cs="Times New Roman"/>
                <w:b w:val="0"/>
              </w:rPr>
              <w:t xml:space="preserve">recruitment, </w:t>
            </w:r>
            <w:r w:rsidR="00F57F11" w:rsidRPr="00E4643D">
              <w:rPr>
                <w:rFonts w:ascii="Times New Roman" w:hAnsi="Times New Roman" w:cs="Times New Roman"/>
              </w:rPr>
              <w:t>TB,</w:t>
            </w:r>
            <w:r w:rsidR="00F57F11">
              <w:rPr>
                <w:rFonts w:ascii="Times New Roman" w:hAnsi="Times New Roman" w:cs="Times New Roman"/>
              </w:rPr>
              <w:t xml:space="preserve"> </w:t>
            </w:r>
            <w:r w:rsidR="00F57F11">
              <w:rPr>
                <w:rStyle w:val="Strong"/>
                <w:rFonts w:ascii="Times New Roman" w:hAnsi="Times New Roman" w:cs="Times New Roman"/>
                <w:b w:val="0"/>
              </w:rPr>
              <w:t>granuloma formation</w:t>
            </w:r>
            <w:r w:rsidR="00F57F11" w:rsidRPr="00E4643D">
              <w:rPr>
                <w:rStyle w:val="Strong"/>
                <w:rFonts w:ascii="Times New Roman" w:hAnsi="Times New Roman" w:cs="Times New Roman"/>
                <w:b w:val="0"/>
              </w:rPr>
              <w:t xml:space="preserve">, </w:t>
            </w:r>
            <w:r w:rsidR="00F57F11" w:rsidRPr="00E4643D">
              <w:rPr>
                <w:rFonts w:ascii="Times New Roman" w:hAnsi="Times New Roman" w:cs="Times New Roman"/>
              </w:rPr>
              <w:t>HIV</w:t>
            </w:r>
            <w:r w:rsidRPr="00E4643D">
              <w:rPr>
                <w:rFonts w:ascii="Times New Roman" w:hAnsi="Times New Roman" w:cs="Times New Roman"/>
              </w:rPr>
              <w:t>, and other infections.</w:t>
            </w:r>
          </w:p>
        </w:tc>
        <w:tc>
          <w:tcPr>
            <w:tcW w:w="3479" w:type="dxa"/>
          </w:tcPr>
          <w:p w:rsidR="002B4B0C" w:rsidRPr="00E4643D" w:rsidRDefault="002B4B0C" w:rsidP="00F861EB">
            <w:pPr>
              <w:spacing w:line="276" w:lineRule="auto"/>
              <w:rPr>
                <w:rFonts w:ascii="Times New Roman" w:hAnsi="Times New Roman" w:cs="Times New Roman"/>
              </w:rPr>
            </w:pPr>
            <w:r w:rsidRPr="00E4643D">
              <w:rPr>
                <w:rFonts w:ascii="Times New Roman" w:hAnsi="Times New Roman" w:cs="Times New Roman"/>
              </w:rPr>
              <w:t xml:space="preserve">Macrophages, </w:t>
            </w:r>
            <w:r w:rsidR="001F576C" w:rsidRPr="00E4643D">
              <w:rPr>
                <w:rFonts w:ascii="Times New Roman" w:hAnsi="Times New Roman" w:cs="Times New Roman"/>
              </w:rPr>
              <w:t xml:space="preserve">Monocytes, Dendritic </w:t>
            </w:r>
            <w:r w:rsidR="00F57F11">
              <w:rPr>
                <w:rFonts w:ascii="Times New Roman" w:hAnsi="Times New Roman" w:cs="Times New Roman"/>
              </w:rPr>
              <w:t xml:space="preserve">cells, Neutrophils, T Cells, Natural Killer </w:t>
            </w:r>
            <w:r w:rsidR="001F576C" w:rsidRPr="00E4643D">
              <w:rPr>
                <w:rFonts w:ascii="Times New Roman" w:hAnsi="Times New Roman" w:cs="Times New Roman"/>
              </w:rPr>
              <w:t>Cells, Fibroblasts &amp; Epithelial Cells.</w:t>
            </w:r>
          </w:p>
        </w:tc>
      </w:tr>
      <w:tr w:rsidR="001F576C" w:rsidRPr="00BF5AFC" w:rsidTr="00F57508">
        <w:tc>
          <w:tcPr>
            <w:tcW w:w="2250" w:type="dxa"/>
          </w:tcPr>
          <w:p w:rsidR="001F576C" w:rsidRPr="00E4643D" w:rsidRDefault="001F576C" w:rsidP="00F861EB">
            <w:pPr>
              <w:spacing w:line="276" w:lineRule="auto"/>
              <w:rPr>
                <w:rFonts w:ascii="Times New Roman" w:hAnsi="Times New Roman" w:cs="Times New Roman"/>
              </w:rPr>
            </w:pPr>
            <w:r w:rsidRPr="00E4643D">
              <w:rPr>
                <w:rFonts w:ascii="Times New Roman" w:hAnsi="Times New Roman" w:cs="Times New Roman"/>
              </w:rPr>
              <w:t>MIP-1β</w:t>
            </w:r>
          </w:p>
          <w:p w:rsidR="001F576C" w:rsidRPr="00E4643D" w:rsidRDefault="001F576C" w:rsidP="00F861EB">
            <w:pPr>
              <w:spacing w:line="276" w:lineRule="auto"/>
              <w:rPr>
                <w:rFonts w:ascii="Times New Roman" w:hAnsi="Times New Roman" w:cs="Times New Roman"/>
              </w:rPr>
            </w:pPr>
            <w:r w:rsidRPr="00E4643D">
              <w:rPr>
                <w:rFonts w:ascii="Times New Roman" w:hAnsi="Times New Roman" w:cs="Times New Roman"/>
              </w:rPr>
              <w:t>(Macrophage Inflammatory Protein-1 Beta) (CCL-5)</w:t>
            </w:r>
          </w:p>
        </w:tc>
        <w:tc>
          <w:tcPr>
            <w:tcW w:w="1800" w:type="dxa"/>
          </w:tcPr>
          <w:p w:rsidR="001F576C" w:rsidRPr="00E4643D" w:rsidRDefault="001F576C"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Chemokine</w:t>
            </w:r>
          </w:p>
        </w:tc>
        <w:tc>
          <w:tcPr>
            <w:tcW w:w="3901" w:type="dxa"/>
          </w:tcPr>
          <w:p w:rsidR="001F576C" w:rsidRPr="00E4643D" w:rsidRDefault="001F576C" w:rsidP="00F57F11">
            <w:pPr>
              <w:spacing w:line="276" w:lineRule="auto"/>
              <w:rPr>
                <w:rFonts w:ascii="Times New Roman" w:hAnsi="Times New Roman" w:cs="Times New Roman"/>
              </w:rPr>
            </w:pPr>
            <w:r w:rsidRPr="00E4643D">
              <w:rPr>
                <w:rFonts w:ascii="Times New Roman" w:hAnsi="Times New Roman" w:cs="Times New Roman"/>
              </w:rPr>
              <w:t xml:space="preserve">It is a critical </w:t>
            </w:r>
            <w:r w:rsidRPr="00E4643D">
              <w:rPr>
                <w:rStyle w:val="Strong"/>
                <w:rFonts w:ascii="Times New Roman" w:hAnsi="Times New Roman" w:cs="Times New Roman"/>
                <w:b w:val="0"/>
              </w:rPr>
              <w:t>inflammatory chemokine</w:t>
            </w:r>
            <w:r w:rsidRPr="00E4643D">
              <w:rPr>
                <w:rFonts w:ascii="Times New Roman" w:hAnsi="Times New Roman" w:cs="Times New Roman"/>
              </w:rPr>
              <w:t xml:space="preserve"> induced by infections, cytokine</w:t>
            </w:r>
            <w:r w:rsidR="00F57F11">
              <w:rPr>
                <w:rFonts w:ascii="Times New Roman" w:hAnsi="Times New Roman" w:cs="Times New Roman"/>
              </w:rPr>
              <w:t>s, and cellular stress. It is involved</w:t>
            </w:r>
            <w:r w:rsidRPr="00E4643D">
              <w:rPr>
                <w:rStyle w:val="Strong"/>
                <w:rFonts w:ascii="Times New Roman" w:hAnsi="Times New Roman" w:cs="Times New Roman"/>
                <w:b w:val="0"/>
              </w:rPr>
              <w:t xml:space="preserve"> in</w:t>
            </w:r>
            <w:r w:rsidR="00F57F11">
              <w:rPr>
                <w:rStyle w:val="Strong"/>
                <w:rFonts w:ascii="Times New Roman" w:hAnsi="Times New Roman" w:cs="Times New Roman"/>
                <w:b w:val="0"/>
              </w:rPr>
              <w:t xml:space="preserve"> chemoattractant</w:t>
            </w:r>
            <w:r w:rsidRPr="00E4643D">
              <w:rPr>
                <w:rStyle w:val="Strong"/>
                <w:rFonts w:ascii="Times New Roman" w:hAnsi="Times New Roman" w:cs="Times New Roman"/>
                <w:b w:val="0"/>
              </w:rPr>
              <w:t>, granuloma formation, and disease pathogenesis</w:t>
            </w:r>
            <w:r w:rsidRPr="00E4643D">
              <w:rPr>
                <w:rFonts w:ascii="Times New Roman" w:hAnsi="Times New Roman" w:cs="Times New Roman"/>
              </w:rPr>
              <w:t xml:space="preserve"> in TB, HIV, and other infectious diseases.</w:t>
            </w:r>
          </w:p>
        </w:tc>
        <w:tc>
          <w:tcPr>
            <w:tcW w:w="3479" w:type="dxa"/>
          </w:tcPr>
          <w:p w:rsidR="001F576C" w:rsidRPr="00E4643D" w:rsidRDefault="001F576C" w:rsidP="00F57F11">
            <w:pPr>
              <w:spacing w:line="276" w:lineRule="auto"/>
              <w:rPr>
                <w:rFonts w:ascii="Times New Roman" w:hAnsi="Times New Roman" w:cs="Times New Roman"/>
              </w:rPr>
            </w:pPr>
            <w:r w:rsidRPr="00E4643D">
              <w:rPr>
                <w:rFonts w:ascii="Times New Roman" w:hAnsi="Times New Roman" w:cs="Times New Roman"/>
              </w:rPr>
              <w:t>Macrophages, Monocytes, Dendri</w:t>
            </w:r>
            <w:r w:rsidR="00F57F11">
              <w:rPr>
                <w:rFonts w:ascii="Times New Roman" w:hAnsi="Times New Roman" w:cs="Times New Roman"/>
              </w:rPr>
              <w:t>tic cells, Neutrophils, T Cells, Natural Killer</w:t>
            </w:r>
            <w:r w:rsidRPr="00E4643D">
              <w:rPr>
                <w:rFonts w:ascii="Times New Roman" w:hAnsi="Times New Roman" w:cs="Times New Roman"/>
              </w:rPr>
              <w:t xml:space="preserve"> Cells, Fibroblasts &amp; Epithelial Cells.</w:t>
            </w:r>
          </w:p>
        </w:tc>
      </w:tr>
      <w:tr w:rsidR="000C4DA0" w:rsidRPr="00BF5AFC" w:rsidTr="00F57508">
        <w:tc>
          <w:tcPr>
            <w:tcW w:w="2250" w:type="dxa"/>
          </w:tcPr>
          <w:p w:rsidR="000C4DA0" w:rsidRPr="00E4643D" w:rsidRDefault="000C4DA0" w:rsidP="00F861EB">
            <w:pPr>
              <w:spacing w:line="276" w:lineRule="auto"/>
              <w:rPr>
                <w:rFonts w:ascii="Times New Roman" w:hAnsi="Times New Roman" w:cs="Times New Roman"/>
              </w:rPr>
            </w:pPr>
            <w:r w:rsidRPr="00E4643D">
              <w:rPr>
                <w:rFonts w:ascii="Times New Roman" w:hAnsi="Times New Roman" w:cs="Times New Roman"/>
              </w:rPr>
              <w:t>IP-10</w:t>
            </w:r>
          </w:p>
          <w:p w:rsidR="004D727F" w:rsidRPr="00E4643D" w:rsidRDefault="004D727F" w:rsidP="004D727F">
            <w:pPr>
              <w:spacing w:line="276" w:lineRule="auto"/>
              <w:rPr>
                <w:rFonts w:ascii="Times New Roman" w:hAnsi="Times New Roman" w:cs="Times New Roman"/>
              </w:rPr>
            </w:pPr>
            <w:r w:rsidRPr="00E4643D">
              <w:rPr>
                <w:rFonts w:ascii="Times New Roman" w:hAnsi="Times New Roman" w:cs="Times New Roman"/>
              </w:rPr>
              <w:t>Interferon gamma-induced protein 10, CXCL10</w:t>
            </w:r>
          </w:p>
        </w:tc>
        <w:tc>
          <w:tcPr>
            <w:tcW w:w="1800" w:type="dxa"/>
          </w:tcPr>
          <w:p w:rsidR="000C4DA0" w:rsidRPr="00E4643D" w:rsidRDefault="000C4DA0"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Chemokine</w:t>
            </w:r>
          </w:p>
        </w:tc>
        <w:tc>
          <w:tcPr>
            <w:tcW w:w="3901" w:type="dxa"/>
          </w:tcPr>
          <w:p w:rsidR="000C4DA0" w:rsidRPr="00E4643D" w:rsidRDefault="000C4DA0" w:rsidP="00FD34DD">
            <w:pPr>
              <w:spacing w:line="276" w:lineRule="auto"/>
              <w:rPr>
                <w:rFonts w:ascii="Times New Roman" w:hAnsi="Times New Roman" w:cs="Times New Roman"/>
              </w:rPr>
            </w:pPr>
            <w:r w:rsidRPr="00E4643D">
              <w:rPr>
                <w:rFonts w:ascii="Times New Roman" w:hAnsi="Times New Roman" w:cs="Times New Roman"/>
              </w:rPr>
              <w:t xml:space="preserve">Chemotaxis ( T cell, monocytes, NK cells) to the site of infections or inflammations, Immune cell activation (particularly Cytotoxic CD8+ cells), regulation of inflammation, </w:t>
            </w:r>
            <w:r w:rsidR="003D47A3">
              <w:rPr>
                <w:rFonts w:ascii="Times New Roman" w:hAnsi="Times New Roman" w:cs="Times New Roman"/>
              </w:rPr>
              <w:t xml:space="preserve">and </w:t>
            </w:r>
            <w:r w:rsidRPr="00E4643D">
              <w:rPr>
                <w:rFonts w:ascii="Times New Roman" w:hAnsi="Times New Roman" w:cs="Times New Roman"/>
              </w:rPr>
              <w:t>antiviral response</w:t>
            </w:r>
            <w:r w:rsidR="00FD34DD">
              <w:rPr>
                <w:rFonts w:ascii="Times New Roman" w:hAnsi="Times New Roman" w:cs="Times New Roman"/>
              </w:rPr>
              <w:t>.</w:t>
            </w:r>
            <w:r w:rsidRPr="00E4643D">
              <w:rPr>
                <w:rFonts w:ascii="Times New Roman" w:hAnsi="Times New Roman" w:cs="Times New Roman"/>
              </w:rPr>
              <w:t xml:space="preserve"> Elevated levels serve as biomarkers in conditions like tuberculosis, HIV, sepsis, and autoimmune diseases.</w:t>
            </w:r>
          </w:p>
        </w:tc>
        <w:tc>
          <w:tcPr>
            <w:tcW w:w="3479" w:type="dxa"/>
          </w:tcPr>
          <w:p w:rsidR="000C4DA0" w:rsidRPr="00E4643D" w:rsidRDefault="000C4DA0" w:rsidP="00F861EB">
            <w:pPr>
              <w:spacing w:line="276" w:lineRule="auto"/>
              <w:rPr>
                <w:rFonts w:ascii="Times New Roman" w:hAnsi="Times New Roman" w:cs="Times New Roman"/>
              </w:rPr>
            </w:pPr>
            <w:r w:rsidRPr="00E4643D">
              <w:rPr>
                <w:rFonts w:ascii="Times New Roman" w:hAnsi="Times New Roman" w:cs="Times New Roman"/>
              </w:rPr>
              <w:t>Activated endothelial cells, macrophages, monocytes, fibroblasts, dendritic cells, epithelial cells</w:t>
            </w:r>
          </w:p>
        </w:tc>
      </w:tr>
    </w:tbl>
    <w:p w:rsidR="00BD2ED0" w:rsidRDefault="00BD2ED0" w:rsidP="00B1057F">
      <w:pPr>
        <w:pStyle w:val="Heading3"/>
        <w:rPr>
          <w:rFonts w:ascii="Times New Roman" w:hAnsi="Times New Roman" w:cs="Times New Roman"/>
          <w:color w:val="auto"/>
          <w:sz w:val="24"/>
        </w:rPr>
      </w:pPr>
      <w:bookmarkStart w:id="4" w:name="_Toc193802115"/>
    </w:p>
    <w:p w:rsidR="000D7915" w:rsidRPr="00B1057F" w:rsidRDefault="00B1057F" w:rsidP="00B1057F">
      <w:pPr>
        <w:pStyle w:val="Heading3"/>
        <w:rPr>
          <w:rFonts w:ascii="Liberation Serif" w:eastAsia="Noto Serif CJK SC" w:hAnsi="Liberation Serif" w:cs="Noto Sans Devanagari"/>
          <w:color w:val="auto"/>
          <w:kern w:val="3"/>
          <w:sz w:val="24"/>
          <w:szCs w:val="24"/>
          <w:lang w:eastAsia="zh-CN" w:bidi="hi-IN"/>
        </w:rPr>
      </w:pPr>
      <w:r w:rsidRPr="00B1057F">
        <w:rPr>
          <w:rFonts w:ascii="Times New Roman" w:hAnsi="Times New Roman" w:cs="Times New Roman"/>
          <w:color w:val="auto"/>
          <w:sz w:val="24"/>
        </w:rPr>
        <w:t xml:space="preserve">2.1.1. </w:t>
      </w:r>
      <w:r w:rsidR="000D7915" w:rsidRPr="00B1057F">
        <w:rPr>
          <w:rFonts w:ascii="Times New Roman" w:hAnsi="Times New Roman" w:cs="Times New Roman"/>
          <w:color w:val="auto"/>
          <w:sz w:val="24"/>
        </w:rPr>
        <w:t>Sepsis</w:t>
      </w:r>
      <w:bookmarkEnd w:id="4"/>
      <w:r w:rsidR="000D7915" w:rsidRPr="00B1057F">
        <w:rPr>
          <w:rFonts w:ascii="Liberation Serif" w:eastAsia="Noto Serif CJK SC" w:hAnsi="Liberation Serif" w:cs="Noto Sans Devanagari"/>
          <w:color w:val="auto"/>
          <w:kern w:val="3"/>
          <w:sz w:val="24"/>
          <w:szCs w:val="24"/>
          <w:lang w:eastAsia="zh-CN" w:bidi="hi-IN"/>
        </w:rPr>
        <w:t xml:space="preserve"> </w:t>
      </w:r>
    </w:p>
    <w:p w:rsidR="009176E2" w:rsidRDefault="00F57F11" w:rsidP="000D7915">
      <w:pPr>
        <w:pStyle w:val="Standard"/>
        <w:suppressAutoHyphens w:val="0"/>
        <w:spacing w:before="280" w:after="280" w:line="276" w:lineRule="auto"/>
        <w:jc w:val="both"/>
        <w:textAlignment w:val="auto"/>
      </w:pPr>
      <w:r>
        <w:t>A dysfunctional</w:t>
      </w:r>
      <w:r w:rsidR="00AF075C" w:rsidRPr="00AF075C">
        <w:t xml:space="preserve"> immune response to infection </w:t>
      </w:r>
      <w:r w:rsidR="00FD34DD">
        <w:t>results</w:t>
      </w:r>
      <w:r w:rsidR="00AF075C" w:rsidRPr="00AF075C">
        <w:t xml:space="preserve"> in </w:t>
      </w:r>
      <w:r>
        <w:t xml:space="preserve">systemic </w:t>
      </w:r>
      <w:r w:rsidR="00AF075C" w:rsidRPr="00AF075C">
        <w:t xml:space="preserve">organ failure and </w:t>
      </w:r>
      <w:r w:rsidR="00FD34DD">
        <w:t>bloodstream</w:t>
      </w:r>
      <w:r>
        <w:t xml:space="preserve"> infection</w:t>
      </w:r>
      <w:r w:rsidR="00AF075C" w:rsidRPr="00AF075C">
        <w:t>, a potentially fatal illness. Biomarkers aid in prognosis, early diagnosis, and therapy response tracking.</w:t>
      </w:r>
      <w:r w:rsidR="00AF075C">
        <w:t xml:space="preserve"> </w:t>
      </w:r>
      <w:r w:rsidR="000D7915" w:rsidRPr="009012C6">
        <w:t xml:space="preserve">Combining these biomarkers can </w:t>
      </w:r>
      <w:r w:rsidR="000D7915" w:rsidRPr="009012C6">
        <w:rPr>
          <w:bCs/>
        </w:rPr>
        <w:t>improve</w:t>
      </w:r>
      <w:r w:rsidR="000D7915" w:rsidRPr="009012C6">
        <w:t xml:space="preserve"> diagnostic </w:t>
      </w:r>
      <w:r w:rsidR="000D7915" w:rsidRPr="009012C6">
        <w:rPr>
          <w:bCs/>
        </w:rPr>
        <w:t>precision</w:t>
      </w:r>
      <w:r w:rsidR="000D7915" w:rsidRPr="009012C6">
        <w:t xml:space="preserve">. For </w:t>
      </w:r>
      <w:r w:rsidR="000D7915" w:rsidRPr="009012C6">
        <w:rPr>
          <w:bCs/>
        </w:rPr>
        <w:t>example</w:t>
      </w:r>
      <w:r w:rsidR="000D7915" w:rsidRPr="009012C6">
        <w:t xml:space="preserve">, </w:t>
      </w:r>
      <w:r w:rsidR="000D7915" w:rsidRPr="009012C6">
        <w:lastRenderedPageBreak/>
        <w:t xml:space="preserve">the </w:t>
      </w:r>
      <w:r w:rsidR="000D7915" w:rsidRPr="009012C6">
        <w:rPr>
          <w:bCs/>
        </w:rPr>
        <w:t>pairing</w:t>
      </w:r>
      <w:r w:rsidR="000D7915" w:rsidRPr="009012C6">
        <w:t xml:space="preserve"> of </w:t>
      </w:r>
      <w:r w:rsidR="003A15F7">
        <w:t>Interleukin-6</w:t>
      </w:r>
      <w:r w:rsidR="000D7915" w:rsidRPr="009012C6">
        <w:t xml:space="preserve"> (</w:t>
      </w:r>
      <w:r>
        <w:rPr>
          <w:bCs/>
        </w:rPr>
        <w:t xml:space="preserve">greater than </w:t>
      </w:r>
      <w:r w:rsidR="003D47A3">
        <w:t>24.65</w:t>
      </w:r>
      <w:r w:rsidR="000D7915" w:rsidRPr="009012C6">
        <w:t xml:space="preserve"> pg/mL) and C</w:t>
      </w:r>
      <w:r>
        <w:t>-</w:t>
      </w:r>
      <w:r w:rsidR="003A15F7">
        <w:t>reactive protein</w:t>
      </w:r>
      <w:r w:rsidR="000D7915" w:rsidRPr="009012C6">
        <w:t xml:space="preserve"> (</w:t>
      </w:r>
      <w:r>
        <w:rPr>
          <w:bCs/>
        </w:rPr>
        <w:t xml:space="preserve">greater than </w:t>
      </w:r>
      <w:r w:rsidR="003D47A3">
        <w:t>4.</w:t>
      </w:r>
      <w:r w:rsidR="000D7915" w:rsidRPr="009012C6">
        <w:t xml:space="preserve">82 mg/L) </w:t>
      </w:r>
      <w:r w:rsidR="000D7915" w:rsidRPr="009012C6">
        <w:rPr>
          <w:bCs/>
        </w:rPr>
        <w:t>resulted</w:t>
      </w:r>
      <w:r w:rsidR="000D7915" w:rsidRPr="009012C6">
        <w:t xml:space="preserve"> </w:t>
      </w:r>
      <w:r w:rsidR="000D7915" w:rsidRPr="009012C6">
        <w:rPr>
          <w:bCs/>
        </w:rPr>
        <w:t xml:space="preserve">in </w:t>
      </w:r>
      <w:r w:rsidR="000D7915" w:rsidRPr="009012C6">
        <w:t xml:space="preserve">a sensitivity of 53% and </w:t>
      </w:r>
      <w:r w:rsidR="000D7915" w:rsidRPr="009012C6">
        <w:rPr>
          <w:bCs/>
        </w:rPr>
        <w:t xml:space="preserve">a </w:t>
      </w:r>
      <w:r w:rsidR="000D7915" w:rsidRPr="009012C6">
        <w:t xml:space="preserve">specificity of 100% </w:t>
      </w:r>
      <w:r w:rsidR="000D7915" w:rsidRPr="009012C6">
        <w:rPr>
          <w:bCs/>
        </w:rPr>
        <w:t>for</w:t>
      </w:r>
      <w:r w:rsidR="000D7915" w:rsidRPr="009012C6">
        <w:t xml:space="preserve"> diagnosing neonatal sepsis. </w:t>
      </w:r>
    </w:p>
    <w:p w:rsidR="000D7915" w:rsidRDefault="000D7915" w:rsidP="000D7915">
      <w:pPr>
        <w:pStyle w:val="Standard"/>
        <w:suppressAutoHyphens w:val="0"/>
        <w:spacing w:before="280" w:after="280" w:line="276" w:lineRule="auto"/>
        <w:jc w:val="both"/>
        <w:textAlignment w:val="auto"/>
      </w:pPr>
      <w:r>
        <w:t xml:space="preserve"> </w:t>
      </w:r>
      <w:r w:rsidRPr="009012C6">
        <w:t xml:space="preserve">Note: Cutoff values may </w:t>
      </w:r>
      <w:r w:rsidRPr="009012C6">
        <w:rPr>
          <w:bCs/>
        </w:rPr>
        <w:t>differ</w:t>
      </w:r>
      <w:r w:rsidRPr="009012C6">
        <w:t xml:space="preserve"> </w:t>
      </w:r>
      <w:r w:rsidRPr="009012C6">
        <w:rPr>
          <w:bCs/>
        </w:rPr>
        <w:t>depending</w:t>
      </w:r>
      <w:r w:rsidRPr="009012C6">
        <w:t xml:space="preserve"> on patient populations, assay </w:t>
      </w:r>
      <w:r w:rsidRPr="009012C6">
        <w:rPr>
          <w:bCs/>
        </w:rPr>
        <w:t>techniques</w:t>
      </w:r>
      <w:r w:rsidRPr="009012C6">
        <w:t xml:space="preserve">, and clinical </w:t>
      </w:r>
      <w:r w:rsidRPr="009012C6">
        <w:rPr>
          <w:bCs/>
        </w:rPr>
        <w:t>environments</w:t>
      </w:r>
      <w:r w:rsidRPr="009012C6">
        <w:t xml:space="preserve">. Clinicians should </w:t>
      </w:r>
      <w:r w:rsidRPr="009012C6">
        <w:rPr>
          <w:bCs/>
        </w:rPr>
        <w:t>treat</w:t>
      </w:r>
      <w:r w:rsidRPr="009012C6">
        <w:t xml:space="preserve"> these values as </w:t>
      </w:r>
      <w:r w:rsidRPr="009012C6">
        <w:rPr>
          <w:bCs/>
        </w:rPr>
        <w:t>recommendations</w:t>
      </w:r>
      <w:r w:rsidRPr="009012C6">
        <w:t xml:space="preserve"> and </w:t>
      </w:r>
      <w:r>
        <w:rPr>
          <w:bCs/>
        </w:rPr>
        <w:t xml:space="preserve">consider individual patient considerations </w:t>
      </w:r>
      <w:r w:rsidRPr="009012C6">
        <w:t xml:space="preserve">when making diagnostic </w:t>
      </w:r>
      <w:r w:rsidRPr="009012C6">
        <w:rPr>
          <w:bCs/>
        </w:rPr>
        <w:t>choices</w:t>
      </w:r>
      <w:r w:rsidRPr="009012C6">
        <w:t>.</w:t>
      </w:r>
      <w:r>
        <w:t xml:space="preserve"> </w:t>
      </w:r>
      <w:r w:rsidRPr="00F019F4">
        <w:t xml:space="preserve">Rheumatoid arthritis (RA) </w:t>
      </w:r>
      <w:r w:rsidRPr="00F019F4">
        <w:rPr>
          <w:bCs/>
        </w:rPr>
        <w:t>identification</w:t>
      </w:r>
      <w:r w:rsidRPr="00F019F4">
        <w:t xml:space="preserve"> and </w:t>
      </w:r>
      <w:r w:rsidRPr="00F019F4">
        <w:rPr>
          <w:bCs/>
        </w:rPr>
        <w:t>treatment</w:t>
      </w:r>
      <w:r w:rsidRPr="00F019F4">
        <w:t xml:space="preserve"> </w:t>
      </w:r>
      <w:r w:rsidRPr="00F019F4">
        <w:rPr>
          <w:bCs/>
        </w:rPr>
        <w:t>depend</w:t>
      </w:r>
      <w:r w:rsidRPr="00F019F4">
        <w:t xml:space="preserve"> on </w:t>
      </w:r>
      <w:r w:rsidRPr="00F019F4">
        <w:rPr>
          <w:bCs/>
        </w:rPr>
        <w:t>multiple</w:t>
      </w:r>
      <w:r w:rsidRPr="00F019F4">
        <w:t xml:space="preserve"> biomarkers and clinical </w:t>
      </w:r>
      <w:r w:rsidRPr="00F019F4">
        <w:rPr>
          <w:bCs/>
        </w:rPr>
        <w:t>evaluations</w:t>
      </w:r>
      <w:r w:rsidR="00AF075C">
        <w:rPr>
          <w:bCs/>
        </w:rPr>
        <w:t xml:space="preserve"> (Table 2)</w:t>
      </w:r>
      <w:r w:rsidRPr="00F019F4">
        <w:t xml:space="preserve">. </w:t>
      </w:r>
    </w:p>
    <w:p w:rsidR="009012C6" w:rsidRDefault="001C3D8F" w:rsidP="00F861EB">
      <w:pPr>
        <w:pStyle w:val="Standard"/>
        <w:suppressAutoHyphens w:val="0"/>
        <w:spacing w:before="280" w:after="280" w:line="276" w:lineRule="auto"/>
        <w:jc w:val="both"/>
        <w:textAlignment w:val="auto"/>
      </w:pPr>
      <w:r>
        <w:t>Table 2</w:t>
      </w:r>
      <w:r w:rsidR="009012C6">
        <w:t xml:space="preserve">: </w:t>
      </w:r>
      <w:r w:rsidR="009012C6" w:rsidRPr="001C3D8F">
        <w:t xml:space="preserve">The important </w:t>
      </w:r>
      <w:r w:rsidR="00362BF8" w:rsidRPr="001C3D8F">
        <w:t xml:space="preserve">Biomarkers and </w:t>
      </w:r>
      <w:r w:rsidR="009012C6" w:rsidRPr="001C3D8F">
        <w:t xml:space="preserve">cytokines </w:t>
      </w:r>
      <w:r w:rsidR="009012C6" w:rsidRPr="001C3D8F">
        <w:rPr>
          <w:bCs/>
        </w:rPr>
        <w:t xml:space="preserve">along </w:t>
      </w:r>
      <w:r w:rsidR="009012C6" w:rsidRPr="001C3D8F">
        <w:t xml:space="preserve">with their </w:t>
      </w:r>
      <w:r w:rsidR="009012C6" w:rsidRPr="001C3D8F">
        <w:rPr>
          <w:bCs/>
        </w:rPr>
        <w:t>corresponding</w:t>
      </w:r>
      <w:r w:rsidR="009012C6" w:rsidRPr="001C3D8F">
        <w:t xml:space="preserve"> cutoff values</w:t>
      </w:r>
      <w:r w:rsidR="003D446B" w:rsidRPr="001C3D8F">
        <w:t xml:space="preserve"> for sepsis</w:t>
      </w:r>
      <w:r w:rsidR="0089434A">
        <w:fldChar w:fldCharType="begin"/>
      </w:r>
      <w:r w:rsidR="00B41ACC">
        <w:instrText xml:space="preserve"> ADDIN ZOTERO_ITEM CSL_CITATION {"citationID":"Q8DG6yXu","properties":{"formattedCitation":"\\super 11,45,47\\uc0\\u8211{}49\\nosupersub{}","plainCitation":"11,45,47–49","dontUpdate":true,"noteIndex":0},"citationItems":[{"id":405,"uris":["http://zotero.org/users/local/BfzbJtgR/items/82C7UQIN"],"itemData":{"id":405,"type":"article-journal","abstract":"Cytokines, including interleukins, interferons, tumor necrosis factors, and chemokines, have a variety of pro- and anti-inflammatory effects in the body through a number of biochemical pathways and interactions. Stimuli, actions, interactions, and downstream effects of cytokines have been investigated in more depth in recent years, and clinical research has also been conducted to implicate cytokines in causal patterns in certain diseases. However, particular cutoffs of cytokines as biomarkers for disease processes have not been well studied, and this warrants future work to potentially improve diagnoses for diseases with inflammatory markers. A limited number of studies in this area are reviewed, considering diseases correlated with abnormal cytokine profiles, as well as specific cutoffs at which cytokines have been deemed clinically useful for diagnosing those diseases through Receiver Operator Characteristics modeling. In light of studies such as those discussed in this review, cytokine testing has the potential to support diagnosis due to its lack of invasiveness and low cost, compared to other common types of testing for infections and inflammatory diseases.","container-title":"International Journal of Inflammation","DOI":"10.1155/2017/4309485","ISSN":"2090-8040, 2042-0099","journalAbbreviation":"International Journal of Inflammation","language":"en","license":"http://creativecommons.org/licenses/by/4.0/","page":"1-11","source":"DOI.org (Crossref)","title":"Cytokines as Biomarkers and Their Respective Clinical Cutoff Levels","volume":"2017","author":[{"family":"Monastero","given":"Rebecca N."},{"family":"Pentyala","given":"Srinivas"}],"issued":{"date-parts":[["2017"]]}}},{"id":858,"uris":["http://zotero.org/users/local/BfzbJtgR/items/PDF3S8EP"],"itemData":{"id":858,"type":"article-journal","abstract":"Abstract\n            Cytokines are critical mediators that oversee and regulate immune and inflammatory responses via complex networks and serve as biomarkers for many diseases. Quantification of cytokines has significant value in both clinical medicine and biology as the levels provide insights into physiological and pathological processes and can be used to aid diagnosis and treatment. Cytokines and their clinical significance are introduced from the perspective of their pro‐ and anti‐inflammatory effects. Factors affecting cytokines quantification in biological fluids, native levels in different body fluids, sample processing and storage conditions, sensitivity to freeze‐thaw, and soluble cytokine receptors are discussed. In addition, recent advances in in vitro and in vivo assays, biosensors based on different signal outputs and intracellular to extracellular protein expression are summarized. Various quantification platforms for high‐sensitivity and reliable measurement of cytokines in different scenarios are discussed, and commercially available cytokine assays are compared. A discussion of challenges in the development and advancement of technologies for cytokine quantification that aim to achieve real‐time multiplex cytokine analysis for point‐of‐care situations applicable for both biomedical research and clinical practice are discussed.","container-title":"Advanced Science","DOI":"10.1002/advs.202004433","ISSN":"2198-3844, 2198-3844","issue":"15","journalAbbreviation":"Advanced Science","language":"en","page":"2004433","source":"DOI.org (Crossref)","title":"Cytokines: From Clinical Significance to Quantification","title-short":"Cytokines","volume":"8","author":[{"family":"Liu","given":"Chao"},{"family":"Chu","given":"Dewei"},{"family":"Kalantar‐Zadeh","given":"Kourosh"},{"family":"George","given":"Jacob"},{"family":"Young","given":"Howard A."},{"family":"Liu","given":"Guozhen"}],"issued":{"date-parts":[["2021",8]]}}},{"id":512,"uris":["http://zotero.org/users/local/BfzbJtgR/items/BIVFR8G6"],"itemData":{"id":512,"type":"article-journal","abstract":"The focus of sepsis has shifted from inflammation to organ dysfunction on the basis of a recent definition based on the sequential organ failure score (SOFA). A diagnostic and prognostic marker is necessary under this definition but is currently unknown. We enrolled 80 sepsis patients consecutively admitted to an intensive care unit through the emergency department and 80 healthy control patients who received routine health check-ups from August 2018 to January 2019. SEPSIS-3 criteria were used for the diagnosis of patients based on SOFA score ≥ 2 from the baseline along with evidence of infection. Concentrations of 28 cytokines, eight chemokines, and nine growth factors were measured on the day of diagnosis. Hierarchical cluster analysis was performed for molecules. The majority of infections were pneumonia (45% of patients) and urinary tract infections (40% of patients). Most of the measured molecules were increased in patients with sepsis. Area under receiver operating characteristic curve (AUROC) values were found to be as follows: hepatic growth factor (HGF), 0.899; interleukin-1 receptor antagonist (IL-1RA), 0.893; C-C motif ligand 5 (CCL5) 5, 0.887; C-X-C motif chemokine 10 (CXCL10), 0.851; CCL2, 0.840; and IL-6, 0.830. IL-1RA, IL-6, IL-8, IL-15, and CCL11 concentrations correlated with SOFA score with statistical significance. Prognosis multivariate analysis revealed an odds ratio of 0.968 for epidermal growth factor (EGF). Three clusters were formed, of which Clusters 2 and 3 were associated with nonsurvivors. Diagnosis of sepsis was performed using cytokines, chemokines, and growth factors. HGF revealed the highest diagnostic capability, and EGF predicted favorable prognosis among the tested molecules.","container-title":"Disease Markers","DOI":"10.1155/2019/1089107","ISSN":"1875-8630","journalAbbreviation":"Dis Markers","language":"eng","note":"PMID: 31583025\nPMCID: PMC6754872","page":"1089107","source":"PubMed","title":"Diagnosis and Prognosis of Sepsis Based on Use of Cytokines, Chemokines, and Growth Factors","volume":"2019","author":[{"family":"Jekarl","given":"Dong Wook"},{"family":"Kim","given":"Ji Yeon"},{"family":"Ha","given":"Jick Hwan"},{"family":"Lee","given":"Seungok"},{"family":"Yoo","given":"Jaeeun"},{"family":"Kim","given":"Myungshin"},{"family":"Kim","given":"Yonggoo"}],"issued":{"date-parts":[["2019"]]}}},{"id":501,"uris":["http://zotero.org/users/local/BfzbJtgR/items/JJ4Z6TXE"],"itemData":{"id":501,"type":"article-journal","abstract":"Abstract\n            \n              Background\n              This study investigated the clinical value of interleukin-6 (IL-6), pentraxin 3 (PTX3), and procalcitonin (PCT) in patients with sepsis and septic shock diagnosed according to the Third International Consensus Definitions for Sepsis and Septic Shock (Sepsis-3).\n            \n            \n              Methods\n              Serum levels of IL-6, PTX3, and PCT were measured in 142 enrolled subjects (51 with sepsis, 46 with septic shock, and 45 as controls). Follow-up IL-6 and PTX3 levels were measured in patients with initial septic shock within 24 h of hospital discharge. Optimal cut-off values were determined for sepsis and septic shock, and prognostic values were evaluated.\n            \n            \n              Results\n              \n                Serum IL-6 levels could discriminate sepsis (area under the curve [AUC], 0.83–0.94,\n                P\n                 &lt;  0.001; cut-off value, 52.60 pg/mL, 80.4% sensitivity, 88.9% specificity) from controls and could distinguish septic shock (AUC, 0.71–0.89; cut-off value, 348.92 pg/mL, 76.1% sensitivity, 78.4% specificity) from sepsis. Twenty-eight-day mortality was significantly higher in the group with high IL-6 (≥ 348.92 pg/mL) than in the group with low IL-6 (&lt; 348.92 pg/mL) (\n                P\n                 = 0.008). IL-6 was an independent risk factor for 28-day mortality among overall patients (hazard ratio, 1.0004; 95% confidence interval, 1.0003–1.0005;\n                p\n                 = 0.024). In septic shock patients, both the initial and follow-up PTX3 levels were consistently significantly higher in patients who died than in those who recovered (initial\n                p\n                 = 0.004; follow-up\n                P\n                 &lt;  0.001).\n              \n            \n            \n              Conclusions\n              The diagnostic and prognostic value of IL-6 was superior to those of PTX3 and PCT for sepsis and septic shock.","container-title":"BMC Infectious Diseases","DOI":"10.1186/s12879-019-4618-7","ISSN":"1471-2334","issue":"1","journalAbbreviation":"BMC Infect Dis","language":"en","page":"968","source":"DOI.org (Crossref)","title":"Diagnostic and prognostic value of interleukin-6, pentraxin 3, and procalcitonin levels among sepsis and septic shock patients: a prospective controlled study according to the Sepsis-3 definitions","title-short":"Diagnostic and prognostic value of interleukin-6, pentraxin 3, and procalcitonin levels among sepsis and septic shock patients","volume":"19","author":[{"family":"Song","given":"Juhyun"},{"family":"Park","given":"Dae Won"},{"family":"Moon","given":"Sungwoo"},{"family":"Cho","given":"Han-Jin"},{"family":"Park","given":"Jong Hak"},{"family":"Seok","given":"Hyeri"},{"family":"Choi","given":"Won Seok"}],"issued":{"date-parts":[["2019",12]]}}},{"id":515,"uris":["http://zotero.org/users/local/BfzbJtgR/items/L9NNQPF5"],"itemData":{"id":515,"type":"article-journal","abstract":"Interleukin-6 (IL-6) and C-reactive protein (CRP) are being used for diagnosis of sepsis. However, studies have reported varying cut-off levels and diagnostic performance. This study aims to investigate the optimal cut-off levels and performance of IL-6 and CRP for the diagnosis of neonatal sepsis. The study was conducted at the University Hospital of Leipzig, Germany from November 2012 to June 2020. A total of 899 neonates: 104 culture proven sepsis, 160 clinical sepsis, and 625 controls were included. Blood culture was performed using BacT/ALERT 3D system. IL-6 and CRP were analyzed by electrochemiluminescent immunoassay and immunoturbidimetric assay, respectively. Data were analyzed using SPSS 20 statistical software. Among neonates with proven sepsis, the optimal cut-off value of IL-6 was 313.5 pg/mL. The optimal cut-off values for CRP in 5 days serial measurements (CRP1, CRP2, CRP3, CRP4, and CRP5) were 2.15 mg/L, 8.01 mg/L, 6.80 mg/L, 5.25 mg/L, and 3.72 mg/L, respectively. IL-6 showed 73.1% sensitivity, 80.2% specificity, 37.6% PPV, and 94.8% NPV. The highest performance of CRP was observed in the second day with 89.4% sensitivity, 97.3% specificity, 94.5% PPV, and 98.3% NPV. The combination of IL-6 and CRP showed increase in sensitivity with decrease in specificity. In conclusion, this study defines the optimal cut-off values for IL-6 and CRP. The combination of IL-6 and CRP demonstrated increased sensitivity. The CRP 2 at cut-off 8.01 mg/L showed the highest diagnostic performance for identification of culture negative clinical sepsis cases. We recommend the combination of IL-6 (≥313.5 pg/mL) and CRP1 (≥2.15 mg/L) or IL-6 (≥313.5 pg/mL) and CRP2 (≥8.01 mg/L) for early and accurate diagnosis of neonatal sepsis. The recommendation is based on increased sensitivity, that is, to minimize the risk of any missing cases of sepsis. The CRP2 alone at cut-off 8.01 mg/L might be used to identify clinical sepsis cases among culture negative sepsis suspected neonates in hospital settings.","container-title":"Diagnostics (Basel, Switzerland)","DOI":"10.3390/diagnostics10110978","ISSN":"2075-4418","issue":"11","journalAbbreviation":"Diagnostics (Basel)","language":"eng","note":"PMID: 33233806\nPMCID: PMC7699903","page":"978","source":"PubMed","title":"The Diagnostic Performance of Interleukin-6 and C-Reactive Protein for Early Identification of Neonatal Sepsis","volume":"10","author":[{"family":"Tessema","given":"Belay"},{"family":"Lippmann","given":"Norman"},{"family":"Willenberg","given":"Anja"},{"family":"Knüpfer","given":"Matthias"},{"family":"Sack","given":"Ulrich"},{"family":"König","given":"Brigitte"}],"issued":{"date-parts":[["2020",11,20]]}}}],"schema":"https://github.com/citation-style-language/schema/raw/master/csl-citation.json"} </w:instrText>
      </w:r>
      <w:r w:rsidR="0089434A">
        <w:fldChar w:fldCharType="separate"/>
      </w:r>
      <w:r w:rsidR="001912C9" w:rsidRPr="001912C9">
        <w:rPr>
          <w:rFonts w:cs="Times New Roman"/>
          <w:vertAlign w:val="superscript"/>
        </w:rPr>
        <w:t>11,45,47</w:t>
      </w:r>
      <w:r w:rsidR="003D47A3">
        <w:rPr>
          <w:rFonts w:cs="Times New Roman"/>
          <w:vertAlign w:val="superscript"/>
        </w:rPr>
        <w:t>,</w:t>
      </w:r>
      <w:r w:rsidR="001912C9" w:rsidRPr="001912C9">
        <w:rPr>
          <w:rFonts w:cs="Times New Roman"/>
          <w:vertAlign w:val="superscript"/>
        </w:rPr>
        <w:t>49</w:t>
      </w:r>
      <w:r w:rsidR="0089434A">
        <w:fldChar w:fldCharType="end"/>
      </w:r>
      <w:r w:rsidR="003D446B">
        <w:t xml:space="preserve"> </w:t>
      </w:r>
    </w:p>
    <w:tbl>
      <w:tblPr>
        <w:tblStyle w:val="TableGrid"/>
        <w:tblW w:w="11430" w:type="dxa"/>
        <w:tblInd w:w="-1040" w:type="dxa"/>
        <w:tblLook w:val="04A0" w:firstRow="1" w:lastRow="0" w:firstColumn="1" w:lastColumn="0" w:noHBand="0" w:noVBand="1"/>
      </w:tblPr>
      <w:tblGrid>
        <w:gridCol w:w="2340"/>
        <w:gridCol w:w="2560"/>
        <w:gridCol w:w="1399"/>
        <w:gridCol w:w="1351"/>
        <w:gridCol w:w="1801"/>
        <w:gridCol w:w="1979"/>
      </w:tblGrid>
      <w:tr w:rsidR="006D6C5F" w:rsidTr="0089434A">
        <w:trPr>
          <w:trHeight w:val="350"/>
        </w:trPr>
        <w:tc>
          <w:tcPr>
            <w:tcW w:w="4900" w:type="dxa"/>
            <w:gridSpan w:val="2"/>
            <w:vMerge w:val="restart"/>
          </w:tcPr>
          <w:p w:rsidR="006D6C5F" w:rsidRPr="00E4643D" w:rsidRDefault="006D6C5F" w:rsidP="00E4643D">
            <w:pPr>
              <w:pStyle w:val="Standard"/>
              <w:suppressAutoHyphens w:val="0"/>
              <w:jc w:val="center"/>
              <w:textAlignment w:val="auto"/>
              <w:rPr>
                <w:rFonts w:ascii="Times New Roman" w:hAnsi="Times New Roman" w:cs="Times New Roman"/>
                <w:sz w:val="22"/>
                <w:szCs w:val="22"/>
              </w:rPr>
            </w:pPr>
            <w:r w:rsidRPr="00E4643D">
              <w:rPr>
                <w:rStyle w:val="Strong"/>
                <w:rFonts w:ascii="Times New Roman" w:hAnsi="Times New Roman" w:cs="Times New Roman"/>
                <w:sz w:val="22"/>
                <w:szCs w:val="22"/>
              </w:rPr>
              <w:t>Cutoff Value</w:t>
            </w:r>
          </w:p>
        </w:tc>
        <w:tc>
          <w:tcPr>
            <w:tcW w:w="6530" w:type="dxa"/>
            <w:gridSpan w:val="4"/>
          </w:tcPr>
          <w:p w:rsidR="006D6C5F" w:rsidRPr="00E4643D" w:rsidRDefault="0077570F" w:rsidP="00E4643D">
            <w:pPr>
              <w:pStyle w:val="Standard"/>
              <w:suppressAutoHyphens w:val="0"/>
              <w:jc w:val="center"/>
              <w:textAlignment w:val="auto"/>
              <w:rPr>
                <w:rFonts w:ascii="Times New Roman" w:hAnsi="Times New Roman" w:cs="Times New Roman"/>
                <w:b/>
                <w:sz w:val="22"/>
                <w:szCs w:val="22"/>
              </w:rPr>
            </w:pPr>
            <w:r w:rsidRPr="00E4643D">
              <w:rPr>
                <w:rFonts w:ascii="Times New Roman" w:hAnsi="Times New Roman" w:cs="Times New Roman"/>
                <w:b/>
                <w:sz w:val="22"/>
                <w:szCs w:val="22"/>
              </w:rPr>
              <w:t>Diagnostic Performance</w:t>
            </w:r>
          </w:p>
        </w:tc>
      </w:tr>
      <w:tr w:rsidR="006D6C5F" w:rsidTr="0089434A">
        <w:trPr>
          <w:trHeight w:val="800"/>
        </w:trPr>
        <w:tc>
          <w:tcPr>
            <w:tcW w:w="4900" w:type="dxa"/>
            <w:gridSpan w:val="2"/>
            <w:vMerge/>
          </w:tcPr>
          <w:p w:rsidR="006D6C5F" w:rsidRPr="00E4643D" w:rsidRDefault="006D6C5F" w:rsidP="00E4643D">
            <w:pPr>
              <w:pStyle w:val="Standard"/>
              <w:suppressAutoHyphens w:val="0"/>
              <w:jc w:val="center"/>
              <w:textAlignment w:val="auto"/>
              <w:rPr>
                <w:rFonts w:ascii="Times New Roman" w:hAnsi="Times New Roman" w:cs="Times New Roman"/>
                <w:sz w:val="22"/>
                <w:szCs w:val="22"/>
              </w:rPr>
            </w:pPr>
          </w:p>
        </w:tc>
        <w:tc>
          <w:tcPr>
            <w:tcW w:w="1399" w:type="dxa"/>
          </w:tcPr>
          <w:p w:rsidR="006D6C5F" w:rsidRPr="00E4643D" w:rsidRDefault="0077570F" w:rsidP="00E4643D">
            <w:pPr>
              <w:pStyle w:val="Standard"/>
              <w:suppressAutoHyphens w:val="0"/>
              <w:jc w:val="center"/>
              <w:textAlignment w:val="auto"/>
              <w:rPr>
                <w:rFonts w:ascii="Times New Roman" w:hAnsi="Times New Roman" w:cs="Times New Roman"/>
                <w:b/>
                <w:sz w:val="22"/>
                <w:szCs w:val="22"/>
              </w:rPr>
            </w:pPr>
            <w:r w:rsidRPr="00E4643D">
              <w:rPr>
                <w:rFonts w:ascii="Times New Roman" w:hAnsi="Times New Roman" w:cs="Times New Roman"/>
                <w:b/>
                <w:sz w:val="22"/>
                <w:szCs w:val="22"/>
              </w:rPr>
              <w:t>Sensitivity</w:t>
            </w:r>
          </w:p>
        </w:tc>
        <w:tc>
          <w:tcPr>
            <w:tcW w:w="1351" w:type="dxa"/>
          </w:tcPr>
          <w:p w:rsidR="006D6C5F" w:rsidRPr="00E4643D" w:rsidRDefault="0077570F" w:rsidP="00E4643D">
            <w:pPr>
              <w:pStyle w:val="Standard"/>
              <w:suppressAutoHyphens w:val="0"/>
              <w:jc w:val="center"/>
              <w:textAlignment w:val="auto"/>
              <w:rPr>
                <w:rFonts w:ascii="Times New Roman" w:hAnsi="Times New Roman" w:cs="Times New Roman"/>
                <w:b/>
                <w:sz w:val="22"/>
                <w:szCs w:val="22"/>
              </w:rPr>
            </w:pPr>
            <w:r w:rsidRPr="00E4643D">
              <w:rPr>
                <w:rFonts w:ascii="Times New Roman" w:hAnsi="Times New Roman" w:cs="Times New Roman"/>
                <w:b/>
                <w:sz w:val="22"/>
                <w:szCs w:val="22"/>
              </w:rPr>
              <w:t>Specificity</w:t>
            </w:r>
          </w:p>
        </w:tc>
        <w:tc>
          <w:tcPr>
            <w:tcW w:w="1801" w:type="dxa"/>
          </w:tcPr>
          <w:p w:rsidR="006D6C5F" w:rsidRPr="00E4643D" w:rsidRDefault="006D6C5F" w:rsidP="00E4643D">
            <w:pPr>
              <w:pStyle w:val="Standard"/>
              <w:suppressAutoHyphens w:val="0"/>
              <w:jc w:val="center"/>
              <w:textAlignment w:val="auto"/>
              <w:rPr>
                <w:rFonts w:ascii="Times New Roman" w:hAnsi="Times New Roman" w:cs="Times New Roman"/>
                <w:b/>
                <w:sz w:val="22"/>
                <w:szCs w:val="22"/>
              </w:rPr>
            </w:pPr>
            <w:r w:rsidRPr="00E4643D">
              <w:rPr>
                <w:rFonts w:ascii="Times New Roman" w:hAnsi="Times New Roman" w:cs="Times New Roman"/>
                <w:b/>
                <w:sz w:val="22"/>
                <w:szCs w:val="22"/>
              </w:rPr>
              <w:t>Positive Predictive Value</w:t>
            </w:r>
          </w:p>
        </w:tc>
        <w:tc>
          <w:tcPr>
            <w:tcW w:w="1979" w:type="dxa"/>
          </w:tcPr>
          <w:p w:rsidR="006D6C5F" w:rsidRPr="00E4643D" w:rsidRDefault="006D6C5F" w:rsidP="00E4643D">
            <w:pPr>
              <w:pStyle w:val="Standard"/>
              <w:suppressAutoHyphens w:val="0"/>
              <w:jc w:val="center"/>
              <w:textAlignment w:val="auto"/>
              <w:rPr>
                <w:rFonts w:ascii="Times New Roman" w:hAnsi="Times New Roman" w:cs="Times New Roman"/>
                <w:b/>
                <w:sz w:val="22"/>
                <w:szCs w:val="22"/>
              </w:rPr>
            </w:pPr>
            <w:r w:rsidRPr="00E4643D">
              <w:rPr>
                <w:rFonts w:ascii="Times New Roman" w:hAnsi="Times New Roman" w:cs="Times New Roman"/>
                <w:b/>
                <w:sz w:val="22"/>
                <w:szCs w:val="22"/>
              </w:rPr>
              <w:t>Negative Predictive Value</w:t>
            </w:r>
          </w:p>
        </w:tc>
      </w:tr>
      <w:tr w:rsidR="006D6C5F" w:rsidTr="0089434A">
        <w:trPr>
          <w:trHeight w:val="503"/>
        </w:trPr>
        <w:tc>
          <w:tcPr>
            <w:tcW w:w="2340" w:type="dxa"/>
          </w:tcPr>
          <w:p w:rsidR="008C0263" w:rsidRPr="00E4643D" w:rsidRDefault="008C0263"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Procalcitonin</w:t>
            </w:r>
          </w:p>
        </w:tc>
        <w:tc>
          <w:tcPr>
            <w:tcW w:w="2560" w:type="dxa"/>
          </w:tcPr>
          <w:p w:rsidR="008C0263" w:rsidRPr="00E4643D" w:rsidRDefault="008C0263"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1.1 ng/mL</w:t>
            </w:r>
          </w:p>
        </w:tc>
        <w:tc>
          <w:tcPr>
            <w:tcW w:w="1399" w:type="dxa"/>
          </w:tcPr>
          <w:p w:rsidR="008C0263" w:rsidRPr="00E4643D" w:rsidRDefault="008C0263"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97%</w:t>
            </w:r>
          </w:p>
        </w:tc>
        <w:tc>
          <w:tcPr>
            <w:tcW w:w="1351" w:type="dxa"/>
          </w:tcPr>
          <w:p w:rsidR="008C0263" w:rsidRPr="00E4643D" w:rsidRDefault="008C0263"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78%</w:t>
            </w:r>
          </w:p>
        </w:tc>
        <w:tc>
          <w:tcPr>
            <w:tcW w:w="1801" w:type="dxa"/>
          </w:tcPr>
          <w:p w:rsidR="008C0263" w:rsidRPr="00E4643D" w:rsidRDefault="008C0263"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94%</w:t>
            </w:r>
          </w:p>
        </w:tc>
        <w:tc>
          <w:tcPr>
            <w:tcW w:w="1979" w:type="dxa"/>
          </w:tcPr>
          <w:p w:rsidR="008C0263" w:rsidRPr="00E4643D" w:rsidRDefault="008C0263"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88%</w:t>
            </w:r>
          </w:p>
        </w:tc>
      </w:tr>
      <w:tr w:rsidR="006D6C5F" w:rsidTr="0089434A">
        <w:trPr>
          <w:trHeight w:val="960"/>
        </w:trPr>
        <w:tc>
          <w:tcPr>
            <w:tcW w:w="2340" w:type="dxa"/>
          </w:tcPr>
          <w:p w:rsidR="006D6C5F" w:rsidRPr="00E4643D" w:rsidRDefault="006D6C5F"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Interleukin-6     (IL-6)</w:t>
            </w:r>
          </w:p>
          <w:p w:rsidR="008C0263" w:rsidRPr="00E4643D" w:rsidRDefault="008C0263" w:rsidP="00E4643D">
            <w:pPr>
              <w:pStyle w:val="Standard"/>
              <w:suppressAutoHyphens w:val="0"/>
              <w:jc w:val="center"/>
              <w:textAlignment w:val="auto"/>
              <w:rPr>
                <w:rFonts w:ascii="Times New Roman" w:hAnsi="Times New Roman" w:cs="Times New Roman"/>
                <w:sz w:val="22"/>
                <w:szCs w:val="22"/>
              </w:rPr>
            </w:pPr>
          </w:p>
        </w:tc>
        <w:tc>
          <w:tcPr>
            <w:tcW w:w="2560" w:type="dxa"/>
          </w:tcPr>
          <w:p w:rsidR="006D6C5F" w:rsidRPr="00E4643D" w:rsidRDefault="006D6C5F" w:rsidP="00E4643D">
            <w:pPr>
              <w:jc w:val="center"/>
              <w:rPr>
                <w:rFonts w:ascii="Times New Roman" w:hAnsi="Times New Roman" w:cs="Times New Roman"/>
                <w:b/>
              </w:rPr>
            </w:pPr>
            <w:r w:rsidRPr="00E4643D">
              <w:rPr>
                <w:rFonts w:ascii="Times New Roman" w:hAnsi="Times New Roman" w:cs="Times New Roman"/>
                <w:b/>
              </w:rPr>
              <w:t>Sepsis:</w:t>
            </w:r>
          </w:p>
          <w:p w:rsidR="006D6C5F" w:rsidRPr="00E4643D" w:rsidRDefault="006D6C5F" w:rsidP="00E4643D">
            <w:pPr>
              <w:jc w:val="center"/>
              <w:rPr>
                <w:rFonts w:ascii="Times New Roman" w:eastAsia="Times New Roman" w:hAnsi="Times New Roman" w:cs="Times New Roman"/>
              </w:rPr>
            </w:pPr>
            <w:r w:rsidRPr="00E4643D">
              <w:rPr>
                <w:rFonts w:ascii="Times New Roman" w:eastAsia="Times New Roman" w:hAnsi="Times New Roman" w:cs="Times New Roman"/>
              </w:rPr>
              <w:t>52.60 pg/mL to distinguish sepsis from controls</w:t>
            </w:r>
          </w:p>
          <w:p w:rsidR="008C0263" w:rsidRPr="00E4643D" w:rsidRDefault="006D6C5F" w:rsidP="00E4643D">
            <w:pPr>
              <w:jc w:val="center"/>
              <w:rPr>
                <w:rFonts w:ascii="Times New Roman" w:eastAsia="Times New Roman" w:hAnsi="Times New Roman" w:cs="Times New Roman"/>
              </w:rPr>
            </w:pPr>
            <w:r w:rsidRPr="00E4643D">
              <w:rPr>
                <w:rFonts w:ascii="Times New Roman" w:hAnsi="Times New Roman" w:cs="Times New Roman"/>
                <w:b/>
              </w:rPr>
              <w:t>Septic Shock:</w:t>
            </w:r>
            <w:r w:rsidRPr="00E4643D">
              <w:rPr>
                <w:rFonts w:ascii="Times New Roman" w:hAnsi="Times New Roman" w:cs="Times New Roman"/>
              </w:rPr>
              <w:t xml:space="preserve">        </w:t>
            </w:r>
            <w:r w:rsidRPr="00E4643D">
              <w:rPr>
                <w:rFonts w:ascii="Times New Roman" w:eastAsia="Times New Roman" w:hAnsi="Times New Roman" w:cs="Times New Roman"/>
              </w:rPr>
              <w:t>348.92 pg/mL to identify septic shock</w:t>
            </w:r>
          </w:p>
        </w:tc>
        <w:tc>
          <w:tcPr>
            <w:tcW w:w="1399" w:type="dxa"/>
          </w:tcPr>
          <w:p w:rsidR="008C0263" w:rsidRPr="00E4643D" w:rsidRDefault="006D6C5F"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97.0%</w:t>
            </w:r>
          </w:p>
          <w:p w:rsidR="006D6C5F" w:rsidRPr="00E4643D" w:rsidRDefault="006D6C5F" w:rsidP="00E4643D">
            <w:pPr>
              <w:pStyle w:val="Standard"/>
              <w:suppressAutoHyphens w:val="0"/>
              <w:jc w:val="center"/>
              <w:textAlignment w:val="auto"/>
              <w:rPr>
                <w:rFonts w:ascii="Times New Roman" w:hAnsi="Times New Roman" w:cs="Times New Roman"/>
                <w:sz w:val="22"/>
                <w:szCs w:val="22"/>
              </w:rPr>
            </w:pPr>
          </w:p>
          <w:p w:rsidR="006D6C5F" w:rsidRPr="00E4643D" w:rsidRDefault="006D6C5F"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91.8%</w:t>
            </w:r>
          </w:p>
        </w:tc>
        <w:tc>
          <w:tcPr>
            <w:tcW w:w="1351" w:type="dxa"/>
          </w:tcPr>
          <w:p w:rsidR="008C0263" w:rsidRPr="00E4643D" w:rsidRDefault="006D6C5F"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97.2%</w:t>
            </w:r>
          </w:p>
          <w:p w:rsidR="006D6C5F" w:rsidRPr="00E4643D" w:rsidRDefault="006D6C5F" w:rsidP="00E4643D">
            <w:pPr>
              <w:pStyle w:val="Standard"/>
              <w:suppressAutoHyphens w:val="0"/>
              <w:jc w:val="center"/>
              <w:textAlignment w:val="auto"/>
              <w:rPr>
                <w:rFonts w:ascii="Times New Roman" w:hAnsi="Times New Roman" w:cs="Times New Roman"/>
                <w:sz w:val="22"/>
                <w:szCs w:val="22"/>
              </w:rPr>
            </w:pPr>
          </w:p>
          <w:p w:rsidR="006D6C5F" w:rsidRPr="00E4643D" w:rsidRDefault="006D6C5F"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63.2%</w:t>
            </w:r>
          </w:p>
        </w:tc>
        <w:tc>
          <w:tcPr>
            <w:tcW w:w="1801" w:type="dxa"/>
          </w:tcPr>
          <w:p w:rsidR="008C0263" w:rsidRPr="00E4643D" w:rsidRDefault="008C0263" w:rsidP="00E4643D">
            <w:pPr>
              <w:pStyle w:val="Standard"/>
              <w:suppressAutoHyphens w:val="0"/>
              <w:jc w:val="center"/>
              <w:textAlignment w:val="auto"/>
              <w:rPr>
                <w:rFonts w:ascii="Times New Roman" w:hAnsi="Times New Roman" w:cs="Times New Roman"/>
                <w:sz w:val="22"/>
                <w:szCs w:val="22"/>
              </w:rPr>
            </w:pPr>
          </w:p>
          <w:p w:rsidR="006D6C5F" w:rsidRPr="00E4643D" w:rsidRDefault="006D6C5F" w:rsidP="00E4643D">
            <w:pPr>
              <w:pStyle w:val="Standard"/>
              <w:suppressAutoHyphens w:val="0"/>
              <w:jc w:val="center"/>
              <w:textAlignment w:val="auto"/>
              <w:rPr>
                <w:rFonts w:ascii="Times New Roman" w:hAnsi="Times New Roman" w:cs="Times New Roman"/>
                <w:sz w:val="22"/>
                <w:szCs w:val="22"/>
              </w:rPr>
            </w:pPr>
          </w:p>
        </w:tc>
        <w:tc>
          <w:tcPr>
            <w:tcW w:w="1979" w:type="dxa"/>
          </w:tcPr>
          <w:p w:rsidR="008C0263" w:rsidRPr="00E4643D" w:rsidRDefault="008C0263" w:rsidP="00E4643D">
            <w:pPr>
              <w:pStyle w:val="Standard"/>
              <w:suppressAutoHyphens w:val="0"/>
              <w:jc w:val="center"/>
              <w:textAlignment w:val="auto"/>
              <w:rPr>
                <w:rFonts w:ascii="Times New Roman" w:hAnsi="Times New Roman" w:cs="Times New Roman"/>
                <w:sz w:val="22"/>
                <w:szCs w:val="22"/>
              </w:rPr>
            </w:pPr>
          </w:p>
          <w:p w:rsidR="006D6C5F" w:rsidRPr="00E4643D" w:rsidRDefault="006D6C5F" w:rsidP="00E4643D">
            <w:pPr>
              <w:pStyle w:val="Standard"/>
              <w:suppressAutoHyphens w:val="0"/>
              <w:jc w:val="center"/>
              <w:textAlignment w:val="auto"/>
              <w:rPr>
                <w:rFonts w:ascii="Times New Roman" w:hAnsi="Times New Roman" w:cs="Times New Roman"/>
                <w:sz w:val="22"/>
                <w:szCs w:val="22"/>
              </w:rPr>
            </w:pPr>
          </w:p>
        </w:tc>
      </w:tr>
      <w:tr w:rsidR="006D6C5F" w:rsidTr="0089434A">
        <w:trPr>
          <w:trHeight w:val="287"/>
        </w:trPr>
        <w:tc>
          <w:tcPr>
            <w:tcW w:w="2340" w:type="dxa"/>
          </w:tcPr>
          <w:p w:rsidR="008C0263" w:rsidRPr="00E4643D" w:rsidRDefault="009012C6"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Interleukin-8 (IL-8)</w:t>
            </w:r>
          </w:p>
        </w:tc>
        <w:tc>
          <w:tcPr>
            <w:tcW w:w="2560" w:type="dxa"/>
          </w:tcPr>
          <w:p w:rsidR="008C0263" w:rsidRPr="00E4643D" w:rsidRDefault="006D6C5F"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30 ng/mL</w:t>
            </w:r>
          </w:p>
        </w:tc>
        <w:tc>
          <w:tcPr>
            <w:tcW w:w="1399" w:type="dxa"/>
          </w:tcPr>
          <w:p w:rsidR="008C0263" w:rsidRPr="00E4643D" w:rsidRDefault="006D6C5F"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63%</w:t>
            </w:r>
          </w:p>
        </w:tc>
        <w:tc>
          <w:tcPr>
            <w:tcW w:w="1351" w:type="dxa"/>
          </w:tcPr>
          <w:p w:rsidR="008C0263" w:rsidRPr="00E4643D" w:rsidRDefault="006D6C5F"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78%</w:t>
            </w:r>
          </w:p>
        </w:tc>
        <w:tc>
          <w:tcPr>
            <w:tcW w:w="1801" w:type="dxa"/>
          </w:tcPr>
          <w:p w:rsidR="008C0263" w:rsidRPr="00E4643D" w:rsidRDefault="006D6C5F"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90%</w:t>
            </w:r>
          </w:p>
        </w:tc>
        <w:tc>
          <w:tcPr>
            <w:tcW w:w="1979" w:type="dxa"/>
          </w:tcPr>
          <w:p w:rsidR="008C0263" w:rsidRPr="00E4643D" w:rsidRDefault="006D6C5F"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39%</w:t>
            </w:r>
          </w:p>
        </w:tc>
      </w:tr>
      <w:tr w:rsidR="009012C6" w:rsidTr="0089434A">
        <w:trPr>
          <w:trHeight w:val="728"/>
        </w:trPr>
        <w:tc>
          <w:tcPr>
            <w:tcW w:w="2340" w:type="dxa"/>
          </w:tcPr>
          <w:p w:rsidR="009012C6" w:rsidRPr="00E4643D" w:rsidRDefault="00E4643D" w:rsidP="00E4643D">
            <w:pPr>
              <w:pStyle w:val="Standard"/>
              <w:suppressAutoHyphens w:val="0"/>
              <w:jc w:val="center"/>
              <w:textAlignment w:val="auto"/>
              <w:rPr>
                <w:rFonts w:ascii="Times New Roman" w:hAnsi="Times New Roman" w:cs="Times New Roman"/>
                <w:sz w:val="22"/>
                <w:szCs w:val="22"/>
              </w:rPr>
            </w:pPr>
            <w:r>
              <w:rPr>
                <w:rFonts w:ascii="Times New Roman" w:hAnsi="Times New Roman" w:cs="Times New Roman"/>
                <w:sz w:val="22"/>
                <w:szCs w:val="22"/>
              </w:rPr>
              <w:t>C-reactive protein</w:t>
            </w:r>
            <w:r w:rsidR="009012C6" w:rsidRPr="00E4643D">
              <w:rPr>
                <w:rFonts w:ascii="Times New Roman" w:hAnsi="Times New Roman" w:cs="Times New Roman"/>
                <w:sz w:val="22"/>
                <w:szCs w:val="22"/>
              </w:rPr>
              <w:t xml:space="preserve"> (CRP)</w:t>
            </w:r>
          </w:p>
        </w:tc>
        <w:tc>
          <w:tcPr>
            <w:tcW w:w="2560" w:type="dxa"/>
          </w:tcPr>
          <w:p w:rsidR="009012C6" w:rsidRPr="00E4643D" w:rsidRDefault="009012C6"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4.82 mg/L</w:t>
            </w:r>
          </w:p>
        </w:tc>
        <w:tc>
          <w:tcPr>
            <w:tcW w:w="1399" w:type="dxa"/>
          </w:tcPr>
          <w:p w:rsidR="009012C6" w:rsidRPr="00E4643D" w:rsidRDefault="009012C6"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67%</w:t>
            </w:r>
          </w:p>
        </w:tc>
        <w:tc>
          <w:tcPr>
            <w:tcW w:w="1351" w:type="dxa"/>
          </w:tcPr>
          <w:p w:rsidR="009012C6" w:rsidRPr="00E4643D" w:rsidRDefault="009012C6"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97%</w:t>
            </w:r>
          </w:p>
        </w:tc>
        <w:tc>
          <w:tcPr>
            <w:tcW w:w="1801" w:type="dxa"/>
          </w:tcPr>
          <w:p w:rsidR="009012C6" w:rsidRPr="00E4643D" w:rsidRDefault="009012C6"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99%</w:t>
            </w:r>
          </w:p>
        </w:tc>
        <w:tc>
          <w:tcPr>
            <w:tcW w:w="1979" w:type="dxa"/>
          </w:tcPr>
          <w:p w:rsidR="009012C6" w:rsidRPr="00E4643D" w:rsidRDefault="009012C6"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39%</w:t>
            </w:r>
          </w:p>
        </w:tc>
      </w:tr>
    </w:tbl>
    <w:p w:rsidR="00AF133C" w:rsidRDefault="00AF133C" w:rsidP="00AF133C">
      <w:bookmarkStart w:id="5" w:name="_Toc193802116"/>
    </w:p>
    <w:p w:rsidR="000D7915" w:rsidRPr="00B1057F" w:rsidRDefault="00B1057F" w:rsidP="00B1057F">
      <w:pPr>
        <w:pStyle w:val="Heading3"/>
        <w:rPr>
          <w:rFonts w:ascii="Times New Roman" w:hAnsi="Times New Roman" w:cs="Times New Roman"/>
          <w:color w:val="auto"/>
          <w:sz w:val="24"/>
        </w:rPr>
      </w:pPr>
      <w:r w:rsidRPr="00B1057F">
        <w:rPr>
          <w:rFonts w:ascii="Times New Roman" w:hAnsi="Times New Roman" w:cs="Times New Roman"/>
          <w:color w:val="auto"/>
          <w:sz w:val="24"/>
        </w:rPr>
        <w:t xml:space="preserve">2.1.2. </w:t>
      </w:r>
      <w:r w:rsidR="000D7915" w:rsidRPr="00B1057F">
        <w:rPr>
          <w:rFonts w:ascii="Times New Roman" w:hAnsi="Times New Roman" w:cs="Times New Roman"/>
          <w:color w:val="auto"/>
          <w:sz w:val="24"/>
        </w:rPr>
        <w:t>Rheumatoid arthritis</w:t>
      </w:r>
      <w:bookmarkEnd w:id="5"/>
      <w:r w:rsidR="000D7915" w:rsidRPr="00B1057F">
        <w:rPr>
          <w:rFonts w:ascii="Times New Roman" w:hAnsi="Times New Roman" w:cs="Times New Roman"/>
          <w:color w:val="auto"/>
          <w:sz w:val="24"/>
        </w:rPr>
        <w:t xml:space="preserve">  </w:t>
      </w:r>
    </w:p>
    <w:p w:rsidR="003C2D9D" w:rsidRDefault="003C2D9D" w:rsidP="003C2D9D">
      <w:pPr>
        <w:pStyle w:val="Standard"/>
        <w:suppressAutoHyphens w:val="0"/>
        <w:spacing w:before="280" w:after="280" w:line="276" w:lineRule="auto"/>
        <w:jc w:val="both"/>
        <w:textAlignment w:val="auto"/>
      </w:pPr>
      <w:r>
        <w:t xml:space="preserve">In </w:t>
      </w:r>
      <w:r w:rsidRPr="000D7915">
        <w:t>rheumatoid arthritis</w:t>
      </w:r>
      <w:r>
        <w:t>,</w:t>
      </w:r>
      <w:r w:rsidRPr="000D7915">
        <w:t xml:space="preserve"> </w:t>
      </w:r>
      <w:r>
        <w:t>joints are damaged by a chronic inflammation underlying</w:t>
      </w:r>
      <w:r w:rsidRPr="000D7915">
        <w:t xml:space="preserve"> R</w:t>
      </w:r>
      <w:r>
        <w:t>heumatoid arthritis (RA)</w:t>
      </w:r>
      <w:r w:rsidRPr="000D7915">
        <w:t>, a chronic autoimmune illness. Numerous biomarkers aid in disease activity monitoring, diagnosis, and prognosis</w:t>
      </w:r>
      <w:r>
        <w:t xml:space="preserve"> (refer to Table 3)</w:t>
      </w:r>
      <w:r w:rsidRPr="000D7915">
        <w:t>.</w:t>
      </w:r>
    </w:p>
    <w:p w:rsidR="003C2D9D" w:rsidRDefault="003C2D9D" w:rsidP="003C2D9D">
      <w:pPr>
        <w:pStyle w:val="Standard"/>
        <w:suppressAutoHyphens w:val="0"/>
        <w:spacing w:before="280" w:after="280" w:line="276" w:lineRule="auto"/>
        <w:jc w:val="both"/>
        <w:textAlignment w:val="auto"/>
      </w:pPr>
    </w:p>
    <w:p w:rsidR="003C2D9D" w:rsidRDefault="003C2D9D" w:rsidP="003C2D9D">
      <w:pPr>
        <w:pStyle w:val="Standard"/>
        <w:suppressAutoHyphens w:val="0"/>
        <w:spacing w:before="280" w:after="280" w:line="276" w:lineRule="auto"/>
        <w:jc w:val="both"/>
        <w:textAlignment w:val="auto"/>
      </w:pPr>
    </w:p>
    <w:p w:rsidR="00991CE1" w:rsidRDefault="00991CE1" w:rsidP="00F861EB">
      <w:pPr>
        <w:pStyle w:val="Standard"/>
        <w:suppressAutoHyphens w:val="0"/>
        <w:spacing w:before="280" w:after="280" w:line="276" w:lineRule="auto"/>
        <w:jc w:val="both"/>
        <w:textAlignment w:val="auto"/>
      </w:pPr>
    </w:p>
    <w:p w:rsidR="0078137D" w:rsidRDefault="0078137D" w:rsidP="00F861EB">
      <w:pPr>
        <w:pStyle w:val="Standard"/>
        <w:suppressAutoHyphens w:val="0"/>
        <w:spacing w:before="280" w:after="280" w:line="276" w:lineRule="auto"/>
        <w:jc w:val="both"/>
        <w:textAlignment w:val="auto"/>
      </w:pPr>
    </w:p>
    <w:p w:rsidR="00F019F4" w:rsidRDefault="00156777" w:rsidP="00F861EB">
      <w:pPr>
        <w:pStyle w:val="Standard"/>
        <w:suppressAutoHyphens w:val="0"/>
        <w:spacing w:before="280" w:after="280" w:line="276" w:lineRule="auto"/>
        <w:jc w:val="both"/>
        <w:textAlignment w:val="auto"/>
      </w:pPr>
      <w:r>
        <w:lastRenderedPageBreak/>
        <w:t>Table 3</w:t>
      </w:r>
      <w:r w:rsidR="00362BF8">
        <w:t xml:space="preserve">: </w:t>
      </w:r>
      <w:r w:rsidR="00362BF8" w:rsidRPr="00156777">
        <w:t xml:space="preserve">The important Biomarkers and cytokines </w:t>
      </w:r>
      <w:r w:rsidR="00362BF8" w:rsidRPr="00156777">
        <w:rPr>
          <w:bCs/>
        </w:rPr>
        <w:t xml:space="preserve">along </w:t>
      </w:r>
      <w:r w:rsidR="00362BF8" w:rsidRPr="00156777">
        <w:t xml:space="preserve">with their </w:t>
      </w:r>
      <w:r w:rsidR="00362BF8" w:rsidRPr="00156777">
        <w:rPr>
          <w:bCs/>
        </w:rPr>
        <w:t>corresponding</w:t>
      </w:r>
      <w:r w:rsidR="00362BF8" w:rsidRPr="00156777">
        <w:t xml:space="preserve"> cutoff values for Rheumatoid arthritis  </w:t>
      </w:r>
      <w:r w:rsidR="00BF45B6">
        <w:fldChar w:fldCharType="begin"/>
      </w:r>
      <w:r w:rsidR="001912C9">
        <w:instrText xml:space="preserve"> ADDIN ZOTERO_ITEM CSL_CITATION {"citationID":"KaZZPUgB","properties":{"formattedCitation":"\\super 50\\uc0\\u8211{}54\\nosupersub{}","plainCitation":"50–54","noteIndex":0},"citationItems":[{"id":525,"uris":["http://zotero.org/users/local/BfzbJtgR/items/QY8BI7G4"],"itemData":{"id":525,"type":"chapter","abstract":"Rheumatoid Arthritis is a widespread disease causing varying degrees of disability. It is characterised by flares and remissions and since ancient times, every culture has tried to get the better of it. Even now, research is aimed at finding novel serum biomarkers as surrogates for disease activity and newer targets to sharpen therapy. One such target is IL-6.It mediates neutrophil migration, osteoclast maturation and pannus formation through vascular endothelial growth factor (VEGF) stimulation causing synovitis and joint destruction.IL-6 leads to various systemic manifestations like hepcidin production causing anemia hypothalamo-pituitary–adrenal (HPA) axis activation causing fatigue and mood changes and osteoclast activation causes osteoporosis while increase in acute phase reactants (ESR and CRP). The literature we reviewed and our research, enrolling 40 patients of RA as well describes the role of IL-6 in pathogenesis and various manifestations of RA including articular, extra-articular and other comorbid states. It supports that Serum IL-6 levels correlate with disease activity (DAS-28ESR and BRAF-MDQ) and that IL-6 remains a viable target for drug therapy.","container-title":"Interleukins - The Immune and Non-Immune Systems’ Related Cytokines","ISBN":"978-1-83969-098-3","language":"en","license":"https://creativecommons.org/licenses/by/3.0/legalcode","note":"DOI: 10.5772/intechopen.96887","publisher":"IntechOpen","source":"DOI.org (Crossref)","title":"Interleukin 6 in Patients with Rheumatoid Arthritis","URL":"https://www.intechopen.com/books/interleukins-the-immune-and-non-immune-systems-related-cytokines/interleukin-6-in-patients-with-rheumatoid-arthritis","editor":[{"family":"Behzadi","given":"Payam"}],"author":[{"family":"Sharma","given":"Yogita"},{"family":"Kumar","given":"Neeraj"},{"family":"Thakur","given":"Devyani"}],"accessed":{"date-parts":[["2025",2,21]]},"issued":{"date-parts":[["2021",7,14]]}}},{"id":521,"uris":["http://zotero.org/users/local/BfzbJtgR/items/R6W6WKZP"],"itemData":{"id":521,"type":"article-journal","abstract":"In the present study, we aimed to estimate the concentrations of cytokines (interleukin 6, IL-6, tumor necrosis factor-α, TNF-α) and auto-antibodies (rheumatoid factor IgM isotype, IgM-RF, antinuclear auto-antibodies, ANA, anti–cyclic citrullinated peptide antibodies IgG isotype, IgG anti-CCP3.1, anti-cardiolipin IgG isotype, IgG anti-aCL) in serum of patients with eRA (early rheumatoid arthritis) and HCVrA (hepatitis C virus-related arthropathy) and to assess the utility of IL-6, TNF-α together with IgG anti-CCP and IgM-RF in distinguishing between patients with true eRA and HCVrA, in the idea of using them as differential immunomarkers. Serum samples were collected from 54 patients (30 diagnosed with eRA-subgroup 1 and 24 with HCVrA-subgroup 2) and from 28 healthy control persons. For the evaluation of serum concentrations of studied cytokines and auto-antibodies, we used immunoenzimatique techniques. The serum concentrations of both proinflammatory cytokines were statistically significantly higher in patients of subgroup 1 and subgroup 2, compared to the control group (p &lt; 0.0001). Our study showed statistically significant differences of the mean concentrations only for ANA and IgG anti-CCP between subgroup 1 and subgroup 2. We also observed that IL-6 and TNF-α better correlated with auto-antibodies in subgroup 1 than in subgroup 2. In both subgroups of patients, ROC curves indicated that IL-6 and TNF-α have a higher diagnostic utility as markers of disease. In conclusion, we can say that, due to high sensitivity for diagnostic accuracy, determination of serum concentrations of IL-6 and TNF-α, possibly in combination with auto-antibodies, could be useful in the diagnosis and distinguishing between patients with true eRA and HCV patients with articular manifestation and may prove useful in the monitoring of the disease course.","container-title":"International Journal of Molecular Sciences","DOI":"10.3390/ijms18061304","ISSN":"1422-0067","issue":"6","journalAbbreviation":"IJMS","language":"en","license":"https://creativecommons.org/licenses/by/4.0/","page":"1304","source":"DOI.org (Crossref)","title":"Serum Biomarkers for Discrimination between Hepatitis C-Related Arthropathy and Early Rheumatoid Arthritis","volume":"18","author":[{"family":"Siloşi","given":"Isabela"},{"family":"Boldeanu","given":"Lidia"},{"family":"Biciuşcă","given":"Viorel"},{"family":"Bogdan","given":"Maria"},{"family":"Avramescu","given":"Carmen"},{"family":"Taisescu","given":"Citto"},{"family":"Padureanu","given":"Vlad"},{"family":"Boldeanu","given":"Mihail"},{"family":"Dricu","given":"Anica"},{"family":"Siloşi","given":"Cristian"}],"issued":{"date-parts":[["2017",6,19]]}}},{"id":523,"uris":["http://zotero.org/users/local/BfzbJtgR/items/23292C77"],"itemData":{"id":523,"type":"article-journal","abstract":"Objectives: This study aimed to identify predictors of remission or low disease activity (LDA) in patients with rheumatoid arthritis (RA) and low-ultrasound inflammation. Methods: A total of 80 patients with RA who fulfilled the 1987 ACR criteria for RA with a disease activity score of 28 joints (DAS28) &gt; 3.2 were recruited. Over 1 year of therapy, we conducted blood tests every 6 months to examine erythrocyte sedimentation rate (ESR), C-reactive protein (CRP), monocyte chemotactic protein-1 (MCP-1), neuraminidase 3 (Neu3), and α-2,3-sialyltrasnferse I (ST3Gal-1) levels in B cells and monocytes. Additionally, we evaluated physical function by using the Health Assessment Questionnaire–Disability Index (HAQ-DI). Data on demographic and clinical parameters were collected, and musculoskeletal ultrasonography was performed twice a year on 12 specific joints to assess synovial changes. One year later, we compared all collected data and laboratory or ultrasound results between patients achieving remission or LDA and those who did not in order to determine the predictors. Results: Age, the presence or absence of rheumatoid factor, and the number of conventional disease-modifying anti-rheumatic drugs used were not correlated with remission or LDA for DAS28 or Simplified Disease Activity Index formulas. However, male sex, low CRP levels, low ESR levels, and low HAQ-DI scores were associated with a higher likelihood of achieving remission or LDA for DAS28-ESR. Negative anticyclic citrullinated peptide (CCP) and low HAQ-DI scores were predictors of remission or LDA for DAS28-MCP-1. Interestingly, having less than two comorbidities is a good predictor of a combined remission/low disease activity state for SDAI and DAS28-MCP-1. Furthermore, Neu3 and ST3Gal-1 levels and ST3Gal-1/Neu3 ratios in B cells and monocytes had no significant correlation with total ultrasound scores. Nevertheless, monocyte ST3Gal-1 and Neu3 correlated significantly with DAS28-ESR &gt;5.1 and DAS-MCP-1 &gt;4.8 (both categories belong to high disease activity), respectively (rho = 0.609 with p = 0.012, and rho = 0.727 with p = 0.011, respectively). Monocyte ST3Gal-1/Neu3 ratios connected with DAS28-ESR &gt;5.1 and 3.3 &lt; SDAI </w:instrText>
      </w:r>
      <w:r w:rsidR="001912C9">
        <w:rPr>
          <w:rFonts w:ascii="Cambria Math" w:hAnsi="Cambria Math" w:cs="Cambria Math"/>
        </w:rPr>
        <w:instrText>≦</w:instrText>
      </w:r>
      <w:r w:rsidR="001912C9">
        <w:instrText xml:space="preserve"> 11 (low disease activity), respectively (rho = 0.662 with p = 0.005, and rho = 0.342 with p = 0.048, respectively). Conclusions: In patients with RA in Taiwan, male sex, low CRP levels, low ESR levels, and low HAQ-DI scores are predictors of remission or LDA for DAS28-ESR, which differ from the predictors for DAS28-MCP-1. Moreover, monocyte ST3Gal-1, Neu3, and their ratios correlated with different disease activity categories of DAS28-ESR, DAS28-MCP-1, and SDAI scores.","container-title":"Journal of Clinical Medicine","DOI":"10.3390/jcm13092521","ISSN":"2077-0383","issue":"9","journalAbbreviation":"JCM","language":"en","license":"https://creativecommons.org/licenses/by/4.0/","page":"2521","source":"DOI.org (Crossref)","title":"Predictors of Remission or Combined Remission and Low Disease Activity in Rheumatoid Arthritis Patients in Taiwan: A Prospective Cohort Study","title-short":"Predictors of Remission or Combined Remission and Low Disease Activity in Rheumatoid Arthritis Patients in Taiwan","volume":"13","author":[{"family":"Tsai","given":"Ping-Han"},{"family":"Fang","given":"Yao-Fan"},{"family":"Chen","given":"Yen-Fu"},{"family":"Chen","given":"Chih-Chieh"},{"family":"Chiang","given":"Wen-Yu"},{"family":"Chang","given":"Che-Tzu"},{"family":"Huang","given":"Yun-Ju"},{"family":"Liou","given":"Lieh-Bang"}],"issued":{"date-parts":[["2024",4,25]]}}},{"id":529,"uris":["http://zotero.org/users/local/BfzbJtgR/items/HN7ZKKUR"],"itemData":{"id":529,"type":"article-journal","abstract":"Abstract\n            \n              Aim\n              To evaluate the overall diagnostic performance of 14‐3‐3 η protein in patients with rheumatoid arthritis (RA).\n            \n            \n              Methods\n              PubMed, EMBASE, and Web of Science were searched to acquire eligible studies. Articles published in English before 20 February 2020 were included. Quality Assessment of Diagnostic Accuracy Studies 2 was used to evaluate the risk of bias and application concern of the included articles. Pooled analysis of diagnostic indicators of 14‐3‐3 η protein for RA was conducted by using a random effects model. Subgroup analysis was used to explore the sources of heterogeneity. Deeks' funnel plot asymmetry test was used to evaluate for the presence of publication bias.\n            \n            \n              Results\n              A total of 13 studies (1554 positive and 1934 negative participants) were included. The pooled sensitivity and specificity were 0.73 (95% CI 0.71‐0.75) and 0.88 (95% CI 0.87‐0.90), respectively. The pooled positive/negative likelihood were 5.98 (95% CI 4.39‐8.14) and 0.28 (95% CI 0.21‐0.37), respectively. In addition, the pooled diagnostic odds ratio was 23.48 (95% CI 13.76‐40.08) and the area under curve was 0.9245. The results of subgroup analysis indicated that ethnicity and control group might be the source of heterogeneity. The results of sensitivity analysis were stable. No significant publication bias was found.\n            \n            \n              Conclusions\n              The current evidence indicated that 14‐3‐3 η protein has moderate accuracy for the diagnosis of RA.","container-title":"International Journal of Rheumatic Diseases","DOI":"10.1111/1756-185X.13921","ISSN":"1756-1841, 1756-185X","issue":"11","journalAbbreviation":"Int J of Rheum Dis","language":"en","page":"1443-1451","source":"DOI.org (Crossref)","title":"Diagnostic accuracy of 14‐3‐3 η protein in rheumatoid arthritis: A meta‐analysis","title-short":"Diagnostic accuracy of 14‐3‐3 η protein in rheumatoid arthritis","volume":"23","author":[{"family":"Wang","given":"Decai"},{"family":"Cui","given":"Yalan"},{"family":"Lei","given":"Huiren"},{"family":"Cao","given":"Ding"},{"family":"Tang","given":"Guoting"},{"family":"Huang","given":"Haiming"},{"family":"Yuan","given":"Ting"},{"family":"Rao","given":"Lizong"},{"family":"Mo","given":"Biwen"}],"issued":{"date-parts":[["2020",11]]}}},{"id":527,"uris":["http://zotero.org/users/local/BfzbJtgR/items/FLAPNCMX"],"itemData":{"id":527,"type":"article-journal","container-title":"International Journal of Rheumatic Diseases","DOI":"10.1111/1756-185X.14004","ISSN":"1756-1841, 1756-185X","issue":"11","journalAbbreviation":"Int J of Rheum Dis","language":"en","page":"1439-1442","source":"DOI.org (Crossref)","title":"Chaperone/scaffolding/adaptor protein 14‐3‐3η (eta): A diagnostic marker of rheumatoid arthritis","title-short":"Chaperone/scaffolding/adaptor protein 14‐3‐3η (eta)","volume":"23","author":[{"family":"Wei","given":"James Cheng‐Chung"},{"family":"Leong","given":"Pui‐Ying"},{"family":"Liu","given":"Guang‐Yaw"}],"issued":{"date-parts":[["2020",11]]}}}],"schema":"https://github.com/citation-style-language/schema/raw/master/csl-citation.json"} </w:instrText>
      </w:r>
      <w:r w:rsidR="00BF45B6">
        <w:fldChar w:fldCharType="separate"/>
      </w:r>
      <w:r w:rsidR="001912C9" w:rsidRPr="001912C9">
        <w:rPr>
          <w:rFonts w:cs="Times New Roman"/>
          <w:vertAlign w:val="superscript"/>
        </w:rPr>
        <w:t>50–54</w:t>
      </w:r>
      <w:r w:rsidR="00BF45B6">
        <w:fldChar w:fldCharType="end"/>
      </w:r>
    </w:p>
    <w:tbl>
      <w:tblPr>
        <w:tblStyle w:val="TableGrid"/>
        <w:tblW w:w="11070" w:type="dxa"/>
        <w:tblInd w:w="-815" w:type="dxa"/>
        <w:tblLook w:val="04A0" w:firstRow="1" w:lastRow="0" w:firstColumn="1" w:lastColumn="0" w:noHBand="0" w:noVBand="1"/>
      </w:tblPr>
      <w:tblGrid>
        <w:gridCol w:w="2640"/>
        <w:gridCol w:w="5190"/>
        <w:gridCol w:w="1620"/>
        <w:gridCol w:w="1620"/>
      </w:tblGrid>
      <w:tr w:rsidR="00103EB9" w:rsidRPr="00E4643D" w:rsidTr="00902397">
        <w:trPr>
          <w:trHeight w:val="70"/>
        </w:trPr>
        <w:tc>
          <w:tcPr>
            <w:tcW w:w="2640" w:type="dxa"/>
          </w:tcPr>
          <w:p w:rsidR="00103EB9" w:rsidRPr="00E4643D" w:rsidRDefault="00103EB9" w:rsidP="00AF133C">
            <w:pPr>
              <w:pStyle w:val="Standard"/>
              <w:suppressAutoHyphens w:val="0"/>
              <w:textAlignment w:val="auto"/>
              <w:rPr>
                <w:rFonts w:ascii="Times New Roman" w:hAnsi="Times New Roman" w:cs="Times New Roman"/>
                <w:b/>
                <w:bCs/>
                <w:sz w:val="22"/>
                <w:szCs w:val="22"/>
              </w:rPr>
            </w:pPr>
            <w:r w:rsidRPr="00E4643D">
              <w:rPr>
                <w:rStyle w:val="Strong"/>
                <w:rFonts w:ascii="Times New Roman" w:hAnsi="Times New Roman" w:cs="Times New Roman"/>
                <w:sz w:val="22"/>
                <w:szCs w:val="22"/>
              </w:rPr>
              <w:t xml:space="preserve">  Cutoff Value</w:t>
            </w:r>
            <w:r w:rsidRPr="00E4643D">
              <w:rPr>
                <w:rFonts w:ascii="Times New Roman" w:hAnsi="Times New Roman" w:cs="Times New Roman"/>
                <w:sz w:val="22"/>
                <w:szCs w:val="22"/>
              </w:rPr>
              <w:t xml:space="preserve"> </w:t>
            </w:r>
          </w:p>
        </w:tc>
        <w:tc>
          <w:tcPr>
            <w:tcW w:w="8430" w:type="dxa"/>
            <w:gridSpan w:val="3"/>
          </w:tcPr>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b/>
                <w:sz w:val="22"/>
                <w:szCs w:val="22"/>
              </w:rPr>
              <w:t xml:space="preserve">                                    Diagnostic Performance</w:t>
            </w:r>
          </w:p>
        </w:tc>
      </w:tr>
      <w:tr w:rsidR="00103EB9" w:rsidRPr="00E4643D" w:rsidTr="00902397">
        <w:trPr>
          <w:trHeight w:val="143"/>
        </w:trPr>
        <w:tc>
          <w:tcPr>
            <w:tcW w:w="2640" w:type="dxa"/>
          </w:tcPr>
          <w:p w:rsidR="00103EB9" w:rsidRPr="00E4643D" w:rsidRDefault="00103EB9" w:rsidP="00AF133C">
            <w:pPr>
              <w:pStyle w:val="Standard"/>
              <w:suppressAutoHyphens w:val="0"/>
              <w:textAlignment w:val="auto"/>
              <w:rPr>
                <w:rFonts w:ascii="Times New Roman" w:hAnsi="Times New Roman" w:cs="Times New Roman"/>
                <w:sz w:val="22"/>
                <w:szCs w:val="22"/>
              </w:rPr>
            </w:pPr>
          </w:p>
        </w:tc>
        <w:tc>
          <w:tcPr>
            <w:tcW w:w="5190" w:type="dxa"/>
          </w:tcPr>
          <w:p w:rsidR="00103EB9" w:rsidRPr="00E4643D" w:rsidRDefault="00103EB9" w:rsidP="00AF133C">
            <w:pPr>
              <w:pStyle w:val="Standard"/>
              <w:suppressAutoHyphens w:val="0"/>
              <w:textAlignment w:val="auto"/>
              <w:rPr>
                <w:rFonts w:ascii="Times New Roman" w:hAnsi="Times New Roman" w:cs="Times New Roman"/>
                <w:b/>
                <w:sz w:val="22"/>
                <w:szCs w:val="22"/>
              </w:rPr>
            </w:pPr>
            <w:r w:rsidRPr="00E4643D">
              <w:rPr>
                <w:rFonts w:ascii="Times New Roman" w:hAnsi="Times New Roman" w:cs="Times New Roman"/>
                <w:b/>
                <w:sz w:val="22"/>
                <w:szCs w:val="22"/>
              </w:rPr>
              <w:t xml:space="preserve"> </w:t>
            </w:r>
          </w:p>
        </w:tc>
        <w:tc>
          <w:tcPr>
            <w:tcW w:w="1620" w:type="dxa"/>
          </w:tcPr>
          <w:p w:rsidR="00103EB9" w:rsidRPr="00E4643D" w:rsidRDefault="00513DDB" w:rsidP="00AF133C">
            <w:pPr>
              <w:pStyle w:val="Standard"/>
              <w:suppressAutoHyphens w:val="0"/>
              <w:textAlignment w:val="auto"/>
              <w:rPr>
                <w:rFonts w:ascii="Times New Roman" w:hAnsi="Times New Roman" w:cs="Times New Roman"/>
                <w:b/>
                <w:sz w:val="22"/>
                <w:szCs w:val="22"/>
              </w:rPr>
            </w:pPr>
            <w:r w:rsidRPr="00E4643D">
              <w:rPr>
                <w:rFonts w:ascii="Times New Roman" w:hAnsi="Times New Roman" w:cs="Times New Roman"/>
                <w:b/>
                <w:sz w:val="22"/>
                <w:szCs w:val="22"/>
              </w:rPr>
              <w:t>Sensitivity</w:t>
            </w:r>
          </w:p>
        </w:tc>
        <w:tc>
          <w:tcPr>
            <w:tcW w:w="1620" w:type="dxa"/>
          </w:tcPr>
          <w:p w:rsidR="00103EB9" w:rsidRPr="00E4643D" w:rsidRDefault="00513DDB"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b/>
                <w:sz w:val="22"/>
                <w:szCs w:val="22"/>
              </w:rPr>
              <w:t xml:space="preserve"> Specificity</w:t>
            </w:r>
          </w:p>
        </w:tc>
      </w:tr>
      <w:tr w:rsidR="00103EB9" w:rsidRPr="00E4643D" w:rsidTr="00902397">
        <w:trPr>
          <w:trHeight w:val="728"/>
        </w:trPr>
        <w:tc>
          <w:tcPr>
            <w:tcW w:w="2640" w:type="dxa"/>
          </w:tcPr>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1. Rheumatoid Factor (RF):</w:t>
            </w:r>
          </w:p>
        </w:tc>
        <w:tc>
          <w:tcPr>
            <w:tcW w:w="5190" w:type="dxa"/>
          </w:tcPr>
          <w:p w:rsidR="00103EB9" w:rsidRPr="00E4643D" w:rsidRDefault="003A15F7" w:rsidP="00AF133C">
            <w:pPr>
              <w:pStyle w:val="Standard"/>
              <w:suppressAutoHyphens w:val="0"/>
              <w:textAlignment w:val="auto"/>
              <w:rPr>
                <w:rFonts w:ascii="Times New Roman" w:hAnsi="Times New Roman" w:cs="Times New Roman"/>
                <w:sz w:val="22"/>
                <w:szCs w:val="22"/>
              </w:rPr>
            </w:pPr>
            <w:r>
              <w:rPr>
                <w:rFonts w:ascii="Times New Roman" w:hAnsi="Times New Roman" w:cs="Times New Roman"/>
                <w:sz w:val="22"/>
                <w:szCs w:val="22"/>
              </w:rPr>
              <w:t xml:space="preserve">Greater than </w:t>
            </w:r>
            <w:r w:rsidR="00103EB9" w:rsidRPr="00E4643D">
              <w:rPr>
                <w:rFonts w:ascii="Times New Roman" w:hAnsi="Times New Roman" w:cs="Times New Roman"/>
                <w:sz w:val="22"/>
                <w:szCs w:val="22"/>
              </w:rPr>
              <w:t>20 IU/mL</w:t>
            </w:r>
          </w:p>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 xml:space="preserve">Autoantibody targeting </w:t>
            </w:r>
            <w:r w:rsidR="00BD2ED0">
              <w:rPr>
                <w:rFonts w:ascii="Times New Roman" w:hAnsi="Times New Roman" w:cs="Times New Roman"/>
                <w:sz w:val="22"/>
                <w:szCs w:val="22"/>
              </w:rPr>
              <w:t xml:space="preserve">the </w:t>
            </w:r>
            <w:r w:rsidRPr="00E4643D">
              <w:rPr>
                <w:rFonts w:ascii="Times New Roman" w:hAnsi="Times New Roman" w:cs="Times New Roman"/>
                <w:sz w:val="22"/>
                <w:szCs w:val="22"/>
              </w:rPr>
              <w:t>IgG Fc region.</w:t>
            </w:r>
          </w:p>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Style w:val="Strong"/>
                <w:rFonts w:ascii="Times New Roman" w:hAnsi="Times New Roman" w:cs="Times New Roman"/>
                <w:sz w:val="22"/>
                <w:szCs w:val="22"/>
              </w:rPr>
              <w:t>Interpretation:</w:t>
            </w:r>
            <w:r w:rsidRPr="00E4643D">
              <w:rPr>
                <w:rFonts w:ascii="Times New Roman" w:hAnsi="Times New Roman" w:cs="Times New Roman"/>
                <w:sz w:val="22"/>
                <w:szCs w:val="22"/>
              </w:rPr>
              <w:t xml:space="preserve"> Levels above 20 IU/mL may suggest RA, but elevated RF can also occur in other conditions. Approximately 20% of RA patients may have normal RF levels.</w:t>
            </w:r>
          </w:p>
        </w:tc>
        <w:tc>
          <w:tcPr>
            <w:tcW w:w="1620" w:type="dxa"/>
          </w:tcPr>
          <w:p w:rsidR="00103EB9" w:rsidRPr="00E4643D" w:rsidRDefault="00103EB9" w:rsidP="003A15F7">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70-80%</w:t>
            </w:r>
          </w:p>
        </w:tc>
        <w:tc>
          <w:tcPr>
            <w:tcW w:w="1620" w:type="dxa"/>
          </w:tcPr>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70-80%</w:t>
            </w:r>
          </w:p>
        </w:tc>
      </w:tr>
      <w:tr w:rsidR="00103EB9" w:rsidRPr="00E4643D" w:rsidTr="00902397">
        <w:trPr>
          <w:trHeight w:val="800"/>
        </w:trPr>
        <w:tc>
          <w:tcPr>
            <w:tcW w:w="2640" w:type="dxa"/>
          </w:tcPr>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Anti-Cyclic Citrullinated Peptide</w:t>
            </w:r>
          </w:p>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(Eg. Anti-CCP) Antibodies:</w:t>
            </w:r>
          </w:p>
        </w:tc>
        <w:tc>
          <w:tcPr>
            <w:tcW w:w="5190" w:type="dxa"/>
          </w:tcPr>
          <w:p w:rsidR="00103EB9" w:rsidRPr="00E4643D" w:rsidRDefault="006653EB" w:rsidP="00AF133C">
            <w:pPr>
              <w:rPr>
                <w:rFonts w:ascii="Times New Roman" w:hAnsi="Times New Roman" w:cs="Times New Roman"/>
              </w:rPr>
            </w:pPr>
            <w:r>
              <w:rPr>
                <w:rFonts w:ascii="Times New Roman" w:hAnsi="Times New Roman" w:cs="Times New Roman"/>
              </w:rPr>
              <w:t>Greater</w:t>
            </w:r>
            <w:r w:rsidR="003A15F7">
              <w:rPr>
                <w:rFonts w:ascii="Times New Roman" w:hAnsi="Times New Roman" w:cs="Times New Roman"/>
              </w:rPr>
              <w:t xml:space="preserve"> than </w:t>
            </w:r>
            <w:r w:rsidR="00103EB9" w:rsidRPr="00E4643D">
              <w:rPr>
                <w:rFonts w:ascii="Times New Roman" w:hAnsi="Times New Roman" w:cs="Times New Roman"/>
              </w:rPr>
              <w:t>20 Units</w:t>
            </w:r>
          </w:p>
          <w:p w:rsidR="00103EB9" w:rsidRPr="00E4643D" w:rsidRDefault="00103EB9" w:rsidP="00AF133C">
            <w:pPr>
              <w:rPr>
                <w:rFonts w:ascii="Times New Roman" w:eastAsia="Times New Roman" w:hAnsi="Times New Roman" w:cs="Times New Roman"/>
              </w:rPr>
            </w:pPr>
            <w:r w:rsidRPr="00E4643D">
              <w:rPr>
                <w:rStyle w:val="Strong"/>
                <w:rFonts w:ascii="Times New Roman" w:hAnsi="Times New Roman" w:cs="Times New Roman"/>
              </w:rPr>
              <w:t>Interpretation:</w:t>
            </w:r>
            <w:r w:rsidRPr="00E4643D">
              <w:rPr>
                <w:rFonts w:ascii="Times New Roman" w:hAnsi="Times New Roman" w:cs="Times New Roman"/>
              </w:rPr>
              <w:t xml:space="preserve"> Levels above 20 Units suggest RA. Anti-CCP antibodies are more specific for RA than RF.</w:t>
            </w:r>
          </w:p>
        </w:tc>
        <w:tc>
          <w:tcPr>
            <w:tcW w:w="1620" w:type="dxa"/>
          </w:tcPr>
          <w:p w:rsidR="00103EB9" w:rsidRPr="00E4643D" w:rsidRDefault="00103EB9" w:rsidP="003A15F7">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70-80%</w:t>
            </w:r>
          </w:p>
        </w:tc>
        <w:tc>
          <w:tcPr>
            <w:tcW w:w="1620" w:type="dxa"/>
          </w:tcPr>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 xml:space="preserve"> ~ 95%</w:t>
            </w:r>
          </w:p>
        </w:tc>
      </w:tr>
      <w:tr w:rsidR="00103EB9" w:rsidRPr="00E4643D" w:rsidTr="00902397">
        <w:trPr>
          <w:trHeight w:val="863"/>
        </w:trPr>
        <w:tc>
          <w:tcPr>
            <w:tcW w:w="2640" w:type="dxa"/>
          </w:tcPr>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Interleukin-6 (IL-6):</w:t>
            </w:r>
          </w:p>
        </w:tc>
        <w:tc>
          <w:tcPr>
            <w:tcW w:w="5190" w:type="dxa"/>
          </w:tcPr>
          <w:p w:rsidR="00103EB9" w:rsidRPr="00E4643D" w:rsidRDefault="003A15F7" w:rsidP="00AF133C">
            <w:pPr>
              <w:pStyle w:val="Standard"/>
              <w:suppressAutoHyphens w:val="0"/>
              <w:textAlignment w:val="auto"/>
              <w:rPr>
                <w:rFonts w:ascii="Times New Roman" w:hAnsi="Times New Roman" w:cs="Times New Roman"/>
                <w:sz w:val="22"/>
                <w:szCs w:val="22"/>
              </w:rPr>
            </w:pPr>
            <w:r>
              <w:rPr>
                <w:rFonts w:ascii="Times New Roman" w:hAnsi="Times New Roman" w:cs="Times New Roman"/>
                <w:sz w:val="22"/>
                <w:szCs w:val="22"/>
              </w:rPr>
              <w:t xml:space="preserve">Greater than </w:t>
            </w:r>
            <w:r w:rsidR="00103EB9" w:rsidRPr="00E4643D">
              <w:rPr>
                <w:rFonts w:ascii="Times New Roman" w:hAnsi="Times New Roman" w:cs="Times New Roman"/>
                <w:sz w:val="22"/>
                <w:szCs w:val="22"/>
              </w:rPr>
              <w:t>8.75 pg/mL</w:t>
            </w:r>
          </w:p>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b/>
                <w:sz w:val="22"/>
                <w:szCs w:val="22"/>
              </w:rPr>
              <w:t>Interpretation:</w:t>
            </w:r>
            <w:r w:rsidRPr="00E4643D">
              <w:rPr>
                <w:rFonts w:ascii="Times New Roman" w:hAnsi="Times New Roman" w:cs="Times New Roman"/>
                <w:sz w:val="22"/>
                <w:szCs w:val="22"/>
              </w:rPr>
              <w:t xml:space="preserve"> </w:t>
            </w:r>
            <w:r w:rsidRPr="00E4643D">
              <w:rPr>
                <w:rFonts w:ascii="Times New Roman" w:hAnsi="Times New Roman" w:cs="Times New Roman"/>
                <w:bCs/>
                <w:sz w:val="22"/>
                <w:szCs w:val="22"/>
              </w:rPr>
              <w:t xml:space="preserve">Levels of </w:t>
            </w:r>
            <w:r w:rsidRPr="00E4643D">
              <w:rPr>
                <w:rFonts w:ascii="Times New Roman" w:hAnsi="Times New Roman" w:cs="Times New Roman"/>
                <w:sz w:val="22"/>
                <w:szCs w:val="22"/>
              </w:rPr>
              <w:t xml:space="preserve">IL-6 </w:t>
            </w:r>
            <w:r w:rsidRPr="00E4643D">
              <w:rPr>
                <w:rFonts w:ascii="Times New Roman" w:hAnsi="Times New Roman" w:cs="Times New Roman"/>
                <w:bCs/>
                <w:sz w:val="22"/>
                <w:szCs w:val="22"/>
              </w:rPr>
              <w:t>exceeding</w:t>
            </w:r>
            <w:r w:rsidRPr="00E4643D">
              <w:rPr>
                <w:rFonts w:ascii="Times New Roman" w:hAnsi="Times New Roman" w:cs="Times New Roman"/>
                <w:sz w:val="22"/>
                <w:szCs w:val="22"/>
              </w:rPr>
              <w:t xml:space="preserve"> this threshold can </w:t>
            </w:r>
            <w:r w:rsidRPr="00E4643D">
              <w:rPr>
                <w:rFonts w:ascii="Times New Roman" w:hAnsi="Times New Roman" w:cs="Times New Roman"/>
                <w:bCs/>
                <w:sz w:val="22"/>
                <w:szCs w:val="22"/>
              </w:rPr>
              <w:t>reliably</w:t>
            </w:r>
            <w:r w:rsidRPr="00E4643D">
              <w:rPr>
                <w:rFonts w:ascii="Times New Roman" w:hAnsi="Times New Roman" w:cs="Times New Roman"/>
                <w:sz w:val="22"/>
                <w:szCs w:val="22"/>
              </w:rPr>
              <w:t xml:space="preserve"> </w:t>
            </w:r>
            <w:r w:rsidRPr="00E4643D">
              <w:rPr>
                <w:rFonts w:ascii="Times New Roman" w:hAnsi="Times New Roman" w:cs="Times New Roman"/>
                <w:bCs/>
                <w:sz w:val="22"/>
                <w:szCs w:val="22"/>
              </w:rPr>
              <w:t>signify</w:t>
            </w:r>
            <w:r w:rsidRPr="00E4643D">
              <w:rPr>
                <w:rFonts w:ascii="Times New Roman" w:hAnsi="Times New Roman" w:cs="Times New Roman"/>
                <w:sz w:val="22"/>
                <w:szCs w:val="22"/>
              </w:rPr>
              <w:t xml:space="preserve"> early RA.</w:t>
            </w:r>
          </w:p>
        </w:tc>
        <w:tc>
          <w:tcPr>
            <w:tcW w:w="1620" w:type="dxa"/>
          </w:tcPr>
          <w:p w:rsidR="00103EB9" w:rsidRPr="00E4643D" w:rsidRDefault="00103EB9" w:rsidP="003A15F7">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100%</w:t>
            </w:r>
          </w:p>
        </w:tc>
        <w:tc>
          <w:tcPr>
            <w:tcW w:w="1620" w:type="dxa"/>
          </w:tcPr>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100%</w:t>
            </w:r>
          </w:p>
        </w:tc>
      </w:tr>
      <w:tr w:rsidR="00103EB9" w:rsidRPr="00E4643D" w:rsidTr="00902397">
        <w:trPr>
          <w:trHeight w:val="422"/>
        </w:trPr>
        <w:tc>
          <w:tcPr>
            <w:tcW w:w="2640" w:type="dxa"/>
          </w:tcPr>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Tumor Necrosis Factor-alpha (TNF-α):</w:t>
            </w:r>
          </w:p>
        </w:tc>
        <w:tc>
          <w:tcPr>
            <w:tcW w:w="5190" w:type="dxa"/>
          </w:tcPr>
          <w:p w:rsidR="00103EB9" w:rsidRPr="00E4643D" w:rsidRDefault="003A15F7" w:rsidP="00AF133C">
            <w:pPr>
              <w:pStyle w:val="Standard"/>
              <w:suppressAutoHyphens w:val="0"/>
              <w:textAlignment w:val="auto"/>
              <w:rPr>
                <w:rFonts w:ascii="Times New Roman" w:hAnsi="Times New Roman" w:cs="Times New Roman"/>
                <w:sz w:val="22"/>
                <w:szCs w:val="22"/>
              </w:rPr>
            </w:pPr>
            <w:r>
              <w:rPr>
                <w:rFonts w:ascii="Times New Roman" w:hAnsi="Times New Roman" w:cs="Times New Roman"/>
                <w:sz w:val="22"/>
                <w:szCs w:val="22"/>
              </w:rPr>
              <w:t xml:space="preserve">Greater than </w:t>
            </w:r>
            <w:r w:rsidR="00103EB9" w:rsidRPr="00E4643D">
              <w:rPr>
                <w:rFonts w:ascii="Times New Roman" w:hAnsi="Times New Roman" w:cs="Times New Roman"/>
                <w:sz w:val="22"/>
                <w:szCs w:val="22"/>
              </w:rPr>
              <w:t>10.50 pg/mL</w:t>
            </w:r>
          </w:p>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b/>
                <w:bCs/>
                <w:sz w:val="22"/>
                <w:szCs w:val="22"/>
              </w:rPr>
              <w:t>Interpretation</w:t>
            </w:r>
            <w:r w:rsidRPr="00E4643D">
              <w:rPr>
                <w:rFonts w:ascii="Times New Roman" w:hAnsi="Times New Roman" w:cs="Times New Roman"/>
                <w:b/>
                <w:sz w:val="22"/>
                <w:szCs w:val="22"/>
              </w:rPr>
              <w:t>:</w:t>
            </w:r>
            <w:r w:rsidRPr="00E4643D">
              <w:rPr>
                <w:rFonts w:ascii="Times New Roman" w:hAnsi="Times New Roman" w:cs="Times New Roman"/>
                <w:sz w:val="22"/>
                <w:szCs w:val="22"/>
              </w:rPr>
              <w:t xml:space="preserve"> </w:t>
            </w:r>
            <w:r w:rsidRPr="00E4643D">
              <w:rPr>
                <w:rFonts w:ascii="Times New Roman" w:hAnsi="Times New Roman" w:cs="Times New Roman"/>
                <w:bCs/>
                <w:sz w:val="22"/>
                <w:szCs w:val="22"/>
              </w:rPr>
              <w:t>Increased</w:t>
            </w:r>
            <w:r w:rsidRPr="00E4643D">
              <w:rPr>
                <w:rFonts w:ascii="Times New Roman" w:hAnsi="Times New Roman" w:cs="Times New Roman"/>
                <w:sz w:val="22"/>
                <w:szCs w:val="22"/>
              </w:rPr>
              <w:t xml:space="preserve"> TNF-α levels can </w:t>
            </w:r>
            <w:r w:rsidRPr="00E4643D">
              <w:rPr>
                <w:rFonts w:ascii="Times New Roman" w:hAnsi="Times New Roman" w:cs="Times New Roman"/>
                <w:bCs/>
                <w:sz w:val="22"/>
                <w:szCs w:val="22"/>
              </w:rPr>
              <w:t>assist</w:t>
            </w:r>
            <w:r w:rsidRPr="00E4643D">
              <w:rPr>
                <w:rFonts w:ascii="Times New Roman" w:hAnsi="Times New Roman" w:cs="Times New Roman"/>
                <w:sz w:val="22"/>
                <w:szCs w:val="22"/>
              </w:rPr>
              <w:t xml:space="preserve"> in </w:t>
            </w:r>
            <w:r w:rsidRPr="00E4643D">
              <w:rPr>
                <w:rFonts w:ascii="Times New Roman" w:hAnsi="Times New Roman" w:cs="Times New Roman"/>
                <w:bCs/>
                <w:sz w:val="22"/>
                <w:szCs w:val="22"/>
              </w:rPr>
              <w:t>differentiating</w:t>
            </w:r>
            <w:r w:rsidRPr="00E4643D">
              <w:rPr>
                <w:rFonts w:ascii="Times New Roman" w:hAnsi="Times New Roman" w:cs="Times New Roman"/>
                <w:sz w:val="22"/>
                <w:szCs w:val="22"/>
              </w:rPr>
              <w:t xml:space="preserve"> RA from healthy </w:t>
            </w:r>
            <w:r w:rsidRPr="00E4643D">
              <w:rPr>
                <w:rFonts w:ascii="Times New Roman" w:hAnsi="Times New Roman" w:cs="Times New Roman"/>
                <w:bCs/>
                <w:sz w:val="22"/>
                <w:szCs w:val="22"/>
              </w:rPr>
              <w:t>people</w:t>
            </w:r>
            <w:r w:rsidRPr="00E4643D">
              <w:rPr>
                <w:rFonts w:ascii="Times New Roman" w:hAnsi="Times New Roman" w:cs="Times New Roman"/>
                <w:sz w:val="22"/>
                <w:szCs w:val="22"/>
              </w:rPr>
              <w:t>.</w:t>
            </w:r>
          </w:p>
          <w:p w:rsidR="00103EB9" w:rsidRPr="00E4643D" w:rsidRDefault="00103EB9" w:rsidP="00AF133C">
            <w:pPr>
              <w:pStyle w:val="Standard"/>
              <w:suppressAutoHyphens w:val="0"/>
              <w:textAlignment w:val="auto"/>
              <w:rPr>
                <w:rFonts w:ascii="Times New Roman" w:hAnsi="Times New Roman" w:cs="Times New Roman"/>
                <w:sz w:val="22"/>
                <w:szCs w:val="22"/>
              </w:rPr>
            </w:pPr>
          </w:p>
        </w:tc>
        <w:tc>
          <w:tcPr>
            <w:tcW w:w="1620" w:type="dxa"/>
          </w:tcPr>
          <w:p w:rsidR="00103EB9" w:rsidRPr="00E4643D" w:rsidRDefault="00103EB9" w:rsidP="003A15F7">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90%</w:t>
            </w:r>
          </w:p>
        </w:tc>
        <w:tc>
          <w:tcPr>
            <w:tcW w:w="1620" w:type="dxa"/>
          </w:tcPr>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100%</w:t>
            </w:r>
          </w:p>
        </w:tc>
      </w:tr>
      <w:tr w:rsidR="00103EB9" w:rsidRPr="00E4643D" w:rsidTr="00902397">
        <w:trPr>
          <w:trHeight w:val="800"/>
        </w:trPr>
        <w:tc>
          <w:tcPr>
            <w:tcW w:w="2640" w:type="dxa"/>
          </w:tcPr>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Erythrocyte Sedimentation Rate (ESR):</w:t>
            </w:r>
          </w:p>
        </w:tc>
        <w:tc>
          <w:tcPr>
            <w:tcW w:w="5190" w:type="dxa"/>
          </w:tcPr>
          <w:p w:rsidR="00103EB9" w:rsidRPr="00E4643D" w:rsidRDefault="00103EB9" w:rsidP="00AF133C">
            <w:pPr>
              <w:rPr>
                <w:rFonts w:ascii="Times New Roman" w:eastAsia="Times New Roman" w:hAnsi="Times New Roman" w:cs="Times New Roman"/>
              </w:rPr>
            </w:pPr>
            <w:r w:rsidRPr="00E4643D">
              <w:rPr>
                <w:rFonts w:ascii="Times New Roman" w:eastAsia="Times New Roman" w:hAnsi="Times New Roman" w:cs="Times New Roman"/>
              </w:rPr>
              <w:t></w:t>
            </w:r>
            <w:r w:rsidR="006973A6" w:rsidRPr="00E4643D">
              <w:rPr>
                <w:rFonts w:ascii="Times New Roman" w:eastAsia="Times New Roman" w:hAnsi="Times New Roman" w:cs="Times New Roman"/>
              </w:rPr>
              <w:t xml:space="preserve"> </w:t>
            </w:r>
            <w:r w:rsidRPr="00E4643D">
              <w:rPr>
                <w:rFonts w:ascii="Times New Roman" w:eastAsia="Times New Roman" w:hAnsi="Times New Roman" w:cs="Times New Roman"/>
              </w:rPr>
              <w:t>Men: 0–15 mm/</w:t>
            </w:r>
            <w:r w:rsidR="006973A6" w:rsidRPr="00E4643D">
              <w:rPr>
                <w:rFonts w:ascii="Times New Roman" w:eastAsia="Times New Roman" w:hAnsi="Times New Roman" w:cs="Times New Roman"/>
              </w:rPr>
              <w:t>hr.</w:t>
            </w:r>
          </w:p>
          <w:p w:rsidR="00103EB9" w:rsidRPr="00E4643D" w:rsidRDefault="00103EB9" w:rsidP="00AF133C">
            <w:pPr>
              <w:pStyle w:val="Standard"/>
              <w:suppressAutoHyphens w:val="0"/>
              <w:textAlignment w:val="auto"/>
              <w:rPr>
                <w:rFonts w:ascii="Times New Roman" w:eastAsia="Times New Roman" w:hAnsi="Times New Roman" w:cs="Times New Roman"/>
                <w:kern w:val="0"/>
                <w:sz w:val="22"/>
                <w:szCs w:val="22"/>
                <w:lang w:eastAsia="en-US" w:bidi="ar-SA"/>
              </w:rPr>
            </w:pPr>
            <w:r w:rsidRPr="00E4643D">
              <w:rPr>
                <w:rFonts w:ascii="Times New Roman" w:eastAsia="Times New Roman" w:hAnsi="Times New Roman" w:cs="Times New Roman"/>
                <w:kern w:val="0"/>
                <w:sz w:val="22"/>
                <w:szCs w:val="22"/>
                <w:lang w:eastAsia="en-US" w:bidi="ar-SA"/>
              </w:rPr>
              <w:t> Women: 0–20 mm/</w:t>
            </w:r>
            <w:r w:rsidR="006973A6" w:rsidRPr="00E4643D">
              <w:rPr>
                <w:rFonts w:ascii="Times New Roman" w:eastAsia="Times New Roman" w:hAnsi="Times New Roman" w:cs="Times New Roman"/>
                <w:kern w:val="0"/>
                <w:sz w:val="22"/>
                <w:szCs w:val="22"/>
                <w:lang w:eastAsia="en-US" w:bidi="ar-SA"/>
              </w:rPr>
              <w:t>hr.</w:t>
            </w:r>
          </w:p>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b/>
                <w:sz w:val="22"/>
                <w:szCs w:val="22"/>
              </w:rPr>
              <w:t>Interpretation:</w:t>
            </w:r>
            <w:r w:rsidRPr="00E4643D">
              <w:rPr>
                <w:rFonts w:ascii="Times New Roman" w:hAnsi="Times New Roman" w:cs="Times New Roman"/>
                <w:sz w:val="22"/>
                <w:szCs w:val="22"/>
              </w:rPr>
              <w:t xml:space="preserve"> </w:t>
            </w:r>
            <w:r w:rsidRPr="00E4643D">
              <w:rPr>
                <w:rFonts w:ascii="Times New Roman" w:hAnsi="Times New Roman" w:cs="Times New Roman"/>
                <w:bCs/>
                <w:sz w:val="22"/>
                <w:szCs w:val="22"/>
              </w:rPr>
              <w:t>Elevated</w:t>
            </w:r>
            <w:r w:rsidRPr="00E4643D">
              <w:rPr>
                <w:rFonts w:ascii="Times New Roman" w:hAnsi="Times New Roman" w:cs="Times New Roman"/>
                <w:sz w:val="22"/>
                <w:szCs w:val="22"/>
              </w:rPr>
              <w:t xml:space="preserve"> values </w:t>
            </w:r>
            <w:r w:rsidRPr="00E4643D">
              <w:rPr>
                <w:rFonts w:ascii="Times New Roman" w:hAnsi="Times New Roman" w:cs="Times New Roman"/>
                <w:bCs/>
                <w:sz w:val="22"/>
                <w:szCs w:val="22"/>
              </w:rPr>
              <w:t>suggest</w:t>
            </w:r>
            <w:r w:rsidRPr="00E4643D">
              <w:rPr>
                <w:rFonts w:ascii="Times New Roman" w:hAnsi="Times New Roman" w:cs="Times New Roman"/>
                <w:sz w:val="22"/>
                <w:szCs w:val="22"/>
              </w:rPr>
              <w:t xml:space="preserve"> inflammation but are not </w:t>
            </w:r>
            <w:r w:rsidRPr="00E4643D">
              <w:rPr>
                <w:rFonts w:ascii="Times New Roman" w:hAnsi="Times New Roman" w:cs="Times New Roman"/>
                <w:bCs/>
                <w:sz w:val="22"/>
                <w:szCs w:val="22"/>
              </w:rPr>
              <w:t>exclusive</w:t>
            </w:r>
            <w:r w:rsidRPr="00E4643D">
              <w:rPr>
                <w:rFonts w:ascii="Times New Roman" w:hAnsi="Times New Roman" w:cs="Times New Roman"/>
                <w:sz w:val="22"/>
                <w:szCs w:val="22"/>
              </w:rPr>
              <w:t xml:space="preserve"> to RA.</w:t>
            </w:r>
          </w:p>
        </w:tc>
        <w:tc>
          <w:tcPr>
            <w:tcW w:w="1620" w:type="dxa"/>
          </w:tcPr>
          <w:p w:rsidR="00103EB9" w:rsidRPr="00E4643D" w:rsidRDefault="00103EB9" w:rsidP="003A15F7">
            <w:pPr>
              <w:pStyle w:val="Standard"/>
              <w:suppressAutoHyphens w:val="0"/>
              <w:jc w:val="center"/>
              <w:textAlignment w:val="auto"/>
              <w:rPr>
                <w:rFonts w:ascii="Times New Roman" w:hAnsi="Times New Roman" w:cs="Times New Roman"/>
                <w:sz w:val="22"/>
                <w:szCs w:val="22"/>
              </w:rPr>
            </w:pPr>
          </w:p>
          <w:p w:rsidR="00103EB9" w:rsidRPr="00E4643D" w:rsidRDefault="00103EB9" w:rsidP="003A15F7">
            <w:pPr>
              <w:pStyle w:val="Standard"/>
              <w:suppressAutoHyphens w:val="0"/>
              <w:jc w:val="center"/>
              <w:textAlignment w:val="auto"/>
              <w:rPr>
                <w:rFonts w:ascii="Times New Roman" w:hAnsi="Times New Roman" w:cs="Times New Roman"/>
                <w:sz w:val="22"/>
                <w:szCs w:val="22"/>
              </w:rPr>
            </w:pPr>
          </w:p>
          <w:p w:rsidR="00103EB9" w:rsidRPr="00E4643D" w:rsidRDefault="00103EB9" w:rsidP="003A15F7">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60-80%</w:t>
            </w:r>
          </w:p>
        </w:tc>
        <w:tc>
          <w:tcPr>
            <w:tcW w:w="1620" w:type="dxa"/>
          </w:tcPr>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 xml:space="preserve">Low Elevated in many conditions. </w:t>
            </w:r>
          </w:p>
        </w:tc>
      </w:tr>
      <w:tr w:rsidR="00103EB9" w:rsidRPr="00E4643D" w:rsidTr="00902397">
        <w:trPr>
          <w:trHeight w:val="170"/>
        </w:trPr>
        <w:tc>
          <w:tcPr>
            <w:tcW w:w="2640" w:type="dxa"/>
          </w:tcPr>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C-Reactive Protein (CRP):</w:t>
            </w:r>
          </w:p>
        </w:tc>
        <w:tc>
          <w:tcPr>
            <w:tcW w:w="5190" w:type="dxa"/>
          </w:tcPr>
          <w:p w:rsidR="00902397" w:rsidRPr="00E4643D" w:rsidRDefault="003A15F7" w:rsidP="00AF133C">
            <w:pPr>
              <w:rPr>
                <w:rFonts w:ascii="Times New Roman" w:hAnsi="Times New Roman" w:cs="Times New Roman"/>
              </w:rPr>
            </w:pPr>
            <w:r>
              <w:rPr>
                <w:rFonts w:ascii="Times New Roman" w:hAnsi="Times New Roman" w:cs="Times New Roman"/>
              </w:rPr>
              <w:t xml:space="preserve">Greater than </w:t>
            </w:r>
            <w:r w:rsidR="00103EB9" w:rsidRPr="00E4643D">
              <w:rPr>
                <w:rFonts w:ascii="Times New Roman" w:hAnsi="Times New Roman" w:cs="Times New Roman"/>
              </w:rPr>
              <w:t>1.0 mg/L</w:t>
            </w:r>
          </w:p>
          <w:p w:rsidR="00103EB9" w:rsidRPr="00E4643D" w:rsidRDefault="00103EB9" w:rsidP="00AF133C">
            <w:pPr>
              <w:rPr>
                <w:rFonts w:ascii="Times New Roman" w:hAnsi="Times New Roman" w:cs="Times New Roman"/>
              </w:rPr>
            </w:pPr>
            <w:r w:rsidRPr="00E4643D">
              <w:rPr>
                <w:rStyle w:val="Strong"/>
                <w:rFonts w:ascii="Times New Roman" w:hAnsi="Times New Roman" w:cs="Times New Roman"/>
              </w:rPr>
              <w:t>Interpretation:</w:t>
            </w:r>
            <w:r w:rsidRPr="00E4643D">
              <w:rPr>
                <w:rFonts w:ascii="Times New Roman" w:hAnsi="Times New Roman" w:cs="Times New Roman"/>
              </w:rPr>
              <w:t xml:space="preserve"> </w:t>
            </w:r>
          </w:p>
          <w:p w:rsidR="00103EB9" w:rsidRPr="00E4643D" w:rsidRDefault="00103EB9" w:rsidP="00AF133C">
            <w:pPr>
              <w:rPr>
                <w:rFonts w:ascii="Times New Roman" w:eastAsia="Times New Roman" w:hAnsi="Times New Roman" w:cs="Times New Roman"/>
              </w:rPr>
            </w:pPr>
            <w:r w:rsidRPr="00E4643D">
              <w:rPr>
                <w:rFonts w:ascii="Times New Roman" w:hAnsi="Times New Roman" w:cs="Times New Roman"/>
                <w:bCs/>
              </w:rPr>
              <w:t>Increased</w:t>
            </w:r>
            <w:r w:rsidRPr="00E4643D">
              <w:rPr>
                <w:rFonts w:ascii="Times New Roman" w:hAnsi="Times New Roman" w:cs="Times New Roman"/>
              </w:rPr>
              <w:t xml:space="preserve"> levels </w:t>
            </w:r>
            <w:r w:rsidRPr="00E4643D">
              <w:rPr>
                <w:rFonts w:ascii="Times New Roman" w:hAnsi="Times New Roman" w:cs="Times New Roman"/>
                <w:bCs/>
              </w:rPr>
              <w:t>indicate</w:t>
            </w:r>
            <w:r w:rsidRPr="00E4643D">
              <w:rPr>
                <w:rFonts w:ascii="Times New Roman" w:hAnsi="Times New Roman" w:cs="Times New Roman"/>
              </w:rPr>
              <w:t xml:space="preserve"> inflammation; </w:t>
            </w:r>
            <w:r w:rsidRPr="00E4643D">
              <w:rPr>
                <w:rFonts w:ascii="Times New Roman" w:hAnsi="Times New Roman" w:cs="Times New Roman"/>
                <w:bCs/>
              </w:rPr>
              <w:t>nonetheless</w:t>
            </w:r>
            <w:r w:rsidRPr="00E4643D">
              <w:rPr>
                <w:rFonts w:ascii="Times New Roman" w:hAnsi="Times New Roman" w:cs="Times New Roman"/>
              </w:rPr>
              <w:t xml:space="preserve">, CRP is not </w:t>
            </w:r>
            <w:r w:rsidRPr="00E4643D">
              <w:rPr>
                <w:rFonts w:ascii="Times New Roman" w:hAnsi="Times New Roman" w:cs="Times New Roman"/>
                <w:bCs/>
              </w:rPr>
              <w:t>exclusive</w:t>
            </w:r>
            <w:r w:rsidRPr="00E4643D">
              <w:rPr>
                <w:rFonts w:ascii="Times New Roman" w:hAnsi="Times New Roman" w:cs="Times New Roman"/>
              </w:rPr>
              <w:t xml:space="preserve"> to RA</w:t>
            </w:r>
            <w:r w:rsidRPr="00E4643D">
              <w:rPr>
                <w:rFonts w:ascii="Times New Roman" w:hAnsi="Times New Roman" w:cs="Times New Roman"/>
                <w:bCs/>
              </w:rPr>
              <w:t>.</w:t>
            </w:r>
          </w:p>
        </w:tc>
        <w:tc>
          <w:tcPr>
            <w:tcW w:w="1620" w:type="dxa"/>
          </w:tcPr>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NA</w:t>
            </w:r>
          </w:p>
        </w:tc>
        <w:tc>
          <w:tcPr>
            <w:tcW w:w="1620" w:type="dxa"/>
          </w:tcPr>
          <w:p w:rsidR="00103EB9" w:rsidRPr="00E4643D" w:rsidRDefault="006973A6"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 xml:space="preserve"> </w:t>
            </w:r>
            <w:r w:rsidR="00103EB9" w:rsidRPr="00E4643D">
              <w:rPr>
                <w:rFonts w:ascii="Times New Roman" w:hAnsi="Times New Roman" w:cs="Times New Roman"/>
                <w:sz w:val="22"/>
                <w:szCs w:val="22"/>
              </w:rPr>
              <w:t>NA</w:t>
            </w:r>
          </w:p>
        </w:tc>
      </w:tr>
      <w:tr w:rsidR="00103EB9" w:rsidRPr="00E4643D" w:rsidTr="00902397">
        <w:trPr>
          <w:trHeight w:val="260"/>
        </w:trPr>
        <w:tc>
          <w:tcPr>
            <w:tcW w:w="2640" w:type="dxa"/>
          </w:tcPr>
          <w:p w:rsidR="00103EB9" w:rsidRPr="00E4643D" w:rsidRDefault="00103EB9" w:rsidP="00AF133C">
            <w:pPr>
              <w:rPr>
                <w:rFonts w:ascii="Times New Roman" w:eastAsia="Times New Roman" w:hAnsi="Times New Roman" w:cs="Times New Roman"/>
                <w:bCs/>
              </w:rPr>
            </w:pPr>
          </w:p>
          <w:p w:rsidR="00103EB9" w:rsidRPr="00E4643D" w:rsidRDefault="00103EB9" w:rsidP="00AF133C">
            <w:pPr>
              <w:rPr>
                <w:rFonts w:ascii="Times New Roman" w:eastAsia="Times New Roman" w:hAnsi="Times New Roman" w:cs="Times New Roman"/>
                <w:bCs/>
              </w:rPr>
            </w:pPr>
          </w:p>
          <w:p w:rsidR="00103EB9" w:rsidRPr="00E4643D" w:rsidRDefault="00103EB9" w:rsidP="00AF133C">
            <w:pPr>
              <w:rPr>
                <w:rFonts w:ascii="Times New Roman" w:eastAsia="Times New Roman" w:hAnsi="Times New Roman" w:cs="Times New Roman"/>
              </w:rPr>
            </w:pPr>
            <w:r w:rsidRPr="00E4643D">
              <w:rPr>
                <w:rFonts w:ascii="Times New Roman" w:eastAsia="Times New Roman" w:hAnsi="Times New Roman" w:cs="Times New Roman"/>
                <w:bCs/>
              </w:rPr>
              <w:t>14-3-3η Protein:</w:t>
            </w:r>
          </w:p>
          <w:p w:rsidR="00103EB9" w:rsidRPr="00E4643D" w:rsidRDefault="00103EB9" w:rsidP="00AF133C">
            <w:pPr>
              <w:pStyle w:val="Standard"/>
              <w:suppressAutoHyphens w:val="0"/>
              <w:textAlignment w:val="auto"/>
              <w:rPr>
                <w:rFonts w:ascii="Times New Roman" w:hAnsi="Times New Roman" w:cs="Times New Roman"/>
                <w:sz w:val="22"/>
                <w:szCs w:val="22"/>
              </w:rPr>
            </w:pPr>
          </w:p>
        </w:tc>
        <w:tc>
          <w:tcPr>
            <w:tcW w:w="5190" w:type="dxa"/>
          </w:tcPr>
          <w:p w:rsidR="00103EB9" w:rsidRPr="00E4643D" w:rsidRDefault="003A15F7" w:rsidP="00AF133C">
            <w:pPr>
              <w:rPr>
                <w:rFonts w:ascii="Times New Roman" w:eastAsia="Times New Roman" w:hAnsi="Times New Roman" w:cs="Times New Roman"/>
              </w:rPr>
            </w:pPr>
            <w:r>
              <w:rPr>
                <w:rFonts w:ascii="Times New Roman" w:eastAsia="Times New Roman" w:hAnsi="Times New Roman" w:cs="Times New Roman"/>
              </w:rPr>
              <w:t xml:space="preserve">Less than </w:t>
            </w:r>
            <w:r w:rsidR="00103EB9" w:rsidRPr="00E4643D">
              <w:rPr>
                <w:rFonts w:ascii="Times New Roman" w:eastAsia="Times New Roman" w:hAnsi="Times New Roman" w:cs="Times New Roman"/>
              </w:rPr>
              <w:t>0.19 ng/mL</w:t>
            </w:r>
          </w:p>
          <w:p w:rsidR="00103EB9" w:rsidRPr="00E4643D" w:rsidRDefault="00103EB9" w:rsidP="003D47A3">
            <w:pPr>
              <w:rPr>
                <w:rFonts w:ascii="Times New Roman" w:hAnsi="Times New Roman" w:cs="Times New Roman"/>
              </w:rPr>
            </w:pPr>
            <w:r w:rsidRPr="00E4643D">
              <w:rPr>
                <w:rFonts w:ascii="Times New Roman" w:eastAsia="Times New Roman" w:hAnsi="Times New Roman" w:cs="Times New Roman"/>
                <w:b/>
                <w:bCs/>
              </w:rPr>
              <w:t>Interpretation:</w:t>
            </w:r>
            <w:r w:rsidRPr="00E4643D">
              <w:rPr>
                <w:rFonts w:ascii="Times New Roman" w:eastAsia="Times New Roman" w:hAnsi="Times New Roman" w:cs="Times New Roman"/>
              </w:rPr>
              <w:t xml:space="preserve"> </w:t>
            </w:r>
            <w:r w:rsidRPr="00E4643D">
              <w:rPr>
                <w:rFonts w:ascii="Times New Roman" w:hAnsi="Times New Roman" w:cs="Times New Roman"/>
                <w:bCs/>
              </w:rPr>
              <w:t>Increased</w:t>
            </w:r>
            <w:r w:rsidRPr="00E4643D">
              <w:rPr>
                <w:rFonts w:ascii="Times New Roman" w:hAnsi="Times New Roman" w:cs="Times New Roman"/>
              </w:rPr>
              <w:t xml:space="preserve"> levels are </w:t>
            </w:r>
            <w:r w:rsidRPr="00E4643D">
              <w:rPr>
                <w:rFonts w:ascii="Times New Roman" w:hAnsi="Times New Roman" w:cs="Times New Roman"/>
                <w:bCs/>
              </w:rPr>
              <w:t>linked</w:t>
            </w:r>
            <w:r w:rsidRPr="00E4643D">
              <w:rPr>
                <w:rFonts w:ascii="Times New Roman" w:hAnsi="Times New Roman" w:cs="Times New Roman"/>
              </w:rPr>
              <w:t xml:space="preserve"> </w:t>
            </w:r>
            <w:r w:rsidRPr="00E4643D">
              <w:rPr>
                <w:rFonts w:ascii="Times New Roman" w:hAnsi="Times New Roman" w:cs="Times New Roman"/>
                <w:bCs/>
              </w:rPr>
              <w:t>to</w:t>
            </w:r>
            <w:r w:rsidRPr="00E4643D">
              <w:rPr>
                <w:rFonts w:ascii="Times New Roman" w:hAnsi="Times New Roman" w:cs="Times New Roman"/>
              </w:rPr>
              <w:t xml:space="preserve"> </w:t>
            </w:r>
            <w:r w:rsidRPr="00E4643D">
              <w:rPr>
                <w:rFonts w:ascii="Times New Roman" w:hAnsi="Times New Roman" w:cs="Times New Roman"/>
                <w:bCs/>
              </w:rPr>
              <w:t>the</w:t>
            </w:r>
            <w:r w:rsidRPr="00E4643D">
              <w:rPr>
                <w:rFonts w:ascii="Times New Roman" w:hAnsi="Times New Roman" w:cs="Times New Roman"/>
              </w:rPr>
              <w:t xml:space="preserve"> severity </w:t>
            </w:r>
            <w:r w:rsidRPr="00E4643D">
              <w:rPr>
                <w:rFonts w:ascii="Times New Roman" w:hAnsi="Times New Roman" w:cs="Times New Roman"/>
                <w:bCs/>
              </w:rPr>
              <w:t xml:space="preserve">of RA </w:t>
            </w:r>
            <w:r w:rsidRPr="00E4643D">
              <w:rPr>
                <w:rFonts w:ascii="Times New Roman" w:hAnsi="Times New Roman" w:cs="Times New Roman"/>
              </w:rPr>
              <w:t xml:space="preserve">and </w:t>
            </w:r>
            <w:r w:rsidRPr="00E4643D">
              <w:rPr>
                <w:rFonts w:ascii="Times New Roman" w:hAnsi="Times New Roman" w:cs="Times New Roman"/>
                <w:bCs/>
              </w:rPr>
              <w:t>could</w:t>
            </w:r>
            <w:r w:rsidRPr="00E4643D">
              <w:rPr>
                <w:rFonts w:ascii="Times New Roman" w:hAnsi="Times New Roman" w:cs="Times New Roman"/>
              </w:rPr>
              <w:t xml:space="preserve"> </w:t>
            </w:r>
            <w:r w:rsidRPr="00E4643D">
              <w:rPr>
                <w:rFonts w:ascii="Times New Roman" w:hAnsi="Times New Roman" w:cs="Times New Roman"/>
                <w:bCs/>
              </w:rPr>
              <w:t>indicate</w:t>
            </w:r>
            <w:r w:rsidRPr="00E4643D">
              <w:rPr>
                <w:rFonts w:ascii="Times New Roman" w:hAnsi="Times New Roman" w:cs="Times New Roman"/>
              </w:rPr>
              <w:t xml:space="preserve"> </w:t>
            </w:r>
            <w:r w:rsidRPr="00E4643D">
              <w:rPr>
                <w:rFonts w:ascii="Times New Roman" w:hAnsi="Times New Roman" w:cs="Times New Roman"/>
                <w:bCs/>
              </w:rPr>
              <w:t>the</w:t>
            </w:r>
            <w:r w:rsidRPr="00E4643D">
              <w:rPr>
                <w:rFonts w:ascii="Times New Roman" w:hAnsi="Times New Roman" w:cs="Times New Roman"/>
              </w:rPr>
              <w:t xml:space="preserve"> progressio</w:t>
            </w:r>
            <w:r w:rsidR="003D47A3">
              <w:rPr>
                <w:rFonts w:ascii="Times New Roman" w:hAnsi="Times New Roman" w:cs="Times New Roman"/>
              </w:rPr>
              <w:t xml:space="preserve">n </w:t>
            </w:r>
            <w:r w:rsidRPr="00E4643D">
              <w:rPr>
                <w:rFonts w:ascii="Times New Roman" w:hAnsi="Times New Roman" w:cs="Times New Roman"/>
                <w:bCs/>
              </w:rPr>
              <w:t>of the disease</w:t>
            </w:r>
            <w:r w:rsidRPr="00E4643D">
              <w:rPr>
                <w:rFonts w:ascii="Times New Roman" w:hAnsi="Times New Roman" w:cs="Times New Roman"/>
              </w:rPr>
              <w:t>.</w:t>
            </w:r>
          </w:p>
        </w:tc>
        <w:tc>
          <w:tcPr>
            <w:tcW w:w="1620" w:type="dxa"/>
          </w:tcPr>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73%</w:t>
            </w:r>
          </w:p>
        </w:tc>
        <w:tc>
          <w:tcPr>
            <w:tcW w:w="1620" w:type="dxa"/>
          </w:tcPr>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 xml:space="preserve">88% </w:t>
            </w:r>
          </w:p>
        </w:tc>
      </w:tr>
    </w:tbl>
    <w:p w:rsidR="00F019F4" w:rsidRDefault="002A06CD" w:rsidP="00F861EB">
      <w:pPr>
        <w:pStyle w:val="Standard"/>
        <w:suppressAutoHyphens w:val="0"/>
        <w:spacing w:before="280" w:after="280" w:line="276" w:lineRule="auto"/>
        <w:jc w:val="both"/>
        <w:textAlignment w:val="auto"/>
        <w:rPr>
          <w:rStyle w:val="resultpara4"/>
        </w:rPr>
      </w:pPr>
      <w:r>
        <w:rPr>
          <w:b/>
        </w:rPr>
        <w:t xml:space="preserve">Note:  </w:t>
      </w:r>
      <w:r w:rsidRPr="002A06CD">
        <w:rPr>
          <w:rStyle w:val="resultpara0"/>
          <w:b/>
        </w:rPr>
        <w:t>Anti-nuclear Antibodies</w:t>
      </w:r>
      <w:r w:rsidR="00D644AC">
        <w:rPr>
          <w:rStyle w:val="resultpara0"/>
          <w:b/>
        </w:rPr>
        <w:t xml:space="preserve"> (ANA</w:t>
      </w:r>
      <w:r w:rsidR="00932CB6">
        <w:rPr>
          <w:rStyle w:val="resultpara0"/>
          <w:b/>
        </w:rPr>
        <w:t>) differentiation in RA</w:t>
      </w:r>
      <w:r w:rsidRPr="002A06CD">
        <w:rPr>
          <w:rStyle w:val="resultpara0"/>
          <w:b/>
        </w:rPr>
        <w:t>-</w:t>
      </w:r>
      <w:r>
        <w:rPr>
          <w:rStyle w:val="resultpara0"/>
        </w:rPr>
        <w:t xml:space="preserve"> </w:t>
      </w:r>
      <w:r w:rsidRPr="002A06CD">
        <w:rPr>
          <w:rStyle w:val="resultpara0"/>
        </w:rPr>
        <w:t>Research</w:t>
      </w:r>
      <w:r w:rsidRPr="002A06CD">
        <w:rPr>
          <w:rStyle w:val="resultpara0"/>
          <w:bCs/>
        </w:rPr>
        <w:t xml:space="preserve"> indicates</w:t>
      </w:r>
      <w:r w:rsidRPr="002A06CD">
        <w:rPr>
          <w:rStyle w:val="resultpara0"/>
        </w:rPr>
        <w:t xml:space="preserve"> that </w:t>
      </w:r>
      <w:r w:rsidRPr="002A06CD">
        <w:rPr>
          <w:rStyle w:val="resultpara0"/>
          <w:bCs/>
        </w:rPr>
        <w:t>around</w:t>
      </w:r>
      <w:r w:rsidRPr="002A06CD">
        <w:rPr>
          <w:rStyle w:val="resultpara0"/>
        </w:rPr>
        <w:t xml:space="preserve"> 37.</w:t>
      </w:r>
      <w:r w:rsidRPr="002A06CD">
        <w:t xml:space="preserve"> </w:t>
      </w:r>
      <w:r w:rsidRPr="002A06CD">
        <w:rPr>
          <w:rStyle w:val="resultpara2"/>
        </w:rPr>
        <w:t xml:space="preserve">5% of RA patients </w:t>
      </w:r>
      <w:r w:rsidRPr="002A06CD">
        <w:rPr>
          <w:rStyle w:val="resultpara2"/>
          <w:bCs/>
        </w:rPr>
        <w:t>demonstrate</w:t>
      </w:r>
      <w:r w:rsidRPr="002A06CD">
        <w:rPr>
          <w:rStyle w:val="resultpara2"/>
        </w:rPr>
        <w:t xml:space="preserve"> positive </w:t>
      </w:r>
      <w:r w:rsidRPr="002A06CD">
        <w:rPr>
          <w:rStyle w:val="resultpara2"/>
          <w:bCs/>
        </w:rPr>
        <w:t xml:space="preserve">results </w:t>
      </w:r>
      <w:r w:rsidRPr="002A06CD">
        <w:rPr>
          <w:rStyle w:val="resultpara2"/>
        </w:rPr>
        <w:t>for ANAs.</w:t>
      </w:r>
      <w:r w:rsidRPr="002A06CD">
        <w:t xml:space="preserve"> </w:t>
      </w:r>
      <w:r w:rsidRPr="002A06CD">
        <w:rPr>
          <w:rStyle w:val="resultpara4"/>
        </w:rPr>
        <w:t xml:space="preserve">This </w:t>
      </w:r>
      <w:r w:rsidRPr="002A06CD">
        <w:rPr>
          <w:rStyle w:val="resultpara4"/>
          <w:bCs/>
        </w:rPr>
        <w:t>suggests</w:t>
      </w:r>
      <w:r w:rsidRPr="002A06CD">
        <w:rPr>
          <w:rStyle w:val="resultpara4"/>
        </w:rPr>
        <w:t xml:space="preserve"> that </w:t>
      </w:r>
      <w:r w:rsidRPr="002A06CD">
        <w:rPr>
          <w:rStyle w:val="resultpara4"/>
          <w:bCs/>
        </w:rPr>
        <w:t>although</w:t>
      </w:r>
      <w:r w:rsidRPr="002A06CD">
        <w:rPr>
          <w:rStyle w:val="resultpara4"/>
        </w:rPr>
        <w:t xml:space="preserve"> a </w:t>
      </w:r>
      <w:r w:rsidRPr="002A06CD">
        <w:rPr>
          <w:rStyle w:val="resultpara4"/>
          <w:bCs/>
        </w:rPr>
        <w:t>considerable proportion</w:t>
      </w:r>
      <w:r w:rsidRPr="002A06CD">
        <w:rPr>
          <w:rStyle w:val="resultpara4"/>
        </w:rPr>
        <w:t xml:space="preserve"> of RA patients </w:t>
      </w:r>
      <w:r w:rsidRPr="002A06CD">
        <w:rPr>
          <w:rStyle w:val="resultpara4"/>
          <w:bCs/>
        </w:rPr>
        <w:t>show</w:t>
      </w:r>
      <w:r w:rsidRPr="002A06CD">
        <w:rPr>
          <w:rStyle w:val="resultpara4"/>
        </w:rPr>
        <w:t xml:space="preserve"> ANA positivity, it is not </w:t>
      </w:r>
      <w:r w:rsidRPr="002A06CD">
        <w:rPr>
          <w:rStyle w:val="resultpara4"/>
          <w:bCs/>
        </w:rPr>
        <w:t>an all-encompassing</w:t>
      </w:r>
      <w:r w:rsidRPr="002A06CD">
        <w:rPr>
          <w:rStyle w:val="resultpara4"/>
        </w:rPr>
        <w:t xml:space="preserve"> finding in RA</w:t>
      </w:r>
      <w:r w:rsidR="00D644AC">
        <w:rPr>
          <w:rStyle w:val="resultpara4"/>
        </w:rPr>
        <w:t xml:space="preserve">. </w:t>
      </w:r>
      <w:r w:rsidR="00D644AC" w:rsidRPr="00D644AC">
        <w:rPr>
          <w:rStyle w:val="resultpara4"/>
        </w:rPr>
        <w:t xml:space="preserve">Furthermore, </w:t>
      </w:r>
      <w:r w:rsidR="00C901ED">
        <w:rPr>
          <w:rStyle w:val="resultpara4"/>
        </w:rPr>
        <w:t xml:space="preserve">in </w:t>
      </w:r>
      <w:r w:rsidR="00D644AC" w:rsidRPr="00D644AC">
        <w:rPr>
          <w:rStyle w:val="resultpara0"/>
        </w:rPr>
        <w:t>2019</w:t>
      </w:r>
      <w:r w:rsidR="00C901ED">
        <w:rPr>
          <w:rStyle w:val="resultpara0"/>
        </w:rPr>
        <w:t xml:space="preserve">, </w:t>
      </w:r>
      <w:r w:rsidR="00C901ED" w:rsidRPr="00D644AC">
        <w:rPr>
          <w:rStyle w:val="resultpara0"/>
        </w:rPr>
        <w:t>a</w:t>
      </w:r>
      <w:r w:rsidR="00D644AC">
        <w:rPr>
          <w:rStyle w:val="resultpara0"/>
        </w:rPr>
        <w:t xml:space="preserve"> </w:t>
      </w:r>
      <w:r w:rsidR="00D644AC">
        <w:rPr>
          <w:rStyle w:val="resultpara0"/>
          <w:bCs/>
        </w:rPr>
        <w:t xml:space="preserve">study </w:t>
      </w:r>
      <w:r w:rsidR="00784577">
        <w:rPr>
          <w:rStyle w:val="resultpara0"/>
          <w:bCs/>
        </w:rPr>
        <w:t xml:space="preserve">participants amongst </w:t>
      </w:r>
      <w:r w:rsidR="00D644AC" w:rsidRPr="00D644AC">
        <w:rPr>
          <w:rStyle w:val="resultpara0"/>
        </w:rPr>
        <w:t xml:space="preserve">230 patients </w:t>
      </w:r>
      <w:r w:rsidR="00D644AC" w:rsidRPr="00D644AC">
        <w:rPr>
          <w:rStyle w:val="resultpara0"/>
          <w:bCs/>
        </w:rPr>
        <w:t>with RA revealed</w:t>
      </w:r>
      <w:r w:rsidR="00D644AC" w:rsidRPr="00D644AC">
        <w:rPr>
          <w:rStyle w:val="resultpara0"/>
        </w:rPr>
        <w:t xml:space="preserve"> that 25.</w:t>
      </w:r>
      <w:r w:rsidR="00D644AC" w:rsidRPr="00D644AC">
        <w:t xml:space="preserve"> </w:t>
      </w:r>
      <w:r w:rsidR="00D644AC" w:rsidRPr="00D644AC">
        <w:rPr>
          <w:rStyle w:val="resultpara2"/>
        </w:rPr>
        <w:t xml:space="preserve">2% </w:t>
      </w:r>
      <w:r w:rsidR="00D644AC" w:rsidRPr="00D644AC">
        <w:rPr>
          <w:rStyle w:val="resultpara2"/>
          <w:bCs/>
        </w:rPr>
        <w:t>were</w:t>
      </w:r>
      <w:r w:rsidR="00D644AC" w:rsidRPr="00D644AC">
        <w:rPr>
          <w:rStyle w:val="resultpara2"/>
        </w:rPr>
        <w:t xml:space="preserve"> positive for ANAs.</w:t>
      </w:r>
      <w:r w:rsidR="00D644AC" w:rsidRPr="00D644AC">
        <w:t xml:space="preserve"> </w:t>
      </w:r>
      <w:r w:rsidR="00D644AC" w:rsidRPr="00D644AC">
        <w:rPr>
          <w:rStyle w:val="resultpara4"/>
        </w:rPr>
        <w:t xml:space="preserve">This positivity </w:t>
      </w:r>
      <w:r w:rsidR="00D644AC" w:rsidRPr="00D644AC">
        <w:rPr>
          <w:rStyle w:val="resultpara4"/>
          <w:bCs/>
        </w:rPr>
        <w:t xml:space="preserve">for ANAs </w:t>
      </w:r>
      <w:r w:rsidR="00D644AC" w:rsidRPr="00D644AC">
        <w:rPr>
          <w:rStyle w:val="resultpara4"/>
        </w:rPr>
        <w:t xml:space="preserve">was </w:t>
      </w:r>
      <w:r w:rsidR="00D644AC" w:rsidRPr="00D644AC">
        <w:rPr>
          <w:rStyle w:val="resultpara4"/>
          <w:bCs/>
        </w:rPr>
        <w:t>strongly linked to</w:t>
      </w:r>
      <w:r w:rsidR="00D644AC" w:rsidRPr="00D644AC">
        <w:rPr>
          <w:rStyle w:val="resultpara4"/>
        </w:rPr>
        <w:t xml:space="preserve"> the </w:t>
      </w:r>
      <w:r w:rsidR="00784577" w:rsidRPr="00D644AC">
        <w:rPr>
          <w:rStyle w:val="resultpara4"/>
        </w:rPr>
        <w:t>occurrence</w:t>
      </w:r>
      <w:r w:rsidR="00D644AC" w:rsidRPr="00D644AC">
        <w:rPr>
          <w:rStyle w:val="resultpara4"/>
        </w:rPr>
        <w:t xml:space="preserve"> of other autoantibodies, </w:t>
      </w:r>
      <w:r w:rsidR="00D644AC" w:rsidRPr="00D644AC">
        <w:rPr>
          <w:rStyle w:val="resultpara4"/>
          <w:bCs/>
        </w:rPr>
        <w:t>including</w:t>
      </w:r>
      <w:r w:rsidR="00D644AC" w:rsidRPr="00D644AC">
        <w:rPr>
          <w:rStyle w:val="resultpara4"/>
        </w:rPr>
        <w:t xml:space="preserve"> anti-Ro/SSA, anti-La, and anti-Jo-1 </w:t>
      </w:r>
      <w:r w:rsidR="00D644AC" w:rsidRPr="00D644AC">
        <w:rPr>
          <w:rStyle w:val="resultpara4"/>
        </w:rPr>
        <w:fldChar w:fldCharType="begin"/>
      </w:r>
      <w:r w:rsidR="004F7308">
        <w:rPr>
          <w:rStyle w:val="resultpara4"/>
        </w:rPr>
        <w:instrText xml:space="preserve"> ADDIN ZOTERO_ITEM CSL_CITATION {"citationID":"E1T4Yi2c","properties":{"formattedCitation":"\\super 50,51\\nosupersub{}","plainCitation":"50,51","dontUpdate":true,"noteIndex":0},"citationItems":[{"id":533,"uris":["http://zotero.org/users/local/BfzbJtgR/items/NDS2D688"],"itemData":{"id":533,"type":"article-journal","abstract":"OBJECTIVES: To study the frequency of different autoantibodies to extractable nuclear antigens (ENAs) in rheumatoid arthritis (RA) patients and to correlate findings with clinical manifestations, disease activity and radiological damage.\nMETHODS: A total of 230 RA patients were included and 75 healthy controls. In all patients rheumatological assessment was done and routine laboratory investigations and immune profile were performed in both patients and controls, including: RF, ACPA, ANA and anti-ENAs (Ro/SSA, La/SSB, U1-RNP, anti-Jo-1 and anti-Sm). Radiological damage was scored using Sharp/van der Heijde, and disease activity was evaluated by DAS28-ESR and DAS28-CRP.\nRESULTS: RF was positive in 101 (43.9%), ACPA in 220 (95.7%), ANA in 58 (25.2%), anti Ro in 31 (13.5%), anti-La in 10 (4.3%), anti-Jo1 in 5 (2.2%) and anti-RNP in 2 (0.9%). Anti-Ro/SSA positively correlated with sicca symptoms (p=.02), RF titer (p&lt;.001), ANA (p&lt;.001), DAS28-ESR (p=.026), and DAS28-CRP (p=.003). Anti-La antibodies correlated positively with SJC (p=.001), TJC (p=.001), ANA (p&lt;.001), DAS-28 ESR (p=.007). Anti-Jo-1 correlated positively with interstitial lung disease (ILD) (p≤.001), RF titer (p=.037) and ANA (p≤.001). Anti-RNP antibodies correlated positively with disease duration (p≤.001), ACPA titer (p≤.001) and ANA (p=.014). In the controls ANA was positive in two (2.7%), anti-Ro in three (4%), and none of the controls tested positive for other autoantibodies.\nCONCLUSIONS: In RA patients, positive ANA is frequent and positively associated with anti-Ro, anti-La and anti-Jo1 autoantibodies. Screening for autoantibodies against other anti-ENAs seems mandatory in RA patients especially when ANA is positive. RA cases with positive Anti-Jo-1 may develop anti synthetase syndrome and ILD.","container-title":"Reumatologia Clinica","DOI":"10.1016/j.reuma.2019.10.001","ISSN":"2173-5743","issue":"5","journalAbbreviation":"Reumatol Clin (Engl Ed)","language":"eng, spa","note":"PMID: 31812441","page":"250-257","source":"PubMed","title":"Autoantibodies to extractable nuclear antigens (ENAs) pattern in rheumatoid arthritis patients: Relevance and clinical implications","title-short":"Autoantibodies to extractable nuclear antigens (ENAs) pattern in rheumatoid arthritis patients","volume":"17","author":[{"family":"Emad","given":"Yasser"},{"family":"Ragab","given":"Yasser"},{"family":"Hammam","given":"Nevin"},{"family":"El-Shaarawy","given":"Nashwa"},{"family":"Ibrahim","given":"Ossama"},{"family":"Gamal","given":"Rania M."},{"family":"Abd-Elsalam","given":"Magdy"},{"family":"Mohammed","given":"Reem H. A."},{"family":"Hawass","given":"Mona"},{"family":"Rasker","given":"Johannes J."}],"issued":{"date-parts":[["2021",5]]}}},{"id":531,"uris":["http://zotero.org/users/local/BfzbJtgR/items/NPPH9VRL"],"itemData":{"id":531,"type":"article-journal","abstract":"Some patients with rheumatoid arthritis (RA) as well as those with other collagen diseases are positive for antinuclear antibody (ANA). We investigated the frequency of positivity for ANA in 104 patients with RA and evaluated the clinical features and laboratory data in the ANA-positive and -negative groups. The presence of ANA in sera was studied by indirect immunofluorescence using HEp-2 cells as the antigen substrate. Sera with a positive fluorescence at a dilution of 1:20 were considered to be positive for ANA. Of the 104 patients, 39 (37.5%) were positive for ANA. The staining pattern in the positive cases varied, but most were speckled (64.1%) and homogeneous (48.7%). A small number showed a nucleolar (20.5%) or a centromere (10.3%) pattern. None showed a shaggy pattern. The ANA titer was lower in RA patients compared with those with other collagen-related diseases such as systemic lupus erythematosus or progressive systematic sclerosis. None of the patients positive for ANA with either a nucleolar or centromere staining pattern had progressive systemic sclerosis or the CREST syndrome. One patient each had Raynaud's phenomenon and pulmonary fibrosis. There was no correlation between ANA positivity and indicators of joint inflammation. The prevalence of ANA positivity in patients with advanced or prolonged disease was higher than those with early stages or short durations. There was no correlation with drug therapy.","container-title":"Acta Medica Okayama","DOI":"10.18926/AMO/30501","ISSN":"0386-300X","issue":"5","journalAbbreviation":"Acta Med Okayama","language":"eng","note":"PMID: 8914679","page":"261-265","source":"PubMed","title":"Positivity for antinuclear antibody in patients with advanced rheumatoid arthritis","volume":"50","author":[{"family":"Nishimura","given":"S."},{"family":"Nishiya","given":"K."},{"family":"Hisakawa","given":"N."},{"family":"Chikazawa","given":"H."},{"family":"Ookubo","given":"S."},{"family":"Nakatani","given":"K."},{"family":"Hashimoto","given":"K."}],"issued":{"date-parts":[["1996",10]]}}}],"schema":"https://github.com/citation-style-language/schema/raw/master/csl-citation.json"} </w:instrText>
      </w:r>
      <w:r w:rsidR="00D644AC" w:rsidRPr="00D644AC">
        <w:rPr>
          <w:rStyle w:val="resultpara4"/>
        </w:rPr>
        <w:fldChar w:fldCharType="separate"/>
      </w:r>
      <w:r w:rsidR="004A6558" w:rsidRPr="004A6558">
        <w:rPr>
          <w:rFonts w:cs="Times New Roman"/>
          <w:vertAlign w:val="superscript"/>
        </w:rPr>
        <w:t>50</w:t>
      </w:r>
      <w:r w:rsidR="00E4643D" w:rsidRPr="004A6558">
        <w:rPr>
          <w:rFonts w:cs="Times New Roman"/>
          <w:vertAlign w:val="superscript"/>
        </w:rPr>
        <w:t>, 51</w:t>
      </w:r>
      <w:r w:rsidR="00D644AC" w:rsidRPr="00D644AC">
        <w:rPr>
          <w:rStyle w:val="resultpara4"/>
        </w:rPr>
        <w:fldChar w:fldCharType="end"/>
      </w:r>
      <w:r w:rsidR="0015022C">
        <w:rPr>
          <w:rStyle w:val="resultpara4"/>
        </w:rPr>
        <w:t>.</w:t>
      </w:r>
    </w:p>
    <w:p w:rsidR="00CD0843" w:rsidRDefault="00CD0843" w:rsidP="00F861EB">
      <w:pPr>
        <w:pStyle w:val="Standard"/>
        <w:suppressAutoHyphens w:val="0"/>
        <w:spacing w:before="280" w:after="280" w:line="276" w:lineRule="auto"/>
        <w:jc w:val="both"/>
        <w:textAlignment w:val="auto"/>
        <w:rPr>
          <w:rStyle w:val="Heading3Char"/>
          <w:rFonts w:ascii="Times New Roman" w:hAnsi="Times New Roman" w:cs="Times New Roman"/>
          <w:color w:val="auto"/>
          <w:sz w:val="24"/>
        </w:rPr>
      </w:pPr>
      <w:bookmarkStart w:id="6" w:name="_Toc193802117"/>
      <w:r w:rsidRPr="00CD0843">
        <w:rPr>
          <w:rStyle w:val="Heading3Char"/>
          <w:rFonts w:ascii="Times New Roman" w:hAnsi="Times New Roman" w:cs="Times New Roman"/>
          <w:color w:val="auto"/>
          <w:sz w:val="24"/>
        </w:rPr>
        <w:t xml:space="preserve">2.1.3. </w:t>
      </w:r>
      <w:r w:rsidR="002A06CD" w:rsidRPr="00CD0843">
        <w:rPr>
          <w:rStyle w:val="Heading3Char"/>
          <w:rFonts w:ascii="Times New Roman" w:hAnsi="Times New Roman" w:cs="Times New Roman"/>
          <w:color w:val="auto"/>
          <w:sz w:val="24"/>
        </w:rPr>
        <w:t xml:space="preserve">Systemic Lupus </w:t>
      </w:r>
      <w:r w:rsidR="003D47A3">
        <w:rPr>
          <w:rStyle w:val="Heading3Char"/>
          <w:rFonts w:ascii="Times New Roman" w:hAnsi="Times New Roman" w:cs="Times New Roman"/>
          <w:color w:val="auto"/>
          <w:sz w:val="24"/>
        </w:rPr>
        <w:t>Erythematosus</w:t>
      </w:r>
      <w:r w:rsidR="002A06CD" w:rsidRPr="00CD0843">
        <w:rPr>
          <w:rStyle w:val="Heading3Char"/>
          <w:rFonts w:ascii="Times New Roman" w:hAnsi="Times New Roman" w:cs="Times New Roman"/>
          <w:color w:val="auto"/>
          <w:sz w:val="24"/>
        </w:rPr>
        <w:t xml:space="preserve"> (SLE)</w:t>
      </w:r>
      <w:bookmarkEnd w:id="6"/>
    </w:p>
    <w:p w:rsidR="0015022C" w:rsidRPr="00187CE0" w:rsidRDefault="003D47A3" w:rsidP="0015022C">
      <w:pPr>
        <w:pStyle w:val="Standard"/>
        <w:suppressAutoHyphens w:val="0"/>
        <w:spacing w:before="280" w:after="280" w:line="276" w:lineRule="auto"/>
        <w:jc w:val="both"/>
        <w:textAlignment w:val="auto"/>
        <w:rPr>
          <w:rFonts w:ascii="Times New Roman" w:hAnsi="Times New Roman" w:cs="Times New Roman"/>
        </w:rPr>
      </w:pPr>
      <w:r>
        <w:rPr>
          <w:rFonts w:ascii="Times New Roman" w:hAnsi="Times New Roman" w:cs="Times New Roman"/>
          <w:bCs/>
        </w:rPr>
        <w:t>A long-term</w:t>
      </w:r>
      <w:r w:rsidR="0015022C" w:rsidRPr="00187CE0">
        <w:rPr>
          <w:rFonts w:ascii="Times New Roman" w:hAnsi="Times New Roman" w:cs="Times New Roman"/>
        </w:rPr>
        <w:t xml:space="preserve"> autoimmune </w:t>
      </w:r>
      <w:r w:rsidR="0015022C" w:rsidRPr="00187CE0">
        <w:rPr>
          <w:rFonts w:ascii="Times New Roman" w:hAnsi="Times New Roman" w:cs="Times New Roman"/>
          <w:bCs/>
        </w:rPr>
        <w:t>disorder</w:t>
      </w:r>
      <w:r w:rsidR="0015022C" w:rsidRPr="00187CE0">
        <w:rPr>
          <w:rFonts w:ascii="Times New Roman" w:hAnsi="Times New Roman" w:cs="Times New Roman"/>
        </w:rPr>
        <w:t xml:space="preserve"> </w:t>
      </w:r>
      <w:r w:rsidR="0015022C" w:rsidRPr="00187CE0">
        <w:rPr>
          <w:rFonts w:ascii="Times New Roman" w:hAnsi="Times New Roman" w:cs="Times New Roman"/>
          <w:bCs/>
        </w:rPr>
        <w:t>whereby</w:t>
      </w:r>
      <w:r w:rsidR="0015022C" w:rsidRPr="00187CE0">
        <w:rPr>
          <w:rFonts w:ascii="Times New Roman" w:hAnsi="Times New Roman" w:cs="Times New Roman"/>
        </w:rPr>
        <w:t xml:space="preserve"> the immune system </w:t>
      </w:r>
      <w:r w:rsidR="0015022C" w:rsidRPr="00187CE0">
        <w:rPr>
          <w:rFonts w:ascii="Times New Roman" w:hAnsi="Times New Roman" w:cs="Times New Roman"/>
          <w:bCs/>
        </w:rPr>
        <w:t>erroneously</w:t>
      </w:r>
      <w:r w:rsidR="0015022C" w:rsidRPr="00187CE0">
        <w:rPr>
          <w:rFonts w:ascii="Times New Roman" w:hAnsi="Times New Roman" w:cs="Times New Roman"/>
        </w:rPr>
        <w:t xml:space="preserve"> </w:t>
      </w:r>
      <w:r w:rsidR="0015022C" w:rsidRPr="00187CE0">
        <w:rPr>
          <w:rFonts w:ascii="Times New Roman" w:hAnsi="Times New Roman" w:cs="Times New Roman"/>
          <w:bCs/>
        </w:rPr>
        <w:t>assaults</w:t>
      </w:r>
      <w:r w:rsidR="0015022C" w:rsidRPr="00187CE0">
        <w:rPr>
          <w:rFonts w:ascii="Times New Roman" w:hAnsi="Times New Roman" w:cs="Times New Roman"/>
        </w:rPr>
        <w:t xml:space="preserve"> healthy </w:t>
      </w:r>
      <w:r w:rsidR="0015022C" w:rsidRPr="00187CE0">
        <w:rPr>
          <w:rFonts w:ascii="Times New Roman" w:hAnsi="Times New Roman" w:cs="Times New Roman"/>
          <w:bCs/>
        </w:rPr>
        <w:t>cells</w:t>
      </w:r>
      <w:r w:rsidR="0015022C" w:rsidRPr="00187CE0">
        <w:rPr>
          <w:rFonts w:ascii="Times New Roman" w:hAnsi="Times New Roman" w:cs="Times New Roman"/>
        </w:rPr>
        <w:t xml:space="preserve">, </w:t>
      </w:r>
      <w:r w:rsidR="0015022C" w:rsidRPr="00187CE0">
        <w:rPr>
          <w:rFonts w:ascii="Times New Roman" w:hAnsi="Times New Roman" w:cs="Times New Roman"/>
          <w:bCs/>
        </w:rPr>
        <w:t>causing</w:t>
      </w:r>
      <w:r w:rsidR="0015022C" w:rsidRPr="00187CE0">
        <w:rPr>
          <w:rFonts w:ascii="Times New Roman" w:hAnsi="Times New Roman" w:cs="Times New Roman"/>
        </w:rPr>
        <w:t xml:space="preserve"> </w:t>
      </w:r>
      <w:r w:rsidR="0015022C" w:rsidRPr="00187CE0">
        <w:rPr>
          <w:rFonts w:ascii="Times New Roman" w:hAnsi="Times New Roman" w:cs="Times New Roman"/>
          <w:bCs/>
        </w:rPr>
        <w:t>major</w:t>
      </w:r>
      <w:r w:rsidR="0015022C" w:rsidRPr="00187CE0">
        <w:rPr>
          <w:rFonts w:ascii="Times New Roman" w:hAnsi="Times New Roman" w:cs="Times New Roman"/>
        </w:rPr>
        <w:t xml:space="preserve"> inflammation and </w:t>
      </w:r>
      <w:r w:rsidR="0015022C" w:rsidRPr="00187CE0">
        <w:rPr>
          <w:rFonts w:ascii="Times New Roman" w:hAnsi="Times New Roman" w:cs="Times New Roman"/>
          <w:bCs/>
        </w:rPr>
        <w:t>tissue</w:t>
      </w:r>
      <w:r w:rsidR="0015022C" w:rsidRPr="00187CE0">
        <w:rPr>
          <w:rFonts w:ascii="Times New Roman" w:hAnsi="Times New Roman" w:cs="Times New Roman"/>
        </w:rPr>
        <w:t xml:space="preserve"> </w:t>
      </w:r>
      <w:r w:rsidR="0015022C" w:rsidRPr="00187CE0">
        <w:rPr>
          <w:rFonts w:ascii="Times New Roman" w:hAnsi="Times New Roman" w:cs="Times New Roman"/>
          <w:bCs/>
        </w:rPr>
        <w:t>damage</w:t>
      </w:r>
      <w:r>
        <w:rPr>
          <w:rFonts w:ascii="Times New Roman" w:hAnsi="Times New Roman" w:cs="Times New Roman"/>
          <w:bCs/>
        </w:rPr>
        <w:t>,</w:t>
      </w:r>
      <w:r w:rsidR="0015022C" w:rsidRPr="00187CE0">
        <w:rPr>
          <w:rFonts w:ascii="Times New Roman" w:hAnsi="Times New Roman" w:cs="Times New Roman"/>
        </w:rPr>
        <w:t xml:space="preserve"> </w:t>
      </w:r>
      <w:r w:rsidR="0015022C" w:rsidRPr="00187CE0">
        <w:rPr>
          <w:rFonts w:ascii="Times New Roman" w:hAnsi="Times New Roman" w:cs="Times New Roman"/>
          <w:bCs/>
        </w:rPr>
        <w:t>is SLE</w:t>
      </w:r>
      <w:r w:rsidR="0015022C" w:rsidRPr="00187CE0">
        <w:rPr>
          <w:rFonts w:ascii="Times New Roman" w:hAnsi="Times New Roman" w:cs="Times New Roman"/>
        </w:rPr>
        <w:t xml:space="preserve">. </w:t>
      </w:r>
      <w:r w:rsidR="0015022C" w:rsidRPr="00187CE0">
        <w:rPr>
          <w:rFonts w:ascii="Times New Roman" w:hAnsi="Times New Roman" w:cs="Times New Roman"/>
          <w:bCs/>
        </w:rPr>
        <w:t>The</w:t>
      </w:r>
      <w:r w:rsidR="0015022C" w:rsidRPr="00187CE0">
        <w:rPr>
          <w:rFonts w:ascii="Times New Roman" w:hAnsi="Times New Roman" w:cs="Times New Roman"/>
        </w:rPr>
        <w:t xml:space="preserve"> condition </w:t>
      </w:r>
      <w:r w:rsidR="0015022C" w:rsidRPr="00187CE0">
        <w:rPr>
          <w:rFonts w:ascii="Times New Roman" w:hAnsi="Times New Roman" w:cs="Times New Roman"/>
          <w:bCs/>
        </w:rPr>
        <w:t>may</w:t>
      </w:r>
      <w:r w:rsidR="0015022C" w:rsidRPr="00187CE0">
        <w:rPr>
          <w:rFonts w:ascii="Times New Roman" w:hAnsi="Times New Roman" w:cs="Times New Roman"/>
        </w:rPr>
        <w:t xml:space="preserve"> affect </w:t>
      </w:r>
      <w:r w:rsidR="0015022C" w:rsidRPr="00187CE0">
        <w:rPr>
          <w:rFonts w:ascii="Times New Roman" w:hAnsi="Times New Roman" w:cs="Times New Roman"/>
          <w:bCs/>
        </w:rPr>
        <w:t>many</w:t>
      </w:r>
      <w:r w:rsidR="0015022C" w:rsidRPr="00187CE0">
        <w:rPr>
          <w:rFonts w:ascii="Times New Roman" w:hAnsi="Times New Roman" w:cs="Times New Roman"/>
        </w:rPr>
        <w:t xml:space="preserve"> </w:t>
      </w:r>
      <w:r w:rsidR="0015022C" w:rsidRPr="00187CE0">
        <w:rPr>
          <w:rFonts w:ascii="Times New Roman" w:hAnsi="Times New Roman" w:cs="Times New Roman"/>
          <w:bCs/>
        </w:rPr>
        <w:t>parts</w:t>
      </w:r>
      <w:r>
        <w:rPr>
          <w:rFonts w:ascii="Times New Roman" w:hAnsi="Times New Roman" w:cs="Times New Roman"/>
          <w:bCs/>
        </w:rPr>
        <w:t>,</w:t>
      </w:r>
      <w:r w:rsidR="0015022C" w:rsidRPr="00187CE0">
        <w:rPr>
          <w:rFonts w:ascii="Times New Roman" w:hAnsi="Times New Roman" w:cs="Times New Roman"/>
        </w:rPr>
        <w:t xml:space="preserve"> including the joints, </w:t>
      </w:r>
      <w:r w:rsidR="0015022C" w:rsidRPr="00187CE0">
        <w:rPr>
          <w:rFonts w:ascii="Times New Roman" w:hAnsi="Times New Roman" w:cs="Times New Roman"/>
          <w:bCs/>
        </w:rPr>
        <w:t>lungs</w:t>
      </w:r>
      <w:r w:rsidR="0015022C" w:rsidRPr="00187CE0">
        <w:rPr>
          <w:rFonts w:ascii="Times New Roman" w:hAnsi="Times New Roman" w:cs="Times New Roman"/>
        </w:rPr>
        <w:t xml:space="preserve">, heart, </w:t>
      </w:r>
      <w:r w:rsidR="0015022C" w:rsidRPr="00187CE0">
        <w:rPr>
          <w:rFonts w:ascii="Times New Roman" w:hAnsi="Times New Roman" w:cs="Times New Roman"/>
          <w:bCs/>
        </w:rPr>
        <w:t>renal systems</w:t>
      </w:r>
      <w:r w:rsidR="0015022C" w:rsidRPr="00187CE0">
        <w:rPr>
          <w:rFonts w:ascii="Times New Roman" w:hAnsi="Times New Roman" w:cs="Times New Roman"/>
        </w:rPr>
        <w:t xml:space="preserve">, </w:t>
      </w:r>
      <w:r w:rsidR="0015022C" w:rsidRPr="00187CE0">
        <w:rPr>
          <w:rFonts w:ascii="Times New Roman" w:hAnsi="Times New Roman" w:cs="Times New Roman"/>
          <w:bCs/>
        </w:rPr>
        <w:t xml:space="preserve">brain, </w:t>
      </w:r>
      <w:r w:rsidR="0015022C" w:rsidRPr="00187CE0">
        <w:rPr>
          <w:rFonts w:ascii="Times New Roman" w:hAnsi="Times New Roman" w:cs="Times New Roman"/>
        </w:rPr>
        <w:t xml:space="preserve">and </w:t>
      </w:r>
      <w:r w:rsidR="0015022C" w:rsidRPr="00187CE0">
        <w:rPr>
          <w:rFonts w:ascii="Times New Roman" w:hAnsi="Times New Roman" w:cs="Times New Roman"/>
          <w:bCs/>
        </w:rPr>
        <w:t>skin</w:t>
      </w:r>
      <w:r w:rsidR="0015022C" w:rsidRPr="00187CE0">
        <w:rPr>
          <w:rFonts w:ascii="Times New Roman" w:hAnsi="Times New Roman" w:cs="Times New Roman"/>
        </w:rPr>
        <w:t xml:space="preserve">. </w:t>
      </w:r>
      <w:r w:rsidR="0015022C" w:rsidRPr="00187CE0">
        <w:rPr>
          <w:rFonts w:ascii="Times New Roman" w:hAnsi="Times New Roman" w:cs="Times New Roman"/>
        </w:rPr>
        <w:br/>
      </w:r>
      <w:r w:rsidR="0015022C" w:rsidRPr="00187CE0">
        <w:rPr>
          <w:rFonts w:ascii="Times New Roman" w:hAnsi="Times New Roman" w:cs="Times New Roman"/>
          <w:bCs/>
        </w:rPr>
        <w:lastRenderedPageBreak/>
        <w:t>Women</w:t>
      </w:r>
      <w:r w:rsidR="0015022C" w:rsidRPr="00187CE0">
        <w:rPr>
          <w:rFonts w:ascii="Times New Roman" w:hAnsi="Times New Roman" w:cs="Times New Roman"/>
        </w:rPr>
        <w:t xml:space="preserve">, </w:t>
      </w:r>
      <w:r w:rsidR="0015022C" w:rsidRPr="00187CE0">
        <w:rPr>
          <w:rFonts w:ascii="Times New Roman" w:hAnsi="Times New Roman" w:cs="Times New Roman"/>
          <w:bCs/>
        </w:rPr>
        <w:t>especially</w:t>
      </w:r>
      <w:r w:rsidR="0015022C" w:rsidRPr="00187CE0">
        <w:rPr>
          <w:rFonts w:ascii="Times New Roman" w:hAnsi="Times New Roman" w:cs="Times New Roman"/>
        </w:rPr>
        <w:t xml:space="preserve"> those </w:t>
      </w:r>
      <w:r w:rsidR="0015022C" w:rsidRPr="00187CE0">
        <w:rPr>
          <w:rFonts w:ascii="Times New Roman" w:hAnsi="Times New Roman" w:cs="Times New Roman"/>
          <w:bCs/>
        </w:rPr>
        <w:t>in</w:t>
      </w:r>
      <w:r w:rsidR="0015022C" w:rsidRPr="00187CE0">
        <w:rPr>
          <w:rFonts w:ascii="Times New Roman" w:hAnsi="Times New Roman" w:cs="Times New Roman"/>
        </w:rPr>
        <w:t xml:space="preserve"> the childbearing age </w:t>
      </w:r>
      <w:r w:rsidR="0015022C" w:rsidRPr="00187CE0">
        <w:rPr>
          <w:rFonts w:ascii="Times New Roman" w:hAnsi="Times New Roman" w:cs="Times New Roman"/>
          <w:bCs/>
        </w:rPr>
        <w:t>range, are mostly impacted by SLE</w:t>
      </w:r>
      <w:r w:rsidR="0015022C" w:rsidRPr="00187CE0">
        <w:rPr>
          <w:rFonts w:ascii="Times New Roman" w:hAnsi="Times New Roman" w:cs="Times New Roman"/>
        </w:rPr>
        <w:t>.</w:t>
      </w:r>
      <w:r w:rsidR="00187CE0">
        <w:rPr>
          <w:rFonts w:ascii="Times New Roman" w:hAnsi="Times New Roman" w:cs="Times New Roman"/>
        </w:rPr>
        <w:t xml:space="preserve"> </w:t>
      </w:r>
      <w:r w:rsidR="0015022C" w:rsidRPr="00187CE0">
        <w:rPr>
          <w:rFonts w:ascii="Times New Roman" w:hAnsi="Times New Roman" w:cs="Times New Roman"/>
        </w:rPr>
        <w:t>Notably, people of Black ethnicity encounter an increased risk. Black individuals are eight times more likely to be hospitalized for lupus than white individuals</w:t>
      </w:r>
      <w:r w:rsidR="0015022C" w:rsidRPr="00187CE0">
        <w:rPr>
          <w:rFonts w:ascii="Times New Roman" w:hAnsi="Times New Roman" w:cs="Times New Roman"/>
          <w:bCs/>
        </w:rPr>
        <w:fldChar w:fldCharType="begin"/>
      </w:r>
      <w:r w:rsidR="001912C9">
        <w:rPr>
          <w:rFonts w:ascii="Times New Roman" w:hAnsi="Times New Roman" w:cs="Times New Roman"/>
          <w:bCs/>
        </w:rPr>
        <w:instrText xml:space="preserve"> ADDIN ZOTERO_ITEM CSL_CITATION {"citationID":"sVtaYN3y","properties":{"formattedCitation":"\\super 57\\nosupersub{}","plainCitation":"57","noteIndex":0},"citationItems":[{"id":536,"uris":["http://zotero.org/users/local/BfzbJtgR/items/W8SEHD8C"],"itemData":{"id":536,"type":"article-journal","abstract":"Systemic lupus erythematosus (SLE) is a chronic, multisystem autoimmune disease predominantly affecting women, particularly those of childbearing age. SLE provides challenges in the prepregnancy, antenatal, intrapartum, and postpartum periods for these women, and for the medical, obstetric, and midwifery teams who provide their care. As with many medical conditions in pregnancy, the best maternal and fetal-neonatal outcomes are obtained with a planned pregnancy and a cohesive multidisciplinary approach. Effective prepregnancy risk assessment and counseling includes exploration of factors for poor pregnancy outcome, discussion of risks, and appropriate planning for pregnancy, with consideration of discussion of relative contraindications to pregnancy. In pregnancy, early referral for hospital-coordinated care, involvement of obstetricians and rheumatologists (and other specialists as required), an individual management plan, regular reviews, and early recognition of flares and complications are all important. Women are at risk of lupus flares, worsening renal impairment, onset of or worsening hypertension, preeclampsia, and/or venous thromboembolism, and miscarriage, intrauterine growth restriction, preterm delivery, and/or neonatal lupus syndrome (congenital heart block or neonatal lupus erythematosus). A cesarean section may be required in certain obstetric contexts (such as urgent preterm delivery for maternal and/or fetal well-being), but vaginal birth should be the aim for the majority of women. Postnatally, an ongoing individual management plan remains important, with neonatal management where necessary and rheumatology followup. This article explores the challenges at each stage of pregnancy, discusses the effect of SLE on pregnancy and vice versa, and reviews antirheumatic medications with the latest guidance about their use and safety in pregnancy. Such information is required to effectively and safely manage each stage of pregnancy in women with SLE.","container-title":"Open Access Rheumatology: Research and Reviews","DOI":"10.2147/OARRR.S87828","ISSN":"1179-156X","journalAbbreviation":"Open Access Rheumatol","language":"eng","note":"PMID: 28331377\nPMCID: PMC5354538","page":"37-53","source":"PubMed","title":"Management of systemic lupus erythematosus during pregnancy: challenges and solutions","title-short":"Management of systemic lupus erythematosus during pregnancy","volume":"9","author":[{"family":"Knight","given":"Caroline L."},{"family":"Nelson-Piercy","given":"Catherine"}],"issued":{"date-parts":[["2017"]]}}}],"schema":"https://github.com/citation-style-language/schema/raw/master/csl-citation.json"} </w:instrText>
      </w:r>
      <w:r w:rsidR="0015022C" w:rsidRPr="00187CE0">
        <w:rPr>
          <w:rFonts w:ascii="Times New Roman" w:hAnsi="Times New Roman" w:cs="Times New Roman"/>
          <w:bCs/>
        </w:rPr>
        <w:fldChar w:fldCharType="separate"/>
      </w:r>
      <w:r w:rsidR="001912C9" w:rsidRPr="001912C9">
        <w:rPr>
          <w:rFonts w:ascii="Times New Roman" w:hAnsi="Times New Roman" w:cs="Times New Roman"/>
          <w:vertAlign w:val="superscript"/>
        </w:rPr>
        <w:t>57</w:t>
      </w:r>
      <w:r w:rsidR="0015022C" w:rsidRPr="00187CE0">
        <w:rPr>
          <w:rFonts w:ascii="Times New Roman" w:hAnsi="Times New Roman" w:cs="Times New Roman"/>
          <w:bCs/>
        </w:rPr>
        <w:fldChar w:fldCharType="end"/>
      </w:r>
      <w:r w:rsidR="0015022C" w:rsidRPr="00187CE0">
        <w:rPr>
          <w:rFonts w:ascii="Times New Roman" w:hAnsi="Times New Roman" w:cs="Times New Roman"/>
        </w:rPr>
        <w:t>.</w:t>
      </w:r>
    </w:p>
    <w:p w:rsidR="0015022C" w:rsidRDefault="0015022C" w:rsidP="0015022C">
      <w:pPr>
        <w:pStyle w:val="Standard"/>
        <w:suppressAutoHyphens w:val="0"/>
        <w:spacing w:before="280" w:after="280" w:line="276" w:lineRule="auto"/>
        <w:jc w:val="both"/>
        <w:textAlignment w:val="auto"/>
        <w:rPr>
          <w:bCs/>
        </w:rPr>
      </w:pPr>
      <w:r>
        <w:t>Elevated Type I interferon</w:t>
      </w:r>
      <w:r w:rsidR="00784577">
        <w:t>, as IFN-α release,</w:t>
      </w:r>
      <w:r>
        <w:t xml:space="preserve"> </w:t>
      </w:r>
      <w:r w:rsidR="00784577">
        <w:t>is</w:t>
      </w:r>
      <w:r>
        <w:t xml:space="preserve"> frequently found in SLE patients and </w:t>
      </w:r>
      <w:r w:rsidR="00784577">
        <w:t>is</w:t>
      </w:r>
      <w:r>
        <w:t xml:space="preserve"> linked to disease activity. Additionally, IFN-β and IFN-λ: These interferons influenc</w:t>
      </w:r>
      <w:r w:rsidR="00784577">
        <w:t>e gene expression and the progression</w:t>
      </w:r>
      <w:r>
        <w:t xml:space="preserve"> of the disease, contributing to the IFN gene signature observed in SLE. A new digital ELISA method has made it possible to identify IFN-α in SLE serum with higher sensitivity </w:t>
      </w:r>
      <w:r>
        <w:rPr>
          <w:bCs/>
        </w:rPr>
        <w:fldChar w:fldCharType="begin"/>
      </w:r>
      <w:r w:rsidR="001912C9">
        <w:rPr>
          <w:bCs/>
        </w:rPr>
        <w:instrText xml:space="preserve"> ADDIN ZOTERO_ITEM CSL_CITATION {"citationID":"U4szTXjx","properties":{"formattedCitation":"\\super 58\\uc0\\u8211{}61\\nosupersub{}","plainCitation":"58–61","noteIndex":0},"citationItems":[{"id":628,"uris":["http://zotero.org/users/local/BfzbJtgR/items/7VZ9VPPH"],"itemData":{"id":628,"type":"article-journal","abstract":"Investigations of patients with systemic lupus erythematosus have applied insights from studies of the innate immune response to define IFN-I, with IFN-α as the dominant mediator, as central to the pathogenesis of this prototype systemic autoimmune disease. Genetic association data identify regulators of nucleic acid degradation and components of TLR-independent, endosomal TLR-dependent, and IFN-I-signaling pathways as contributors to lupus disease susceptibility. Together with a gene expression signature characterized by IFN-I-induced gene transcripts in lupus blood and tissue, those data support the conclusion that many of the immunologic and pathologic features of this disease are a consequence of a persistent self-directed immune reaction driven by IFN-I and mimicking a sustained antivirus response. This expanding knowledge of the role of IFN-I and the innate immune response suggests candidate therapeutic targets that are being tested in lupus patients.","container-title":"Journal of Immunology (Baltimore, Md.: 1950)","DOI":"10.4049/jimmunol.1002795","ISSN":"1550-6606","issue":"12","journalAbbreviation":"J Immunol","language":"eng","note":"PMID: 24907379\nPMCID: PMC4083591","page":"5459-5468","source":"PubMed","title":"Type I interferon in the pathogenesis of lupus","volume":"192","author":[{"family":"Crow","given":"Mary K."}],"issued":{"date-parts":[["2014",6,15]]}}},{"id":633,"uris":["http://zotero.org/users/local/BfzbJtgR/items/TMKAWEIQ"],"itemData":{"id":633,"type":"article-journal","abstract":"OBJECTIVE: Gene-expression studies have demonstrated increased expression of interferon (IFN)-inducible genes (IFIGs) in peripheral blood mononuclear cells (PBMCs) of many patients with systemic lupus erythematosus (SLE), with a predominant effect of type I IFN. This study examined the hypothesis that increased disease severity and activity, as well as distinct autoantibody specificities, characterize SLE patients with activation of the type I IFN pathway.\nMETHODS: Freshly isolated PBMCs from 77 SLE patients, 22 disease controls, and 28 healthy donors were subjected to real-time polymerase chain reaction for 3 IFIGs that are preferentially induced by IFNalpha, and the data were used to derive IFNalpha scores for all individuals. Expression of IFIGs was significantly higher in SLE patients compared with disease controls or healthy donors. SLE patients with high and low IFNalpha scores were compared for clinical manifestations of disease, disease severity, disease activity, serologic features, and potential confounders, by bivariate and multivariate analyses.\nRESULTS: SLE patients with a high IFNalpha score had a significantly higher prevalence of renal disease, a greater number of American College of Rheumatology criteria for SLE, and a higher Systemic Lupus International Collaborating Clinics damage index (SDI) score than did SLE patients with low IFNalpha scores. Patients with high scores showed increased disease activity, as measured by lower C3 levels, hemoglobin levels, absolute lymphocyte counts, and albumin levels, and a higher anti-double-stranded DNA (dsDNA) titer, erythrocyte sedimentation rate, and SLE Disease Activity Index 2000 score. The presence of antibodies specific for Ro, U1 RNP, Sm, and dsDNA, but not phospholipids, was significantly associated with a high IFNalpha score. Logistic regression analysis confirmed that renal disease, higher SDI scores, low complement levels, and presence of anti-RNA binding protein (RBP) autoantibodies were associated with a high IFNalpha score.\nCONCLUSION: Activation of the IFNalpha pathway defines a subgroup of SLE patients whose condition is characterized by increased disease severity, including renal disease, increased disease activity, reflected in complement activation, and autoreactivity to RBP.","container-title":"Arthritis and Rheumatism","DOI":"10.1002/art.21031","ISSN":"0004-3591","issue":"5","journalAbbreviation":"Arthritis Rheum","language":"eng","note":"PMID: 15880830","page":"1491-1503","source":"PubMed","title":"Activation of the interferon-alpha pathway identifies a subgroup of systemic lupus erythematosus patients with distinct serologic features and active disease","volume":"52","author":[{"family":"Kirou","given":"Kyriakos A."},{"family":"Lee","given":"Christina"},{"family":"George","given":"Sandhya"},{"family":"Louca","given":"Kyriakos"},{"family":"Peterson","given":"Margaret G. E."},{"family":"Crow","given":"Mary K."}],"issued":{"date-parts":[["2005",5]]}}},{"id":631,"uris":["http://zotero.org/users/local/BfzbJtgR/items/7Y7YGE6J"],"itemData":{"id":631,"type":"article-journal","abstract":"Type I interferon (IFN-I) is thought to play a role in many systemic autoimmune diseases. IFN-I pathway activation is associated with pathogenic features, including the presence of autoantibodies and clinical phenotypes such as more severe disease with increased disease activity and damage. We will review the role and potential drivers of IFN-I dysregulation in 5 prototypic autoimmune diseases: systemic lupus erythematosus, dermatomyositis, rheumatoid arthritis, primary Sjögren syndrome, and systemic sclerosis. We will also discuss current therapeutic strategies that directly or indirectly target the IFN-I system.","container-title":"The Journal of Rheumatology","DOI":"10.3899/jrheum.2022-0827","ISSN":"0315-162X, 1499-2752","issue":"9","journalAbbreviation":"J Rheumatol","language":"en","page":"1103-1113","source":"DOI.org (Crossref)","title":"Type I Interferons in Autoimmunity: Implications in Clinical Phenotypes and Treatment Response","title-short":"Type I Interferons in Autoimmunity","volume":"50","author":[{"family":"Londe","given":"Ana Carolina"},{"family":"Fernandez-Ruiz","given":"Ruth"},{"family":"Julio","given":"Paulo Rogério"},{"family":"Appenzeller","given":"Simone"},{"family":"Niewold","given":"Timothy B."}],"issued":{"date-parts":[["2023",9]]}}},{"id":639,"uris":["http://zotero.org/users/local/BfzbJtgR/items/48YSSDHS"],"itemData":{"id":639,"type":"article-journal","abstract":"Type I interferons (IFNs) are best known for their role in innate immunity, but they are also involved in other functions including immunomodulation, restricting proliferation, cancer surveillance, and the regulation of the adaptive immune response. All these responses are mediated through the interaction with a single cell surface receptor, albeit at different ligand and receptor concentrations, ligand subtypes, and time of activation. Here we review the functional plasticity of IFN signaling from a quantitative perspective, showing how variations in different ingredients of the system lead to differential IFN responses and how cells tune the system to maximize efficiency while minimizing detrimental effects. We present a basic model wherein the integrated action of different feedback mechanisms can provide sufficient temporal control to differentially drive cellular decisions.","container-title":"Trends in Immunology","DOI":"10.1016/j.it.2015.01.002","ISSN":"1471-4981","issue":"3","journalAbbreviation":"Trends Immunol","language":"eng","note":"PMID: 25687684","page":"139-149","source":"PubMed","title":"The molecular basis for functional plasticity in type I interferon signaling","volume":"36","author":[{"family":"Schreiber","given":"Gideon"},{"family":"Piehler","given":"Jacob"}],"issued":{"date-parts":[["2015",3]]}}}],"schema":"https://github.com/citation-style-language/schema/raw/master/csl-citation.json"} </w:instrText>
      </w:r>
      <w:r>
        <w:rPr>
          <w:bCs/>
        </w:rPr>
        <w:fldChar w:fldCharType="separate"/>
      </w:r>
      <w:r w:rsidR="001912C9" w:rsidRPr="001912C9">
        <w:rPr>
          <w:rFonts w:cs="Times New Roman"/>
          <w:vertAlign w:val="superscript"/>
        </w:rPr>
        <w:t>58–61</w:t>
      </w:r>
      <w:r>
        <w:rPr>
          <w:bCs/>
        </w:rPr>
        <w:fldChar w:fldCharType="end"/>
      </w:r>
      <w:r>
        <w:rPr>
          <w:bCs/>
        </w:rPr>
        <w:t>.</w:t>
      </w:r>
    </w:p>
    <w:p w:rsidR="0015022C" w:rsidRDefault="0015022C" w:rsidP="0015022C">
      <w:pPr>
        <w:pStyle w:val="Standard"/>
        <w:suppressAutoHyphens w:val="0"/>
        <w:spacing w:before="280" w:after="280" w:line="276" w:lineRule="auto"/>
        <w:jc w:val="both"/>
        <w:textAlignment w:val="auto"/>
        <w:rPr>
          <w:bCs/>
        </w:rPr>
      </w:pPr>
      <w:r>
        <w:t>Interferon-inducible</w:t>
      </w:r>
      <w:r w:rsidR="00784577">
        <w:t xml:space="preserve"> protein 10 (CXCL10) is raised in SLE patients</w:t>
      </w:r>
      <w:r>
        <w:t>, especially when renal involvement is present. Serum CXCL10 levels have been demonstrated to predict renal flares more effectively than more conventional markers such as complement levels or anti-dsDNA antibodies</w:t>
      </w:r>
      <w:r w:rsidR="003D47A3">
        <w:t>,</w:t>
      </w:r>
      <w:r>
        <w:t xml:space="preserve"> </w:t>
      </w:r>
      <w:r>
        <w:fldChar w:fldCharType="begin"/>
      </w:r>
      <w:r w:rsidR="001912C9">
        <w:instrText xml:space="preserve"> ADDIN ZOTERO_ITEM CSL_CITATION {"citationID":"ox73L5bz","properties":{"formattedCitation":"\\super 62\\uc0\\u8211{}64\\nosupersub{}","plainCitation":"62–64","noteIndex":0},"citationItems":[{"id":542,"uris":["http://zotero.org/users/local/BfzbJtgR/items/ALQQVYNW"],"itemData":{"id":542,"type":"article-journal","abstract":"Abstract\n            Biomarkers may have a diagnostic or monitoring value, or may predict response to therapy or disease course. The aim of this review is to discuss new serum and urinary biomarkers recently proposed for the diagnosis and management of SLE patients. Novel sensitive and specific assays have been proposed to evaluate complement proteins, ‘old’ biomarkers that are still a cornerstone in the management of this disease. Chemokines and lectins have been evaluated as surrogate biomarkers of IFN signature. Other cytokines like the B cell activating factor (BAFF) family cytokines are directly related to perturbations of the B cell compartment as key pathogenetic mechanism of the disease. A large number of urine biomarkers have been proposed, either related to the migration and homing of leukocytes to the kidney or to the local regulation of inflammatory circuits and the survival of renal intrinsic cells. The combination of traditional disease-specific biomarkers and novel serum or urine biomarkers may represent the best choice to correctly classify, stage and treat patients with SLE.","container-title":"Rheumatology","DOI":"10.1093/rheumatology/keaa484","ISSN":"1462-0324, 1462-0332","issue":"Supplement_5","language":"en","license":"http://creativecommons.org/licenses/by-nc/4.0/","page":"v12-v18","source":"DOI.org (Crossref)","title":"New biomarkers in SLE: from bench to bedside","title-short":"New biomarkers in SLE","volume":"59","author":[{"family":"Capecchi","given":"Riccardo"},{"family":"Puxeddu","given":"Ilaria"},{"family":"Pratesi","given":"Federico"},{"family":"Migliorini","given":"Paola"}],"issued":{"date-parts":[["2020",12,5]]}}},{"id":644,"uris":["http://zotero.org/users/local/BfzbJtgR/items/XS3SNFT6"],"itemData":{"id":644,"type":"article-journal","container-title":"Revista de investigaci</w:instrText>
      </w:r>
      <w:r w:rsidR="001912C9">
        <w:rPr>
          <w:rFonts w:ascii="Tahoma" w:hAnsi="Tahoma" w:cs="Tahoma"/>
        </w:rPr>
        <w:instrText>�</w:instrText>
      </w:r>
      <w:r w:rsidR="001912C9">
        <w:instrText>n Cl</w:instrText>
      </w:r>
      <w:r w:rsidR="001912C9">
        <w:rPr>
          <w:rFonts w:ascii="Tahoma" w:hAnsi="Tahoma" w:cs="Tahoma"/>
        </w:rPr>
        <w:instrText>�</w:instrText>
      </w:r>
      <w:r w:rsidR="001912C9">
        <w:instrText xml:space="preserve">nica","DOI":"10.24875/RIC.22000209","ISSN":"0034-8376","issue":"5","journalAbbreviation":"RIC","language":"en","page":"9461","source":"DOI.org (Crossref)","title":"Update on novel blood-based biomarkers for lupus nephritis beyond diagnostic approaches","volume":"74","author":[{"family":"Maravillas-Montero","given":"José L."},{"family":"Reyes-Huerta","given":"Raúl F."}],"issued":{"date-parts":[["2022",10,21]]}}},{"id":641,"uris":["http://zotero.org/users/local/BfzbJtgR/items/CIRJEA9Z"],"itemData":{"id":641,"type":"article-journal","abstract":"STUDY DESIGN: Lupus nephritis (LN) is an autoimmune disease as a complication of systemic lupus erythematosus (SLE). LN is typically diagnosed through a combination of clinical evaluation as index scoring, and kidney biopsy as a more accurate but invasive examination. In the current study, we assessed serological markers including IFN-γ-inducible chemokines C-X-C motif chemokine ligand (CXCL)9, CXCL10, and CXCL11 in diagnosing LN.\nMETHODS: A retrospective analysis was conducted on 160 SLE patients with and without LN. Fasting venous blood was collected from the study subjects for measuring serum levels of CXCL9, CXCL10, and CXCL11. The assessment of clinical disease activity in SLE was conducted using the SLE Disease Activity Index (SLEDAI)-2000 scoring system. LN disease activity was conducted using the Austin scoring system. LN was further confirmed following kidney biopsy, and data were compared by receiver operating characteristic (ROC) analysis.\nRESULTS: SLE patients with LN showed longer SLE duration, enhanced SLEDAI scores, lower serum anti-ds-DNA antibody levels when compared to SLE patients without LN. Specifically, these patients had significantly higher serum levels of CXCL9, CXCL10 and CXCL11. CXCL9, CXCL10, and CXCL11 showed positive correlation with SLE disease activity in SLE patients with LN. ROC analysis of CXCL9, CXCL10, and CXCL11 showed substantial enhancement of sensitivity and specificity for the diagnosis of LN in the patients with SLE.\nCONCLUSIONS: Serum CXCL9, CXCL10, and CXCL11 levels may improve the sensitivity and specificity for the diagnosis of LN in SLE patients.","container-title":"Immunity, Inflammation and Disease","DOI":"10.1002/iid3.1368","ISSN":"2050-4527","issue":"8","journalAbbreviation":"Immun Inflamm Dis","language":"eng","note":"PMID: 39172029\nPMCID: PMC11340012","page":"e1368","source":"PubMed","title":"Clinical significance of serum CXCL9, CXCL10, and CXCL11 in patients with lupus nephritis","volume":"12","author":[{"family":"Wang","given":"Shuo"},{"family":"Cui","given":"Yanhui"}],"issued":{"date-parts":[["2024",8]]}}}],"schema":"https://github.com/citation-style-language/schema/raw/master/csl-citation.json"} </w:instrText>
      </w:r>
      <w:r>
        <w:fldChar w:fldCharType="separate"/>
      </w:r>
      <w:r w:rsidR="001912C9" w:rsidRPr="001912C9">
        <w:rPr>
          <w:rFonts w:cs="Times New Roman"/>
          <w:vertAlign w:val="superscript"/>
        </w:rPr>
        <w:t>62–64</w:t>
      </w:r>
      <w:r>
        <w:fldChar w:fldCharType="end"/>
      </w:r>
      <w:r>
        <w:rPr>
          <w:bCs/>
        </w:rPr>
        <w:t>.</w:t>
      </w:r>
    </w:p>
    <w:p w:rsidR="0015022C" w:rsidRDefault="0015022C" w:rsidP="0015022C">
      <w:pPr>
        <w:pStyle w:val="Standard"/>
        <w:suppressAutoHyphens w:val="0"/>
        <w:spacing w:before="280" w:after="280" w:line="276" w:lineRule="auto"/>
        <w:jc w:val="both"/>
        <w:textAlignment w:val="auto"/>
        <w:rPr>
          <w:bCs/>
        </w:rPr>
      </w:pPr>
      <w:r>
        <w:t xml:space="preserve">The </w:t>
      </w:r>
      <w:r w:rsidR="00784577">
        <w:t xml:space="preserve">IL-1 receptor 4 is raised </w:t>
      </w:r>
      <w:r>
        <w:t xml:space="preserve">in patients </w:t>
      </w:r>
      <w:r w:rsidR="00784577">
        <w:t xml:space="preserve">with active SLE and corresponds </w:t>
      </w:r>
      <w:r w:rsidR="00A95A53">
        <w:t xml:space="preserve">to </w:t>
      </w:r>
      <w:r>
        <w:t xml:space="preserve">levels of anti-dsDNA and anti-C1q antibodies. Levels of sIL-1R4 are additionally linked to urinary protein levels in patients suffering from active nephritis </w:t>
      </w:r>
      <w:r>
        <w:fldChar w:fldCharType="begin"/>
      </w:r>
      <w:r w:rsidR="001912C9">
        <w:instrText xml:space="preserve"> ADDIN ZOTERO_ITEM CSL_CITATION {"citationID":"cFz1yJSi","properties":{"formattedCitation":"\\super 62,65\\nosupersub{}","plainCitation":"62,65","noteIndex":0},"citationItems":[{"id":542,"uris":["http://zotero.org/users/local/BfzbJtgR/items/ALQQVYNW"],"itemData":{"id":542,"type":"article-journal","abstract":"Abstract\n            Biomarkers may have a diagnostic or monitoring value, or may predict response to therapy or disease course. The aim of this review is to discuss new serum and urinary biomarkers recently proposed for the diagnosis and management of SLE patients. Novel sensitive and specific assays have been proposed to evaluate complement proteins, ‘old’ biomarkers that are still a cornerstone in the management of this disease. Chemokines and lectins have been evaluated as surrogate biomarkers of IFN signature. Other cytokines like the B cell activating factor (BAFF) family cytokines are directly related to perturbations of the B cell compartment as key pathogenetic mechanism of the disease. A large number of urine biomarkers have been proposed, either related to the migration and homing of leukocytes to the kidney or to the local regulation of inflammatory circuits and the survival of renal intrinsic cells. The combination of traditional disease-specific biomarkers and novel serum or urine biomarkers may represent the best choice to correctly classify, stage and treat patients with SLE.","container-title":"Rheumatology","DOI":"10.1093/rheumatology/keaa484","ISSN":"1462-0324, 1462-0332","issue":"Supplement_5","language":"en","license":"http://creativecommons.org/licenses/by-nc/4.0/","page":"v12-v18","source":"DOI.org (Crossref)","title":"New biomarkers in SLE: from bench to bedside","title-short":"New biomarkers in SLE","volume":"59","author":[{"family":"Capecchi","given":"Riccardo"},{"family":"Puxeddu","given":"Ilaria"},{"family":"Pratesi","given":"Federico"},{"family":"Migliorini","given":"Paola"}],"issued":{"date-parts":[["2020",12,5]]}}},{"id":646,"uris":["http://zotero.org/users/local/BfzbJtgR/items/FK6SVT3H"],"itemData":{"id":646,"type":"article-journal","abstract":"BACKGROUND: Dysregulated production of cytokines has a critical role in systemic lupus. The aim of this work is to identify, by a comprehensive analysis of IL-1 family cytokines and receptors in serum, correlation between cytokines/receptors' levels and the clinical and serological features of the disease.\nMETHODS: A full clinical evaluation was performed in 74 patients with systemic lupus erythematosus (SLE). C3, C4, anti-dsDNA and anti-C1q antibodies were measured. Cytokines of the IL-1 family (IL-1α, IL-1β, IL-33, IL-18), soluble receptors (sIL-1R1, sIL-1R2, sIL-1R3, ST2/sIL-1R4) and antagonists (IL-1Ra, IL-18 binding protein (IL-18BP)) were measured in serum by multiarray ELISA. Free IL-18 was calculated as the amount of IL-18 not inhibited by IL-18BP. Data were analysed by non-parametric tests and by multivariate analysis, using partial least squares (PLS) models.\nRESULTS: Total IL-18, IL-18BP, sIL-1R4 and IL-1Ra levels were higher in SLE vs.\nCONTROLS: Total and free IL-18 and sIL-1R4 were higher in patients with active vs. inactive disease and correlated with ECLAM, anti-C1q and anti-dsDNA antibodies. sIL-1R2 was higher in patients with inactive disease, was negatively correlated with ECLAM and anti-C1q antibodies and was positively correlated with C3 levels. PLS identified sIL-1R4, sIL-1R2 and anti-dsDNA as variables distinguishing patients with active from those with inactive disease; sIL-1R4, IL-18BP and anti-dsDNA identified patients with active nephritis; sIL-1R4, C3, IL-18 and free IL-18 identified patients with haematological involvement.\nCONCLUSION: The data support the use of IL-18, sIL-1R2 and sIL-1R4 as biomarkers of disease activity and organ involvement, and suggest that failure in the inhibition of IL-1 activation may be a critical event in the active stages of SLE.","container-title":"Arthritis Research &amp; Therapy","DOI":"10.1186/s13075-018-1525-z","ISSN":"1478-6362","issue":"1","journalAbbreviation":"Arthritis Res Ther","language":"eng","note":"PMID: 29422069\nPMCID: PMC5806463","page":"27","source":"PubMed","title":"IL-1 family cytokines and soluble receptors in systemic lupus erythematosus","volume":"20","author":[{"family":"Italiani","given":"Paola"},{"family":"Manca","given":"Maria Laura"},{"family":"Angelotti","given":"Francesca"},{"family":"Melillo","given":"Daniela"},{"family":"Pratesi","given":"Federico"},{"family":"Puxeddu","given":"Ilaria"},{"family":"Boraschi","given":"Diana"},{"family":"Migliorini","given":"Paola"}],"issued":{"date-parts":[["2018",2,8]]}}}],"schema":"https://github.com/citation-style-language/schema/raw/master/csl-citation.json"} </w:instrText>
      </w:r>
      <w:r>
        <w:fldChar w:fldCharType="separate"/>
      </w:r>
      <w:r w:rsidR="001912C9" w:rsidRPr="001912C9">
        <w:rPr>
          <w:rFonts w:cs="Times New Roman"/>
          <w:vertAlign w:val="superscript"/>
        </w:rPr>
        <w:t>62,65</w:t>
      </w:r>
      <w:r>
        <w:fldChar w:fldCharType="end"/>
      </w:r>
      <w:r>
        <w:rPr>
          <w:bCs/>
        </w:rPr>
        <w:t>.</w:t>
      </w:r>
    </w:p>
    <w:p w:rsidR="0015022C" w:rsidRDefault="00784577" w:rsidP="0015022C">
      <w:pPr>
        <w:pStyle w:val="Standard"/>
        <w:suppressAutoHyphens w:val="0"/>
        <w:spacing w:before="280" w:after="280" w:line="276" w:lineRule="auto"/>
        <w:jc w:val="both"/>
        <w:textAlignment w:val="auto"/>
        <w:rPr>
          <w:bCs/>
        </w:rPr>
      </w:pPr>
      <w:r>
        <w:t xml:space="preserve">Both B Cell Activating Factor (BAFF) </w:t>
      </w:r>
      <w:r w:rsidR="0015022C">
        <w:t>and A Proliferation-Inducing Ligand (APRIL) are increased in SLE patients and have importa</w:t>
      </w:r>
      <w:r>
        <w:t>nt functions in B-</w:t>
      </w:r>
      <w:r w:rsidR="0015022C">
        <w:t>cell de</w:t>
      </w:r>
      <w:r>
        <w:t>velopment and survival. Increased</w:t>
      </w:r>
      <w:r w:rsidR="0015022C">
        <w:t xml:space="preserve"> levels of these cytokines correlate with serological activity and may define </w:t>
      </w:r>
      <w:r>
        <w:t>subgroups of SLE cases</w:t>
      </w:r>
      <w:r w:rsidR="0015022C">
        <w:t xml:space="preserve">, like those impacted by subclinical atherosclerosis </w:t>
      </w:r>
      <w:r w:rsidR="0015022C">
        <w:fldChar w:fldCharType="begin"/>
      </w:r>
      <w:r w:rsidR="001912C9">
        <w:instrText xml:space="preserve"> ADDIN ZOTERO_ITEM CSL_CITATION {"citationID":"QeEZBqex","properties":{"formattedCitation":"\\super 62,66,67\\nosupersub{}","plainCitation":"62,66,67","noteIndex":0},"citationItems":[{"id":542,"uris":["http://zotero.org/users/local/BfzbJtgR/items/ALQQVYNW"],"itemData":{"id":542,"type":"article-journal","abstract":"Abstract\n            Biomarkers may have a diagnostic or monitoring value, or may predict response to therapy or disease course. The aim of this review is to discuss new serum and urinary biomarkers recently proposed for the diagnosis and management of SLE patients. Novel sensitive and specific assays have been proposed to evaluate complement proteins, ‘old’ biomarkers that are still a cornerstone in the management of this disease. Chemokines and lectins have been evaluated as surrogate biomarkers of IFN signature. Other cytokines like the B cell activating factor (BAFF) family cytokines are directly related to perturbations of the B cell compartment as key pathogenetic mechanism of the disease. A large number of urine biomarkers have been proposed, either related to the migration and homing of leukocytes to the kidney or to the local regulation of inflammatory circuits and the survival of renal intrinsic cells. The combination of traditional disease-specific biomarkers and novel serum or urine biomarkers may represent the best choice to correctly classify, stage and treat patients with SLE.","container-title":"Rheumatology","DOI":"10.1093/rheumatology/keaa484","ISSN":"1462-0324, 1462-0332","issue":"Supplement_5","language":"en","license":"http://creativecommons.org/licenses/by-nc/4.0/","page":"v12-v18","source":"DOI.org (Crossref)","title":"New biomarkers in SLE: from bench to bedside","title-short":"New biomarkers in SLE","volume":"59","author":[{"family":"Capecchi","given":"Riccardo"},{"family":"Puxeddu","given":"Ilaria"},{"family":"Pratesi","given":"Federico"},{"family":"Migliorini","given":"Paola"}],"issued":{"date-parts":[["2020",12,5]]}}},{"id":649,"uris":["http://zotero.org/users/local/BfzbJtgR/items/8U848DKN"],"itemData":{"id":649,"type":"article-journal","abstract":"OBJECTIVE: Elevated levels of BAFF and APRIL are characteristic of patients with systemic lupus erythematosus (SLE). The reasons for enhanced cytokine production are not well understood. This study was undertaken to identify the cells responsible for the overproduction of these cytokines.\nMETHODS: BAFF expression was analyzed on peripheral blood mononuclear cells by multiparameter flow cytometry and in tissue samples by immunofluorescence staining. The levels of BAFF and APRIL mRNA were quantified in sorted B cells. In vitro cultures were used to analyze whether B cell survival and differentiation was supported by autocrine BAFF and/or APRIL.\nRESULTS: Aberrant activation of B cells in patients with SLE was associated with a significant up-regulation of BAFF expression in naive, memory, and plasma cells. Furthermore, strong expression of BAFF and APRIL was found in plasma cells from the lymph node, bone marrow, and kidney. The levels of BAFF and APRIL mRNA in CD19+ B cells correlated both with the titer of anti-double stranded DNA antibodies and with the SLE Disease Activity Index. In vitro experiments demonstrated that B cells released functional BAFF/APRIL upon activation.\nCONCLUSION: Our data show that B cells contribute to the enhanced levels of circulating BAFF and APRIL. The aberrant up-regulation of these cytokines may initiate a vicious circle in which enhanced levels of BAFF and APRIL act in an autocrine manner to reinforce the systemic activation of the humoral immune system.","container-title":"Arthritis and Rheumatism","DOI":"10.1002/art.24628","ISSN":"0004-3591","issue":"7","journalAbbreviation":"Arthritis Rheum","language":"eng","note":"PMID: 19565488","page":"2083-2093","source":"PubMed","title":"Systemic activation of the immune system induces aberrant BAFF and APRIL expression in B cells in patients with systemic lupus erythematosus","volume":"60","author":[{"family":"Chu","given":"Van Trung"},{"family":"Enghard","given":"Philipp"},{"family":"Schürer","given":"Stefanie"},{"family":"Steinhauser","given":"Gudrun"},{"family":"Rudolph","given":"Birgit"},{"family":"Riemekasten","given":"Gabriela"},{"family":"Berek","given":"Claudia"}],"issued":{"date-parts":[["2009",7]]}}},{"id":651,"uris":["http://zotero.org/users/local/BfzbJtgR/items/WUKUXKZ6"],"itemData":{"id":651,"type":"article-journal","abstract":"OBJECTIVES: Quantitating gene expression is a potential method of developing biomarkers in systemic lupus erythematosus (SLE). Because of the known pathological role of B cell activating factor (BAFF) in SLE, we explored the association between BAFF gene expression and clinical activity in SLE.\nMETHODS: A total of 275 patients with SLE completed this phase of a prospective observational study. At entry into the study, the BAFF gene expression levels were determined in peripheral blood RNA. Serum concentration of BAFF protein was also measured. We then determined clinical associations with SLE disease history, SLE activity on the same day and SLE activity over the course of the next year.\nRESULTS: Elevated BAFF gene expression was associated with a history of more leucopenia and serologically with more autoantibodies (anti-dsDNA, anti-Sm, anti-Ro, anti-La and anti-RNP) and low complement. Patients with higher amounts of BAFF transcript had higher measured levels of clinical disease activity. Initial high levels of BAFF gene expression also predicted increased disease activity over the course of the next year. In contrast, serum concentration of BAFF protein was not strongly associated with same-day global disease activity or with future disease activity.\nCONCLUSIONS: BAFF gene expression level is associated with clinical and serological SLE activity on the same day and predictive of clinical activity over the next year. BAFF gene expression is a better measure and predictor of SLE disease activity than the serum BAFF protein level.","container-title":"Lupus Science &amp; Medicine","DOI":"10.1136/lupus-2014-000063","ISSN":"2053-8790","issue":"1","journalAbbreviation":"Lupus Sci Med","language":"eng","note":"PMID: 26113988\nPMCID: PMC4477150","page":"e000063","source":"PubMed","title":"BAFF (B cell activating factor) transcript level in peripheral blood of patients with SLE is associated with same-day disease activity as well as global activity over the next year","volume":"2","author":[{"family":"Zollars","given":"Eric"},{"family":"Bienkowska","given":"Jadwiga"},{"family":"Czerkowicz","given":"Julie"},{"family":"Allaire","given":"Norm"},{"family":"Ranger","given":"Ann M."},{"family":"Magder","given":"Laurence"},{"family":"Petri","given":"Michelle"}],"issued":{"date-parts":[["2015"]]}}}],"schema":"https://github.com/citation-style-language/schema/raw/master/csl-citation.json"} </w:instrText>
      </w:r>
      <w:r w:rsidR="0015022C">
        <w:fldChar w:fldCharType="separate"/>
      </w:r>
      <w:r w:rsidR="001912C9" w:rsidRPr="001912C9">
        <w:rPr>
          <w:rFonts w:cs="Times New Roman"/>
          <w:vertAlign w:val="superscript"/>
        </w:rPr>
        <w:t>62,66,67</w:t>
      </w:r>
      <w:r w:rsidR="0015022C">
        <w:fldChar w:fldCharType="end"/>
      </w:r>
      <w:r w:rsidR="0015022C" w:rsidRPr="00BE7486">
        <w:rPr>
          <w:bCs/>
        </w:rPr>
        <w:t>.</w:t>
      </w:r>
    </w:p>
    <w:p w:rsidR="0015022C" w:rsidRDefault="0015022C" w:rsidP="0015022C">
      <w:pPr>
        <w:pStyle w:val="Standard"/>
        <w:suppressAutoHyphens w:val="0"/>
        <w:spacing w:before="280" w:after="280" w:line="276" w:lineRule="auto"/>
        <w:jc w:val="both"/>
        <w:textAlignment w:val="auto"/>
        <w:rPr>
          <w:rStyle w:val="resultpara2"/>
        </w:rPr>
      </w:pPr>
      <w:r>
        <w:t>I</w:t>
      </w:r>
      <w:r w:rsidR="001C46F4">
        <w:t>L-18 concentrations are raised</w:t>
      </w:r>
      <w:r>
        <w:t xml:space="preserve"> in patients</w:t>
      </w:r>
      <w:r w:rsidR="001C46F4">
        <w:t xml:space="preserve"> with SLE</w:t>
      </w:r>
      <w:r>
        <w:t xml:space="preserve"> </w:t>
      </w:r>
      <w:r w:rsidR="001C46F4">
        <w:t xml:space="preserve">and </w:t>
      </w:r>
      <w:r>
        <w:t xml:space="preserve">are associated with disease </w:t>
      </w:r>
      <w:r w:rsidR="001C46F4">
        <w:t xml:space="preserve">progression </w:t>
      </w:r>
      <w:r>
        <w:t>and other markers such as anti-ds</w:t>
      </w:r>
      <w:r w:rsidR="001C46F4">
        <w:t>DNA and anti-C1q antibody</w:t>
      </w:r>
      <w:r>
        <w:t xml:space="preserve">. Active nephritis represents the primary disease manifestation linked to elevated IL-18 concentrations </w:t>
      </w:r>
      <w:r>
        <w:fldChar w:fldCharType="begin"/>
      </w:r>
      <w:r w:rsidR="001912C9">
        <w:instrText xml:space="preserve"> ADDIN ZOTERO_ITEM CSL_CITATION {"citationID":"I3o2Rraa","properties":{"formattedCitation":"\\super 62,68,69\\nosupersub{}","plainCitation":"62,68,69","noteIndex":0},"citationItems":[{"id":542,"uris":["http://zotero.org/users/local/BfzbJtgR/items/ALQQVYNW"],"itemData":{"id":542,"type":"article-journal","abstract":"Abstract\n            Biomarkers may have a diagnostic or monitoring value, or may predict response to therapy or disease course. The aim of this review is to discuss new serum and urinary biomarkers recently proposed for the diagnosis and management of SLE patients. Novel sensitive and specific assays have been proposed to evaluate complement proteins, ‘old’ biomarkers that are still a cornerstone in the management of this disease. Chemokines and lectins have been evaluated as surrogate biomarkers of IFN signature. Other cytokines like the B cell activating factor (BAFF) family cytokines are directly related to perturbations of the B cell compartment as key pathogenetic mechanism of the disease. A large number of urine biomarkers have been proposed, either related to the migration and homing of leukocytes to the kidney or to the local regulation of inflammatory circuits and the survival of renal intrinsic cells. The combination of traditional disease-specific biomarkers and novel serum or urine biomarkers may represent the best choice to correctly classify, stage and treat patients with SLE.","container-title":"Rheumatology","DOI":"10.1093/rheumatology/keaa484","ISSN":"1462-0324, 1462-0332","issue":"Supplement_5","language":"en","license":"http://creativecommons.org/licenses/by-nc/4.0/","page":"v12-v18","source":"DOI.org (Crossref)","title":"New biomarkers in SLE: from bench to bedside","title-short":"New biomarkers in SLE","volume":"59","author":[{"family":"Capecchi","given":"Riccardo"},{"family":"Puxeddu","given":"Ilaria"},{"family":"Pratesi","given":"Federico"},{"family":"Migliorini","given":"Paola"}],"issued":{"date-parts":[["2020",12,5]]}}},{"id":654,"uris":["http://zotero.org/users/local/BfzbJtgR/items/FD5R59ML"],"itemData":{"id":654,"type":"article-journal","abstract":"The aim of this study was to determine the serum interleukin-18 (IL-18) levels in patients with systemic lupus erythematosus (SLE) and to assess their relationship with disease activity. Thirty-five patients with SLE and 35 age- and sex-matched controls were enrolled in this study. Paired serum samples were collected from all the patients with SLE, both at active stage before treatment and at the stable stage after treatment. The serum IL-18 levels were determined using ELISA and their correlations with the disease activity, measured using the SLE Disease Activity Index (SLEDAI) and laboratory parameters such as anti-dsDNA antibody, CH50, C3, C4, and circulating immune complex levels, were analyzed. The serum IL-18 levels in patients with SLE were significantly higher than those in the controls, particularly when the disease status was active (mean+/-SD: active stage, 721.23+/-360.15 pg/ml; inactive stage, 343.68+/-317.78 pg/ml; controls, 113.98+/-13.22 pg/ml, p&lt;0.05). The IL-18 levels measured at the active stage before treatment correlated well with SLEDAI (r=0.41, p&lt;0.05) and anti-dsDNA antibody titer (r=0.35, p&lt;0.05). When we compared the changes of the IL-18 level and those of parameters reflecting the disease activity between the active stage and the stable stage of the disease, it was found that the changes in IL-18 level correlated well with the changes of SLEDAI score during the patient's disease course (r=0.39, p&lt;0.05). In conclusion, the serum IL-18 levels were elevated in patients with SLE, and these increased levels correlated well with SLE disease activity.","container-title":"Clinical Rheumatology","DOI":"10.1007/s10067-004-0867-x","ISSN":"0770-3198","issue":"3","journalAbbreviation":"Clin Rheumatol","language":"eng","note":"PMID: 15168150","page":"225-229","source":"PubMed","title":"Elevated interleukin-18 levels correlated with disease activity in systemic lupus erythematosus","volume":"23","author":[{"family":"Park","given":"Min Chan"},{"family":"Park","given":"Yong Beom"},{"family":"Lee","given":"Soo Kon"}],"issued":{"date-parts":[["2004",6]]}}},{"id":656,"uris":["http://zotero.org/users/local/BfzbJtgR/items/KB9BKCRG"],"itemData":{"id":656,"type":"article-journal","abstract":"The scope of the present clinical study is to conduct research on biomarkers of clinical activity of SLE (Human IFN-gamma, Human IFN-alpha, Human sICAM-1, Human sVCAM-1, Human sIL-2R, and TNF-R) and to determine the connection between laboratory biomarkers and clinical and immunological activity of the disease. In the present study, we included 48 patients with SLE (43 women and 5 men) age 53 years, with an average value of 4.32 points (min 0 max 12 points) of activity of SLE by SLEDAI-2K, and 34 healthy controls (31 women and 3 men). Basic clinical symptoms include arthritis and skin damage. The analysis of biomarkers in serum is statistically significantly higher than healthy controls for human IFN-alpha and human sVCAM-1. The analysis of biomarkers in the serum of human IFN-gamma, human sICAM-1, TNF-R, and human IL-12p40/p70 is not statistically significantly higher than healthy controls. The correlation analysis between disease activity assessed with SLEDAI-2K and biomarkers did not confirm a statistically significant relationship. Conclusion. Human IFN-alpha and human sVCAM-1 are sensitivity markers and play an important role in the activity of the disease in the Bulgarian population with SLE.","container-title":"Pharmacia","DOI":"10.3897/pharmacia.72.e132051","ISSN":"2603-557X, 0428-0296","journalAbbreviation":"PHAR","license":"http://creativecommons.org/licenses/by/4.0/","page":"1-6","source":"DOI.org (Crossref)","title":"Evaluation of biomarkers for clinical activity of systemic lupus erhythematodes","volume":"72","author":[{"family":"Reshkova","given":"Valentina"},{"family":"Kyurkchiev","given":"Dobroslav"},{"family":"Monov","given":"Simeon"}],"issued":{"date-parts":[["2025",1,22]]}}}],"schema":"https://github.com/citation-style-language/schema/raw/master/csl-citation.json"} </w:instrText>
      </w:r>
      <w:r>
        <w:fldChar w:fldCharType="separate"/>
      </w:r>
      <w:r w:rsidR="001912C9" w:rsidRPr="001912C9">
        <w:rPr>
          <w:rFonts w:cs="Times New Roman"/>
          <w:vertAlign w:val="superscript"/>
        </w:rPr>
        <w:t>62,68,69</w:t>
      </w:r>
      <w:r>
        <w:fldChar w:fldCharType="end"/>
      </w:r>
      <w:r w:rsidRPr="002F4168">
        <w:rPr>
          <w:rStyle w:val="resultpara2"/>
        </w:rPr>
        <w:t>.</w:t>
      </w:r>
    </w:p>
    <w:p w:rsidR="0015022C" w:rsidRDefault="00A95A53" w:rsidP="0015022C">
      <w:pPr>
        <w:pStyle w:val="Standard"/>
        <w:suppressAutoHyphens w:val="0"/>
        <w:spacing w:before="280" w:after="280" w:line="276" w:lineRule="auto"/>
        <w:jc w:val="both"/>
        <w:textAlignment w:val="auto"/>
        <w:rPr>
          <w:rStyle w:val="resultpara2"/>
        </w:rPr>
      </w:pPr>
      <w:r>
        <w:t xml:space="preserve">In SLE patients </w:t>
      </w:r>
      <w:r w:rsidR="003D47A3">
        <w:t>with comorbidities,</w:t>
      </w:r>
      <w:r>
        <w:t xml:space="preserve"> </w:t>
      </w:r>
      <w:r w:rsidR="0015022C">
        <w:t>nephritis, increased I</w:t>
      </w:r>
      <w:r>
        <w:t>nterleukin-4 levels were reported</w:t>
      </w:r>
      <w:r w:rsidR="0015022C">
        <w:t xml:space="preserve">. IL-4 is </w:t>
      </w:r>
      <w:r>
        <w:t>linked</w:t>
      </w:r>
      <w:r w:rsidR="0015022C">
        <w:t xml:space="preserve"> with other cytokines</w:t>
      </w:r>
      <w:r>
        <w:t>,</w:t>
      </w:r>
      <w:r w:rsidR="0015022C">
        <w:t xml:space="preserve"> including I</w:t>
      </w:r>
      <w:r>
        <w:t>nterleukin</w:t>
      </w:r>
      <w:r w:rsidR="0015022C">
        <w:t>-6, I</w:t>
      </w:r>
      <w:r>
        <w:t>nterleukin</w:t>
      </w:r>
      <w:r w:rsidR="0015022C">
        <w:t>-10, sCD40L, and I</w:t>
      </w:r>
      <w:r>
        <w:t>nterleukin</w:t>
      </w:r>
      <w:r w:rsidR="0015022C">
        <w:t xml:space="preserve">-8, indicating B cell participation in lupus </w:t>
      </w:r>
      <w:r w:rsidR="003D47A3">
        <w:t>nephritis 70</w:t>
      </w:r>
      <w:r w:rsidR="0015022C" w:rsidRPr="002645C5">
        <w:rPr>
          <w:rStyle w:val="resultpara2"/>
        </w:rPr>
        <w:t>.</w:t>
      </w:r>
    </w:p>
    <w:p w:rsidR="0015022C" w:rsidRDefault="0015022C" w:rsidP="0015022C">
      <w:pPr>
        <w:pStyle w:val="Standard"/>
        <w:suppressAutoHyphens w:val="0"/>
        <w:spacing w:before="280" w:after="280" w:line="276" w:lineRule="auto"/>
        <w:jc w:val="both"/>
        <w:textAlignment w:val="auto"/>
      </w:pPr>
      <w:r w:rsidRPr="002645C5">
        <w:rPr>
          <w:rStyle w:val="resultpara0"/>
        </w:rPr>
        <w:t xml:space="preserve">ANA </w:t>
      </w:r>
      <w:r>
        <w:rPr>
          <w:rStyle w:val="resultpara0"/>
        </w:rPr>
        <w:t>is</w:t>
      </w:r>
      <w:r w:rsidRPr="002645C5">
        <w:rPr>
          <w:rStyle w:val="resultpara0"/>
        </w:rPr>
        <w:t xml:space="preserve"> </w:t>
      </w:r>
      <w:r w:rsidRPr="002645C5">
        <w:rPr>
          <w:rStyle w:val="resultpara0"/>
          <w:bCs/>
        </w:rPr>
        <w:t>found</w:t>
      </w:r>
      <w:r w:rsidRPr="002645C5">
        <w:rPr>
          <w:rStyle w:val="resultpara0"/>
        </w:rPr>
        <w:t xml:space="preserve"> in </w:t>
      </w:r>
      <w:r w:rsidRPr="002645C5">
        <w:rPr>
          <w:rStyle w:val="resultpara0"/>
          <w:bCs/>
        </w:rPr>
        <w:t>most</w:t>
      </w:r>
      <w:r w:rsidRPr="002645C5">
        <w:rPr>
          <w:rStyle w:val="resultpara0"/>
        </w:rPr>
        <w:t xml:space="preserve"> SLE patients, </w:t>
      </w:r>
      <w:r w:rsidRPr="002645C5">
        <w:rPr>
          <w:rStyle w:val="resultpara0"/>
          <w:bCs/>
        </w:rPr>
        <w:t>which makes</w:t>
      </w:r>
      <w:r w:rsidRPr="002645C5">
        <w:rPr>
          <w:rStyle w:val="resultpara0"/>
        </w:rPr>
        <w:t xml:space="preserve"> </w:t>
      </w:r>
      <w:r>
        <w:rPr>
          <w:rStyle w:val="resultpara0"/>
        </w:rPr>
        <w:t>it</w:t>
      </w:r>
      <w:r w:rsidRPr="002645C5">
        <w:rPr>
          <w:rStyle w:val="resultpara0"/>
        </w:rPr>
        <w:t xml:space="preserve"> </w:t>
      </w:r>
      <w:r w:rsidRPr="002645C5">
        <w:rPr>
          <w:rStyle w:val="resultpara0"/>
          <w:bCs/>
        </w:rPr>
        <w:t>an essential</w:t>
      </w:r>
      <w:r w:rsidRPr="002645C5">
        <w:rPr>
          <w:rStyle w:val="resultpara0"/>
        </w:rPr>
        <w:t xml:space="preserve"> screening </w:t>
      </w:r>
      <w:r w:rsidRPr="002645C5">
        <w:rPr>
          <w:rStyle w:val="resultpara0"/>
          <w:bCs/>
        </w:rPr>
        <w:t>tool</w:t>
      </w:r>
      <w:r w:rsidRPr="002645C5">
        <w:rPr>
          <w:rStyle w:val="resultpara0"/>
        </w:rPr>
        <w:t>.</w:t>
      </w:r>
      <w:r w:rsidRPr="002645C5">
        <w:t xml:space="preserve"> </w:t>
      </w:r>
      <w:r w:rsidRPr="002645C5">
        <w:rPr>
          <w:rStyle w:val="resultpara2"/>
          <w:bCs/>
        </w:rPr>
        <w:t>Nevertheless</w:t>
      </w:r>
      <w:r w:rsidRPr="002645C5">
        <w:rPr>
          <w:rStyle w:val="resultpara2"/>
        </w:rPr>
        <w:t xml:space="preserve">, a positive ANA test is not </w:t>
      </w:r>
      <w:r w:rsidRPr="002645C5">
        <w:rPr>
          <w:rStyle w:val="resultpara2"/>
          <w:bCs/>
        </w:rPr>
        <w:t>unique</w:t>
      </w:r>
      <w:r w:rsidRPr="002645C5">
        <w:rPr>
          <w:rStyle w:val="resultpara2"/>
        </w:rPr>
        <w:t xml:space="preserve"> to SLE and </w:t>
      </w:r>
      <w:r w:rsidRPr="002645C5">
        <w:rPr>
          <w:rStyle w:val="resultpara2"/>
          <w:bCs/>
        </w:rPr>
        <w:t>may occur</w:t>
      </w:r>
      <w:r w:rsidRPr="002645C5">
        <w:rPr>
          <w:rStyle w:val="resultpara2"/>
        </w:rPr>
        <w:t xml:space="preserve"> in other autoimmune </w:t>
      </w:r>
      <w:r w:rsidRPr="002645C5">
        <w:rPr>
          <w:rStyle w:val="resultpara2"/>
          <w:bCs/>
        </w:rPr>
        <w:t>disorders</w:t>
      </w:r>
      <w:r w:rsidRPr="002645C5">
        <w:rPr>
          <w:rStyle w:val="resultpara2"/>
        </w:rPr>
        <w:t xml:space="preserve"> and even in healthy </w:t>
      </w:r>
      <w:r w:rsidRPr="002645C5">
        <w:rPr>
          <w:rStyle w:val="resultpara2"/>
          <w:bCs/>
        </w:rPr>
        <w:t>people</w:t>
      </w:r>
      <w:r w:rsidRPr="002645C5">
        <w:rPr>
          <w:rStyle w:val="resultpara2"/>
        </w:rPr>
        <w:t xml:space="preserve">, </w:t>
      </w:r>
      <w:r w:rsidRPr="002645C5">
        <w:rPr>
          <w:rStyle w:val="resultpara2"/>
          <w:bCs/>
        </w:rPr>
        <w:t>particularly</w:t>
      </w:r>
      <w:r w:rsidRPr="002645C5">
        <w:rPr>
          <w:rStyle w:val="resultpara2"/>
        </w:rPr>
        <w:t xml:space="preserve"> as they </w:t>
      </w:r>
      <w:r w:rsidRPr="002645C5">
        <w:rPr>
          <w:rStyle w:val="resultpara2"/>
          <w:bCs/>
        </w:rPr>
        <w:t>grow older</w:t>
      </w:r>
      <w:r>
        <w:rPr>
          <w:rStyle w:val="resultpara2"/>
          <w:bCs/>
        </w:rPr>
        <w:t xml:space="preserve"> </w:t>
      </w:r>
      <w:r>
        <w:rPr>
          <w:rStyle w:val="resultpara2"/>
        </w:rPr>
        <w:t xml:space="preserve"> ANA is highly </w:t>
      </w:r>
      <w:r w:rsidRPr="0007190E">
        <w:rPr>
          <w:rStyle w:val="Strong"/>
          <w:b w:val="0"/>
        </w:rPr>
        <w:t>Sensitive</w:t>
      </w:r>
      <w:r w:rsidRPr="0007190E">
        <w:rPr>
          <w:b/>
        </w:rPr>
        <w:t>:</w:t>
      </w:r>
      <w:r>
        <w:t xml:space="preserve"> 95-98% (high for SLE) and specificity is low (~50-60%) due to its presence in other conditions in SLE. </w:t>
      </w:r>
      <w:r w:rsidRPr="00917AC2">
        <w:t xml:space="preserve">While ANA </w:t>
      </w:r>
      <w:r w:rsidRPr="00917AC2">
        <w:rPr>
          <w:bCs/>
        </w:rPr>
        <w:t>serves as</w:t>
      </w:r>
      <w:r w:rsidRPr="00917AC2">
        <w:t xml:space="preserve"> a </w:t>
      </w:r>
      <w:r w:rsidRPr="00917AC2">
        <w:rPr>
          <w:bCs/>
        </w:rPr>
        <w:t>useful</w:t>
      </w:r>
      <w:r w:rsidRPr="00917AC2">
        <w:t xml:space="preserve"> screening </w:t>
      </w:r>
      <w:r w:rsidRPr="00917AC2">
        <w:rPr>
          <w:bCs/>
        </w:rPr>
        <w:t>instrument</w:t>
      </w:r>
      <w:r w:rsidRPr="00917AC2">
        <w:t xml:space="preserve"> for SLE </w:t>
      </w:r>
      <w:r w:rsidRPr="00917AC2">
        <w:rPr>
          <w:bCs/>
        </w:rPr>
        <w:t>because of</w:t>
      </w:r>
      <w:r w:rsidRPr="00917AC2">
        <w:t xml:space="preserve"> its </w:t>
      </w:r>
      <w:r w:rsidRPr="00917AC2">
        <w:rPr>
          <w:bCs/>
        </w:rPr>
        <w:t>great</w:t>
      </w:r>
      <w:r w:rsidRPr="00917AC2">
        <w:t xml:space="preserve"> sensitivity, it </w:t>
      </w:r>
      <w:r w:rsidRPr="00917AC2">
        <w:rPr>
          <w:bCs/>
        </w:rPr>
        <w:t>necessitates additional validation through particular</w:t>
      </w:r>
      <w:r w:rsidRPr="00917AC2">
        <w:t xml:space="preserve"> autoantibody </w:t>
      </w:r>
      <w:r w:rsidRPr="00917AC2">
        <w:rPr>
          <w:bCs/>
        </w:rPr>
        <w:t>tests</w:t>
      </w:r>
      <w:r w:rsidRPr="00917AC2">
        <w:t xml:space="preserve"> and clinical </w:t>
      </w:r>
      <w:r w:rsidRPr="00917AC2">
        <w:rPr>
          <w:bCs/>
        </w:rPr>
        <w:t>assessment</w:t>
      </w:r>
      <w:r w:rsidRPr="00917AC2">
        <w:t xml:space="preserve"> for </w:t>
      </w:r>
      <w:r w:rsidRPr="00917AC2">
        <w:rPr>
          <w:bCs/>
        </w:rPr>
        <w:t>a precise</w:t>
      </w:r>
      <w:r w:rsidRPr="00917AC2">
        <w:t xml:space="preserve"> diagnosis</w:t>
      </w:r>
      <w:r>
        <w:t xml:space="preserve"> </w:t>
      </w:r>
      <w:r>
        <w:rPr>
          <w:rStyle w:val="resultpara2"/>
          <w:bCs/>
        </w:rPr>
        <w:fldChar w:fldCharType="begin"/>
      </w:r>
      <w:r w:rsidR="00B41ACC">
        <w:rPr>
          <w:rStyle w:val="resultpara2"/>
          <w:bCs/>
        </w:rPr>
        <w:instrText xml:space="preserve"> ADDIN ZOTERO_ITEM CSL_CITATION {"citationID":"Cysac6wK","properties":{"formattedCitation":"\\super 70\\nosupersub{}","plainCitation":"70","noteIndex":0},"citationItems":[{"id":548,"uris":["http://zotero.org/users/local/BfzbJtgR/items/9N3FE3G2"],"itemData":{"id":548,"type":"article-journal","abstract":"The presence of antinuclear antibodies (ANA) is mainly associated with connective tissue diseases (CTD). In addition, their presence is found in healthy people. These antibodies are more common in women and the elderly. Some drugs and xenobiotics are also important for the development of autoimmunity and ANA synthesis. Moreover, the deficiency of vitamin D in the body of patients correlates with occurrence of these antibodies. Unlike the healthy group, a positive ANA count was observed in patients with atopic dermatitis (AD) and in people with immune disorders. Antinuclear antibodies in low counts are also found in the course of chronic bacterial or viral infection and in patients with hematological malignancies. Also the possibility of false positive results, which may be caused by the choice of method used to determine antibodies, should be borne in mind. Taking into account all these factors, it is concluded that the ANA result itself has no diagnostic value.","container-title":"Reumatologia","DOI":"10.5114/reum.2018.77976","ISSN":"0034-6233","issue":"4","journalAbbreviation":"Reumatologia","language":"eng","note":"PMID: 30237629\nPMCID: PMC6142026","page":"243-248","source":"PubMed","title":"Antinuclear antibodies in healthy people and non-rheumatic diseases - diagnostic and clinical implications","volume":"56","author":[{"family":"Grygiel-Górniak","given":"Bogna"},{"family":"Rogacka","given":"Natalia"},{"family":"Puszczewicz","given":"Mariusz"}],"issued":{"date-parts":[["2018"]]}}}],"schema":"https://github.com/citation-style-language/schema/raw/master/csl-citation.json"} </w:instrText>
      </w:r>
      <w:r>
        <w:rPr>
          <w:rStyle w:val="resultpara2"/>
          <w:bCs/>
        </w:rPr>
        <w:fldChar w:fldCharType="separate"/>
      </w:r>
      <w:r w:rsidR="00B41ACC" w:rsidRPr="00B41ACC">
        <w:rPr>
          <w:rFonts w:cs="Times New Roman"/>
          <w:vertAlign w:val="superscript"/>
        </w:rPr>
        <w:t>70</w:t>
      </w:r>
      <w:r>
        <w:rPr>
          <w:rStyle w:val="resultpara2"/>
          <w:bCs/>
        </w:rPr>
        <w:fldChar w:fldCharType="end"/>
      </w:r>
      <w:r w:rsidRPr="002645C5">
        <w:rPr>
          <w:rStyle w:val="resultpara2"/>
        </w:rPr>
        <w:t>.</w:t>
      </w:r>
    </w:p>
    <w:p w:rsidR="0015022C" w:rsidRDefault="0015022C" w:rsidP="0015022C">
      <w:pPr>
        <w:pStyle w:val="Standard"/>
        <w:suppressAutoHyphens w:val="0"/>
        <w:spacing w:before="280" w:after="280" w:line="276" w:lineRule="auto"/>
        <w:jc w:val="both"/>
        <w:textAlignment w:val="auto"/>
        <w:rPr>
          <w:rStyle w:val="resultpara2"/>
        </w:rPr>
      </w:pPr>
      <w:r w:rsidRPr="00917AC2">
        <w:rPr>
          <w:rStyle w:val="resultpara0"/>
          <w:bCs/>
        </w:rPr>
        <w:t>Increased concentrations</w:t>
      </w:r>
      <w:r w:rsidRPr="00917AC2">
        <w:rPr>
          <w:rStyle w:val="resultpara0"/>
        </w:rPr>
        <w:t xml:space="preserve"> of </w:t>
      </w:r>
      <w:r w:rsidRPr="00917AC2">
        <w:rPr>
          <w:rStyle w:val="resultpara0"/>
          <w:bCs/>
        </w:rPr>
        <w:t>certain</w:t>
      </w:r>
      <w:r w:rsidRPr="00917AC2">
        <w:rPr>
          <w:rStyle w:val="resultpara0"/>
        </w:rPr>
        <w:t xml:space="preserve"> cytokines can </w:t>
      </w:r>
      <w:r w:rsidRPr="00917AC2">
        <w:rPr>
          <w:rStyle w:val="resultpara0"/>
          <w:bCs/>
        </w:rPr>
        <w:t>assist</w:t>
      </w:r>
      <w:r w:rsidRPr="00917AC2">
        <w:rPr>
          <w:rStyle w:val="resultpara0"/>
        </w:rPr>
        <w:t xml:space="preserve"> in </w:t>
      </w:r>
      <w:r w:rsidRPr="00917AC2">
        <w:rPr>
          <w:rStyle w:val="resultpara0"/>
          <w:bCs/>
        </w:rPr>
        <w:t>diagnosing</w:t>
      </w:r>
      <w:r w:rsidRPr="00917AC2">
        <w:rPr>
          <w:rStyle w:val="resultpara0"/>
        </w:rPr>
        <w:t xml:space="preserve"> SLE, </w:t>
      </w:r>
      <w:r w:rsidRPr="00917AC2">
        <w:rPr>
          <w:rStyle w:val="resultpara0"/>
          <w:bCs/>
        </w:rPr>
        <w:t>particularly</w:t>
      </w:r>
      <w:r w:rsidRPr="00917AC2">
        <w:rPr>
          <w:rStyle w:val="resultpara0"/>
        </w:rPr>
        <w:t xml:space="preserve"> when </w:t>
      </w:r>
      <w:r w:rsidRPr="00917AC2">
        <w:rPr>
          <w:rStyle w:val="resultpara0"/>
          <w:bCs/>
        </w:rPr>
        <w:t>standard</w:t>
      </w:r>
      <w:r w:rsidRPr="00917AC2">
        <w:rPr>
          <w:rStyle w:val="resultpara0"/>
        </w:rPr>
        <w:t xml:space="preserve"> autoantibody tests </w:t>
      </w:r>
      <w:r w:rsidRPr="00917AC2">
        <w:rPr>
          <w:rStyle w:val="resultpara0"/>
          <w:bCs/>
        </w:rPr>
        <w:t>yield</w:t>
      </w:r>
      <w:r w:rsidRPr="00917AC2">
        <w:rPr>
          <w:rStyle w:val="resultpara0"/>
        </w:rPr>
        <w:t xml:space="preserve"> inconclusive </w:t>
      </w:r>
      <w:r w:rsidRPr="00917AC2">
        <w:rPr>
          <w:rStyle w:val="resultpara0"/>
          <w:bCs/>
        </w:rPr>
        <w:t>results</w:t>
      </w:r>
      <w:r w:rsidRPr="00917AC2">
        <w:rPr>
          <w:rStyle w:val="resultpara0"/>
        </w:rPr>
        <w:t>.</w:t>
      </w:r>
      <w:r>
        <w:rPr>
          <w:rStyle w:val="resultpara0"/>
        </w:rPr>
        <w:t xml:space="preserve"> </w:t>
      </w:r>
      <w:r w:rsidRPr="00917AC2">
        <w:rPr>
          <w:rStyle w:val="resultpara0"/>
        </w:rPr>
        <w:t xml:space="preserve">Cytokines </w:t>
      </w:r>
      <w:r w:rsidRPr="00917AC2">
        <w:rPr>
          <w:rStyle w:val="resultpara0"/>
          <w:bCs/>
        </w:rPr>
        <w:t>like</w:t>
      </w:r>
      <w:r w:rsidR="00B22A52">
        <w:rPr>
          <w:rStyle w:val="resultpara0"/>
          <w:bCs/>
        </w:rPr>
        <w:t xml:space="preserve"> </w:t>
      </w:r>
      <w:r w:rsidR="00B22A52" w:rsidRPr="00917AC2">
        <w:rPr>
          <w:rStyle w:val="resultpara0"/>
        </w:rPr>
        <w:t>I</w:t>
      </w:r>
      <w:r w:rsidR="00B22A52">
        <w:rPr>
          <w:rStyle w:val="resultpara0"/>
        </w:rPr>
        <w:t>nterleukin</w:t>
      </w:r>
      <w:r w:rsidR="00B22A52" w:rsidRPr="00917AC2">
        <w:rPr>
          <w:rStyle w:val="resultpara0"/>
        </w:rPr>
        <w:t xml:space="preserve">-4 </w:t>
      </w:r>
      <w:r w:rsidR="00B22A52">
        <w:rPr>
          <w:rStyle w:val="resultpara0"/>
        </w:rPr>
        <w:t xml:space="preserve">and </w:t>
      </w:r>
      <w:r w:rsidRPr="00917AC2">
        <w:rPr>
          <w:rStyle w:val="resultpara0"/>
        </w:rPr>
        <w:t xml:space="preserve">TNF-α </w:t>
      </w:r>
      <w:r w:rsidRPr="00917AC2">
        <w:rPr>
          <w:rStyle w:val="resultpara0"/>
          <w:bCs/>
        </w:rPr>
        <w:lastRenderedPageBreak/>
        <w:t>represent possible</w:t>
      </w:r>
      <w:r w:rsidR="00B22A52">
        <w:rPr>
          <w:rStyle w:val="resultpara0"/>
        </w:rPr>
        <w:t xml:space="preserve"> therapeutics</w:t>
      </w:r>
      <w:r w:rsidRPr="00917AC2">
        <w:rPr>
          <w:rStyle w:val="resultpara0"/>
        </w:rPr>
        <w:t>.</w:t>
      </w:r>
      <w:r w:rsidRPr="00917AC2">
        <w:t xml:space="preserve"> </w:t>
      </w:r>
      <w:r w:rsidRPr="00917AC2">
        <w:rPr>
          <w:rStyle w:val="resultpara2"/>
        </w:rPr>
        <w:t xml:space="preserve">For </w:t>
      </w:r>
      <w:r w:rsidRPr="00917AC2">
        <w:rPr>
          <w:rStyle w:val="resultpara2"/>
          <w:bCs/>
        </w:rPr>
        <w:t>example</w:t>
      </w:r>
      <w:r w:rsidRPr="00917AC2">
        <w:rPr>
          <w:rStyle w:val="resultpara2"/>
        </w:rPr>
        <w:t xml:space="preserve">, </w:t>
      </w:r>
      <w:r w:rsidR="00CA0A21">
        <w:rPr>
          <w:rStyle w:val="resultpara2"/>
        </w:rPr>
        <w:t>Interleukin-4</w:t>
      </w:r>
      <w:r w:rsidR="00CA0A21" w:rsidRPr="007767CF">
        <w:rPr>
          <w:rStyle w:val="resultpara2"/>
        </w:rPr>
        <w:t xml:space="preserve"> </w:t>
      </w:r>
      <w:r w:rsidR="00CA0A21">
        <w:rPr>
          <w:rStyle w:val="resultpara2"/>
        </w:rPr>
        <w:t>and TNF-</w:t>
      </w:r>
      <w:r w:rsidR="00EF24DF">
        <w:rPr>
          <w:rStyle w:val="resultpara2"/>
        </w:rPr>
        <w:t>α</w:t>
      </w:r>
      <w:r w:rsidR="00EF24DF" w:rsidRPr="007767CF">
        <w:rPr>
          <w:rStyle w:val="resultpara2"/>
        </w:rPr>
        <w:t xml:space="preserve"> </w:t>
      </w:r>
      <w:r w:rsidR="00EF24DF">
        <w:rPr>
          <w:rStyle w:val="resultpara2"/>
        </w:rPr>
        <w:t>are</w:t>
      </w:r>
      <w:r w:rsidRPr="007767CF">
        <w:rPr>
          <w:rStyle w:val="resultpara2"/>
        </w:rPr>
        <w:t xml:space="preserve"> examples of cytokines that could be targets for treatment. For instance, the </w:t>
      </w:r>
      <w:r w:rsidR="00EF24DF" w:rsidRPr="007767CF">
        <w:rPr>
          <w:rStyle w:val="resultpara2"/>
        </w:rPr>
        <w:t>efficiency</w:t>
      </w:r>
      <w:r w:rsidRPr="007767CF">
        <w:rPr>
          <w:rStyle w:val="resultpara2"/>
        </w:rPr>
        <w:t xml:space="preserve"> of TNF-α inhibitors </w:t>
      </w:r>
      <w:r w:rsidR="00EF24DF">
        <w:rPr>
          <w:rStyle w:val="resultpara2"/>
        </w:rPr>
        <w:t>in treating SLE has been reported</w:t>
      </w:r>
      <w:r w:rsidR="00426C4A">
        <w:rPr>
          <w:rStyle w:val="resultpara2"/>
        </w:rPr>
        <w:t>, and the function</w:t>
      </w:r>
      <w:r w:rsidRPr="007767CF">
        <w:rPr>
          <w:rStyle w:val="resultpara2"/>
        </w:rPr>
        <w:t xml:space="preserve"> of </w:t>
      </w:r>
      <w:r w:rsidR="00426C4A">
        <w:rPr>
          <w:rStyle w:val="resultpara2"/>
        </w:rPr>
        <w:t xml:space="preserve"> </w:t>
      </w:r>
      <w:r w:rsidRPr="007767CF">
        <w:rPr>
          <w:rStyle w:val="resultpara2"/>
        </w:rPr>
        <w:t>IL-4 in B cell activation suggests that it may be a po</w:t>
      </w:r>
      <w:r>
        <w:rPr>
          <w:rStyle w:val="resultpara2"/>
        </w:rPr>
        <w:t xml:space="preserve">tential target for treatment </w:t>
      </w:r>
      <w:r>
        <w:rPr>
          <w:rStyle w:val="resultpara2"/>
          <w:bCs/>
        </w:rPr>
        <w:fldChar w:fldCharType="begin"/>
      </w:r>
      <w:r w:rsidR="00B41ACC">
        <w:rPr>
          <w:rStyle w:val="resultpara2"/>
          <w:bCs/>
        </w:rPr>
        <w:instrText xml:space="preserve"> ADDIN ZOTERO_ITEM CSL_CITATION {"citationID":"Yh90Quzr","properties":{"formattedCitation":"\\super 71\\nosupersub{}","plainCitation":"71","noteIndex":0},"citationItems":[{"id":551,"uris":["http://zotero.org/users/local/BfzbJtgR/items/EHJA342X"],"itemData":{"id":551,"type":"article-journal","abstract":"The abnormal biological activity of cytokines and their imbalance are implicated in developing rheumatoid arthritis (RA) and systemic lupus erythematosus (SLE). Cytokine levels were measured in RA and SLE patients and compared to healthy controls using the Wilcoxon rank sum test and Kruskal-Wallis test. The relationship between cytokine levels and blood and clinical parameters was assessed using Spearman's correlation test. Compared to healthy controls, both RA and SLE patients exhibited elevated levels of GM-CSF, CX3CL1, IFN-α2, IL-12p70, IL-17A, TNF-α, IL-1β, and IFN-γ, which is evidence of their shared inflammatory signature. IL-2 levels were elevated exclusively in RA patients, while MCP-1 and IL-10 were uniquely increased in SLE patients. Notably, TNF-α showed the most significant increase in SLE patients. IL-4 was elevated in SLE patients with nephritis, correlating with IL-6, IL-10, sCD40L, and IL-8, suggesting B cell involvement in lupus nephritis. The negative correlation between CX3CL1 and TNF-α with HDL in RA and SLE respectively, highlights the potential association of these inflammatory markers with cardiovascular risk. These findings underscore the complex cytokine interplay in RA and SLE. CX3CL1 emerges as a potential therapeutic target for RA, while TNF-α and IL-4 show promise as therapeutic targets for SLE.","container-title":"Scientific Reports","DOI":"10.1038/s41598-024-72564-z","ISSN":"2045-2322","issue":"1","journalAbbreviation":"Sci Rep","language":"eng","note":"PMID: 39379404\nPMCID: PMC11461704","page":"23475","source":"PubMed","title":"Cytokine profiles and their correlation with clinical and blood parameters in rheumatoid arthritis and systemic lupus erythematosus","volume":"14","author":[{"family":"Duarte-Delgado","given":"Nancy Paola"},{"family":"Segura","given":"Katherine"},{"family":"Gómez","given":"Oscar"},{"family":"Pulido","given":"Sandra"},{"family":"Tovar-Sánchez","given":"Catherin"},{"family":"Bello-Gualtero","given":"J. M."},{"family":"Fernández-Ávila","given":"Daniel G."},{"family":"Amado-Garzón","given":"Sandra B."},{"family":"Romero-Sanchez","given":"Consuelo"},{"family":"Cacciatore","given":"Stefano"},{"family":"Rodríguez C","given":"Luz-Stella"}],"issued":{"date-parts":[["2024",10,8]]}}}],"schema":"https://github.com/citation-style-language/schema/raw/master/csl-citation.json"} </w:instrText>
      </w:r>
      <w:r>
        <w:rPr>
          <w:rStyle w:val="resultpara2"/>
          <w:bCs/>
        </w:rPr>
        <w:fldChar w:fldCharType="separate"/>
      </w:r>
      <w:r w:rsidR="00B41ACC" w:rsidRPr="00B41ACC">
        <w:rPr>
          <w:rFonts w:cs="Times New Roman"/>
          <w:vertAlign w:val="superscript"/>
        </w:rPr>
        <w:t>71</w:t>
      </w:r>
      <w:r>
        <w:rPr>
          <w:rStyle w:val="resultpara2"/>
          <w:bCs/>
        </w:rPr>
        <w:fldChar w:fldCharType="end"/>
      </w:r>
      <w:r w:rsidRPr="00917AC2">
        <w:rPr>
          <w:rStyle w:val="resultpara2"/>
        </w:rPr>
        <w:t>.</w:t>
      </w:r>
    </w:p>
    <w:p w:rsidR="00DB1538" w:rsidRPr="00CD0843" w:rsidRDefault="00CD0843" w:rsidP="00CD0843">
      <w:pPr>
        <w:pStyle w:val="Heading3"/>
        <w:rPr>
          <w:rStyle w:val="resultpara2"/>
          <w:rFonts w:ascii="Times New Roman" w:hAnsi="Times New Roman" w:cs="Times New Roman"/>
          <w:color w:val="auto"/>
          <w:sz w:val="24"/>
        </w:rPr>
      </w:pPr>
      <w:bookmarkStart w:id="7" w:name="_Toc193802118"/>
      <w:r w:rsidRPr="00CD0843">
        <w:rPr>
          <w:rStyle w:val="resultpara2"/>
          <w:rFonts w:ascii="Times New Roman" w:hAnsi="Times New Roman" w:cs="Times New Roman"/>
          <w:color w:val="auto"/>
          <w:sz w:val="24"/>
        </w:rPr>
        <w:t xml:space="preserve">2.1.4. </w:t>
      </w:r>
      <w:r w:rsidR="00DB1538" w:rsidRPr="00CD0843">
        <w:rPr>
          <w:rStyle w:val="resultpara2"/>
          <w:rFonts w:ascii="Times New Roman" w:hAnsi="Times New Roman" w:cs="Times New Roman"/>
          <w:color w:val="auto"/>
          <w:sz w:val="24"/>
        </w:rPr>
        <w:t>COVID-19</w:t>
      </w:r>
      <w:bookmarkEnd w:id="7"/>
    </w:p>
    <w:p w:rsidR="00412DAE" w:rsidRPr="00412DAE" w:rsidRDefault="00412DAE" w:rsidP="00412DAE">
      <w:pPr>
        <w:pStyle w:val="Standard"/>
        <w:spacing w:before="280" w:after="280" w:line="276" w:lineRule="auto"/>
        <w:jc w:val="both"/>
        <w:rPr>
          <w:bCs/>
        </w:rPr>
      </w:pPr>
      <w:r w:rsidRPr="00412DAE">
        <w:rPr>
          <w:bCs/>
        </w:rPr>
        <w:t xml:space="preserve">Determining the </w:t>
      </w:r>
      <w:r w:rsidR="00843347">
        <w:rPr>
          <w:bCs/>
        </w:rPr>
        <w:t>level</w:t>
      </w:r>
      <w:r w:rsidRPr="00412DAE">
        <w:rPr>
          <w:bCs/>
        </w:rPr>
        <w:t xml:space="preserve"> of the disease and guiding treatment depends much on host biomarkers for COVID-19. These markers belong in several categories: genetic components, inflammatory signs, organ malfunction signals, coagulation markers, and immune reaction indicators.</w:t>
      </w:r>
    </w:p>
    <w:p w:rsidR="001F3200" w:rsidRDefault="00412DAE" w:rsidP="00412DAE">
      <w:pPr>
        <w:pStyle w:val="Standard"/>
        <w:suppressAutoHyphens w:val="0"/>
        <w:spacing w:before="280" w:after="280" w:line="276" w:lineRule="auto"/>
        <w:jc w:val="both"/>
        <w:textAlignment w:val="auto"/>
        <w:rPr>
          <w:bCs/>
        </w:rPr>
      </w:pPr>
      <w:r w:rsidRPr="00412DAE">
        <w:rPr>
          <w:bCs/>
        </w:rPr>
        <w:t>This part features some momentous immune system indicators and inflammatory markers.  Inflammatory biomarkers are crucial for evaluating disease severity, predicting complications, and informing treatment decisions in COVID-19. Infection with</w:t>
      </w:r>
      <w:r w:rsidR="005C326F">
        <w:rPr>
          <w:bCs/>
        </w:rPr>
        <w:t xml:space="preserve"> </w:t>
      </w:r>
      <w:r w:rsidR="005C326F" w:rsidRPr="00412DAE">
        <w:rPr>
          <w:bCs/>
        </w:rPr>
        <w:t>COVID-19</w:t>
      </w:r>
      <w:r w:rsidRPr="00412DAE">
        <w:rPr>
          <w:bCs/>
        </w:rPr>
        <w:t xml:space="preserve"> triggers an excessive immune </w:t>
      </w:r>
      <w:r w:rsidR="005C326F" w:rsidRPr="00412DAE">
        <w:rPr>
          <w:bCs/>
        </w:rPr>
        <w:t>reaction</w:t>
      </w:r>
      <w:r w:rsidRPr="00412DAE">
        <w:rPr>
          <w:bCs/>
        </w:rPr>
        <w:t>, leading to a "cytokine storm" in severe cases. The key inflammatory biomarkers examined in various studies during the COVID-19 pandemic are presented below (Table 3).</w:t>
      </w:r>
    </w:p>
    <w:p w:rsidR="00F54467" w:rsidRDefault="00F54467" w:rsidP="00412DAE">
      <w:pPr>
        <w:pStyle w:val="Standard"/>
        <w:suppressAutoHyphens w:val="0"/>
        <w:spacing w:before="280" w:after="280" w:line="276" w:lineRule="auto"/>
        <w:jc w:val="both"/>
        <w:textAlignment w:val="auto"/>
        <w:rPr>
          <w:bCs/>
        </w:rPr>
      </w:pPr>
      <w:r>
        <w:rPr>
          <w:bCs/>
        </w:rPr>
        <w:t>Table</w:t>
      </w:r>
      <w:r w:rsidR="00057734">
        <w:rPr>
          <w:bCs/>
        </w:rPr>
        <w:t xml:space="preserve"> 3</w:t>
      </w:r>
      <w:r>
        <w:rPr>
          <w:bCs/>
        </w:rPr>
        <w:t xml:space="preserve">: The important </w:t>
      </w:r>
      <w:r w:rsidR="00B133EC">
        <w:rPr>
          <w:bCs/>
        </w:rPr>
        <w:t xml:space="preserve">inflammatory </w:t>
      </w:r>
      <w:r>
        <w:rPr>
          <w:bCs/>
        </w:rPr>
        <w:t xml:space="preserve">biomarkers for </w:t>
      </w:r>
      <w:r w:rsidR="00B133EC">
        <w:rPr>
          <w:bCs/>
        </w:rPr>
        <w:t xml:space="preserve">COVID-19. </w:t>
      </w:r>
    </w:p>
    <w:tbl>
      <w:tblPr>
        <w:tblStyle w:val="TableGrid"/>
        <w:tblW w:w="10530" w:type="dxa"/>
        <w:tblInd w:w="-365" w:type="dxa"/>
        <w:tblLook w:val="04A0" w:firstRow="1" w:lastRow="0" w:firstColumn="1" w:lastColumn="0" w:noHBand="0" w:noVBand="1"/>
      </w:tblPr>
      <w:tblGrid>
        <w:gridCol w:w="3060"/>
        <w:gridCol w:w="2970"/>
        <w:gridCol w:w="4500"/>
      </w:tblGrid>
      <w:tr w:rsidR="004D2FA2" w:rsidRPr="0054252E" w:rsidTr="0054252E">
        <w:trPr>
          <w:trHeight w:val="530"/>
        </w:trPr>
        <w:tc>
          <w:tcPr>
            <w:tcW w:w="3060" w:type="dxa"/>
          </w:tcPr>
          <w:p w:rsidR="004D2FA2" w:rsidRPr="0054252E" w:rsidRDefault="004D2FA2" w:rsidP="0054252E">
            <w:pPr>
              <w:pStyle w:val="Standard"/>
              <w:suppressAutoHyphens w:val="0"/>
              <w:spacing w:line="276" w:lineRule="auto"/>
              <w:textAlignment w:val="auto"/>
              <w:rPr>
                <w:rFonts w:ascii="Times New Roman" w:hAnsi="Times New Roman" w:cs="Times New Roman"/>
                <w:b/>
                <w:bCs/>
              </w:rPr>
            </w:pPr>
            <w:r w:rsidRPr="0054252E">
              <w:rPr>
                <w:rFonts w:ascii="Times New Roman" w:hAnsi="Times New Roman" w:cs="Times New Roman"/>
                <w:b/>
              </w:rPr>
              <w:t>Host-Biomarker</w:t>
            </w:r>
          </w:p>
        </w:tc>
        <w:tc>
          <w:tcPr>
            <w:tcW w:w="2970" w:type="dxa"/>
          </w:tcPr>
          <w:p w:rsidR="004D2FA2" w:rsidRPr="0054252E" w:rsidRDefault="004D2FA2" w:rsidP="0054252E">
            <w:pPr>
              <w:pStyle w:val="Standard"/>
              <w:suppressAutoHyphens w:val="0"/>
              <w:spacing w:line="276" w:lineRule="auto"/>
              <w:textAlignment w:val="auto"/>
              <w:rPr>
                <w:rFonts w:ascii="Times New Roman" w:hAnsi="Times New Roman" w:cs="Times New Roman"/>
                <w:b/>
                <w:bCs/>
              </w:rPr>
            </w:pPr>
            <w:r w:rsidRPr="0054252E">
              <w:rPr>
                <w:rFonts w:ascii="Times New Roman" w:hAnsi="Times New Roman" w:cs="Times New Roman"/>
                <w:b/>
              </w:rPr>
              <w:t>Role in COVID-19</w:t>
            </w:r>
          </w:p>
        </w:tc>
        <w:tc>
          <w:tcPr>
            <w:tcW w:w="4500" w:type="dxa"/>
          </w:tcPr>
          <w:p w:rsidR="004D2FA2" w:rsidRPr="0054252E" w:rsidRDefault="004D2FA2" w:rsidP="004E7873">
            <w:pPr>
              <w:pStyle w:val="Standard"/>
              <w:suppressAutoHyphens w:val="0"/>
              <w:spacing w:line="276" w:lineRule="auto"/>
              <w:textAlignment w:val="auto"/>
              <w:rPr>
                <w:rFonts w:ascii="Times New Roman" w:hAnsi="Times New Roman" w:cs="Times New Roman"/>
                <w:b/>
                <w:bCs/>
              </w:rPr>
            </w:pPr>
            <w:r w:rsidRPr="0054252E">
              <w:rPr>
                <w:rFonts w:ascii="Times New Roman" w:hAnsi="Times New Roman" w:cs="Times New Roman"/>
                <w:b/>
                <w:bCs/>
              </w:rPr>
              <w:t>Cuto</w:t>
            </w:r>
            <w:r w:rsidR="00B133EC" w:rsidRPr="0054252E">
              <w:rPr>
                <w:rFonts w:ascii="Times New Roman" w:hAnsi="Times New Roman" w:cs="Times New Roman"/>
                <w:b/>
                <w:bCs/>
              </w:rPr>
              <w:t>f</w:t>
            </w:r>
            <w:r w:rsidRPr="0054252E">
              <w:rPr>
                <w:rFonts w:ascii="Times New Roman" w:hAnsi="Times New Roman" w:cs="Times New Roman"/>
                <w:b/>
                <w:bCs/>
              </w:rPr>
              <w:t>f</w:t>
            </w:r>
            <w:r w:rsidR="003C5FF2" w:rsidRPr="0054252E">
              <w:rPr>
                <w:rFonts w:ascii="Times New Roman" w:hAnsi="Times New Roman" w:cs="Times New Roman"/>
                <w:b/>
                <w:bCs/>
              </w:rPr>
              <w:t xml:space="preserve"> value</w:t>
            </w:r>
            <w:r w:rsidRPr="0054252E">
              <w:rPr>
                <w:rFonts w:ascii="Times New Roman" w:hAnsi="Times New Roman" w:cs="Times New Roman"/>
                <w:b/>
                <w:bCs/>
              </w:rPr>
              <w:t xml:space="preserve"> </w:t>
            </w:r>
            <w:r w:rsidR="004E7873">
              <w:rPr>
                <w:rFonts w:ascii="Times New Roman" w:hAnsi="Times New Roman" w:cs="Times New Roman"/>
                <w:b/>
                <w:bCs/>
              </w:rPr>
              <w:t>for</w:t>
            </w:r>
            <w:r w:rsidRPr="0054252E">
              <w:rPr>
                <w:rFonts w:ascii="Times New Roman" w:hAnsi="Times New Roman" w:cs="Times New Roman"/>
                <w:b/>
                <w:bCs/>
              </w:rPr>
              <w:t xml:space="preserve"> </w:t>
            </w:r>
            <w:r w:rsidR="00356E4F">
              <w:rPr>
                <w:rFonts w:ascii="Times New Roman" w:hAnsi="Times New Roman" w:cs="Times New Roman"/>
                <w:b/>
                <w:bCs/>
              </w:rPr>
              <w:t xml:space="preserve">the </w:t>
            </w:r>
            <w:r w:rsidR="004E7873">
              <w:rPr>
                <w:rFonts w:ascii="Times New Roman" w:hAnsi="Times New Roman" w:cs="Times New Roman"/>
                <w:b/>
                <w:bCs/>
              </w:rPr>
              <w:t xml:space="preserve">level </w:t>
            </w:r>
            <w:r w:rsidRPr="0054252E">
              <w:rPr>
                <w:rFonts w:ascii="Times New Roman" w:hAnsi="Times New Roman" w:cs="Times New Roman"/>
                <w:b/>
                <w:bCs/>
              </w:rPr>
              <w:t>of COVID-19</w:t>
            </w:r>
          </w:p>
        </w:tc>
      </w:tr>
      <w:tr w:rsidR="004D2FA2" w:rsidRPr="0054252E" w:rsidTr="00CC7DF8">
        <w:trPr>
          <w:trHeight w:val="656"/>
        </w:trPr>
        <w:tc>
          <w:tcPr>
            <w:tcW w:w="3060" w:type="dxa"/>
          </w:tcPr>
          <w:p w:rsidR="004D2FA2" w:rsidRPr="00CC7DF8" w:rsidRDefault="004D2FA2" w:rsidP="009A23C8">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bCs/>
                <w:sz w:val="22"/>
                <w:szCs w:val="22"/>
              </w:rPr>
              <w:t>TNF-α</w:t>
            </w:r>
          </w:p>
        </w:tc>
        <w:tc>
          <w:tcPr>
            <w:tcW w:w="2970" w:type="dxa"/>
          </w:tcPr>
          <w:p w:rsidR="004D2FA2" w:rsidRPr="00CC7DF8" w:rsidRDefault="004D2FA2" w:rsidP="0054252E">
            <w:pPr>
              <w:pStyle w:val="Standard"/>
              <w:suppressAutoHyphens w:val="0"/>
              <w:spacing w:line="276" w:lineRule="auto"/>
              <w:textAlignment w:val="auto"/>
              <w:rPr>
                <w:rFonts w:ascii="Times New Roman" w:hAnsi="Times New Roman" w:cs="Times New Roman"/>
                <w:bCs/>
                <w:sz w:val="22"/>
                <w:szCs w:val="22"/>
              </w:rPr>
            </w:pPr>
            <w:r w:rsidRPr="00CC7DF8">
              <w:rPr>
                <w:rFonts w:ascii="Times New Roman" w:hAnsi="Times New Roman" w:cs="Times New Roman"/>
                <w:bCs/>
                <w:sz w:val="22"/>
                <w:szCs w:val="22"/>
              </w:rPr>
              <w:t>Endothelial damage and coagulopathy</w:t>
            </w:r>
          </w:p>
        </w:tc>
        <w:tc>
          <w:tcPr>
            <w:tcW w:w="4500" w:type="dxa"/>
          </w:tcPr>
          <w:p w:rsidR="004D2FA2" w:rsidRPr="00CC7DF8" w:rsidRDefault="004D2FA2" w:rsidP="00B41ACC">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bCs/>
                <w:sz w:val="22"/>
                <w:szCs w:val="22"/>
              </w:rPr>
              <w:t xml:space="preserve">Elevated </w:t>
            </w:r>
            <w:r w:rsidR="003711B3" w:rsidRPr="00CC7DF8">
              <w:rPr>
                <w:rFonts w:ascii="Times New Roman" w:hAnsi="Times New Roman" w:cs="Times New Roman"/>
                <w:bCs/>
                <w:sz w:val="22"/>
                <w:szCs w:val="22"/>
              </w:rPr>
              <w:t xml:space="preserve"> </w:t>
            </w:r>
            <w:r w:rsidR="003711B3" w:rsidRPr="00CC7DF8">
              <w:rPr>
                <w:rFonts w:ascii="Times New Roman" w:hAnsi="Times New Roman" w:cs="Times New Roman"/>
                <w:bCs/>
                <w:sz w:val="22"/>
                <w:szCs w:val="22"/>
              </w:rPr>
              <w:fldChar w:fldCharType="begin"/>
            </w:r>
            <w:r w:rsidR="00B41ACC">
              <w:rPr>
                <w:rFonts w:ascii="Times New Roman" w:hAnsi="Times New Roman" w:cs="Times New Roman"/>
                <w:bCs/>
                <w:sz w:val="22"/>
                <w:szCs w:val="22"/>
              </w:rPr>
              <w:instrText xml:space="preserve"> ADDIN ZOTERO_ITEM CSL_CITATION {"citationID":"SXJ15kjM","properties":{"formattedCitation":"\\super 72\\uc0\\u8211{}74\\nosupersub{}","plainCitation":"72–74","noteIndex":0},"citationItems":[{"id":581,"uris":["http://zotero.org/users/local/BfzbJtgR/items/HITJIYB4"],"itemData":{"id":581,"type":"article-journal","abstract":"The endothelium has a fundamental role in the cardiovascular complications of coronavirus disease 2019 (COVID-19). Infection with severe acute respiratory syndrome coronavirus 2 (SARS-CoV-2) particularly affects endothelial cells. The virus binds to the angiotensin-converting enzyme 2 (ACE-2) receptor (present on type 2 alveolar cells, bronchial epithelial cells, and endothelial cells), and induces a cytokine storm. The cytokines tumor necrosis factor alpha, interleukin-1 beta, and interleukin-6 have particular effects on endothelial cells—leading to endothelial dysfunction, endothelial cell death, changes in tight junctions, and vascular hyperpermeability. Under normal conditions, apoptotic endothelial cells are removed into the bloodstream. During COVID-19, however, endothelial cells are detached more rapidly, and do not regenerate as effectively as usual. The loss of the endothelium on the luminal surface abolishes all of the vascular responses mediated by the endothelium and nitric oxide production in particular, which results in greater contractility. Moreover, circulating endothelial cells infected with SARS-CoV-2 act as vectors for viral dissemination by forming clusters that migrate into the circulation and reach distant organs. The cell clusters and the endothelial dysfunction might contribute to the various thromboembolic pathologies observed in COVID-19 by inducing the formation of intravascular microthrombi, as well as by triggering disseminated intravascular coagulation. Here, we review the contributions of endotheliopathy and endothelial-cell-derived extracellular vesicles to the pathogenesis of COVID-19, and discuss therapeutic strategies that target the endothelium in patients with COVID-19.","container-title":"International Journal of Molecular Sciences","DOI":"10.3390/ijms23116196","ISSN":"1422-0067","issue":"11","journalAbbreviation":"IJMS","language":"en","license":"https://creativecommons.org/licenses/by/4.0/","page":"6196","source":"DOI.org (Crossref)","title":"The Endothelium and COVID-19: An Increasingly Clear Link Brief Title: Endotheliopathy in COVID-19","title-short":"The Endothelium and COVID-19","volume":"23","author":[{"family":"Six","given":"Isabelle"},{"family":"Guillaume","given":"Nicolas"},{"family":"Jacob","given":"Valentine"},{"family":"Mentaverri","given":"Romuald"},{"family":"Kamel","given":"Said"},{"family":"Boullier","given":"Agnès"},{"family":"Slama","given":"Michel"}],"issued":{"date-parts":[["2022",5,31]]}}},{"id":576,"uris":["http://zotero.org/users/local/BfzbJtgR/items/G7I9RF3S"],"itemData":{"id":576,"type":"article-journal","abstract":"Chronic inflammatory diseases are associated with accelerated atherosclerosis and increased risk of cardiovascular diseases (CVD). As the pathogenesis of atherosclerosis is increasingly recognized as an inflammatory process, similarities between atherosclerosis and systemic inflammatory diseases such as rheumatoid arthritis, inflammatory bowel diseases, lupus, psoriasis, spondyloarthritis and others have become a topic of interest. Endothelial dysfunction represents a key step in the initiation and maintenance of atherosclerosis and may serve as a marker for future risk of cardiovascular events. Patients with chronic inflammatory diseases manifest endothelial dysfunction, often early in the course of the disease. Therefore, mechanisms linking systemic inflammatory diseases and atherosclerosis may be best understood at the level of the endothelium. Multiple factors, including circulating inflammatory cytokines, TNF-α (tumor necrosis factor-α), reactive oxygen species, oxidized LDL (low density lipoprotein), autoantibodies and traditional risk factors directly and indirectly activate endothelial cells, leading to impaired vascular relaxation, increased leukocyte adhesion, increased endothelial permeability and generation of a  pro-thrombotic state. Pharmacologic agents directed against TNF-α-mediated inflammation may decrease the risk of endothelial dysfunction and cardiovascular disease in these  patients. Understanding the precise mechanisms driving endothelial dysfunction in patients with systemic inflammatory diseases may help elucidate the pathogenesis of atherosclerosis in the general population.","container-title":"International Journal of Molecular Sciences","DOI":"10.3390/ijms150711324","ISSN":"1422-0067","issue":"7","journalAbbreviation":"IJMS","language":"en","license":"https://creativecommons.org/licenses/by/3.0/","page":"11324-11349","source":"DOI.org (Crossref)","title":"Endothelial Dysfunction in Chronic Inflammatory Diseases","volume":"15","author":[{"family":"Steyers","given":"Curtis"},{"family":"Miller","given":"Francis"}],"issued":{"date-parts":[["2014",6,25]]}}},{"id":578,"uris":["http://zotero.org/users/local/BfzbJtgR/items/6QGYQ6X5"],"itemData":{"id":578,"type":"article-journal","abstract":"The fight against coronavirus disease 2019 (COVID-19) caused by SARS-CoV-2 infection is still raging. However, the pathophysiology of acute and post-acute manifestations of COVID-19 (long COVID-19) is understudied. Endothelial cells are sentinels lining the innermost layer of blood vessel that gatekeep micro- and macro-vascular health by sensing pathogen/danger signals and secreting vasoactive molecules. SARS-CoV-2 infection primarily affects the pulmonary system, but accumulating evidence suggests that it also affects the pan-vasculature in the extrapulmonary systems by directly (via virus infection) or indirectly (via cytokine storm), causing endothelial dysfunction (endotheliitis, endothelialitis and endotheliopathy) and multi-organ injury. Mounting evidence suggests that SARS-CoV-2 infection leads to multiple instances of endothelial dysfunction, including reduced nitric oxide (NO) bioavailability, oxidative stress, endothelial injury, glycocalyx/barrier disruption, hyperpermeability, inflammation/leukocyte adhesion, senescence, endothelial-to-mesenchymal transition (EndoMT), hypercoagulability, thrombosis and many others. Thus, COVID-19 is deemed as a (micro)vascular and endothelial disease. Of translational relevance, several candidate drugs which are endothelial protective have been shown to improve clinical manifestations of COVID-19 patients. The purpose of this review is to provide a latest summary of biomarkers associated with endothelial cell activation in COVID-19 and offer mechanistic insights into the molecular basis of endothelial activation/dysfunction in macro- and micro-vasculature of COVID-19 patients. We envisage further development of cellular models and suitable animal models mimicking endothelial dysfunction aspect of COVID-19 being able to accelerate the discovery of new drugs targeting endothelial dysfunction in pan-vasculature from COVID-19 patients.","container-title":"Acta Pharmacologica Sinica","DOI":"10.1038/s41401-022-00998-0","ISSN":"1745-7254","issue":"4","journalAbbreviation":"Acta Pharmacol Sin","language":"eng","note":"PMID: 36253560\nPMCID: PMC9574180","page":"695-709","source":"PubMed","title":"Endothelial dysfunction in COVID-19: an overview of evidence, biomarkers, mechanisms and potential therapies","title-short":"Endothelial dysfunction in COVID-19","volume":"44","author":[{"family":"Xu","given":"Suo-Wen"},{"family":"Ilyas","given":"Iqra"},{"family":"Weng","given":"Jian-Ping"}],"issued":{"date-parts":[["2023",4]]}}}],"schema":"https://github.com/citation-style-language/schema/raw/master/csl-citation.json"} </w:instrText>
            </w:r>
            <w:r w:rsidR="003711B3" w:rsidRPr="00CC7DF8">
              <w:rPr>
                <w:rFonts w:ascii="Times New Roman" w:hAnsi="Times New Roman" w:cs="Times New Roman"/>
                <w:bCs/>
                <w:sz w:val="22"/>
                <w:szCs w:val="22"/>
              </w:rPr>
              <w:fldChar w:fldCharType="separate"/>
            </w:r>
            <w:r w:rsidR="00B41ACC" w:rsidRPr="00B41ACC">
              <w:rPr>
                <w:rFonts w:ascii="Times New Roman" w:hAnsi="Times New Roman" w:cs="Times New Roman"/>
                <w:sz w:val="22"/>
                <w:vertAlign w:val="superscript"/>
              </w:rPr>
              <w:t>72–74</w:t>
            </w:r>
            <w:r w:rsidR="003711B3" w:rsidRPr="00CC7DF8">
              <w:rPr>
                <w:rFonts w:ascii="Times New Roman" w:hAnsi="Times New Roman" w:cs="Times New Roman"/>
                <w:bCs/>
                <w:sz w:val="22"/>
                <w:szCs w:val="22"/>
              </w:rPr>
              <w:fldChar w:fldCharType="end"/>
            </w:r>
          </w:p>
        </w:tc>
      </w:tr>
      <w:tr w:rsidR="004D2FA2" w:rsidRPr="0054252E" w:rsidTr="0054252E">
        <w:trPr>
          <w:trHeight w:val="530"/>
        </w:trPr>
        <w:tc>
          <w:tcPr>
            <w:tcW w:w="3060" w:type="dxa"/>
          </w:tcPr>
          <w:p w:rsidR="004D2FA2" w:rsidRPr="00CC7DF8" w:rsidRDefault="004D2FA2" w:rsidP="009A23C8">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bCs/>
                <w:sz w:val="22"/>
                <w:szCs w:val="22"/>
              </w:rPr>
              <w:t>IL-1</w:t>
            </w:r>
            <m:oMath>
              <m:r>
                <w:rPr>
                  <w:rFonts w:ascii="Cambria Math" w:hAnsi="Cambria Math" w:cs="Times New Roman"/>
                  <w:sz w:val="22"/>
                  <w:szCs w:val="22"/>
                </w:rPr>
                <m:t>β</m:t>
              </m:r>
            </m:oMath>
          </w:p>
        </w:tc>
        <w:tc>
          <w:tcPr>
            <w:tcW w:w="2970" w:type="dxa"/>
          </w:tcPr>
          <w:p w:rsidR="004D2FA2" w:rsidRPr="00CC7DF8" w:rsidRDefault="004D2FA2" w:rsidP="0054252E">
            <w:pPr>
              <w:pStyle w:val="Standard"/>
              <w:suppressAutoHyphens w:val="0"/>
              <w:spacing w:line="276" w:lineRule="auto"/>
              <w:textAlignment w:val="auto"/>
              <w:rPr>
                <w:rFonts w:ascii="Times New Roman" w:hAnsi="Times New Roman" w:cs="Times New Roman"/>
                <w:bCs/>
                <w:sz w:val="22"/>
                <w:szCs w:val="22"/>
              </w:rPr>
            </w:pPr>
            <w:r w:rsidRPr="00CC7DF8">
              <w:rPr>
                <w:rFonts w:ascii="Times New Roman" w:hAnsi="Times New Roman" w:cs="Times New Roman"/>
                <w:bCs/>
                <w:sz w:val="22"/>
                <w:szCs w:val="22"/>
              </w:rPr>
              <w:t xml:space="preserve">Neutrophil activator, fever </w:t>
            </w:r>
          </w:p>
        </w:tc>
        <w:tc>
          <w:tcPr>
            <w:tcW w:w="4500" w:type="dxa"/>
          </w:tcPr>
          <w:p w:rsidR="004D2FA2" w:rsidRPr="00CC7DF8" w:rsidRDefault="004D2FA2" w:rsidP="00B41ACC">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bCs/>
                <w:sz w:val="22"/>
                <w:szCs w:val="22"/>
              </w:rPr>
              <w:t>Elevated</w:t>
            </w:r>
            <w:r w:rsidR="00F54467" w:rsidRPr="00CC7DF8">
              <w:rPr>
                <w:rFonts w:ascii="Times New Roman" w:hAnsi="Times New Roman" w:cs="Times New Roman"/>
                <w:bCs/>
                <w:sz w:val="22"/>
                <w:szCs w:val="22"/>
              </w:rPr>
              <w:t xml:space="preserve"> </w:t>
            </w:r>
            <w:r w:rsidR="00F54467" w:rsidRPr="00CC7DF8">
              <w:rPr>
                <w:rFonts w:ascii="Times New Roman" w:hAnsi="Times New Roman" w:cs="Times New Roman"/>
                <w:bCs/>
                <w:sz w:val="22"/>
                <w:szCs w:val="22"/>
              </w:rPr>
              <w:fldChar w:fldCharType="begin"/>
            </w:r>
            <w:r w:rsidR="00B41ACC">
              <w:rPr>
                <w:rFonts w:ascii="Times New Roman" w:hAnsi="Times New Roman" w:cs="Times New Roman"/>
                <w:bCs/>
                <w:sz w:val="22"/>
                <w:szCs w:val="22"/>
              </w:rPr>
              <w:instrText xml:space="preserve"> ADDIN ZOTERO_ITEM CSL_CITATION {"citationID":"VAbpeIvz","properties":{"formattedCitation":"\\super 75,76\\nosupersub{}","plainCitation":"75,76","noteIndex":0},"citationItems":[{"id":585,"uris":["http://zotero.org/users/local/BfzbJtgR/items/ZJ5MXCK4"],"itemData":{"id":585,"type":"article-journal","abstract":"The newfound coronavirus disease 2019 (COVID-19), initiated by severe acute respiratory syndrome coronavirus 2 (SARS-CoV-2), is an international public health concern, threatening the lives of millions of people worldwide. The virus seems to have a propensity to infect older males, especially those with underlying diseases. The cytokine storm following hyperactivated immune responses due to SARS-CoV-2 infection is probably the crucial source of severe pneumonia that leads to acute lung injury, systemic inflammatory response syndrome, or acute respiratory distress syndrome, and finally multiple organ dysfunction syndromes, as well as death in many cases. Several studies revealed that interleukin (IL)-1β levels were elevated during COVID-19 infection. In addition, the IL-1 cytokine family has a pivotal role in the induction of cytokine storm due to uncontrolled immune responses in COVID-19 infection. This article reviews the role of IL-1 in inflammation and utilization of IL-1 inhibitor agents in controlling the inflammatory outcomes initiated by SARS-CoV-2 infection.","container-title":"Viral Immunology","DOI":"10.1089/vim.2021.0071","ISSN":"1557-8976","issue":"10","journalAbbreviation":"Viral Immunol","language":"eng","note":"PMID: 34882013","page":"679-688","source":"PubMed","title":"Interleukin-1 in COVID-19 Infection: Immunopathogenesis and Possible Therapeutic Perspective","title-short":"Interleukin-1 in COVID-19 Infection","volume":"34","author":[{"family":"Mardi","given":"Amirhossein"},{"family":"Meidaninikjeh","given":"Sepideh"},{"family":"Nikfarjam","given":"Sepideh"},{"family":"Majidi Zolbanin","given":"Naime"},{"family":"Jafari","given":"Reza"}],"issued":{"date-parts":[["2021",12]]}}},{"id":583,"uris":["http://zotero.org/users/local/BfzbJtgR/items/SN4SXKJI"],"itemData":{"id":583,"type":"article-journal","abstract":"Abstract\n            \n              Background\n              SARS-Cov-2 (severe acute respiratory disease coronavirus 2) causes Coronavirus Disease 2019 (COVID19) and is associated with respiratory failure and death in severe disease. This is associated with high levels of cytokines such as IL-6, IL-8 and TNF-alpha which are predictors of severe outcomes. SARS-CoV-2 leads to activation of the NLRP3 inflammasome which results in secretion of the cytokine IL-1ß. While high levels of IL-1ß are not observed in most patients with severe COVID-19, there is a subset of patients with high IL-1ß levels. Here we sought to characterize these patients and determine whether high IL-1ß levels are associated with adverse outcomes and death in COVID-19.\n            \n            \n              Methods\n              We identified 90 patients with high IL-1ß levels (greater or equal to 2 pg/ml) and laboratory confirmed COVID-19 hospitalized in our hospital system in New York March 12 and May 8, 2020. We collected baseline clinical characteristics, laboratory values, COVID-19 treatment, and outcomes from this group and the group with IL-1ß levels below 2 pg/ml. Baseline clinical characteristics and outcomes were compared.\n            \n            \n              Results\n              Comparing patients by IL-1ß level had similar demographics (age, sex, race/ethnicity, smoking status and comorbid disease prevalence). The group had comparable levels of adverse markers of disease severity but the patients with high IL-1ß had increased inflammatory biomarkers including IL-8 (629 vs. 68 pg/ml, p&amp;lt; 0.0001), TNF-alpha (30 vs. 51 pg/ml, p&amp;lt; 0.0001), IL-6 (173 vs. 5075 pg/ml, p&amp;lt; 0.0001), CRP (141 vs. 178, p=0.0007), d-dimer (2.6 vs. 4 p=0.0002), and increased rates of death (30% vs. 20%, p=0.008).\n            \n            \n              Conclusion\n              Demographic and comorbid conditions are not effective at predicting high IL-1ß serum levels in COVID-19 patients, however those individuals with high levels are at risk for adverse outcomes of severe disease and death. Further investigation is required to probe the mechanism of NLRP3 inflammasome activation and IL-1ß signaling and the role of this cytokine in mediated inflammation and death in COVID-19.\n            \n            \n              Disclosures\n              Judith A. Aberg, MD, Theratechnology (Consultant)","container-title":"Open Forum Infectious Diseases","DOI":"10.1093/ofid/ofaa439.704","ISSN":"2328-8957","issue":"Supplement_1","language":"en","license":"http://creativecommons.org/licenses/by-nc-nd/4.0/","page":"S320-S321","source":"DOI.org (Crossref)","title":"510. Elevated IL-1β level as a predictor of inflammation and death in COVID-19","volume":"7","author":[{"family":"Swartz","given":"Talia H"},{"family":"Gnjatic","given":"Sacha"},{"family":"Aberg","given":"Judith A"},{"family":"Merad","given":"Miriam"},{"family":"Sigel","given":"Keith"}],"issued":{"date-parts":[["2020",12,31]]}}}],"schema":"https://github.com/citation-style-language/schema/raw/master/csl-citation.json"} </w:instrText>
            </w:r>
            <w:r w:rsidR="00F54467" w:rsidRPr="00CC7DF8">
              <w:rPr>
                <w:rFonts w:ascii="Times New Roman" w:hAnsi="Times New Roman" w:cs="Times New Roman"/>
                <w:bCs/>
                <w:sz w:val="22"/>
                <w:szCs w:val="22"/>
              </w:rPr>
              <w:fldChar w:fldCharType="separate"/>
            </w:r>
            <w:r w:rsidR="00B41ACC" w:rsidRPr="00B41ACC">
              <w:rPr>
                <w:rFonts w:ascii="Times New Roman" w:hAnsi="Times New Roman" w:cs="Times New Roman"/>
                <w:sz w:val="22"/>
                <w:vertAlign w:val="superscript"/>
              </w:rPr>
              <w:t>75,76</w:t>
            </w:r>
            <w:r w:rsidR="00F54467" w:rsidRPr="00CC7DF8">
              <w:rPr>
                <w:rFonts w:ascii="Times New Roman" w:hAnsi="Times New Roman" w:cs="Times New Roman"/>
                <w:bCs/>
                <w:sz w:val="22"/>
                <w:szCs w:val="22"/>
              </w:rPr>
              <w:fldChar w:fldCharType="end"/>
            </w:r>
          </w:p>
        </w:tc>
      </w:tr>
      <w:tr w:rsidR="004D2FA2" w:rsidRPr="0054252E" w:rsidTr="0054252E">
        <w:trPr>
          <w:trHeight w:val="503"/>
        </w:trPr>
        <w:tc>
          <w:tcPr>
            <w:tcW w:w="3060" w:type="dxa"/>
          </w:tcPr>
          <w:p w:rsidR="004D2FA2" w:rsidRPr="00CC7DF8" w:rsidRDefault="004D2FA2" w:rsidP="009A23C8">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bCs/>
                <w:sz w:val="22"/>
                <w:szCs w:val="22"/>
              </w:rPr>
              <w:t>IL-6</w:t>
            </w:r>
          </w:p>
        </w:tc>
        <w:tc>
          <w:tcPr>
            <w:tcW w:w="2970" w:type="dxa"/>
          </w:tcPr>
          <w:p w:rsidR="004D2FA2" w:rsidRPr="00CC7DF8" w:rsidRDefault="004D2FA2" w:rsidP="0054252E">
            <w:pPr>
              <w:pStyle w:val="Standard"/>
              <w:suppressAutoHyphens w:val="0"/>
              <w:spacing w:line="276" w:lineRule="auto"/>
              <w:textAlignment w:val="auto"/>
              <w:rPr>
                <w:rFonts w:ascii="Times New Roman" w:hAnsi="Times New Roman" w:cs="Times New Roman"/>
                <w:bCs/>
                <w:sz w:val="22"/>
                <w:szCs w:val="22"/>
              </w:rPr>
            </w:pPr>
            <w:r w:rsidRPr="00CC7DF8">
              <w:rPr>
                <w:rFonts w:ascii="Times New Roman" w:hAnsi="Times New Roman" w:cs="Times New Roman"/>
                <w:bCs/>
                <w:sz w:val="22"/>
                <w:szCs w:val="22"/>
              </w:rPr>
              <w:t>Cytokine storm mediator</w:t>
            </w:r>
          </w:p>
        </w:tc>
        <w:tc>
          <w:tcPr>
            <w:tcW w:w="4500" w:type="dxa"/>
          </w:tcPr>
          <w:p w:rsidR="004D2FA2" w:rsidRPr="00CC7DF8" w:rsidRDefault="00461A84" w:rsidP="00B41ACC">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sz w:val="22"/>
                <w:szCs w:val="22"/>
              </w:rPr>
              <w:t>&gt;</w:t>
            </w:r>
            <w:r w:rsidR="004D2FA2" w:rsidRPr="00CC7DF8">
              <w:rPr>
                <w:rFonts w:ascii="Times New Roman" w:hAnsi="Times New Roman" w:cs="Times New Roman"/>
                <w:bCs/>
                <w:sz w:val="22"/>
                <w:szCs w:val="22"/>
              </w:rPr>
              <w:t xml:space="preserve"> 80 pg/ml</w:t>
            </w:r>
            <w:r w:rsidR="003711B3" w:rsidRPr="00CC7DF8">
              <w:rPr>
                <w:rFonts w:ascii="Times New Roman" w:hAnsi="Times New Roman" w:cs="Times New Roman"/>
                <w:bCs/>
                <w:sz w:val="22"/>
                <w:szCs w:val="22"/>
              </w:rPr>
              <w:t xml:space="preserve"> </w:t>
            </w:r>
            <w:r w:rsidR="003711B3" w:rsidRPr="00CC7DF8">
              <w:rPr>
                <w:rFonts w:ascii="Times New Roman" w:hAnsi="Times New Roman" w:cs="Times New Roman"/>
                <w:bCs/>
                <w:sz w:val="22"/>
                <w:szCs w:val="22"/>
              </w:rPr>
              <w:fldChar w:fldCharType="begin"/>
            </w:r>
            <w:r w:rsidR="00B41ACC">
              <w:rPr>
                <w:rFonts w:ascii="Times New Roman" w:hAnsi="Times New Roman" w:cs="Times New Roman"/>
                <w:bCs/>
                <w:sz w:val="22"/>
                <w:szCs w:val="22"/>
              </w:rPr>
              <w:instrText xml:space="preserve"> ADDIN ZOTERO_ITEM CSL_CITATION {"citationID":"HGRFkbO5","properties":{"formattedCitation":"\\super 77\\nosupersub{}","plainCitation":"77","noteIndex":0},"citationItems":[{"id":573,"uris":["http://zotero.org/users/local/BfzbJtgR/items/99SNDLS7"],"itemData":{"id":573,"type":"article-journal","abstract":"Interleukin 6 (IL-6) is a cytokine with dual functions of pro-inflammation and anti-inflammation. It is mainly produced by mononuclear macrophages, Th2 cells, vascular endothelial cells and fibroblasts. IL-6 binds to glycoprotein 130 and one of these two receptors, membrane-bound IL-6R or soluble IL-6R, forming hexamer (IL-6/IL-6R/gp130), which then activates different signaling pathways (classical pathway, trans-signaling pathway) to exert dual immune-modulatory effects of anti-inflammation or pro-inflammation. Abnormal levels of IL-6 can cause multiple pathological reactions, including cytokine storm. Related clinical studies have found that IL-6 levels in severe COVID-19 patients were much higher than in healthy population. A large number of studies have shown that IL-6 can trigger a downstream cytokine storm in patients with COVID-19, resulting in lung damages, aggravating clinical symptoms and developing excessive inflammation and acute respiratory distress syndrome (ARDS). Monoclonal antibodies against IL-6 or IL-6R, such as tocilizumab, sarilumab, siltuximab and olokizumab may serve as therapeutic options for COVID-19 infection.","container-title":"Biophysics Reports","DOI":"10.52601/bpr.2021.200024","ISSN":"2364-3420","issue":"3","journalAbbreviation":"Biophys Rep","language":"eng","note":"PMID: 37287491\nPMCID: PMC10244797","page":"193-206","source":"PubMed","title":"What do we know about IL-6 in COVID-19 so far?","volume":"7","author":[{"family":"Jiang","given":"Jingrui"},{"family":"Wang","given":"Jun"},{"family":"Yao","given":"Lulu"},{"family":"Lai","given":"Shenghan"},{"family":"Zhang","given":"Xueji"}],"issued":{"date-parts":[["2021",6,30]]}}}],"schema":"https://github.com/citation-style-language/schema/raw/master/csl-citation.json"} </w:instrText>
            </w:r>
            <w:r w:rsidR="003711B3" w:rsidRPr="00CC7DF8">
              <w:rPr>
                <w:rFonts w:ascii="Times New Roman" w:hAnsi="Times New Roman" w:cs="Times New Roman"/>
                <w:bCs/>
                <w:sz w:val="22"/>
                <w:szCs w:val="22"/>
              </w:rPr>
              <w:fldChar w:fldCharType="separate"/>
            </w:r>
            <w:r w:rsidR="00B41ACC" w:rsidRPr="00B41ACC">
              <w:rPr>
                <w:rFonts w:ascii="Times New Roman" w:hAnsi="Times New Roman" w:cs="Times New Roman"/>
                <w:sz w:val="22"/>
                <w:vertAlign w:val="superscript"/>
              </w:rPr>
              <w:t>77</w:t>
            </w:r>
            <w:r w:rsidR="003711B3" w:rsidRPr="00CC7DF8">
              <w:rPr>
                <w:rFonts w:ascii="Times New Roman" w:hAnsi="Times New Roman" w:cs="Times New Roman"/>
                <w:bCs/>
                <w:sz w:val="22"/>
                <w:szCs w:val="22"/>
              </w:rPr>
              <w:fldChar w:fldCharType="end"/>
            </w:r>
          </w:p>
        </w:tc>
      </w:tr>
      <w:tr w:rsidR="004D2FA2" w:rsidRPr="0054252E" w:rsidTr="0054252E">
        <w:trPr>
          <w:trHeight w:val="440"/>
        </w:trPr>
        <w:tc>
          <w:tcPr>
            <w:tcW w:w="3060" w:type="dxa"/>
          </w:tcPr>
          <w:p w:rsidR="004D2FA2" w:rsidRPr="00CC7DF8" w:rsidRDefault="004D2FA2" w:rsidP="009A23C8">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bCs/>
                <w:sz w:val="22"/>
                <w:szCs w:val="22"/>
              </w:rPr>
              <w:t>CRP</w:t>
            </w:r>
          </w:p>
        </w:tc>
        <w:tc>
          <w:tcPr>
            <w:tcW w:w="2970" w:type="dxa"/>
          </w:tcPr>
          <w:p w:rsidR="004D2FA2" w:rsidRPr="00CC7DF8" w:rsidRDefault="004D2FA2" w:rsidP="0054252E">
            <w:pPr>
              <w:pStyle w:val="Standard"/>
              <w:suppressAutoHyphens w:val="0"/>
              <w:spacing w:line="276" w:lineRule="auto"/>
              <w:textAlignment w:val="auto"/>
              <w:rPr>
                <w:rFonts w:ascii="Times New Roman" w:hAnsi="Times New Roman" w:cs="Times New Roman"/>
                <w:bCs/>
                <w:sz w:val="22"/>
                <w:szCs w:val="22"/>
              </w:rPr>
            </w:pPr>
            <w:r w:rsidRPr="00CC7DF8">
              <w:rPr>
                <w:rFonts w:ascii="Times New Roman" w:hAnsi="Times New Roman" w:cs="Times New Roman"/>
                <w:bCs/>
                <w:sz w:val="22"/>
                <w:szCs w:val="22"/>
              </w:rPr>
              <w:t>General inflammation</w:t>
            </w:r>
          </w:p>
        </w:tc>
        <w:tc>
          <w:tcPr>
            <w:tcW w:w="4500" w:type="dxa"/>
          </w:tcPr>
          <w:p w:rsidR="004D2FA2" w:rsidRPr="00CC7DF8" w:rsidRDefault="00461A84" w:rsidP="00B41ACC">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sz w:val="22"/>
                <w:szCs w:val="22"/>
              </w:rPr>
              <w:t>&gt;</w:t>
            </w:r>
            <w:r w:rsidR="004D2FA2" w:rsidRPr="00CC7DF8">
              <w:rPr>
                <w:rFonts w:ascii="Times New Roman" w:hAnsi="Times New Roman" w:cs="Times New Roman"/>
                <w:bCs/>
                <w:sz w:val="22"/>
                <w:szCs w:val="22"/>
              </w:rPr>
              <w:t xml:space="preserve"> 100 mg/L</w:t>
            </w:r>
            <w:r w:rsidRPr="00CC7DF8">
              <w:rPr>
                <w:rFonts w:ascii="Times New Roman" w:hAnsi="Times New Roman" w:cs="Times New Roman"/>
                <w:bCs/>
                <w:sz w:val="22"/>
                <w:szCs w:val="22"/>
              </w:rPr>
              <w:t xml:space="preserve"> </w:t>
            </w:r>
            <w:r w:rsidR="003711B3" w:rsidRPr="00CC7DF8">
              <w:rPr>
                <w:rFonts w:ascii="Times New Roman" w:hAnsi="Times New Roman" w:cs="Times New Roman"/>
                <w:bCs/>
                <w:sz w:val="22"/>
                <w:szCs w:val="22"/>
              </w:rPr>
              <w:fldChar w:fldCharType="begin"/>
            </w:r>
            <w:r w:rsidR="00B41ACC">
              <w:rPr>
                <w:rFonts w:ascii="Times New Roman" w:hAnsi="Times New Roman" w:cs="Times New Roman"/>
                <w:bCs/>
                <w:sz w:val="22"/>
                <w:szCs w:val="22"/>
              </w:rPr>
              <w:instrText xml:space="preserve"> ADDIN ZOTERO_ITEM CSL_CITATION {"citationID":"WYHJ1UwE","properties":{"formattedCitation":"\\super 78\\nosupersub{}","plainCitation":"78","noteIndex":0},"citationItems":[{"id":570,"uris":["http://zotero.org/users/local/BfzbJtgR/items/RZZZNJZU"],"itemData":{"id":570,"type":"article-journal","abstract":"INTRODUCTION: The COVID-19 pandemic continues to be rampant with considerable morbidity and mortality worldwide since its emergence in December 2019. Several studies have focused on identifying different predictive factors of poor prognosis, including biological markers, such as C Reactive Protein among others. The objective of our work was to determine whether the CRP levels on admission to the intensive care unit are predictive of an unfavorable evolution of patients with COVID-19 through the experience of the Anesthesia and Intensive Care Unit of the University Hospital of Oujda and to compare our results with those reported in the literature.\nMETHODS: We conducted a retrospective, monocentric, descriptive and analytical study in the Department of Anesthesia and Intensive Care of the Mohammed VI University Hospital of Oujda, Morocco, between March 2020 and October 2021, including all critically ill patients admitted to the department during this period and meeting the inclusion criteria. The baseline admission CRP value was arbitrarily set at 100mg/d, thus conditioning the division of our patients into two groups (group 1: CRP &lt; 100mg/L, group 2: CRP ≥ 100mg/L).\nRESULTS: Among our 1035 included patients, 291 patients with had a CRP&lt;100mlg/L (group 1) and 744 presented a CRP level equal or superior to 100mg/L (group 2). Lung parenchymal involvement was more severe or even critical (CT involvement &gt; 75%) in group 2 (60.8%) compared to group 1 (39.2%). In group 2, 79.8% of patients were mechanically ventilated, compared to 20.2% of patients in group 1. Finally, the mortality rate in patients with a CRP ≥ 100mg/l was 77.4%, compared with 22.6% for patients with a CRP &lt; 100mg/l. These findings are all statistically highly significant (p&lt;0.001).\nCONCLUSION: Given the high contagiousness of the virus and the emergence of several variants, the management of the COVID-19 pandemic has focused more on prevention through vaccination against the virus, but also on an early identification of patients likely to evolve unfavorably for a personalized management.","container-title":"Frontiers in Immunology","DOI":"10.3389/fimmu.2022.1040024","ISSN":"1664-3224","journalAbbreviation":"Front Immunol","language":"eng","note":"PMID: 36451818\nPMCID: PMC9702806","page":"1040024","source":"PubMed","title":"C-Reactive Protein (CRP): A poor prognostic biomarker in COVID-19","title-short":"C-Reactive Protein (CRP)","volume":"13","author":[{"family":"Bouayed","given":"Mohamed Zakaria"},{"family":"Laaribi","given":"Ilyass"},{"family":"Chatar","given":"Charaf Eddine Mohammed"},{"family":"Benaini","given":"Iliass"},{"family":"Bouazzaoui","given":"Mohammed Amine"},{"family":"Oujidi","given":"Younes"},{"family":"Berrichi","given":"Samia"},{"family":"El Aidouni","given":"Ghizlane"},{"family":"Bkiyar","given":"Houssam"},{"family":"Abda","given":"Naima"},{"family":"Housni","given":"Brahim"}],"issued":{"date-parts":[["2022"]]}}}],"schema":"https://github.com/citation-style-language/schema/raw/master/csl-citation.json"} </w:instrText>
            </w:r>
            <w:r w:rsidR="003711B3" w:rsidRPr="00CC7DF8">
              <w:rPr>
                <w:rFonts w:ascii="Times New Roman" w:hAnsi="Times New Roman" w:cs="Times New Roman"/>
                <w:bCs/>
                <w:sz w:val="22"/>
                <w:szCs w:val="22"/>
              </w:rPr>
              <w:fldChar w:fldCharType="separate"/>
            </w:r>
            <w:r w:rsidR="00B41ACC" w:rsidRPr="00B41ACC">
              <w:rPr>
                <w:rFonts w:ascii="Times New Roman" w:hAnsi="Times New Roman" w:cs="Times New Roman"/>
                <w:sz w:val="22"/>
                <w:vertAlign w:val="superscript"/>
              </w:rPr>
              <w:t>78</w:t>
            </w:r>
            <w:r w:rsidR="003711B3" w:rsidRPr="00CC7DF8">
              <w:rPr>
                <w:rFonts w:ascii="Times New Roman" w:hAnsi="Times New Roman" w:cs="Times New Roman"/>
                <w:bCs/>
                <w:sz w:val="22"/>
                <w:szCs w:val="22"/>
              </w:rPr>
              <w:fldChar w:fldCharType="end"/>
            </w:r>
          </w:p>
        </w:tc>
      </w:tr>
      <w:tr w:rsidR="004D2FA2" w:rsidRPr="0054252E" w:rsidTr="0054252E">
        <w:trPr>
          <w:trHeight w:val="530"/>
        </w:trPr>
        <w:tc>
          <w:tcPr>
            <w:tcW w:w="3060" w:type="dxa"/>
          </w:tcPr>
          <w:p w:rsidR="004D2FA2" w:rsidRPr="00CC7DF8" w:rsidRDefault="00461A84" w:rsidP="009A23C8">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bCs/>
                <w:sz w:val="22"/>
                <w:szCs w:val="22"/>
              </w:rPr>
              <w:t>IFN-ϒ</w:t>
            </w:r>
          </w:p>
        </w:tc>
        <w:tc>
          <w:tcPr>
            <w:tcW w:w="2970" w:type="dxa"/>
          </w:tcPr>
          <w:p w:rsidR="004D2FA2" w:rsidRPr="00CC7DF8" w:rsidRDefault="00461A84" w:rsidP="0054252E">
            <w:pPr>
              <w:pStyle w:val="Standard"/>
              <w:suppressAutoHyphens w:val="0"/>
              <w:spacing w:line="276" w:lineRule="auto"/>
              <w:textAlignment w:val="auto"/>
              <w:rPr>
                <w:rFonts w:ascii="Times New Roman" w:hAnsi="Times New Roman" w:cs="Times New Roman"/>
                <w:bCs/>
                <w:sz w:val="22"/>
                <w:szCs w:val="22"/>
              </w:rPr>
            </w:pPr>
            <w:r w:rsidRPr="00CC7DF8">
              <w:rPr>
                <w:rFonts w:ascii="Times New Roman" w:hAnsi="Times New Roman" w:cs="Times New Roman"/>
                <w:bCs/>
                <w:sz w:val="22"/>
                <w:szCs w:val="22"/>
              </w:rPr>
              <w:t>Antiviral response</w:t>
            </w:r>
          </w:p>
        </w:tc>
        <w:tc>
          <w:tcPr>
            <w:tcW w:w="4500" w:type="dxa"/>
          </w:tcPr>
          <w:p w:rsidR="004D2FA2" w:rsidRPr="00CC7DF8" w:rsidRDefault="00461A84" w:rsidP="00B41ACC">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bCs/>
                <w:sz w:val="22"/>
                <w:szCs w:val="22"/>
              </w:rPr>
              <w:t>Impaired in severe cases</w:t>
            </w:r>
            <w:r w:rsidR="00F54467" w:rsidRPr="00CC7DF8">
              <w:rPr>
                <w:rFonts w:ascii="Times New Roman" w:hAnsi="Times New Roman" w:cs="Times New Roman"/>
                <w:bCs/>
                <w:sz w:val="22"/>
                <w:szCs w:val="22"/>
              </w:rPr>
              <w:t xml:space="preserve"> </w:t>
            </w:r>
            <w:r w:rsidR="00F54467" w:rsidRPr="00CC7DF8">
              <w:rPr>
                <w:rFonts w:ascii="Times New Roman" w:hAnsi="Times New Roman" w:cs="Times New Roman"/>
                <w:bCs/>
                <w:sz w:val="22"/>
                <w:szCs w:val="22"/>
              </w:rPr>
              <w:fldChar w:fldCharType="begin"/>
            </w:r>
            <w:r w:rsidR="00B41ACC">
              <w:rPr>
                <w:rFonts w:ascii="Times New Roman" w:hAnsi="Times New Roman" w:cs="Times New Roman"/>
                <w:bCs/>
                <w:sz w:val="22"/>
                <w:szCs w:val="22"/>
              </w:rPr>
              <w:instrText xml:space="preserve"> ADDIN ZOTERO_ITEM CSL_CITATION {"citationID":"aPjjjuJN","properties":{"formattedCitation":"\\super 79\\nosupersub{}","plainCitation":"79","noteIndex":0},"citationItems":[{"id":587,"uris":["http://zotero.org/users/local/BfzbJtgR/items/KSCKDZ98"],"itemData":{"id":587,"type":"article-journal","abstract":"BACKGROUND: Innate and adaptive immune responses have been evaluated in infected patients with COVID-19. The severity of the disease has been supposed to be associated with some profile not reported with other bacterial and viral pneumonia. We proposed a study in patients with moderate to severe COVID-19 infection to evaluate the interleukin patterns and its role as prognosis factors.\nMETHODS: A prospective cohort with moderate and severe cases of COVID-19 infection from June to July 2020. Blood samples from patients were collected regularly to evaluate IFN-γ, TNF-α, IL-4, IL-6, and IL-10. Clinical, laboratory, radiological data, and outcomes were recorded. The outcome variable was in-hospital death, survival, mechanical ventilation, and admission at the intensive care unit. Data are presented in median and interquartile range [IQR].\nRESULTS: We evaluated the Th1 and Th2 responses according to evolution, distinguishing possible predictive markers. The IFN-γ median of 323 pg/mL [IQR 166-570] was found in patients who died and 208 pg/mL [IQR 155-392] in the survival group (p = 0.017). IFN-γ was also higher in the early stages of the disease (394 pg/mL [IQR 229-575] against 162 pg/mL [IQR 117-259], p &lt; 0.001). IL-4 that was increased in late-stage (182 pg/mL [IQR 162-199] against 131 pg/mL [IQR 124-152], p &lt; 0.001) but not associated with mortality. Also, death was also related to male gender (relative risk = 1.5 [95 % confidence interval = 1.1-2.0]).\nCONCLUSION: Our results suggest that the activation of the host immune response between Th1 or Th2 in COVID-19 infection may be related to the final result between discharge or death. This implies an attempt to control cytokines, such as IFN-γ, with combined therapies for clinical treatment.","container-title":"Virus Research","DOI":"10.1016/j.virusres.2020.198171","ISSN":"1872-7492","journalAbbreviation":"Virus Res","language":"eng","note":"PMID: 32979474\nPMCID: PMC7510544","page":"198171","source":"PubMed","title":"IFN-γ is an independent risk factor associated with mortality in patients with moderate and severe COVID-19 infection","volume":"289","author":[{"family":"Gadotti","given":"Ana Carolina"},{"family":"Castro Deus","given":"Marina","non-dropping-particle":"de"},{"family":"Telles","given":"Joao Paulo"},{"family":"Wind","given":"Rafael"},{"family":"Goes","given":"Marina"},{"family":"Garcia Charello Ossoski","given":"Roberta"},{"family":"Padua","given":"Alessandra Michalski","non-dropping-particle":"de"},{"family":"Noronha","given":"Lucia","non-dropping-particle":"de"},{"family":"Moreno-Amaral","given":"Andrea"},{"family":"Baena","given":"Cristina Pellegrino"},{"family":"Tuon","given":"Felipe Francisco"}],"issued":{"date-parts":[["2020",11]]}}}],"schema":"https://github.com/citation-style-language/schema/raw/master/csl-citation.json"} </w:instrText>
            </w:r>
            <w:r w:rsidR="00F54467" w:rsidRPr="00CC7DF8">
              <w:rPr>
                <w:rFonts w:ascii="Times New Roman" w:hAnsi="Times New Roman" w:cs="Times New Roman"/>
                <w:bCs/>
                <w:sz w:val="22"/>
                <w:szCs w:val="22"/>
              </w:rPr>
              <w:fldChar w:fldCharType="separate"/>
            </w:r>
            <w:r w:rsidR="00B41ACC" w:rsidRPr="00B41ACC">
              <w:rPr>
                <w:rFonts w:ascii="Times New Roman" w:hAnsi="Times New Roman" w:cs="Times New Roman"/>
                <w:sz w:val="22"/>
                <w:vertAlign w:val="superscript"/>
              </w:rPr>
              <w:t>79</w:t>
            </w:r>
            <w:r w:rsidR="00F54467" w:rsidRPr="00CC7DF8">
              <w:rPr>
                <w:rFonts w:ascii="Times New Roman" w:hAnsi="Times New Roman" w:cs="Times New Roman"/>
                <w:bCs/>
                <w:sz w:val="22"/>
                <w:szCs w:val="22"/>
              </w:rPr>
              <w:fldChar w:fldCharType="end"/>
            </w:r>
          </w:p>
        </w:tc>
      </w:tr>
      <w:tr w:rsidR="00461A84" w:rsidRPr="0054252E" w:rsidTr="0054252E">
        <w:trPr>
          <w:trHeight w:val="948"/>
        </w:trPr>
        <w:tc>
          <w:tcPr>
            <w:tcW w:w="3060" w:type="dxa"/>
          </w:tcPr>
          <w:p w:rsidR="00461A84" w:rsidRPr="00CC7DF8" w:rsidRDefault="00461A84" w:rsidP="009A23C8">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bCs/>
                <w:sz w:val="22"/>
                <w:szCs w:val="22"/>
              </w:rPr>
              <w:t>Ferritin</w:t>
            </w:r>
          </w:p>
        </w:tc>
        <w:tc>
          <w:tcPr>
            <w:tcW w:w="2970" w:type="dxa"/>
          </w:tcPr>
          <w:p w:rsidR="00461A84" w:rsidRPr="00CC7DF8" w:rsidRDefault="00F54467" w:rsidP="0054252E">
            <w:pPr>
              <w:pStyle w:val="Standard"/>
              <w:suppressAutoHyphens w:val="0"/>
              <w:spacing w:line="276" w:lineRule="auto"/>
              <w:textAlignment w:val="auto"/>
              <w:rPr>
                <w:rFonts w:ascii="Times New Roman" w:hAnsi="Times New Roman" w:cs="Times New Roman"/>
                <w:bCs/>
                <w:sz w:val="22"/>
                <w:szCs w:val="22"/>
              </w:rPr>
            </w:pPr>
            <w:r w:rsidRPr="00CC7DF8">
              <w:rPr>
                <w:rFonts w:ascii="Times New Roman" w:hAnsi="Times New Roman" w:cs="Times New Roman"/>
                <w:bCs/>
                <w:sz w:val="22"/>
                <w:szCs w:val="22"/>
              </w:rPr>
              <w:t>Hyper-</w:t>
            </w:r>
            <w:r w:rsidR="00461A84" w:rsidRPr="00CC7DF8">
              <w:rPr>
                <w:rFonts w:ascii="Times New Roman" w:hAnsi="Times New Roman" w:cs="Times New Roman"/>
                <w:bCs/>
                <w:sz w:val="22"/>
                <w:szCs w:val="22"/>
              </w:rPr>
              <w:t>inflammation</w:t>
            </w:r>
            <w:r w:rsidRPr="00CC7DF8">
              <w:rPr>
                <w:rFonts w:ascii="Times New Roman" w:hAnsi="Times New Roman" w:cs="Times New Roman"/>
                <w:bCs/>
                <w:sz w:val="22"/>
                <w:szCs w:val="22"/>
              </w:rPr>
              <w:t xml:space="preserve"> </w:t>
            </w:r>
            <w:r w:rsidR="00461A84" w:rsidRPr="00CC7DF8">
              <w:rPr>
                <w:rFonts w:ascii="Times New Roman" w:hAnsi="Times New Roman" w:cs="Times New Roman"/>
                <w:bCs/>
                <w:sz w:val="22"/>
                <w:szCs w:val="22"/>
              </w:rPr>
              <w:t>(</w:t>
            </w:r>
            <w:r w:rsidRPr="00CC7DF8">
              <w:rPr>
                <w:rFonts w:ascii="Times New Roman" w:hAnsi="Times New Roman" w:cs="Times New Roman"/>
                <w:sz w:val="22"/>
                <w:szCs w:val="22"/>
              </w:rPr>
              <w:t xml:space="preserve">Macrophage activation Syndrome- </w:t>
            </w:r>
            <w:r w:rsidR="00461A84" w:rsidRPr="00CC7DF8">
              <w:rPr>
                <w:rFonts w:ascii="Times New Roman" w:hAnsi="Times New Roman" w:cs="Times New Roman"/>
                <w:bCs/>
                <w:sz w:val="22"/>
                <w:szCs w:val="22"/>
              </w:rPr>
              <w:t xml:space="preserve">MAS) </w:t>
            </w:r>
          </w:p>
        </w:tc>
        <w:tc>
          <w:tcPr>
            <w:tcW w:w="4500" w:type="dxa"/>
          </w:tcPr>
          <w:p w:rsidR="00461A84" w:rsidRPr="00CC7DF8" w:rsidRDefault="00461A84" w:rsidP="00B41ACC">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sz w:val="22"/>
                <w:szCs w:val="22"/>
              </w:rPr>
              <w:t>&gt;</w:t>
            </w:r>
            <w:r w:rsidRPr="00CC7DF8">
              <w:rPr>
                <w:rFonts w:ascii="Times New Roman" w:hAnsi="Times New Roman" w:cs="Times New Roman"/>
                <w:bCs/>
                <w:sz w:val="22"/>
                <w:szCs w:val="22"/>
              </w:rPr>
              <w:t xml:space="preserve">  1000 ng/L</w:t>
            </w:r>
            <w:r w:rsidR="00F54467" w:rsidRPr="00CC7DF8">
              <w:rPr>
                <w:rFonts w:ascii="Times New Roman" w:hAnsi="Times New Roman" w:cs="Times New Roman"/>
                <w:bCs/>
                <w:sz w:val="22"/>
                <w:szCs w:val="22"/>
              </w:rPr>
              <w:t xml:space="preserve"> </w:t>
            </w:r>
            <w:r w:rsidR="00F54467" w:rsidRPr="00CC7DF8">
              <w:rPr>
                <w:rFonts w:ascii="Times New Roman" w:hAnsi="Times New Roman" w:cs="Times New Roman"/>
                <w:bCs/>
                <w:sz w:val="22"/>
                <w:szCs w:val="22"/>
              </w:rPr>
              <w:fldChar w:fldCharType="begin"/>
            </w:r>
            <w:r w:rsidR="00B41ACC">
              <w:rPr>
                <w:rFonts w:ascii="Times New Roman" w:hAnsi="Times New Roman" w:cs="Times New Roman"/>
                <w:bCs/>
                <w:sz w:val="22"/>
                <w:szCs w:val="22"/>
              </w:rPr>
              <w:instrText xml:space="preserve"> ADDIN ZOTERO_ITEM CSL_CITATION {"citationID":"VrkFp743","properties":{"formattedCitation":"\\super 80,81\\nosupersub{}","plainCitation":"80,81","noteIndex":0},"citationItems":[{"id":593,"uris":["http://zotero.org/users/local/BfzbJtgR/items/A92WTPD3"],"itemData":{"id":593,"type":"article-journal","abstract":"INTRODUCTION: This study aims to investigate in-hоsрitаl mоrtаlity in severe асute resрirаtоry syndrоme соrоnаvirus 2 раtients strаtified by serum ferritin levels.\nMETHODS: Patients were stratified based on ferritin levels (ferritin levels ≤ 1000 or &gt;1000).\nRESULTS: Approximately 89% (118) of the patients with ferritin levels &gt; 1000 had pneumonia, and 51% (67) had hypertension. Fever (97, 73.5%) and shortness of breath (80, 61%) were two major symptoms among the patients in this group. Logistic regression analysis indicated that ferritin level (odds ratio [OR] = 0.36, 95% confidence interval [CI] = 0.21-0.62; p &lt; .001), male sex (OR = 2.63, 95% CI = 1.43-5.06; p = .003), hypertension (OR = 4.16, 95% CI = 2.42-7.36; p &lt; .001) and pneumonia (OR = 8.48, 95% CI = 3.02-35.45; p &lt; .001) had significance in predicting in-hospital mortality. Additionally, the Cox proportional hazards analysis and Kaplan-Meier survival probability plot showed a higher mortality rate among patients with ferritin levels &gt; 1000.\nCONCLUSION: In this study, higher levels of serum ferritin were found to be an independent predictor of in-hоsрitаl mоrtаlity.","container-title":"Immunity, Inflammation and Disease","DOI":"10.1002/iid3.517","ISSN":"2050-4527","issue":"4","journalAbbreviation":"Immun Inflamm Dis","language":"eng","note":"PMID: 34438471\nPMCID: PMC8589386","page":"1648-1655","source":"PubMed","title":"Ferritin level: A predictor of severity and mortality in hospitalized COVID-19 patients","title-short":"Ferritin level","volume":"9","author":[{"family":"Alroomi","given":"Moudhi"},{"family":"Rajan","given":"Rajesh"},{"family":"Omar","given":"Abdulaziz A."},{"family":"Alsaber","given":"Ahmad"},{"family":"Pan","given":"Jiazhu"},{"family":"Fatemi","given":"Mina"},{"family":"Zhanna","given":"Kobalava D."},{"family":"Aboelhassan","given":"Wael"},{"family":"Almutairi","given":"Farah"},{"family":"Alotaibi","given":"Naser"},{"family":"Saleh","given":"Mohammad A."},{"family":"AlNasrallah","given":"Noor"},{"family":"Al-Bader","given":"Bader"},{"family":"Malhas","given":"Haya"},{"family":"Ramadhan","given":"Maryam"},{"family":"Abdullah","given":"Mohammed"},{"family":"Abdelnaby","given":"Hassan"}],"issued":{"date-parts":[["2021",12]]}}},{"id":599,"uris":["http://zotero.org/users/local/BfzbJtgR/items/TAAUI958"],"itemData":{"id":599,"type":"article-journal","abstract":"Coronavirus Disease 2019 (COVID-19) can present with different grades of severity from mild to critical. Evaluation of biomarkers predicting severity is crucial to identify patients at high risk of disease progression and poor prognosis. Serum Amyloid A (SAA) is an acute-phase protein mainly produced by the liver in response to pro-inflammatory cytokines. In this study, we investigated SAA levels at admission (T1) and after 15 days (T2) of hospitalization in two groups of patients: survivors and non-survivors. At T1, the non-survivors showed higher SAA level than survivors (74 mg/dL vs 48.75 mg/dL). At T2, the survivor group value decreased to 6.55 mg/dL, the non-survivor group still showed high levels (51.1 mg/dL). The SAA level in control group was 0.35 mg/dL. Furthermore, a cut-off value of 63 mg/dL able to discriminate survivors from non-survivors was established by ROC curve analysis at T1. At T2, the cut-off decreased to 30.9 mg/dL. A similar decreasing trend was observed for D-Dimer, hsCRP, IL-6 and procalcitonin levels. The results of this retrospective study suggest that SAA is a good marker of COVID-19 disease alone and/or in combination with other inflammatory biomarkers. Identification of reliable prognostic analytes is of great clinical relevance, as it would improve patient management besides being costs saving.","container-title":"International Immunopharmacology","DOI":"10.1016/j.intimp.2021.107512","ISSN":"1878-1705","journalAbbreviation":"Int Immunopharmacol","language":"eng","note":"PMID: 33735714\nPMCID: PMC7923863","page":"107512","source":"PubMed","title":"Serum Amyloid A Protein as a useful biomarker to predict COVID-19 patients severity and prognosis","volume":"95","author":[{"family":"Pieri","given":"Massimo"},{"family":"Ciotti","given":"Marco"},{"family":"Nuccetelli","given":"Marzia"},{"family":"Perrone","given":"Marco Alfonso"},{"family":"Caliò","given":"Maria Teresa"},{"family":"Lia","given":"Maria Stella"},{"family":"Minieri","given":"Marilena"},{"family":"Bernardini","given":"Sergio"}],"issued":{"date-parts":[["2021",6]]}}}],"schema":"https://github.com/citation-style-language/schema/raw/master/csl-citation.json"} </w:instrText>
            </w:r>
            <w:r w:rsidR="00F54467" w:rsidRPr="00CC7DF8">
              <w:rPr>
                <w:rFonts w:ascii="Times New Roman" w:hAnsi="Times New Roman" w:cs="Times New Roman"/>
                <w:bCs/>
                <w:sz w:val="22"/>
                <w:szCs w:val="22"/>
              </w:rPr>
              <w:fldChar w:fldCharType="separate"/>
            </w:r>
            <w:r w:rsidR="00B41ACC" w:rsidRPr="00B41ACC">
              <w:rPr>
                <w:rFonts w:ascii="Times New Roman" w:hAnsi="Times New Roman" w:cs="Times New Roman"/>
                <w:sz w:val="22"/>
                <w:vertAlign w:val="superscript"/>
              </w:rPr>
              <w:t>80,81</w:t>
            </w:r>
            <w:r w:rsidR="00F54467" w:rsidRPr="00CC7DF8">
              <w:rPr>
                <w:rFonts w:ascii="Times New Roman" w:hAnsi="Times New Roman" w:cs="Times New Roman"/>
                <w:bCs/>
                <w:sz w:val="22"/>
                <w:szCs w:val="22"/>
              </w:rPr>
              <w:fldChar w:fldCharType="end"/>
            </w:r>
          </w:p>
        </w:tc>
      </w:tr>
      <w:tr w:rsidR="00461A84" w:rsidRPr="0054252E" w:rsidTr="0054252E">
        <w:trPr>
          <w:trHeight w:val="548"/>
        </w:trPr>
        <w:tc>
          <w:tcPr>
            <w:tcW w:w="3060" w:type="dxa"/>
          </w:tcPr>
          <w:p w:rsidR="00461A84" w:rsidRPr="00CC7DF8" w:rsidRDefault="00461A84" w:rsidP="009A23C8">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sz w:val="22"/>
                <w:szCs w:val="22"/>
              </w:rPr>
              <w:t>Serum Amyloid A (SAA)</w:t>
            </w:r>
          </w:p>
        </w:tc>
        <w:tc>
          <w:tcPr>
            <w:tcW w:w="2970" w:type="dxa"/>
          </w:tcPr>
          <w:p w:rsidR="00461A84" w:rsidRPr="00CC7DF8" w:rsidRDefault="00461A84" w:rsidP="0054252E">
            <w:pPr>
              <w:pStyle w:val="Standard"/>
              <w:suppressAutoHyphens w:val="0"/>
              <w:spacing w:line="276" w:lineRule="auto"/>
              <w:textAlignment w:val="auto"/>
              <w:rPr>
                <w:rFonts w:ascii="Times New Roman" w:hAnsi="Times New Roman" w:cs="Times New Roman"/>
                <w:bCs/>
                <w:sz w:val="22"/>
                <w:szCs w:val="22"/>
              </w:rPr>
            </w:pPr>
            <w:r w:rsidRPr="00CC7DF8">
              <w:rPr>
                <w:rFonts w:ascii="Times New Roman" w:hAnsi="Times New Roman" w:cs="Times New Roman"/>
                <w:bCs/>
                <w:sz w:val="22"/>
                <w:szCs w:val="22"/>
              </w:rPr>
              <w:t>Acute inflammation</w:t>
            </w:r>
          </w:p>
        </w:tc>
        <w:tc>
          <w:tcPr>
            <w:tcW w:w="4500" w:type="dxa"/>
          </w:tcPr>
          <w:p w:rsidR="00461A84" w:rsidRPr="00CC7DF8" w:rsidRDefault="00461A84" w:rsidP="00B41ACC">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bCs/>
                <w:sz w:val="22"/>
                <w:szCs w:val="22"/>
              </w:rPr>
              <w:t>Persistent elevation</w:t>
            </w:r>
            <w:r w:rsidR="00F54467" w:rsidRPr="00CC7DF8">
              <w:rPr>
                <w:rFonts w:ascii="Times New Roman" w:hAnsi="Times New Roman" w:cs="Times New Roman"/>
                <w:bCs/>
                <w:sz w:val="22"/>
                <w:szCs w:val="22"/>
              </w:rPr>
              <w:t xml:space="preserve"> </w:t>
            </w:r>
            <w:r w:rsidR="00F54467" w:rsidRPr="00CC7DF8">
              <w:rPr>
                <w:rFonts w:ascii="Times New Roman" w:hAnsi="Times New Roman" w:cs="Times New Roman"/>
                <w:bCs/>
                <w:sz w:val="22"/>
                <w:szCs w:val="22"/>
              </w:rPr>
              <w:fldChar w:fldCharType="begin"/>
            </w:r>
            <w:r w:rsidR="00B41ACC">
              <w:rPr>
                <w:rFonts w:ascii="Times New Roman" w:hAnsi="Times New Roman" w:cs="Times New Roman"/>
                <w:bCs/>
                <w:sz w:val="22"/>
                <w:szCs w:val="22"/>
              </w:rPr>
              <w:instrText xml:space="preserve"> ADDIN ZOTERO_ITEM CSL_CITATION {"citationID":"ti7Bozs2","properties":{"formattedCitation":"\\super 82\\nosupersub{}","plainCitation":"82","noteIndex":0},"citationItems":[{"id":596,"uris":["http://zotero.org/users/local/BfzbJtgR/items/LKCDS6Q3"],"itemData":{"id":596,"type":"article-journal","abstract":"BACKGROUND AND OBJECTIVES: An excessive inflammatory response in patients with coronavirus disease 2019 (COVID-19) is associated with high disease severity and mortality. Specific acute phase reactants might be useful for risk stratification. A systematic review and meta-analysis was conducted of studies on serum amyloid A (SAA) in patients with COVID-19.\nMETHODS: The PubMed, Web of Science, and Scopus databases were searched, covering the period January 2020 to December 2020, for studies reporting SAA concentrations, COVID-19 severity, and survival status.\nRESULTS: Nineteen studies involving 5617 COVID-19 patients were included in the meta-analysis. Pooled results showed that SAA concentrations were significantly higher in patients with severe disease and non-survivors (standard mean difference (SMD) 1.20, 95% confidence interval 0.91-1.49, P &lt; 0.001). Extreme between-study heterogeneity was observed (I2 = 92.4%, P &lt; 0.001). In the sensitivity analysis, the effect size was not significantly affected when each study was removed in turn (range 1.10-1.29). The Begg test (P = 0.030), but not the Egger test (P = 0.385), revealed the presence of publication bias. Pooled SMD values were significantly and positively associated with sex (t = 2.20, P = 0.047) and aspartate aminotransferase (t = 3.44, P = 0.014).\nCONCLUSIONS: SAA concentrations were significantly and positively associated with higher COVID-19 severity and mortality. This acute phase reactant might assist with risk stratification and monitoring in this group.","container-title":"International journal of infectious diseases: IJID: official publication of the International Society for Infectious Diseases","DOI":"10.1016/j.ijid.2021.03.025","ISSN":"1878-3511","journalAbbreviation":"Int J Infect Dis","language":"eng","note":"PMID: 33737133\nPMCID: PMC7959678","page":"668-674","source":"PubMed","title":"Serum amyloid A concentrations, COVID-19 severity and mortality: An updated systematic review and meta-analysis","title-short":"Serum amyloid A concentrations, COVID-19 severity and mortality","volume":"105","author":[{"family":"Zinellu","given":"Angelo"},{"family":"Paliogiannis","given":"Panagiotis"},{"family":"Carru","given":"Ciriaco"},{"family":"Mangoni","given":"Arduino A."}],"issued":{"date-parts":[["2021",4]]}}}],"schema":"https://github.com/citation-style-language/schema/raw/master/csl-citation.json"} </w:instrText>
            </w:r>
            <w:r w:rsidR="00F54467" w:rsidRPr="00CC7DF8">
              <w:rPr>
                <w:rFonts w:ascii="Times New Roman" w:hAnsi="Times New Roman" w:cs="Times New Roman"/>
                <w:bCs/>
                <w:sz w:val="22"/>
                <w:szCs w:val="22"/>
              </w:rPr>
              <w:fldChar w:fldCharType="separate"/>
            </w:r>
            <w:r w:rsidR="00B41ACC" w:rsidRPr="00B41ACC">
              <w:rPr>
                <w:rFonts w:ascii="Times New Roman" w:hAnsi="Times New Roman" w:cs="Times New Roman"/>
                <w:sz w:val="22"/>
                <w:vertAlign w:val="superscript"/>
              </w:rPr>
              <w:t>82</w:t>
            </w:r>
            <w:r w:rsidR="00F54467" w:rsidRPr="00CC7DF8">
              <w:rPr>
                <w:rFonts w:ascii="Times New Roman" w:hAnsi="Times New Roman" w:cs="Times New Roman"/>
                <w:bCs/>
                <w:sz w:val="22"/>
                <w:szCs w:val="22"/>
              </w:rPr>
              <w:fldChar w:fldCharType="end"/>
            </w:r>
          </w:p>
        </w:tc>
      </w:tr>
      <w:tr w:rsidR="00461A84" w:rsidRPr="0054252E" w:rsidTr="0054252E">
        <w:trPr>
          <w:trHeight w:val="458"/>
        </w:trPr>
        <w:tc>
          <w:tcPr>
            <w:tcW w:w="3060" w:type="dxa"/>
          </w:tcPr>
          <w:p w:rsidR="00461A84" w:rsidRPr="00CC7DF8" w:rsidRDefault="00461A84" w:rsidP="009A23C8">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bCs/>
                <w:sz w:val="22"/>
                <w:szCs w:val="22"/>
              </w:rPr>
              <w:t>Procalcitonin (PCT)</w:t>
            </w:r>
          </w:p>
        </w:tc>
        <w:tc>
          <w:tcPr>
            <w:tcW w:w="2970" w:type="dxa"/>
          </w:tcPr>
          <w:p w:rsidR="00461A84" w:rsidRPr="00CC7DF8" w:rsidRDefault="00461A84" w:rsidP="0054252E">
            <w:pPr>
              <w:pStyle w:val="Standard"/>
              <w:suppressAutoHyphens w:val="0"/>
              <w:spacing w:line="276" w:lineRule="auto"/>
              <w:textAlignment w:val="auto"/>
              <w:rPr>
                <w:rFonts w:ascii="Times New Roman" w:hAnsi="Times New Roman" w:cs="Times New Roman"/>
                <w:bCs/>
                <w:sz w:val="22"/>
                <w:szCs w:val="22"/>
              </w:rPr>
            </w:pPr>
            <w:r w:rsidRPr="00CC7DF8">
              <w:rPr>
                <w:rFonts w:ascii="Times New Roman" w:hAnsi="Times New Roman" w:cs="Times New Roman"/>
                <w:bCs/>
                <w:sz w:val="22"/>
                <w:szCs w:val="22"/>
              </w:rPr>
              <w:t>Bacterial co-infection</w:t>
            </w:r>
          </w:p>
        </w:tc>
        <w:tc>
          <w:tcPr>
            <w:tcW w:w="4500" w:type="dxa"/>
          </w:tcPr>
          <w:p w:rsidR="00461A84" w:rsidRPr="00CC7DF8" w:rsidRDefault="00461A84" w:rsidP="00B41ACC">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sz w:val="22"/>
                <w:szCs w:val="22"/>
              </w:rPr>
              <w:t>&gt;  0.5 ng / ml</w:t>
            </w:r>
            <w:r w:rsidR="00332087">
              <w:rPr>
                <w:rFonts w:ascii="Times New Roman" w:hAnsi="Times New Roman" w:cs="Times New Roman"/>
                <w:sz w:val="22"/>
                <w:szCs w:val="22"/>
              </w:rPr>
              <w:fldChar w:fldCharType="begin"/>
            </w:r>
            <w:r w:rsidR="00B41ACC">
              <w:rPr>
                <w:rFonts w:ascii="Times New Roman" w:hAnsi="Times New Roman" w:cs="Times New Roman"/>
                <w:sz w:val="22"/>
                <w:szCs w:val="22"/>
              </w:rPr>
              <w:instrText xml:space="preserve"> ADDIN ZOTERO_ITEM CSL_CITATION {"citationID":"e3TP4JhG","properties":{"formattedCitation":"\\super 83\\nosupersub{}","plainCitation":"83","noteIndex":0},"citationItems":[{"id":1166,"uris":["http://zotero.org/users/local/BfzbJtgR/items/F32B27I5"],"itemData":{"id":1166,"type":"article-journal","abstract":"Our objectives were to evaluate the role of procalcitonin in identifying bacterial co-infections in hospitalized COVID-19 patients and quantify antibiotic prescribing during the 2020 pandemic surge. Hospitalized COVID-19 patients with both a procalcitonin test and blood or respiratory culture sent on admission were included in this retrospective study. Confirmed co-infection was determined by an infectious diseases specialist. In total, 819 patients were included; 335 (41%) had an elevated procalcitonin (&gt;0.5 ng/mL) and of these, 42 (13%) had an initial bacterial co-infection. Positive predictive value of elevated procalcitonin for co-infection was 13% while the negative predictive value was 94%. Ninety-six percent of patients with an elevated procalcitonin received antibiotics (median 6 days of therapy), compared to 82% with low procalcitonin (median 4 days of therapy) (adjusted OR:3.3, P &lt; 0.001). We observed elevated initial procalcitonin in many COVID patients without concurrent bacterial co-infections which potentially contributed to antibiotic over-prescribing.","container-title":"Diagnostic Microbiology and Infectious Disease","DOI":"10.1016/j.diagmicrobio.2022.115721","ISSN":"1879-0070","issue":"4","journalAbbreviation":"Diagn Microbiol Infect Dis","language":"eng","note":"PMID: 35635888\nPMCID: PMC9065691","page":"115721","source":"PubMed","title":"Elucidating the role of procalcitonin as a biomarker in hospitalized COVID-19 patients","volume":"103","author":[{"family":"Cowman","given":"Kelsie"},{"family":"Rossi","given":"James"},{"family":"Gendlina","given":"Inessa"},{"family":"Guo","given":"Yi"},{"family":"Liu","given":"Sichen"},{"family":"Szymczak","given":"Wendy"},{"family":"Forest","given":"Stefanie K."},{"family":"Wolgast","given":"Lucia"},{"family":"Orner","given":"Erika"},{"family":"Bao","given":"Hongkai"},{"family":"Cervera-Hernandez","given":"Miguel E."},{"family":"Ceniceros","given":"Ashley"},{"family":"Thota","given":"Raja"},{"family":"Pirofski","given":"Liise-Anne"},{"family":"Nori","given":"Priya"}],"issued":{"date-parts":[["2022",8]]}}}],"schema":"https://github.com/citation-style-language/schema/raw/master/csl-citation.json"} </w:instrText>
            </w:r>
            <w:r w:rsidR="00332087">
              <w:rPr>
                <w:rFonts w:ascii="Times New Roman" w:hAnsi="Times New Roman" w:cs="Times New Roman"/>
                <w:sz w:val="22"/>
                <w:szCs w:val="22"/>
              </w:rPr>
              <w:fldChar w:fldCharType="separate"/>
            </w:r>
            <w:r w:rsidR="00B41ACC" w:rsidRPr="00B41ACC">
              <w:rPr>
                <w:rFonts w:ascii="Times New Roman" w:hAnsi="Times New Roman" w:cs="Times New Roman"/>
                <w:sz w:val="22"/>
                <w:vertAlign w:val="superscript"/>
              </w:rPr>
              <w:t>83</w:t>
            </w:r>
            <w:r w:rsidR="00332087">
              <w:rPr>
                <w:rFonts w:ascii="Times New Roman" w:hAnsi="Times New Roman" w:cs="Times New Roman"/>
                <w:sz w:val="22"/>
                <w:szCs w:val="22"/>
              </w:rPr>
              <w:fldChar w:fldCharType="end"/>
            </w:r>
          </w:p>
        </w:tc>
      </w:tr>
      <w:tr w:rsidR="00461A84" w:rsidRPr="0054252E" w:rsidTr="0054252E">
        <w:trPr>
          <w:trHeight w:val="530"/>
        </w:trPr>
        <w:tc>
          <w:tcPr>
            <w:tcW w:w="3060" w:type="dxa"/>
          </w:tcPr>
          <w:p w:rsidR="00461A84" w:rsidRPr="00CC7DF8" w:rsidRDefault="00461A84" w:rsidP="009A23C8">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sz w:val="22"/>
                <w:szCs w:val="22"/>
              </w:rPr>
              <w:t>Neutrophil-to-Lymphocyte Ratio (NLR)</w:t>
            </w:r>
          </w:p>
        </w:tc>
        <w:tc>
          <w:tcPr>
            <w:tcW w:w="2970" w:type="dxa"/>
          </w:tcPr>
          <w:p w:rsidR="00461A84" w:rsidRPr="00CC7DF8" w:rsidRDefault="00461A84" w:rsidP="0054252E">
            <w:pPr>
              <w:pStyle w:val="Standard"/>
              <w:suppressAutoHyphens w:val="0"/>
              <w:spacing w:line="276" w:lineRule="auto"/>
              <w:textAlignment w:val="auto"/>
              <w:rPr>
                <w:rFonts w:ascii="Times New Roman" w:hAnsi="Times New Roman" w:cs="Times New Roman"/>
                <w:bCs/>
                <w:sz w:val="22"/>
                <w:szCs w:val="22"/>
              </w:rPr>
            </w:pPr>
            <w:r w:rsidRPr="00CC7DF8">
              <w:rPr>
                <w:rFonts w:ascii="Times New Roman" w:hAnsi="Times New Roman" w:cs="Times New Roman"/>
                <w:bCs/>
                <w:sz w:val="22"/>
                <w:szCs w:val="22"/>
              </w:rPr>
              <w:t xml:space="preserve">Immune response balance </w:t>
            </w:r>
          </w:p>
        </w:tc>
        <w:tc>
          <w:tcPr>
            <w:tcW w:w="4500" w:type="dxa"/>
          </w:tcPr>
          <w:p w:rsidR="00461A84" w:rsidRPr="00CC7DF8" w:rsidRDefault="00461A84" w:rsidP="00B41ACC">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sz w:val="22"/>
                <w:szCs w:val="22"/>
              </w:rPr>
              <w:t>&gt; 6.5</w:t>
            </w:r>
            <w:r w:rsidR="00332087">
              <w:rPr>
                <w:rFonts w:ascii="Times New Roman" w:hAnsi="Times New Roman" w:cs="Times New Roman"/>
                <w:sz w:val="22"/>
                <w:szCs w:val="22"/>
              </w:rPr>
              <w:fldChar w:fldCharType="begin"/>
            </w:r>
            <w:r w:rsidR="00B41ACC">
              <w:rPr>
                <w:rFonts w:ascii="Times New Roman" w:hAnsi="Times New Roman" w:cs="Times New Roman"/>
                <w:sz w:val="22"/>
                <w:szCs w:val="22"/>
              </w:rPr>
              <w:instrText xml:space="preserve"> ADDIN ZOTERO_ITEM CSL_CITATION {"citationID":"9Tdn70a7","properties":{"formattedCitation":"\\super 84\\nosupersub{}","plainCitation":"84","noteIndex":0},"citationItems":[{"id":1169,"uris":["http://zotero.org/users/local/BfzbJtgR/items/NPRTGS29"],"itemData":{"id":1169,"type":"article-journal","abstract":"BACKGROUND AND OBJECTIVES: The severe acute respiratory syndrome coronavirus 2 (SARS-CoV-2), which was first described during a pneumonia outbreak in Wuhan, has attracted tremendous attention in a short period of time as the death toll and the number of confirmed cases is growing unceasingly. Although molecular testing is the gold standard method of SARS-CoV-2 detection, the existence of the false-negative results presents a major limitation to this method.\nMATERIALS AND METHODS: This retrospective Double-Centre study was conducted on 1320 COVID-19 patients recruited at Taleghani and Shohadae Tajrish Hospitals in Tehran, Iran. We analyzed the leukocyte, lymphocyte and neutrophil counts of hospitalized cases both on admission and at discharge. We also evaluated the alteration of these parameters within a seven-day follow-up.\nRESULTS: Of the whole, 1077 (81.6%) neither were admitted to intensive care unit (ICU) nor experienced death, and were defined as the mild-moderate group. Of 243 severe cases, while 59 (24.3%) were admitted to ICU and cured with the intensive care services, 184 (75.7%) patients died of the disease, either with or without ICU admission. Calculation of neutrophil-to-lymphocyte ratio (NLR) revealed that the mild-moderate cases had a lower ratio at discharge. On the other hand, the ratio was significantly higher in the death group as compared to the ICU group; highlighting the fact that patients with a higher degree of neutrophilia and a greater level of lymphopenia have a poor prognosis.\nCONCLUSION: We suggest that NLR greater than 6.5 may reflect the progression of the disease towards an unfavorable clinical outcome, with this notion that the ratios higher than 9 may strongly result in death.","container-title":"Iranian Journal of Microbiology","DOI":"10.18502/ijm.v12i5.4609","ISSN":"2008-3289","issue":"5","journalAbbreviation":"Iran J Microbiol","language":"eng","note":"PMID: 33604003\nPMCID: PMC7867698","page":"466-474","source":"PubMed","title":"Neutrophil-to-lymphocyte ratio (NLR) greater than 6.5 may reflect the progression of COVID-19 towards an unfavorable clinical outcome","volume":"12","author":[{"family":"Pirsalehi","given":"Ali"},{"family":"Salari","given":"Sina"},{"family":"Baghestani","given":"Ahmadreza"},{"family":"Vahidi","given":"Mohammad"},{"family":"Khave","given":"Laya Jalilian"},{"family":"Akbari","given":"Mohammad Esmaeil"},{"family":"Bashash","given":"Davood"}],"issued":{"date-parts":[["2020",10]]}}}],"schema":"https://github.com/citation-style-language/schema/raw/master/csl-citation.json"} </w:instrText>
            </w:r>
            <w:r w:rsidR="00332087">
              <w:rPr>
                <w:rFonts w:ascii="Times New Roman" w:hAnsi="Times New Roman" w:cs="Times New Roman"/>
                <w:sz w:val="22"/>
                <w:szCs w:val="22"/>
              </w:rPr>
              <w:fldChar w:fldCharType="separate"/>
            </w:r>
            <w:r w:rsidR="00B41ACC" w:rsidRPr="00B41ACC">
              <w:rPr>
                <w:rFonts w:ascii="Times New Roman" w:hAnsi="Times New Roman" w:cs="Times New Roman"/>
                <w:sz w:val="22"/>
                <w:vertAlign w:val="superscript"/>
              </w:rPr>
              <w:t>84</w:t>
            </w:r>
            <w:r w:rsidR="00332087">
              <w:rPr>
                <w:rFonts w:ascii="Times New Roman" w:hAnsi="Times New Roman" w:cs="Times New Roman"/>
                <w:sz w:val="22"/>
                <w:szCs w:val="22"/>
              </w:rPr>
              <w:fldChar w:fldCharType="end"/>
            </w:r>
          </w:p>
        </w:tc>
      </w:tr>
    </w:tbl>
    <w:p w:rsidR="00332087" w:rsidRDefault="00332087" w:rsidP="00332087">
      <w:pPr>
        <w:pStyle w:val="Standard"/>
        <w:suppressAutoHyphens w:val="0"/>
        <w:spacing w:before="280" w:after="280" w:line="276" w:lineRule="auto"/>
        <w:jc w:val="both"/>
        <w:textAlignment w:val="auto"/>
        <w:rPr>
          <w:bCs/>
        </w:rPr>
      </w:pPr>
      <w:r w:rsidRPr="00CB3B3C">
        <w:rPr>
          <w:bCs/>
        </w:rPr>
        <w:t xml:space="preserve">As per </w:t>
      </w:r>
      <w:r w:rsidR="007679F4">
        <w:rPr>
          <w:bCs/>
        </w:rPr>
        <w:t>this, many strains of COVID-19</w:t>
      </w:r>
      <w:r w:rsidRPr="00CB3B3C">
        <w:rPr>
          <w:bCs/>
        </w:rPr>
        <w:t xml:space="preserve"> have emerged as a result of the </w:t>
      </w:r>
      <w:r>
        <w:rPr>
          <w:bCs/>
        </w:rPr>
        <w:t>new virus variants,</w:t>
      </w:r>
      <w:r w:rsidRPr="00CB3B3C">
        <w:rPr>
          <w:bCs/>
        </w:rPr>
        <w:t xml:space="preserve"> and ea</w:t>
      </w:r>
      <w:r w:rsidR="007679F4">
        <w:rPr>
          <w:bCs/>
        </w:rPr>
        <w:t xml:space="preserve">ch one has a distinct significance on </w:t>
      </w:r>
      <w:r w:rsidRPr="00CB3B3C">
        <w:rPr>
          <w:bCs/>
        </w:rPr>
        <w:t xml:space="preserve">the body's inflammatory response. Understanding these differences was essential to developing effective therapies and vaccinations. This intensified </w:t>
      </w:r>
      <w:r w:rsidRPr="00CB3B3C">
        <w:rPr>
          <w:bCs/>
        </w:rPr>
        <w:lastRenderedPageBreak/>
        <w:t>inflammatory response may lead to severe d</w:t>
      </w:r>
      <w:r>
        <w:rPr>
          <w:bCs/>
        </w:rPr>
        <w:t xml:space="preserve">isease manifestations </w:t>
      </w:r>
      <w:r>
        <w:rPr>
          <w:rStyle w:val="resultpara2"/>
          <w:bCs/>
        </w:rPr>
        <w:fldChar w:fldCharType="begin"/>
      </w:r>
      <w:r w:rsidR="00B41ACC">
        <w:rPr>
          <w:rStyle w:val="resultpara2"/>
          <w:bCs/>
        </w:rPr>
        <w:instrText xml:space="preserve"> ADDIN ZOTERO_ITEM CSL_CITATION {"citationID":"iuMpf1UW","properties":{"formattedCitation":"\\super 85\\nosupersub{}","plainCitation":"85","noteIndex":0},"citationItems":[{"id":602,"uris":["http://zotero.org/users/local/BfzbJtgR/items/WZF3P9ER"],"itemData":{"id":602,"type":"article-journal","abstract":"There is an urgent need to better understand the impact of different severe acute respiratory syndrome coronavirus 2 (SARS-CoV-2) variants on immune response and disease dynamics to facilitate better intervention strategies. Here, we show that SARS-CoV-2 variants differentially affect host immune responses. The magnitude and quantity of cytokines and chemokines were comparable in those infected with the Wuhan strain and the Delta variant. However, individuals infected with the Omicron variant had significantly lower levels of these mediators. We also found an elevation of plasma galectins (Gal-3, Gal-8, and Gal-9) in infected individuals, in particular, in those with the original strain. Soluble galectins exert a proinflammatory role in COVID-19 pathogenesis. This was illustrated by their correlation with the plasma levels of sCD14, sCD163, enhanced TNF-α/IL-6 secretion, and increased SARS-CoV-2 infectivity in vitro. Moreover, we observed enhanced CD4+ and CD8+ T cell activation in Wuhan strain-infected individuals. Surprisingly, there was a more pronounced T cell activation in those infected with the Omicron in comparison to the Delta variant. In line with T cell activation status, we observed a more pronounced expansion of T cells expressing different co-inhibitory receptors in patients infected with the Wuhan strain, followed by the Omicron and Delta variants. Individuals infected with the Wuhan strain or the Omicron variant had a similar pattern of plasma soluble immune checkpoints. Our results imply that a milder innate immune response might be beneficial and protective in those infected with the Omicron variant. Our results provide a novel insight into the differential impact of SARS-CoV-2 variants on host immunity. IMPORTANCE There is a need to better understand how different SARS-CoV-2 variants influence the immune system and disease dynamics to facilitate the development of better vaccines and therapies. We compared immune responses in 140 SARS-CoV-2-infected individuals with the Wuhan strain, the Delta variant, or the Omicron variant. All these patients were admitted to the intensive care unit and were SARS-CoV-2 vaccination naïve. We found that SARS-CoV-2 variants differentially affect the host immune response. This was done by measuring soluble biomarkers in their plasma and examining different immune cells. Overall, we found that the magnitude of cytokine storm in individuals infected with the Wuhan strain or the Delta variant was greater than in those infected with the Omicron variant. In light of enhanced cytokine release syndrome in individuals infected with the Wuhan strain or the Delta variant, we believe that a milder innate immune response might be beneficial and protective in those infected with the Omicron variant.","container-title":"Microbiology Spectrum","DOI":"10.1128/spectrum.01256-23","ISSN":"2165-0497","issue":"5","journalAbbreviation":"Microbiol Spectr","language":"eng","note":"PMID: 37676005\nPMCID: PMC10581158","page":"e0125623","source":"PubMed","title":"Analysis of SARS-CoV-2 isolates, namely the Wuhan strain, Delta variant, and Omicron variant, identifies differential immune profiles","volume":"11","author":[{"family":"Shahbaz","given":"Shima"},{"family":"Bozorgmehr","given":"Najmeh"},{"family":"Lu","given":"Julia"},{"family":"Osman","given":"Mohammed"},{"family":"Sligl","given":"Wendy"},{"family":"Tyrrell","given":"D. Lorne"},{"family":"Elahi","given":"Shokrollah"}],"issued":{"date-parts":[["2023",9,7]]}}}],"schema":"https://github.com/citation-style-language/schema/raw/master/csl-citation.json"} </w:instrText>
      </w:r>
      <w:r>
        <w:rPr>
          <w:rStyle w:val="resultpara2"/>
          <w:bCs/>
        </w:rPr>
        <w:fldChar w:fldCharType="separate"/>
      </w:r>
      <w:r w:rsidR="00B41ACC" w:rsidRPr="00B41ACC">
        <w:rPr>
          <w:rFonts w:cs="Times New Roman"/>
          <w:vertAlign w:val="superscript"/>
        </w:rPr>
        <w:t>85</w:t>
      </w:r>
      <w:r>
        <w:rPr>
          <w:rStyle w:val="resultpara2"/>
          <w:bCs/>
        </w:rPr>
        <w:fldChar w:fldCharType="end"/>
      </w:r>
      <w:r w:rsidRPr="00CB3B3C">
        <w:rPr>
          <w:bCs/>
        </w:rPr>
        <w:t>.</w:t>
      </w:r>
      <w:r>
        <w:rPr>
          <w:bCs/>
        </w:rPr>
        <w:t xml:space="preserve"> </w:t>
      </w:r>
      <w:r w:rsidRPr="00CB3B3C">
        <w:rPr>
          <w:bCs/>
        </w:rPr>
        <w:t>In contrast to the Wuhan strain and Delta variant, the Omicron variant elicits a milder innate immune response with significantly lower levels of cytokines and chemokines. The variant's increased transmissibility and chance of reinfection may be linked to this decreased inflammatory response</w:t>
      </w:r>
      <w:r>
        <w:rPr>
          <w:bCs/>
        </w:rPr>
        <w:t xml:space="preserve"> </w:t>
      </w:r>
      <w:r>
        <w:rPr>
          <w:rStyle w:val="resultpara2"/>
          <w:bCs/>
        </w:rPr>
        <w:fldChar w:fldCharType="begin"/>
      </w:r>
      <w:r w:rsidR="00B41ACC">
        <w:rPr>
          <w:rStyle w:val="resultpara2"/>
          <w:bCs/>
        </w:rPr>
        <w:instrText xml:space="preserve"> ADDIN ZOTERO_ITEM CSL_CITATION {"citationID":"YLhaMqJR","properties":{"formattedCitation":"\\super 85\\nosupersub{}","plainCitation":"85","noteIndex":0},"citationItems":[{"id":602,"uris":["http://zotero.org/users/local/BfzbJtgR/items/WZF3P9ER"],"itemData":{"id":602,"type":"article-journal","abstract":"There is an urgent need to better understand the impact of different severe acute respiratory syndrome coronavirus 2 (SARS-CoV-2) variants on immune response and disease dynamics to facilitate better intervention strategies. Here, we show that SARS-CoV-2 variants differentially affect host immune responses. The magnitude and quantity of cytokines and chemokines were comparable in those infected with the Wuhan strain and the Delta variant. However, individuals infected with the Omicron variant had significantly lower levels of these mediators. We also found an elevation of plasma galectins (Gal-3, Gal-8, and Gal-9) in infected individuals, in particular, in those with the original strain. Soluble galectins exert a proinflammatory role in COVID-19 pathogenesis. This was illustrated by their correlation with the plasma levels of sCD14, sCD163, enhanced TNF-α/IL-6 secretion, and increased SARS-CoV-2 infectivity in vitro. Moreover, we observed enhanced CD4+ and CD8+ T cell activation in Wuhan strain-infected individuals. Surprisingly, there was a more pronounced T cell activation in those infected with the Omicron in comparison to the Delta variant. In line with T cell activation status, we observed a more pronounced expansion of T cells expressing different co-inhibitory receptors in patients infected with the Wuhan strain, followed by the Omicron and Delta variants. Individuals infected with the Wuhan strain or the Omicron variant had a similar pattern of plasma soluble immune checkpoints. Our results imply that a milder innate immune response might be beneficial and protective in those infected with the Omicron variant. Our results provide a novel insight into the differential impact of SARS-CoV-2 variants on host immunity. IMPORTANCE There is a need to better understand how different SARS-CoV-2 variants influence the immune system and disease dynamics to facilitate the development of better vaccines and therapies. We compared immune responses in 140 SARS-CoV-2-infected individuals with the Wuhan strain, the Delta variant, or the Omicron variant. All these patients were admitted to the intensive care unit and were SARS-CoV-2 vaccination naïve. We found that SARS-CoV-2 variants differentially affect the host immune response. This was done by measuring soluble biomarkers in their plasma and examining different immune cells. Overall, we found that the magnitude of cytokine storm in individuals infected with the Wuhan strain or the Delta variant was greater than in those infected with the Omicron variant. In light of enhanced cytokine release syndrome in individuals infected with the Wuhan strain or the Delta variant, we believe that a milder innate immune response might be beneficial and protective in those infected with the Omicron variant.","container-title":"Microbiology Spectrum","DOI":"10.1128/spectrum.01256-23","ISSN":"2165-0497","issue":"5","journalAbbreviation":"Microbiol Spectr","language":"eng","note":"PMID: 37676005\nPMCID: PMC10581158","page":"e0125623","source":"PubMed","title":"Analysis of SARS-CoV-2 isolates, namely the Wuhan strain, Delta variant, and Omicron variant, identifies differential immune profiles","volume":"11","author":[{"family":"Shahbaz","given":"Shima"},{"family":"Bozorgmehr","given":"Najmeh"},{"family":"Lu","given":"Julia"},{"family":"Osman","given":"Mohammed"},{"family":"Sligl","given":"Wendy"},{"family":"Tyrrell","given":"D. Lorne"},{"family":"Elahi","given":"Shokrollah"}],"issued":{"date-parts":[["2023",9,7]]}}}],"schema":"https://github.com/citation-style-language/schema/raw/master/csl-citation.json"} </w:instrText>
      </w:r>
      <w:r>
        <w:rPr>
          <w:rStyle w:val="resultpara2"/>
          <w:bCs/>
        </w:rPr>
        <w:fldChar w:fldCharType="separate"/>
      </w:r>
      <w:r w:rsidR="00B41ACC" w:rsidRPr="00B41ACC">
        <w:rPr>
          <w:rFonts w:cs="Times New Roman"/>
          <w:vertAlign w:val="superscript"/>
        </w:rPr>
        <w:t>85</w:t>
      </w:r>
      <w:r>
        <w:rPr>
          <w:rStyle w:val="resultpara2"/>
          <w:bCs/>
        </w:rPr>
        <w:fldChar w:fldCharType="end"/>
      </w:r>
      <w:r w:rsidRPr="00CB3B3C">
        <w:rPr>
          <w:bCs/>
        </w:rPr>
        <w:t>.</w:t>
      </w:r>
    </w:p>
    <w:p w:rsidR="00356E4F" w:rsidRDefault="00356E4F" w:rsidP="00356E4F">
      <w:pPr>
        <w:pStyle w:val="Standard"/>
        <w:suppressAutoHyphens w:val="0"/>
        <w:spacing w:before="280" w:after="280" w:line="276" w:lineRule="auto"/>
        <w:jc w:val="both"/>
        <w:textAlignment w:val="auto"/>
        <w:rPr>
          <w:rStyle w:val="resultpara2"/>
        </w:rPr>
      </w:pPr>
      <w:r>
        <w:rPr>
          <w:rStyle w:val="resultpara0"/>
        </w:rPr>
        <w:t xml:space="preserve">There are various </w:t>
      </w:r>
      <w:r w:rsidRPr="00AB007D">
        <w:rPr>
          <w:bCs/>
        </w:rPr>
        <w:t>immune response indicators</w:t>
      </w:r>
      <w:r>
        <w:rPr>
          <w:bCs/>
        </w:rPr>
        <w:t xml:space="preserve"> were assessed during COVID-19 infections. One of the crucial indicators noted was </w:t>
      </w:r>
      <w:r w:rsidRPr="00C575A1">
        <w:rPr>
          <w:rStyle w:val="resultpara0"/>
        </w:rPr>
        <w:t>Lymphopenia</w:t>
      </w:r>
      <w:r>
        <w:rPr>
          <w:rStyle w:val="resultpara0"/>
        </w:rPr>
        <w:t xml:space="preserve">. </w:t>
      </w:r>
      <w:r>
        <w:rPr>
          <w:bCs/>
        </w:rPr>
        <w:t xml:space="preserve"> </w:t>
      </w:r>
      <w:r w:rsidRPr="00C575A1">
        <w:rPr>
          <w:rStyle w:val="resultpara0"/>
        </w:rPr>
        <w:t xml:space="preserve">Lymphopenia, </w:t>
      </w:r>
      <w:r w:rsidRPr="00C575A1">
        <w:rPr>
          <w:rStyle w:val="resultpara0"/>
          <w:bCs/>
        </w:rPr>
        <w:t>defined</w:t>
      </w:r>
      <w:r w:rsidRPr="00C575A1">
        <w:rPr>
          <w:rStyle w:val="resultpara0"/>
        </w:rPr>
        <w:t xml:space="preserve"> by a </w:t>
      </w:r>
      <w:r w:rsidRPr="00C575A1">
        <w:rPr>
          <w:rStyle w:val="resultpara0"/>
          <w:bCs/>
        </w:rPr>
        <w:t>reduced</w:t>
      </w:r>
      <w:r w:rsidRPr="00C575A1">
        <w:rPr>
          <w:rStyle w:val="resultpara0"/>
        </w:rPr>
        <w:t xml:space="preserve"> lymphocyte count, is a </w:t>
      </w:r>
      <w:r w:rsidRPr="00C575A1">
        <w:rPr>
          <w:rStyle w:val="resultpara0"/>
          <w:bCs/>
        </w:rPr>
        <w:t>defining feature</w:t>
      </w:r>
      <w:r w:rsidR="00A6008D">
        <w:rPr>
          <w:rStyle w:val="resultpara0"/>
        </w:rPr>
        <w:t xml:space="preserve"> of severe COVID-19</w:t>
      </w:r>
      <w:r w:rsidRPr="00C575A1">
        <w:rPr>
          <w:rStyle w:val="resultpara0"/>
        </w:rPr>
        <w:t xml:space="preserve"> </w:t>
      </w:r>
      <w:r w:rsidR="00A6008D">
        <w:rPr>
          <w:rStyle w:val="resultpara0"/>
        </w:rPr>
        <w:t xml:space="preserve">and </w:t>
      </w:r>
      <w:r w:rsidRPr="00C575A1">
        <w:rPr>
          <w:rStyle w:val="resultpara0"/>
        </w:rPr>
        <w:t xml:space="preserve">has been </w:t>
      </w:r>
      <w:r w:rsidRPr="00C575A1">
        <w:rPr>
          <w:rStyle w:val="resultpara0"/>
          <w:bCs/>
        </w:rPr>
        <w:t>linked to heightened</w:t>
      </w:r>
      <w:r w:rsidR="00A6008D">
        <w:rPr>
          <w:rStyle w:val="resultpara0"/>
        </w:rPr>
        <w:t xml:space="preserve"> disease morbidity</w:t>
      </w:r>
      <w:r w:rsidRPr="00C575A1">
        <w:rPr>
          <w:rStyle w:val="resultpara0"/>
        </w:rPr>
        <w:t xml:space="preserve"> and mortality.</w:t>
      </w:r>
      <w:r w:rsidRPr="00C575A1">
        <w:t xml:space="preserve"> </w:t>
      </w:r>
      <w:r w:rsidRPr="00C575A1">
        <w:rPr>
          <w:rStyle w:val="resultpara2"/>
          <w:bCs/>
        </w:rPr>
        <w:t>Numerous</w:t>
      </w:r>
      <w:r w:rsidRPr="00C575A1">
        <w:rPr>
          <w:rStyle w:val="resultpara2"/>
        </w:rPr>
        <w:t xml:space="preserve"> studies have </w:t>
      </w:r>
      <w:r w:rsidRPr="00C575A1">
        <w:rPr>
          <w:rStyle w:val="resultpara2"/>
          <w:bCs/>
        </w:rPr>
        <w:t>emphasized</w:t>
      </w:r>
      <w:r w:rsidRPr="00C575A1">
        <w:rPr>
          <w:rStyle w:val="resultpara2"/>
        </w:rPr>
        <w:t xml:space="preserve"> the </w:t>
      </w:r>
      <w:r w:rsidRPr="00C575A1">
        <w:rPr>
          <w:rStyle w:val="resultpara2"/>
          <w:bCs/>
        </w:rPr>
        <w:t>importance</w:t>
      </w:r>
      <w:r w:rsidRPr="00C575A1">
        <w:rPr>
          <w:rStyle w:val="resultpara2"/>
        </w:rPr>
        <w:t xml:space="preserve"> of lymphocyte count in COVID-19 patients</w:t>
      </w:r>
      <w:r>
        <w:rPr>
          <w:rStyle w:val="resultpara2"/>
        </w:rPr>
        <w:t xml:space="preserve">- </w:t>
      </w:r>
    </w:p>
    <w:p w:rsidR="00356E4F" w:rsidRDefault="00356E4F" w:rsidP="00356E4F">
      <w:pPr>
        <w:pStyle w:val="Standard"/>
        <w:suppressAutoHyphens w:val="0"/>
        <w:spacing w:before="280" w:after="280" w:line="276" w:lineRule="auto"/>
        <w:jc w:val="both"/>
        <w:textAlignment w:val="auto"/>
        <w:rPr>
          <w:rStyle w:val="resultpara0"/>
        </w:rPr>
      </w:pPr>
      <w:r>
        <w:rPr>
          <w:rStyle w:val="resultpara2"/>
        </w:rPr>
        <w:t xml:space="preserve">For instance, </w:t>
      </w:r>
      <w:r w:rsidR="00A6008D">
        <w:rPr>
          <w:rStyle w:val="resultpara0"/>
        </w:rPr>
        <w:t>a previous research</w:t>
      </w:r>
      <w:r w:rsidRPr="00D73EA6">
        <w:rPr>
          <w:rStyle w:val="resultpara0"/>
        </w:rPr>
        <w:t xml:space="preserve"> </w:t>
      </w:r>
      <w:r w:rsidRPr="00D73EA6">
        <w:rPr>
          <w:rStyle w:val="resultpara0"/>
          <w:bCs/>
        </w:rPr>
        <w:t>conducted in</w:t>
      </w:r>
      <w:r w:rsidRPr="00D73EA6">
        <w:rPr>
          <w:rStyle w:val="resultpara0"/>
        </w:rPr>
        <w:t xml:space="preserve"> Brazil </w:t>
      </w:r>
      <w:r w:rsidRPr="00D73EA6">
        <w:rPr>
          <w:rStyle w:val="resultpara0"/>
          <w:bCs/>
        </w:rPr>
        <w:t>assessed</w:t>
      </w:r>
      <w:r w:rsidRPr="00D73EA6">
        <w:rPr>
          <w:rStyle w:val="resultpara0"/>
        </w:rPr>
        <w:t xml:space="preserve"> lymphocyte </w:t>
      </w:r>
      <w:r w:rsidRPr="00D73EA6">
        <w:rPr>
          <w:rStyle w:val="resultpara0"/>
          <w:bCs/>
        </w:rPr>
        <w:t>counts</w:t>
      </w:r>
      <w:r w:rsidR="00A6008D">
        <w:rPr>
          <w:rStyle w:val="resultpara0"/>
        </w:rPr>
        <w:t>, T-cell populations</w:t>
      </w:r>
      <w:r w:rsidRPr="00D73EA6">
        <w:rPr>
          <w:rStyle w:val="resultpara0"/>
        </w:rPr>
        <w:t xml:space="preserve">, and the neutrophil-to-lymphocyte ratio as </w:t>
      </w:r>
      <w:r w:rsidRPr="00D73EA6">
        <w:rPr>
          <w:rStyle w:val="resultpara0"/>
          <w:bCs/>
        </w:rPr>
        <w:t>preliminary indicators</w:t>
      </w:r>
      <w:r w:rsidR="00A6008D">
        <w:rPr>
          <w:rStyle w:val="resultpara0"/>
        </w:rPr>
        <w:t xml:space="preserve"> for the morbidity</w:t>
      </w:r>
      <w:r w:rsidRPr="00D73EA6">
        <w:rPr>
          <w:rStyle w:val="resultpara0"/>
        </w:rPr>
        <w:t xml:space="preserve"> and </w:t>
      </w:r>
      <w:r w:rsidR="00A6008D" w:rsidRPr="00D73EA6">
        <w:rPr>
          <w:rStyle w:val="resultpara0"/>
        </w:rPr>
        <w:t>effect</w:t>
      </w:r>
      <w:r w:rsidRPr="00D73EA6">
        <w:rPr>
          <w:rStyle w:val="resultpara0"/>
        </w:rPr>
        <w:t xml:space="preserve"> of COVID-19.</w:t>
      </w:r>
      <w:r w:rsidRPr="00D73EA6">
        <w:t xml:space="preserve"> </w:t>
      </w:r>
      <w:r w:rsidRPr="00D73EA6">
        <w:rPr>
          <w:rStyle w:val="resultpara2"/>
        </w:rPr>
        <w:t xml:space="preserve">The </w:t>
      </w:r>
      <w:r w:rsidRPr="00D73EA6">
        <w:rPr>
          <w:rStyle w:val="resultpara2"/>
          <w:bCs/>
        </w:rPr>
        <w:t>results suggested</w:t>
      </w:r>
      <w:r w:rsidRPr="00D73EA6">
        <w:rPr>
          <w:rStyle w:val="resultpara2"/>
        </w:rPr>
        <w:t xml:space="preserve"> that Lymphopenia is </w:t>
      </w:r>
      <w:r w:rsidRPr="00D73EA6">
        <w:rPr>
          <w:rStyle w:val="resultpara2"/>
          <w:bCs/>
        </w:rPr>
        <w:t>viewed as</w:t>
      </w:r>
      <w:r w:rsidRPr="00D73EA6">
        <w:rPr>
          <w:rStyle w:val="resultpara2"/>
        </w:rPr>
        <w:t xml:space="preserve"> a </w:t>
      </w:r>
      <w:r w:rsidRPr="00D73EA6">
        <w:rPr>
          <w:rStyle w:val="resultpara2"/>
          <w:bCs/>
        </w:rPr>
        <w:t>criterion for determining</w:t>
      </w:r>
      <w:r w:rsidRPr="00D73EA6">
        <w:rPr>
          <w:rStyle w:val="resultpara2"/>
        </w:rPr>
        <w:t xml:space="preserve"> disease severity and </w:t>
      </w:r>
      <w:r w:rsidRPr="00D73EA6">
        <w:rPr>
          <w:rStyle w:val="resultpara2"/>
          <w:bCs/>
        </w:rPr>
        <w:t>may serve as</w:t>
      </w:r>
      <w:r w:rsidRPr="00D73EA6">
        <w:rPr>
          <w:rStyle w:val="resultpara2"/>
        </w:rPr>
        <w:t xml:space="preserve"> a </w:t>
      </w:r>
      <w:r w:rsidRPr="00D73EA6">
        <w:rPr>
          <w:rStyle w:val="resultpara2"/>
          <w:bCs/>
        </w:rPr>
        <w:t xml:space="preserve">sign of an </w:t>
      </w:r>
      <w:r>
        <w:rPr>
          <w:rStyle w:val="resultpara2"/>
          <w:bCs/>
        </w:rPr>
        <w:t>unfavorable</w:t>
      </w:r>
      <w:r w:rsidRPr="00D73EA6">
        <w:rPr>
          <w:rStyle w:val="resultpara2"/>
        </w:rPr>
        <w:t xml:space="preserve"> prognosis</w:t>
      </w:r>
      <w:r>
        <w:rPr>
          <w:rStyle w:val="resultpara2"/>
        </w:rPr>
        <w:t xml:space="preserve"> </w:t>
      </w:r>
      <w:r>
        <w:rPr>
          <w:rStyle w:val="resultpara2"/>
        </w:rPr>
        <w:fldChar w:fldCharType="begin"/>
      </w:r>
      <w:r w:rsidR="00B41ACC">
        <w:rPr>
          <w:rStyle w:val="resultpara2"/>
        </w:rPr>
        <w:instrText xml:space="preserve"> ADDIN ZOTERO_ITEM CSL_CITATION {"citationID":"4R3dSPsg","properties":{"formattedCitation":"\\super 86\\nosupersub{}","plainCitation":"86","noteIndex":0},"citationItems":[{"id":604,"uris":["http://zotero.org/users/local/BfzbJtgR/items/VKL9KTBI"],"itemData":{"id":604,"type":"article-journal","container-title":"Hematology, Transfusion and Cell Therapy","DOI":"10.1016/j.htct.2022.05.007","ISSN":"25311379","issue":"3","journalAbbreviation":"Hematology, Transfusion and Cell Therapy","language":"en","page":"330-337","source":"DOI.org (Crossref)","title":"Evaluation of lymphocyte count, T-cell subsets and neutrophil-to-lymphocyte ratio as early predictors for severity and outcome of COVID-19 disease–a report from a highly complex hospital in Brazil","volume":"45","author":[{"family":"Oliveira","given":"Douglas Câmara De"},{"family":"Spiri","given":"Beatriz Sanada"},{"family":"Schluga","given":"Yara Carolina"},{"family":"Justus","given":"Julie Lilian Pimentel"},{"family":"Lopes Neto","given":"Francisco Diego Negrão"},{"family":"Azambuja","given":"Ana Paula De"}],"issued":{"date-parts":[["2023",7]]}}}],"schema":"https://github.com/citation-style-language/schema/raw/master/csl-citation.json"} </w:instrText>
      </w:r>
      <w:r>
        <w:rPr>
          <w:rStyle w:val="resultpara2"/>
        </w:rPr>
        <w:fldChar w:fldCharType="separate"/>
      </w:r>
      <w:r w:rsidR="00B41ACC" w:rsidRPr="00B41ACC">
        <w:rPr>
          <w:rFonts w:cs="Times New Roman"/>
          <w:vertAlign w:val="superscript"/>
        </w:rPr>
        <w:t>86</w:t>
      </w:r>
      <w:r>
        <w:rPr>
          <w:rStyle w:val="resultpara2"/>
        </w:rPr>
        <w:fldChar w:fldCharType="end"/>
      </w:r>
      <w:r w:rsidRPr="00D73EA6">
        <w:rPr>
          <w:rStyle w:val="resultpara2"/>
        </w:rPr>
        <w:t>.</w:t>
      </w:r>
      <w:r>
        <w:rPr>
          <w:rStyle w:val="resultpara2"/>
        </w:rPr>
        <w:t xml:space="preserve"> </w:t>
      </w:r>
      <w:r>
        <w:rPr>
          <w:rStyle w:val="resultpara0"/>
        </w:rPr>
        <w:t xml:space="preserve">Another study from </w:t>
      </w:r>
      <w:r w:rsidRPr="00D73EA6">
        <w:rPr>
          <w:rStyle w:val="resultpara0"/>
        </w:rPr>
        <w:t xml:space="preserve">hospitals in Portugal and Brazil </w:t>
      </w:r>
      <w:r w:rsidRPr="00D73EA6">
        <w:rPr>
          <w:rStyle w:val="resultpara0"/>
          <w:bCs/>
        </w:rPr>
        <w:t>examined</w:t>
      </w:r>
      <w:r w:rsidR="00643D47">
        <w:rPr>
          <w:rStyle w:val="resultpara0"/>
        </w:rPr>
        <w:t xml:space="preserve"> Lymphopenia in</w:t>
      </w:r>
      <w:r w:rsidR="00A6008D">
        <w:rPr>
          <w:rStyle w:val="resultpara0"/>
        </w:rPr>
        <w:t xml:space="preserve"> </w:t>
      </w:r>
      <w:r w:rsidRPr="00D73EA6">
        <w:rPr>
          <w:rStyle w:val="resultpara0"/>
        </w:rPr>
        <w:t>2020 to 2021</w:t>
      </w:r>
      <w:r>
        <w:rPr>
          <w:rStyle w:val="resultpara0"/>
        </w:rPr>
        <w:t xml:space="preserve"> </w:t>
      </w:r>
      <w:r w:rsidR="00643D47">
        <w:rPr>
          <w:rStyle w:val="resultpara0"/>
        </w:rPr>
        <w:t>among</w:t>
      </w:r>
      <w:r w:rsidR="00A6008D">
        <w:rPr>
          <w:rStyle w:val="resultpara0"/>
        </w:rPr>
        <w:t xml:space="preserve"> unconscious </w:t>
      </w:r>
      <w:r w:rsidRPr="00D73EA6">
        <w:rPr>
          <w:rStyle w:val="resultpara0"/>
          <w:bCs/>
        </w:rPr>
        <w:t xml:space="preserve">patients with </w:t>
      </w:r>
      <w:r w:rsidRPr="00D73EA6">
        <w:rPr>
          <w:rStyle w:val="resultpara0"/>
        </w:rPr>
        <w:t>COVID-19.</w:t>
      </w:r>
      <w:r w:rsidRPr="00D73EA6">
        <w:t xml:space="preserve"> </w:t>
      </w:r>
      <w:r w:rsidRPr="00D73EA6">
        <w:rPr>
          <w:rStyle w:val="resultpara2"/>
        </w:rPr>
        <w:t xml:space="preserve">The </w:t>
      </w:r>
      <w:r w:rsidRPr="00D73EA6">
        <w:rPr>
          <w:rStyle w:val="resultpara2"/>
          <w:bCs/>
        </w:rPr>
        <w:t>findings highlighted</w:t>
      </w:r>
      <w:r w:rsidRPr="00D73EA6">
        <w:rPr>
          <w:rStyle w:val="resultpara2"/>
        </w:rPr>
        <w:t xml:space="preserve"> lymphopenia as a </w:t>
      </w:r>
      <w:r w:rsidRPr="00D73EA6">
        <w:rPr>
          <w:rStyle w:val="resultpara2"/>
          <w:bCs/>
        </w:rPr>
        <w:t>unique characteristic noted</w:t>
      </w:r>
      <w:r w:rsidRPr="00D73EA6">
        <w:rPr>
          <w:rStyle w:val="resultpara2"/>
        </w:rPr>
        <w:t xml:space="preserve"> in critically ill COVID-19 patients and </w:t>
      </w:r>
      <w:r w:rsidRPr="00D73EA6">
        <w:rPr>
          <w:rStyle w:val="resultpara2"/>
          <w:bCs/>
        </w:rPr>
        <w:t>allegedly acts</w:t>
      </w:r>
      <w:r w:rsidRPr="00D73EA6">
        <w:rPr>
          <w:rStyle w:val="resultpara2"/>
        </w:rPr>
        <w:t xml:space="preserve"> as a </w:t>
      </w:r>
      <w:r w:rsidR="00D036D0">
        <w:rPr>
          <w:rStyle w:val="resultpara2"/>
          <w:bCs/>
        </w:rPr>
        <w:t>conclusive marker</w:t>
      </w:r>
      <w:r w:rsidRPr="00D73EA6">
        <w:rPr>
          <w:rStyle w:val="resultpara2"/>
        </w:rPr>
        <w:t xml:space="preserve"> of the </w:t>
      </w:r>
      <w:r w:rsidRPr="00D73EA6">
        <w:rPr>
          <w:rStyle w:val="resultpara2"/>
          <w:bCs/>
        </w:rPr>
        <w:t>illness</w:t>
      </w:r>
      <w:r>
        <w:rPr>
          <w:rStyle w:val="resultpara2"/>
          <w:bCs/>
        </w:rPr>
        <w:t xml:space="preserve"> </w:t>
      </w:r>
      <w:r>
        <w:rPr>
          <w:rStyle w:val="resultpara2"/>
          <w:bCs/>
        </w:rPr>
        <w:fldChar w:fldCharType="begin"/>
      </w:r>
      <w:r w:rsidR="00B41ACC">
        <w:rPr>
          <w:rStyle w:val="resultpara2"/>
          <w:bCs/>
        </w:rPr>
        <w:instrText xml:space="preserve"> ADDIN ZOTERO_ITEM CSL_CITATION {"citationID":"5silJxB1","properties":{"formattedCitation":"\\super 87\\nosupersub{}","plainCitation":"87","noteIndex":0},"citationItems":[{"id":606,"uris":["http://zotero.org/users/local/BfzbJtgR/items/MT39QQ5E"],"itemData":{"id":606,"type":"article-journal","abstract":"ABSTRACT  Objective  To elucidate the impact of lymphopenia on critical COVID-19 patient outcomes.  Methods  We conducted a multicenter prospective cohort study across five hospitals in Portugal and Brazil from 2020 to 2021. The study included adult patients admitted to the intensive care unit with SARS-CoV-2 pneumonia. Patients were categorized into two groups based on their lymphocyte counts within 48 hours of intensive care unit admission: the Lymphopenia Group (lymphocyte serum count &lt; 1 × 109/L) and the Nonlymphopenia Group. Multivariate logistic regression, propensity score matching, Kaplan‒Meier survival curve analysis and Cox proportional hazards regression analysis were used.  Results  A total of 912 patients were enrolled, with 191 (20.9%) in the Nonlymphopenia Group and 721 (79.1%) in the Lymphopenia Group. Lymphopenia patients displayed significantly elevated disease severity indices, including Sequential Organ Failure Assessment and Simplified Acute Physiology Score 3 scores, at intensive care unit admission (p = 0.001 and p &lt; 0.001, respectively). Additionally, they presented heightened requirements for vasopressor support (p = 0.045) and prolonged intensive care unit and in-hospital stays (both p &lt; 0.001). Multivariate logistic regression analysis after propensity score matching revealed a significant contribution of lymphopenia to mortality, with an odds ratio of 1,621 (95%CI: 1,275 - 2,048; p &lt; 0.001). Interaction models revealed an increase of 8% in mortality for each decade of longevity in patients with concomitant lymphopenia. In the subanalysis utilizing three-group stratification, the Severe Lymphopenia Group had the highest mortality rate, not only in direct comparisons but also in Kaplan‒Meier survival analysis (log-rank test p = 0.0048).  Conclusion  Lymphopenia in COVID-19 patients is associated with increased disease severity and an increased risk of mortality, underscoring the need for prompt support for critically ill high-risk patients. These findings offer important insights into improving patient care strategies for COVID-19 patients.\n          , \n            RESUMO  Objetivo  Elucidar o impacto da linfopenia nos desfechos críticos de pacientes com COVID-19.  Métodos  Trata-se de estudo de coorte prospectivo multicêntrico realizado em cinco hospitais de Portugal e do Brasil entre 2020 e 2021. O estudo incluiu pacientes adultos internados na unidade de terapia intensiva com pneumonia por SARS-CoV-2. Os pacientes foram categorizados em dois grupos com base em suas contagens de linfócitos dentro de 48 horas da admissão na unidade de terapia intensiva: o Grupo Linfopenia (contagem sérica de linfócitos &lt; 1 × 109/L) e o Grupo sem Linfopenia. Foram utilizadas regressão logística multivariada, correspondência de escore de propensão, análise da curva de sobrevida de Kaplan-Meier e análise de regressão de riscos proporcionais de Cox.  Resultados  Participaram 912 pacientes, sendo 191 (20,9%) no Grupo sem Linfopenia e 721 (79,1%) no Grupo com Linfopenia. Os pacientes com linfopenia apresentaram índices de gravidade da doença significativamente elevados, incluindo a Sequential Organ Failure Assessment e o Simplified Acute Physiology Score 3, na admissão na unidade de terapia intensiva (p = 0,001 e p &lt; 0,001, respectivamente). Além disso, eles apresentaram maior necessidade de suporte vasopressor (p = 0,045) e internações prolongadas na unidade de terapia intensiva e no hospital (ambos p &lt; 0,001). A análise de regressão logística multivariada após a correspondência da pontuação de propensão revelou significativa contribuição da linfopenia para a mortalidade, com razão de chances de 1.621 (IC95% 1.275 - 2.048; p &lt; 0,001). Os modelos de interação revelaram aumento de 8% na mortalidade para cada década de longevidade em pacientes com linfopenia concomitante. Na subanálise que utilizou a estratificação em três grupos, o Grupo com Linfopenia grave apresentou a maior taxa de mortalidade, não apenas em comparações diretas, mas também na análise de sobrevida de Kaplan-Meier (teste log-rank p = 0,0048).  Conclusão  A linfopenia em pacientes com COVID-19 está associada ao aumento da gravidade da doença e ao aumento do risco de mortalidade, ressaltando a necessidade de suporte imediato para pacientes críticos de alto risco. Esses achados oferecem informações importantes para melhorar as estratégias de assistência a pacientes com COVID-19.","container-title":"Critical Care Science","DOI":"10.62675/2965-2774.20240236-en","ISSN":"2965-2774","journalAbbreviation":"Crit. Care Sci.","license":"http://creativecommons.org/licenses/by/4.0/","page":"e20240236en","source":"DOI.org (Crossref)","title":"Advancing insights in critical COVID-19: unraveling lymphopenia through propensity score matching - Findings from the Multicenter LYMPH-COVID Study","title-short":"Advancing insights in critical COVID-19","volume":"36","author":[{"family":"Cidade","given":"José Pedro"},{"family":"Souza-Dantas","given":"Vicente Cês"},{"family":"Mamfrim","given":"Rafaela Braga"},{"family":"Miranda","given":"Renata Carnevale"},{"family":"Caroli","given":"Henrique Tommasi"},{"family":"Oliveira","given":"Natália Almeida"},{"family":"Thompson","given":"Alessandra E Figueiredo"},{"family":"Oliveira","given":"Gabriela E."},{"family":"Póvoa","given":"Pedro"}],"issued":{"date-parts":[["2024"]]}}}],"schema":"https://github.com/citation-style-language/schema/raw/master/csl-citation.json"} </w:instrText>
      </w:r>
      <w:r>
        <w:rPr>
          <w:rStyle w:val="resultpara2"/>
          <w:bCs/>
        </w:rPr>
        <w:fldChar w:fldCharType="separate"/>
      </w:r>
      <w:r w:rsidR="00B41ACC" w:rsidRPr="00B41ACC">
        <w:rPr>
          <w:rFonts w:cs="Times New Roman"/>
          <w:vertAlign w:val="superscript"/>
        </w:rPr>
        <w:t>87</w:t>
      </w:r>
      <w:r>
        <w:rPr>
          <w:rStyle w:val="resultpara2"/>
          <w:bCs/>
        </w:rPr>
        <w:fldChar w:fldCharType="end"/>
      </w:r>
      <w:r w:rsidRPr="00D73EA6">
        <w:rPr>
          <w:rStyle w:val="resultpara2"/>
        </w:rPr>
        <w:t>.</w:t>
      </w:r>
      <w:r>
        <w:rPr>
          <w:rStyle w:val="resultpara2"/>
        </w:rPr>
        <w:t xml:space="preserve"> </w:t>
      </w:r>
      <w:r w:rsidRPr="00D73EA6">
        <w:rPr>
          <w:rStyle w:val="resultpara0"/>
        </w:rPr>
        <w:t xml:space="preserve">These </w:t>
      </w:r>
      <w:r w:rsidRPr="00D73EA6">
        <w:rPr>
          <w:rStyle w:val="resultpara0"/>
          <w:bCs/>
        </w:rPr>
        <w:t>investigations highlight</w:t>
      </w:r>
      <w:r w:rsidRPr="00D73EA6">
        <w:rPr>
          <w:rStyle w:val="resultpara0"/>
        </w:rPr>
        <w:t xml:space="preserve"> the </w:t>
      </w:r>
      <w:r w:rsidRPr="00D73EA6">
        <w:rPr>
          <w:rStyle w:val="resultpara0"/>
          <w:bCs/>
        </w:rPr>
        <w:t>significance</w:t>
      </w:r>
      <w:r w:rsidRPr="00D73EA6">
        <w:rPr>
          <w:rStyle w:val="resultpara0"/>
        </w:rPr>
        <w:t xml:space="preserve"> of </w:t>
      </w:r>
      <w:r w:rsidRPr="00D73EA6">
        <w:rPr>
          <w:rStyle w:val="resultpara0"/>
          <w:bCs/>
        </w:rPr>
        <w:t>tracking</w:t>
      </w:r>
      <w:r w:rsidRPr="00D73EA6">
        <w:rPr>
          <w:rStyle w:val="resultpara0"/>
        </w:rPr>
        <w:t xml:space="preserve"> lymphocyte </w:t>
      </w:r>
      <w:r w:rsidRPr="00D73EA6">
        <w:rPr>
          <w:rStyle w:val="resultpara0"/>
          <w:bCs/>
        </w:rPr>
        <w:t>levels</w:t>
      </w:r>
      <w:r w:rsidRPr="00D73EA6">
        <w:rPr>
          <w:rStyle w:val="resultpara0"/>
        </w:rPr>
        <w:t xml:space="preserve"> in COVID-19 patients, </w:t>
      </w:r>
      <w:r w:rsidRPr="00D73EA6">
        <w:rPr>
          <w:rStyle w:val="resultpara0"/>
          <w:bCs/>
        </w:rPr>
        <w:t>given that</w:t>
      </w:r>
      <w:r w:rsidRPr="00D73EA6">
        <w:rPr>
          <w:rStyle w:val="resultpara0"/>
        </w:rPr>
        <w:t xml:space="preserve"> lymphopenia </w:t>
      </w:r>
      <w:r w:rsidRPr="00D73EA6">
        <w:rPr>
          <w:rStyle w:val="resultpara0"/>
          <w:bCs/>
        </w:rPr>
        <w:t>may act</w:t>
      </w:r>
      <w:r w:rsidRPr="00D73EA6">
        <w:rPr>
          <w:rStyle w:val="resultpara0"/>
        </w:rPr>
        <w:t xml:space="preserve"> as an </w:t>
      </w:r>
      <w:r w:rsidRPr="00D73EA6">
        <w:rPr>
          <w:rStyle w:val="resultpara0"/>
          <w:bCs/>
        </w:rPr>
        <w:t>initial sign</w:t>
      </w:r>
      <w:r w:rsidR="00C95FD0">
        <w:rPr>
          <w:rStyle w:val="resultpara0"/>
        </w:rPr>
        <w:t xml:space="preserve"> of disease progression </w:t>
      </w:r>
      <w:r w:rsidRPr="00D73EA6">
        <w:rPr>
          <w:rStyle w:val="resultpara0"/>
        </w:rPr>
        <w:t xml:space="preserve">and </w:t>
      </w:r>
      <w:r w:rsidRPr="00D73EA6">
        <w:rPr>
          <w:rStyle w:val="resultpara0"/>
          <w:bCs/>
        </w:rPr>
        <w:t>an indicator</w:t>
      </w:r>
      <w:r w:rsidRPr="00D73EA6">
        <w:rPr>
          <w:rStyle w:val="resultpara0"/>
        </w:rPr>
        <w:t xml:space="preserve"> of </w:t>
      </w:r>
      <w:r w:rsidRPr="00D73EA6">
        <w:rPr>
          <w:rStyle w:val="resultpara0"/>
          <w:bCs/>
        </w:rPr>
        <w:t>negative</w:t>
      </w:r>
      <w:r w:rsidRPr="00D73EA6">
        <w:rPr>
          <w:rStyle w:val="resultpara0"/>
        </w:rPr>
        <w:t xml:space="preserve"> clinical </w:t>
      </w:r>
      <w:r>
        <w:rPr>
          <w:rStyle w:val="resultpara0"/>
          <w:bCs/>
        </w:rPr>
        <w:t>outcomes</w:t>
      </w:r>
      <w:r w:rsidRPr="00D73EA6">
        <w:rPr>
          <w:rStyle w:val="resultpara0"/>
        </w:rPr>
        <w:t>.</w:t>
      </w:r>
    </w:p>
    <w:p w:rsidR="00356E4F" w:rsidRDefault="00152A92" w:rsidP="00356E4F">
      <w:pPr>
        <w:pStyle w:val="Standard"/>
        <w:suppressAutoHyphens w:val="0"/>
        <w:spacing w:before="280" w:after="280" w:line="276" w:lineRule="auto"/>
        <w:jc w:val="both"/>
        <w:textAlignment w:val="auto"/>
        <w:rPr>
          <w:rStyle w:val="resultpara0"/>
        </w:rPr>
      </w:pPr>
      <w:r>
        <w:rPr>
          <w:rStyle w:val="resultpara0"/>
        </w:rPr>
        <w:t xml:space="preserve">CD4+ and CD8+ </w:t>
      </w:r>
      <w:r w:rsidR="00356E4F" w:rsidRPr="000A6F55">
        <w:rPr>
          <w:rStyle w:val="resultpara0"/>
        </w:rPr>
        <w:t>cells of the adaptive immune s</w:t>
      </w:r>
      <w:r>
        <w:rPr>
          <w:rStyle w:val="resultpara0"/>
        </w:rPr>
        <w:t>ystem play a vital</w:t>
      </w:r>
      <w:r w:rsidR="00356E4F">
        <w:rPr>
          <w:rStyle w:val="resultpara0"/>
        </w:rPr>
        <w:t xml:space="preserve"> role in</w:t>
      </w:r>
      <w:r w:rsidR="00356E4F" w:rsidRPr="000A6F55">
        <w:rPr>
          <w:rStyle w:val="resultpara0"/>
        </w:rPr>
        <w:t xml:space="preserve"> COVID-19 infection. A reduction in these T-cell populations in people with COVID-19 h</w:t>
      </w:r>
      <w:r>
        <w:rPr>
          <w:rStyle w:val="resultpara0"/>
        </w:rPr>
        <w:t>as been linked to high risk. S</w:t>
      </w:r>
      <w:r w:rsidRPr="000A6F55">
        <w:rPr>
          <w:rStyle w:val="resultpara0"/>
        </w:rPr>
        <w:t>pecific</w:t>
      </w:r>
      <w:r>
        <w:rPr>
          <w:rStyle w:val="resultpara0"/>
        </w:rPr>
        <w:t>ally</w:t>
      </w:r>
      <w:r w:rsidR="00356E4F" w:rsidRPr="000A6F55">
        <w:rPr>
          <w:rStyle w:val="resultpara0"/>
        </w:rPr>
        <w:t xml:space="preserve">, individuals with severe COVID-19 had markedly lower CD4+ and CD8+ </w:t>
      </w:r>
      <w:r>
        <w:rPr>
          <w:rStyle w:val="resultpara0"/>
        </w:rPr>
        <w:t>cell counts</w:t>
      </w:r>
      <w:r w:rsidR="00356E4F" w:rsidRPr="000A6F55">
        <w:rPr>
          <w:rStyle w:val="resultpara0"/>
        </w:rPr>
        <w:t xml:space="preserve">. Additionally, research has shown that CD4+ and CD8+  cell counts can serve as predictive biomarkers for disease </w:t>
      </w:r>
      <w:r w:rsidR="009C1698" w:rsidRPr="000A6F55">
        <w:rPr>
          <w:rStyle w:val="resultpara0"/>
        </w:rPr>
        <w:t>development</w:t>
      </w:r>
      <w:r w:rsidR="00356E4F">
        <w:rPr>
          <w:rStyle w:val="resultpara0"/>
        </w:rPr>
        <w:t xml:space="preserve"> </w:t>
      </w:r>
      <w:r w:rsidR="00356E4F">
        <w:rPr>
          <w:rStyle w:val="resultpara2"/>
        </w:rPr>
        <w:fldChar w:fldCharType="begin"/>
      </w:r>
      <w:r w:rsidR="00B41ACC">
        <w:rPr>
          <w:rStyle w:val="resultpara2"/>
        </w:rPr>
        <w:instrText xml:space="preserve"> ADDIN ZOTERO_ITEM CSL_CITATION {"citationID":"8PiGITQZ","properties":{"formattedCitation":"\\super 88\\nosupersub{}","plainCitation":"88","noteIndex":0},"citationItems":[{"id":608,"uris":["http://zotero.org/users/local/BfzbJtgR/items/67XSL89K"],"itemData":{"id":608,"type":"article-journal","container-title":"Clinica Chimica Acta","DOI":"10.1016/j.cca.2020.06.040","ISSN":"00098981","journalAbbreviation":"Clinica Chimica Acta","language":"en","page":"1-4","source":"DOI.org (Crossref)","title":"Less expression of CD4+ and CD8+ T cells might reflect the severity of infection and predict worse prognosis in patients with COVID-19: Evidence from a pooled analysis","title-short":"Less expression of CD4+ and CD8+ T cells might reflect the severity of infection and predict worse prognosis in patients with COVID-19","volume":"510","author":[{"family":"Hu","given":"Daojun"},{"family":"Li","given":"Li"},{"family":"Shi","given":"Wenjie"},{"family":"Zhang","given":"Li"}],"issued":{"date-parts":[["2020",11]]}}}],"schema":"https://github.com/citation-style-language/schema/raw/master/csl-citation.json"} </w:instrText>
      </w:r>
      <w:r w:rsidR="00356E4F">
        <w:rPr>
          <w:rStyle w:val="resultpara2"/>
        </w:rPr>
        <w:fldChar w:fldCharType="separate"/>
      </w:r>
      <w:r w:rsidR="00B41ACC" w:rsidRPr="00B41ACC">
        <w:rPr>
          <w:rFonts w:cs="Times New Roman"/>
          <w:vertAlign w:val="superscript"/>
        </w:rPr>
        <w:t>88</w:t>
      </w:r>
      <w:r w:rsidR="00356E4F">
        <w:rPr>
          <w:rStyle w:val="resultpara2"/>
        </w:rPr>
        <w:fldChar w:fldCharType="end"/>
      </w:r>
      <w:r w:rsidR="00356E4F" w:rsidRPr="000A6F55">
        <w:rPr>
          <w:rStyle w:val="resultpara0"/>
        </w:rPr>
        <w:t xml:space="preserve">. For instance, lower CD4+ </w:t>
      </w:r>
      <w:r w:rsidR="00042343">
        <w:rPr>
          <w:rStyle w:val="resultpara0"/>
        </w:rPr>
        <w:t xml:space="preserve"> cell counts have been linked with</w:t>
      </w:r>
      <w:r w:rsidR="00356E4F" w:rsidRPr="000A6F55">
        <w:rPr>
          <w:rStyle w:val="resultpara0"/>
        </w:rPr>
        <w:t xml:space="preserve"> higher chances of ICU admission and mortali</w:t>
      </w:r>
      <w:r w:rsidR="00D64315">
        <w:rPr>
          <w:rStyle w:val="resultpara0"/>
        </w:rPr>
        <w:t xml:space="preserve">ty, whereas increased CD8+ </w:t>
      </w:r>
      <w:r w:rsidR="009C1698">
        <w:rPr>
          <w:rStyle w:val="resultpara0"/>
        </w:rPr>
        <w:t>cell populations</w:t>
      </w:r>
      <w:r w:rsidR="00356E4F" w:rsidRPr="000A6F55">
        <w:rPr>
          <w:rStyle w:val="resultpara0"/>
        </w:rPr>
        <w:t xml:space="preserve"> were identified as </w:t>
      </w:r>
      <w:r w:rsidR="00042343">
        <w:rPr>
          <w:rStyle w:val="resultpara0"/>
        </w:rPr>
        <w:t>a</w:t>
      </w:r>
      <w:r w:rsidR="00356E4F" w:rsidRPr="000A6F55">
        <w:rPr>
          <w:rStyle w:val="resultpara0"/>
        </w:rPr>
        <w:t xml:space="preserve"> </w:t>
      </w:r>
      <w:r w:rsidR="00042343">
        <w:rPr>
          <w:rStyle w:val="resultpara0"/>
        </w:rPr>
        <w:t>significant</w:t>
      </w:r>
      <w:r w:rsidR="00356E4F" w:rsidRPr="000A6F55">
        <w:rPr>
          <w:rStyle w:val="resultpara0"/>
        </w:rPr>
        <w:t xml:space="preserve"> </w:t>
      </w:r>
      <w:r w:rsidR="00356E4F">
        <w:rPr>
          <w:rStyle w:val="resultpara0"/>
        </w:rPr>
        <w:t>risk factor for ICU admission</w:t>
      </w:r>
      <w:r w:rsidR="00356E4F">
        <w:rPr>
          <w:rStyle w:val="resultpara2"/>
        </w:rPr>
        <w:fldChar w:fldCharType="begin"/>
      </w:r>
      <w:r w:rsidR="00B41ACC">
        <w:rPr>
          <w:rStyle w:val="resultpara2"/>
        </w:rPr>
        <w:instrText xml:space="preserve"> ADDIN ZOTERO_ITEM CSL_CITATION {"citationID":"EzoTL5Rg","properties":{"formattedCitation":"\\super 89\\nosupersub{}","plainCitation":"89","noteIndex":0},"citationItems":[{"id":610,"uris":["http://zotero.org/users/local/BfzbJtgR/items/X663E8GF"],"itemData":{"id":610,"type":"article-journal","abstract":"AIM: The aim of this study was to investigate the predictive role of lymphocyte subsets and other laboratory measurements in patients with COVID-19.\nMETHODS: Electronic medical records of adult patients with confirmed diagnosis of COVID-19 from the Shanghai Public Health Clinical Center were reviewed retrospectively to obtain relevant data.\nRESULTS: The mean age of patients was 40.98 ± 15.95 years, with 58% of the patients being males. The cutoff values at the intensive care unit (ICU) admission, mechanical ventilation, and mortality were CD4+ cells (267, 198, and 405), CD8+ cells (263, 203, and 182), and CD4+ /CD8+ cells (1.4, 1.8, and 1.4). The cutoffs below these values indicate the higher chances of disease progression. Higher CD4+ cell count led to lesser chances for ICU admission [odds ratio (OR) (95% confidence interval (CI): 0.994 (0.991, 0.997); p = 0.0002] and mortality [OR (95% CI): 0.988 (0.979, 0.99); p = 0.001], higher CD8+ count was an independent risk factor for ICU admission. T-cell count positively correlated with total lymphocyte count and platelets, while negatively correlated with D-dimer and lactate dehydrogenase (LDH). Among patients with non-severe COVID-19, median CD8+ T cell, CD4+ T cell, total lymphocyte count, and platelets were 570, 362, 1.45, and 211, respectively, while median values decreased to 149, 106, 0.64, and 172, respectively, in patients with severe COVID-19.\nCONCLUSION: Lower T lymphocyte subsets were significantly associated with higher admission to ICU, mechanical ventilation, and mortality among patients with COVID-19. A cutoff value of ICU admission, mechanical ventilation, and mortality below CD4+ cells (267, 198, and 405), CD8+ cells (263, 203, 182), and CD4+/CD8+ cells (1.4, 1.8, 1.4) may help identify patients at high risk of disease progression. The continuous evaluation of laboratory indices may help with dismal prognosis and prompt intervention to improve outcomes.","container-title":"Therapeutic Advances in Respiratory Disease","DOI":"10.1177/17534666211049739","ISSN":"1753-4666","journalAbbreviation":"Ther Adv Respir Dis","language":"eng","note":"PMID: 34632871\nPMCID: PMC8512232","page":"17534666211049739","source":"PubMed","title":"The predictive role of lymphocyte subsets and laboratory measurements in COVID-19 disease: a retrospective study","title-short":"The predictive role of lymphocyte subsets and laboratory measurements in COVID-19 disease","volume":"15","author":[{"family":"Wang","given":"Lin"},{"family":"Chen","given":"Jun"},{"family":"Zhao","given":"Jun"},{"family":"Li","given":"Feng"},{"family":"Lu","given":"Shuihua"},{"family":"Liu","given":"Ping"},{"family":"Liu","given":"Xu-Hui"},{"family":"Huang","given":"Qin"},{"family":"Wang","given":"He"},{"family":"Xu","given":"Qing Nian"},{"family":"Liu","given":"Xiaomin"},{"family":"Yu","given":"Shijun"},{"family":"Liu","given":"Li"},{"family":"Lu","given":"Hongzhou"}],"issued":{"date-parts":[["2021"]]}}}],"schema":"https://github.com/citation-style-language/schema/raw/master/csl-citation.json"} </w:instrText>
      </w:r>
      <w:r w:rsidR="00356E4F">
        <w:rPr>
          <w:rStyle w:val="resultpara2"/>
        </w:rPr>
        <w:fldChar w:fldCharType="separate"/>
      </w:r>
      <w:r w:rsidR="00B41ACC" w:rsidRPr="00B41ACC">
        <w:rPr>
          <w:rFonts w:cs="Times New Roman"/>
          <w:vertAlign w:val="superscript"/>
        </w:rPr>
        <w:t>89</w:t>
      </w:r>
      <w:r w:rsidR="00356E4F">
        <w:rPr>
          <w:rStyle w:val="resultpara2"/>
        </w:rPr>
        <w:fldChar w:fldCharType="end"/>
      </w:r>
      <w:r w:rsidR="00356E4F" w:rsidRPr="000A6F55">
        <w:rPr>
          <w:rStyle w:val="resultpara0"/>
        </w:rPr>
        <w:t>. These studies indicat</w:t>
      </w:r>
      <w:r w:rsidR="00042343">
        <w:rPr>
          <w:rStyle w:val="resultpara0"/>
        </w:rPr>
        <w:t xml:space="preserve">e that tracking CD4+ and CD8+ </w:t>
      </w:r>
      <w:r w:rsidR="00356E4F" w:rsidRPr="000A6F55">
        <w:rPr>
          <w:rStyle w:val="resultpara0"/>
        </w:rPr>
        <w:t>cell counts in COVID-19 patients can provide critical insights regarding the severity of the illness and potential outcomes. A reduction in these T cell counts might indicate a compromised immune response, necessitating closer monitoring and possibly more aggressive treatment approaches.</w:t>
      </w:r>
    </w:p>
    <w:p w:rsidR="00356E4F" w:rsidRDefault="00356E4F" w:rsidP="00356E4F">
      <w:pPr>
        <w:pStyle w:val="Standard"/>
        <w:suppressAutoHyphens w:val="0"/>
        <w:spacing w:before="280" w:after="280" w:line="276" w:lineRule="auto"/>
        <w:jc w:val="both"/>
        <w:textAlignment w:val="auto"/>
        <w:rPr>
          <w:rStyle w:val="resultpara0"/>
        </w:rPr>
      </w:pPr>
      <w:r w:rsidRPr="000A6F55">
        <w:rPr>
          <w:rStyle w:val="resultpara0"/>
        </w:rPr>
        <w:t xml:space="preserve">SARS-CoV-2 has an association with the Human Leukocyte Antigen (HLA). Specific HLA </w:t>
      </w:r>
      <w:r w:rsidR="004D2945">
        <w:rPr>
          <w:rStyle w:val="resultpara0"/>
        </w:rPr>
        <w:t>genes</w:t>
      </w:r>
      <w:r w:rsidRPr="000A6F55">
        <w:rPr>
          <w:rStyle w:val="resultpara0"/>
        </w:rPr>
        <w:t xml:space="preserve"> </w:t>
      </w:r>
      <w:r w:rsidR="004D2945">
        <w:rPr>
          <w:rStyle w:val="resultpara0"/>
        </w:rPr>
        <w:t>are linked</w:t>
      </w:r>
      <w:r w:rsidRPr="000A6F55">
        <w:rPr>
          <w:rStyle w:val="resultpara0"/>
        </w:rPr>
        <w:t xml:space="preserve"> with differing levels of susceptibility to and severity of C</w:t>
      </w:r>
      <w:r w:rsidR="009A5341">
        <w:rPr>
          <w:rStyle w:val="resultpara0"/>
        </w:rPr>
        <w:t xml:space="preserve">OVID-19. For example, the HLA-B </w:t>
      </w:r>
      <w:r w:rsidRPr="000A6F55">
        <w:rPr>
          <w:rStyle w:val="resultpara0"/>
        </w:rPr>
        <w:t xml:space="preserve">46:01 </w:t>
      </w:r>
      <w:r w:rsidR="009A5341">
        <w:rPr>
          <w:rStyle w:val="resultpara0"/>
        </w:rPr>
        <w:t>fragment of genes</w:t>
      </w:r>
      <w:r w:rsidRPr="000A6F55">
        <w:rPr>
          <w:rStyle w:val="resultpara0"/>
        </w:rPr>
        <w:t xml:space="preserve"> has been shown to exhibit a weak binding affinity for SARS-CoV-2 peptides. Individuals possessing this allele may have a reduced capacity to </w:t>
      </w:r>
      <w:r w:rsidR="000A2939">
        <w:rPr>
          <w:rStyle w:val="resultpara0"/>
        </w:rPr>
        <w:t>demonstrate</w:t>
      </w:r>
      <w:r w:rsidRPr="000A6F55">
        <w:rPr>
          <w:rStyle w:val="resultpara0"/>
        </w:rPr>
        <w:t xml:space="preserve"> viral a</w:t>
      </w:r>
      <w:r w:rsidR="000A2939">
        <w:rPr>
          <w:rStyle w:val="resultpara0"/>
        </w:rPr>
        <w:t>ntigens to T cells, resulting</w:t>
      </w:r>
      <w:r w:rsidRPr="000A6F55">
        <w:rPr>
          <w:rStyle w:val="resultpara0"/>
        </w:rPr>
        <w:t xml:space="preserve"> a compromised immune response </w:t>
      </w:r>
      <w:r>
        <w:rPr>
          <w:rStyle w:val="resultpara0"/>
        </w:rPr>
        <w:t xml:space="preserve">linked to this lower affinity </w:t>
      </w:r>
      <w:r>
        <w:rPr>
          <w:rStyle w:val="resultpara2"/>
        </w:rPr>
        <w:t xml:space="preserve"> </w:t>
      </w:r>
      <w:r>
        <w:rPr>
          <w:rStyle w:val="resultpara2"/>
        </w:rPr>
        <w:fldChar w:fldCharType="begin"/>
      </w:r>
      <w:r w:rsidR="00B41ACC">
        <w:rPr>
          <w:rStyle w:val="resultpara2"/>
        </w:rPr>
        <w:instrText xml:space="preserve"> ADDIN ZOTERO_ITEM CSL_CITATION {"citationID":"xk3bpBAt","properties":{"formattedCitation":"\\super 90\\nosupersub{}","plainCitation":"90","noteIndex":0},"citationItems":[{"id":613,"uris":["http://zotero.org/users/local/BfzbJtgR/items/A36THQWZ"],"itemData":{"id":613,"type":"article-journal","abstract":"The COVID-19 pandemic has markedly impacted on cultural, political, and economic structures all over the world. Several aspects of its pathogenesis and related clinical consequences have not yet been elucidated. Infection rates, as well morbidity and mortality differed within countries. It is intriguing for scientists to understand how patient genetics may influence the outcome of the condition, to clarify which aspects could be related the clinical variability of SARS-CoV-2 disease. We reviewed the studies exploring the role of human leukocyte antigens (HLA) genotypes on individual responses to SARS-CoV-2 infection and/or progression, discussing also the contribution of the immunological patterns MHC-related. In March 2021, the main online databases were accessed. All the articles that investigated the possible association between the HLA genotypes and related polymorphisms with susceptibility, severity and progression of COVID-19 were considered. Although both genetic and environmental factors are certainly expected to influence the susceptibility to or protection of individuals, the HLA and related polymorphisms can influence susceptibility, progression and severity of SARS-CoV-2 infection. The crucial role played by HLA molecules in the immune response, especially through pathogen-derived peptide presentation, and the huge molecular variability of HLA alleles in the human populations could be responsible for the different rates of infection and the different patients following COVID-19 infection.","container-title":"European Journal of Medical Research","DOI":"10.1186/s40001-021-00563-1","ISSN":"2047-783X","issue":"1","journalAbbreviation":"Eur J Med Res","language":"eng","note":"PMID: 34344463\nPMCID: PMC8329616","page":"84","source":"PubMed","title":"Association between HLA genotypes and COVID-19 susceptibility, severity and progression: a comprehensive review of the literature","title-short":"Association between HLA genotypes and COVID-19 susceptibility, severity and progression","volume":"26","author":[{"family":"Migliorini","given":"Filippo"},{"family":"Torsiello","given":"Ernesto"},{"family":"Spiezia","given":"Filippo"},{"family":"Oliva","given":"Francesco"},{"family":"Tingart","given":"Markus"},{"family":"Maffulli","given":"Nicola"}],"issued":{"date-parts":[["2021",8,3]]}}}],"schema":"https://github.com/citation-style-language/schema/raw/master/csl-citation.json"} </w:instrText>
      </w:r>
      <w:r>
        <w:rPr>
          <w:rStyle w:val="resultpara2"/>
        </w:rPr>
        <w:fldChar w:fldCharType="separate"/>
      </w:r>
      <w:r w:rsidR="00B41ACC" w:rsidRPr="00B41ACC">
        <w:rPr>
          <w:rFonts w:cs="Times New Roman"/>
          <w:vertAlign w:val="superscript"/>
        </w:rPr>
        <w:t>90</w:t>
      </w:r>
      <w:r>
        <w:rPr>
          <w:rStyle w:val="resultpara2"/>
        </w:rPr>
        <w:fldChar w:fldCharType="end"/>
      </w:r>
      <w:r w:rsidR="00027B38">
        <w:rPr>
          <w:rStyle w:val="resultpara0"/>
        </w:rPr>
        <w:t xml:space="preserve">. The HLA-B </w:t>
      </w:r>
      <w:r w:rsidRPr="000A6F55">
        <w:rPr>
          <w:rStyle w:val="resultpara0"/>
        </w:rPr>
        <w:t xml:space="preserve">46:01 allele is </w:t>
      </w:r>
      <w:r w:rsidR="00027B38" w:rsidRPr="000A6F55">
        <w:rPr>
          <w:rStyle w:val="resultpara0"/>
        </w:rPr>
        <w:t>linked</w:t>
      </w:r>
      <w:r w:rsidRPr="000A6F55">
        <w:rPr>
          <w:rStyle w:val="resultpara0"/>
        </w:rPr>
        <w:t xml:space="preserve"> with increased </w:t>
      </w:r>
      <w:r w:rsidR="00027B38" w:rsidRPr="000A6F55">
        <w:rPr>
          <w:rStyle w:val="resultpara0"/>
        </w:rPr>
        <w:t>threat</w:t>
      </w:r>
      <w:r w:rsidRPr="000A6F55">
        <w:rPr>
          <w:rStyle w:val="resultpara0"/>
        </w:rPr>
        <w:t xml:space="preserve"> of severe COVID-19 cases. Patients containing this allele in their genome are associated with more severe health effects due to </w:t>
      </w:r>
      <w:r>
        <w:rPr>
          <w:rStyle w:val="resultpara0"/>
        </w:rPr>
        <w:t xml:space="preserve">a lack </w:t>
      </w:r>
      <w:r>
        <w:rPr>
          <w:rStyle w:val="resultpara0"/>
        </w:rPr>
        <w:lastRenderedPageBreak/>
        <w:t xml:space="preserve">of antigen presentation </w:t>
      </w:r>
      <w:r>
        <w:rPr>
          <w:rStyle w:val="resultpara2"/>
        </w:rPr>
        <w:fldChar w:fldCharType="begin"/>
      </w:r>
      <w:r w:rsidR="00B41ACC">
        <w:rPr>
          <w:rStyle w:val="resultpara2"/>
        </w:rPr>
        <w:instrText xml:space="preserve"> ADDIN ZOTERO_ITEM CSL_CITATION {"citationID":"dFPQDNwf","properties":{"formattedCitation":"\\super 90\\nosupersub{}","plainCitation":"90","noteIndex":0},"citationItems":[{"id":613,"uris":["http://zotero.org/users/local/BfzbJtgR/items/A36THQWZ"],"itemData":{"id":613,"type":"article-journal","abstract":"The COVID-19 pandemic has markedly impacted on cultural, political, and economic structures all over the world. Several aspects of its pathogenesis and related clinical consequences have not yet been elucidated. Infection rates, as well morbidity and mortality differed within countries. It is intriguing for scientists to understand how patient genetics may influence the outcome of the condition, to clarify which aspects could be related the clinical variability of SARS-CoV-2 disease. We reviewed the studies exploring the role of human leukocyte antigens (HLA) genotypes on individual responses to SARS-CoV-2 infection and/or progression, discussing also the contribution of the immunological patterns MHC-related. In March 2021, the main online databases were accessed. All the articles that investigated the possible association between the HLA genotypes and related polymorphisms with susceptibility, severity and progression of COVID-19 were considered. Although both genetic and environmental factors are certainly expected to influence the susceptibility to or protection of individuals, the HLA and related polymorphisms can influence susceptibility, progression and severity of SARS-CoV-2 infection. The crucial role played by HLA molecules in the immune response, especially through pathogen-derived peptide presentation, and the huge molecular variability of HLA alleles in the human populations could be responsible for the different rates of infection and the different patients following COVID-19 infection.","container-title":"European Journal of Medical Research","DOI":"10.1186/s40001-021-00563-1","ISSN":"2047-783X","issue":"1","journalAbbreviation":"Eur J Med Res","language":"eng","note":"PMID: 34344463\nPMCID: PMC8329616","page":"84","source":"PubMed","title":"Association between HLA genotypes and COVID-19 susceptibility, severity and progression: a comprehensive review of the literature","title-short":"Association between HLA genotypes and COVID-19 susceptibility, severity and progression","volume":"26","author":[{"family":"Migliorini","given":"Filippo"},{"family":"Torsiello","given":"Ernesto"},{"family":"Spiezia","given":"Filippo"},{"family":"Oliva","given":"Francesco"},{"family":"Tingart","given":"Markus"},{"family":"Maffulli","given":"Nicola"}],"issued":{"date-parts":[["2021",8,3]]}}}],"schema":"https://github.com/citation-style-language/schema/raw/master/csl-citation.json"} </w:instrText>
      </w:r>
      <w:r>
        <w:rPr>
          <w:rStyle w:val="resultpara2"/>
        </w:rPr>
        <w:fldChar w:fldCharType="separate"/>
      </w:r>
      <w:r w:rsidR="00B41ACC" w:rsidRPr="00B41ACC">
        <w:rPr>
          <w:rFonts w:cs="Times New Roman"/>
          <w:vertAlign w:val="superscript"/>
        </w:rPr>
        <w:t>90</w:t>
      </w:r>
      <w:r>
        <w:rPr>
          <w:rStyle w:val="resultpara2"/>
        </w:rPr>
        <w:fldChar w:fldCharType="end"/>
      </w:r>
      <w:r w:rsidRPr="000A6F55">
        <w:rPr>
          <w:rStyle w:val="resultpara0"/>
        </w:rPr>
        <w:t xml:space="preserve">. Conversely, certain HLA alleles are correlated with a </w:t>
      </w:r>
      <w:r w:rsidR="00846A50" w:rsidRPr="000A6F55">
        <w:rPr>
          <w:rStyle w:val="resultpara0"/>
        </w:rPr>
        <w:t>healthier</w:t>
      </w:r>
      <w:r w:rsidRPr="000A6F55">
        <w:rPr>
          <w:rStyle w:val="resultpara0"/>
        </w:rPr>
        <w:t xml:space="preserve"> </w:t>
      </w:r>
      <w:r w:rsidR="00001E6B" w:rsidRPr="000A6F55">
        <w:rPr>
          <w:rStyle w:val="resultpara0"/>
        </w:rPr>
        <w:t>immune response</w:t>
      </w:r>
      <w:r w:rsidRPr="000A6F55">
        <w:rPr>
          <w:rStyle w:val="resultpara0"/>
        </w:rPr>
        <w:t xml:space="preserve"> to </w:t>
      </w:r>
      <w:r w:rsidR="009F0527">
        <w:rPr>
          <w:rStyle w:val="resultpara0"/>
        </w:rPr>
        <w:t>COVID-19</w:t>
      </w:r>
      <w:r w:rsidRPr="000A6F55">
        <w:rPr>
          <w:rStyle w:val="resultpara0"/>
        </w:rPr>
        <w:t xml:space="preserve">. </w:t>
      </w:r>
      <w:r w:rsidR="00841B5C">
        <w:rPr>
          <w:rStyle w:val="resultpara0"/>
        </w:rPr>
        <w:t xml:space="preserve">In addition, The HLA-B </w:t>
      </w:r>
      <w:r w:rsidRPr="000A6F55">
        <w:rPr>
          <w:rStyle w:val="resultpara0"/>
        </w:rPr>
        <w:t xml:space="preserve">15:03 allele, for instance, is associated with a greater binding affinity for viral peptides, which may </w:t>
      </w:r>
      <w:r w:rsidR="00EF1476" w:rsidRPr="000A6F55">
        <w:rPr>
          <w:rStyle w:val="resultpara0"/>
        </w:rPr>
        <w:t>boost</w:t>
      </w:r>
      <w:r w:rsidRPr="000A6F55">
        <w:rPr>
          <w:rStyle w:val="resultpara0"/>
        </w:rPr>
        <w:t xml:space="preserve"> the immune response and provide prot</w:t>
      </w:r>
      <w:r>
        <w:rPr>
          <w:rStyle w:val="resultpara0"/>
        </w:rPr>
        <w:t xml:space="preserve">ection against severe disease </w:t>
      </w:r>
      <w:r>
        <w:rPr>
          <w:rStyle w:val="resultpara2"/>
          <w:bCs/>
        </w:rPr>
        <w:fldChar w:fldCharType="begin"/>
      </w:r>
      <w:r w:rsidR="00B41ACC">
        <w:rPr>
          <w:rStyle w:val="resultpara2"/>
          <w:bCs/>
        </w:rPr>
        <w:instrText xml:space="preserve"> ADDIN ZOTERO_ITEM CSL_CITATION {"citationID":"JmTMhubA","properties":{"formattedCitation":"\\super 91\\nosupersub{}","plainCitation":"91","noteIndex":0},"citationItems":[{"id":622,"uris":["http://zotero.org/users/local/BfzbJtgR/items/CY7K5J6W"],"itemData":{"id":622,"type":"article-journal","abstract":"Genetic differences among individuals could affect the clinical presentations and outcomes of COVID-19. Human Leukocyte Antigens are associated with COVID-19 susceptibility, severity, and prognosis. This study aimed to identify HLA-B and -C genotypes among 69 Egyptian patients with COVID-19 and correlate them with disease outcomes and other clinical and laboratory data. HLA-B and -C typing was performed using Luminex-based HLA typing kits. Forty patients (58%) had severe COVID-19; 55% of these patients died, without reported mortality in the moderate group. The alleles associated with severe COVID-19 were HLA-B*41, -B*42, -C*16, and -C*17, whereas HLA-B*15, -C*7, and -C*12 were significantly associated with protection against mortality. Regression analysis showed that HLA-B*15 was the only allele associated with predicted protection against mortality, where the likelihood of survival increased with HLA-B*15 (P &lt; 0.001). Patient survival was less likely to occur with higher total leukocytic count, ferritin, and creatinine levels. This study provides interesting insights into the association between HLA class I alleles and protection from or severity of COVID-19 through immune response modulation. This is the first study to investigate this relationship in Egyptian patients. More studies are needed to understand how HLA class I alleles interact and affect Cytotoxic T lymphocytes and natural killer cell function.","container-title":"Human Immunology","DOI":"10.1016/j.humimm.2021.09.007","ISSN":"1879-1166","issue":"1","journalAbbreviation":"Hum Immunol","language":"eng","note":"PMID: 34607724\nPMCID: PMC8485223","page":"10-16","source":"PubMed","title":"HLA-B*15 predicts survival in Egyptian patients with COVID-19","volume":"83","author":[{"family":"Abdelhafiz","given":"Ahmed Samir"},{"family":"Ali","given":"Asmaa"},{"family":"Fouda","given":"Merhan A."},{"family":"Sayed","given":"Douaa M."},{"family":"Kamel","given":"Mahmoud M."},{"family":"Kamal","given":"Lamyaa Mohamed"},{"family":"Khalil","given":"Mahmoud Ali"},{"family":"Bakry","given":"Rania M."}],"issued":{"date-parts":[["2022",1]]}}}],"schema":"https://github.com/citation-style-language/schema/raw/master/csl-citation.json"} </w:instrText>
      </w:r>
      <w:r>
        <w:rPr>
          <w:rStyle w:val="resultpara2"/>
          <w:bCs/>
        </w:rPr>
        <w:fldChar w:fldCharType="separate"/>
      </w:r>
      <w:r w:rsidR="00B41ACC" w:rsidRPr="00B41ACC">
        <w:rPr>
          <w:rFonts w:cs="Times New Roman"/>
          <w:vertAlign w:val="superscript"/>
        </w:rPr>
        <w:t>91</w:t>
      </w:r>
      <w:r>
        <w:rPr>
          <w:rStyle w:val="resultpara2"/>
          <w:bCs/>
        </w:rPr>
        <w:fldChar w:fldCharType="end"/>
      </w:r>
      <w:r w:rsidRPr="000A6F55">
        <w:rPr>
          <w:rStyle w:val="resultpara0"/>
        </w:rPr>
        <w:t xml:space="preserve">. The HLA-B22 serotype, which encompasses alleles such as B54:01, B55:01, B55:07, B55:12, and B*56:01, has been </w:t>
      </w:r>
      <w:r w:rsidR="000C6907">
        <w:rPr>
          <w:rStyle w:val="resultpara0"/>
        </w:rPr>
        <w:t>shown</w:t>
      </w:r>
      <w:r w:rsidRPr="000A6F55">
        <w:rPr>
          <w:rStyle w:val="resultpara0"/>
        </w:rPr>
        <w:t xml:space="preserve"> as a </w:t>
      </w:r>
      <w:r w:rsidR="000C6907">
        <w:rPr>
          <w:rStyle w:val="resultpara0"/>
        </w:rPr>
        <w:t>predicators</w:t>
      </w:r>
      <w:r w:rsidRPr="000A6F55">
        <w:rPr>
          <w:rStyle w:val="resultpara0"/>
        </w:rPr>
        <w:t xml:space="preserve"> for </w:t>
      </w:r>
      <w:r w:rsidR="002B3BDC">
        <w:rPr>
          <w:rStyle w:val="resultpara0"/>
        </w:rPr>
        <w:t>COVID-19</w:t>
      </w:r>
      <w:r w:rsidRPr="000A6F55">
        <w:rPr>
          <w:rStyle w:val="resultpara0"/>
        </w:rPr>
        <w:t xml:space="preserve"> infection. These alleles display lower binding affinity to </w:t>
      </w:r>
      <w:r w:rsidR="005055EA">
        <w:rPr>
          <w:rStyle w:val="resultpara0"/>
        </w:rPr>
        <w:t>COVID-19 infection</w:t>
      </w:r>
      <w:r w:rsidRPr="000A6F55">
        <w:rPr>
          <w:rStyle w:val="resultpara0"/>
        </w:rPr>
        <w:t xml:space="preserve"> peptides, which might influence </w:t>
      </w:r>
      <w:r>
        <w:rPr>
          <w:rStyle w:val="resultpara0"/>
        </w:rPr>
        <w:t>susceptibility to the virus</w:t>
      </w:r>
      <w:r w:rsidRPr="000A6F55">
        <w:rPr>
          <w:rStyle w:val="resultpara0"/>
        </w:rPr>
        <w:t>. Therefore, identifying individuals with these alleles could aid in forecasting susceptibility to infection and enabling targeted preventive measures. Examining HLA interactions with SARS-CoV-2 was a tactic for developing vaccines that elicit strong immune responses across different population groups.</w:t>
      </w:r>
    </w:p>
    <w:p w:rsidR="00C04AC1" w:rsidRPr="00656DB5" w:rsidRDefault="00656DB5" w:rsidP="00656DB5">
      <w:pPr>
        <w:pStyle w:val="Heading3"/>
        <w:rPr>
          <w:rStyle w:val="resultpara0"/>
          <w:rFonts w:ascii="Times New Roman" w:hAnsi="Times New Roman" w:cs="Times New Roman"/>
          <w:color w:val="auto"/>
          <w:sz w:val="24"/>
        </w:rPr>
      </w:pPr>
      <w:bookmarkStart w:id="8" w:name="_Toc193802119"/>
      <w:r w:rsidRPr="00656DB5">
        <w:rPr>
          <w:rStyle w:val="resultpara0"/>
          <w:rFonts w:ascii="Times New Roman" w:hAnsi="Times New Roman" w:cs="Times New Roman"/>
          <w:color w:val="auto"/>
          <w:sz w:val="24"/>
        </w:rPr>
        <w:t xml:space="preserve">2.1.5. </w:t>
      </w:r>
      <w:r w:rsidR="00C04AC1" w:rsidRPr="00656DB5">
        <w:rPr>
          <w:rStyle w:val="resultpara0"/>
          <w:rFonts w:ascii="Times New Roman" w:hAnsi="Times New Roman" w:cs="Times New Roman"/>
          <w:color w:val="auto"/>
          <w:sz w:val="24"/>
        </w:rPr>
        <w:t>Tuberculosis</w:t>
      </w:r>
      <w:bookmarkEnd w:id="8"/>
    </w:p>
    <w:p w:rsidR="00356E4F" w:rsidRDefault="00356E4F" w:rsidP="00F861EB">
      <w:pPr>
        <w:pStyle w:val="Standard"/>
        <w:spacing w:before="280" w:after="280" w:line="276" w:lineRule="auto"/>
        <w:jc w:val="both"/>
      </w:pPr>
      <w:r w:rsidRPr="0060122F">
        <w:t>Host biomarkers are progressively being investigated for their significance in diagnosing and evaluating tuberculosis (TB). These markers could be categorized as inflammatory, anti-inflammatory, and genetic biomarkers, which have immense potential to comprehend tuberculosis disease pathogenesis and vaccine design. One of the key cytokines, IFN-ϒ</w:t>
      </w:r>
      <w:r w:rsidR="00001E6B">
        <w:t xml:space="preserve">, </w:t>
      </w:r>
      <w:r w:rsidR="00C235B2">
        <w:t>shows</w:t>
      </w:r>
      <w:r w:rsidRPr="0060122F">
        <w:t xml:space="preserve"> a vital role in TB </w:t>
      </w:r>
      <w:r w:rsidR="00001E6B">
        <w:t>immunity and is crucially associat</w:t>
      </w:r>
      <w:r w:rsidRPr="0060122F">
        <w:t xml:space="preserve">ed </w:t>
      </w:r>
      <w:r w:rsidR="00C235B2">
        <w:t>with</w:t>
      </w:r>
      <w:r w:rsidRPr="0060122F">
        <w:t xml:space="preserve"> macrophage activation.  IFN-ϒ level is increased in LTBI (latent tuberculosis infection), and IFN-γ is induced by Natural kill</w:t>
      </w:r>
      <w:r w:rsidR="00001E6B">
        <w:t>er cells, Th1 cells, and CD8⁺</w:t>
      </w:r>
      <w:r w:rsidRPr="0060122F">
        <w:t xml:space="preserve"> cells. IFN-γ Activates macrophages, </w:t>
      </w:r>
      <w:r>
        <w:t>improving</w:t>
      </w:r>
      <w:r w:rsidRPr="0060122F">
        <w:t xml:space="preserve"> their capacity to phagocytose </w:t>
      </w:r>
      <w:r w:rsidRPr="0060122F">
        <w:rPr>
          <w:i/>
        </w:rPr>
        <w:t>Mycobacterium. tuberculosis (M. tb),</w:t>
      </w:r>
      <w:r w:rsidRPr="0060122F">
        <w:t xml:space="preserve"> and g</w:t>
      </w:r>
      <w:r w:rsidR="00001E6B">
        <w:t>enerates oxidative free radicals and NO</w:t>
      </w:r>
      <w:r w:rsidRPr="0060122F">
        <w:t xml:space="preserve"> to eradicate the bacteria. The granulomas, which localize the infection and stop its spread, are maintained in part by IFN-γ. It promotes a robust cellular immune response that is necessary for M. tb regulation by influencing the equilibrium bet</w:t>
      </w:r>
      <w:r>
        <w:t>ween Th1 and Th2 responses</w:t>
      </w:r>
      <w:r w:rsidR="00AE18CE">
        <w:t xml:space="preserve"> </w:t>
      </w:r>
      <w:r w:rsidRPr="00C24356">
        <w:fldChar w:fldCharType="begin"/>
      </w:r>
      <w:r w:rsidR="00B41ACC">
        <w:instrText xml:space="preserve"> ADDIN ZOTERO_ITEM CSL_CITATION {"citationID":"2LcJafOk","properties":{"formattedCitation":"\\super 92\\uc0\\u8211{}96\\nosupersub{}","plainCitation":"92–96","noteIndex":0},"citationItems":[{"id":783,"uris":["http://zotero.org/users/local/BfzbJtgR/items/KEX9ENI8"],"itemData":{"id":783,"type":"article-journal","abstract":"Tuberculosis (TB), caused by Mycobacterium tuberculosis (M. tb), continues to be one of the most prevalent infectious diseases in the world. There is an upward trend in occurrence due to emerging multidrug resistant strains and an increasingly larger proportion of immunocompromised patient populations as a result of the acquired immunodeficiency syndrome pandemic. The complex and often deadly combination of multidrug resistant M. tb (MDR-M. tb) along with human immunodeficiency virus (HIV) puts a significant number of people at high risk for pulmonary and extra-pulmonary TB without sufficient therapeutic options available. Natural killer (NK) cells and macrophages are major components of the body's innate immune system, contributing significantly to the body's ability to synergistically inhibit the growth of M. tb in immune compromised individuals lacking a sufficient T cell response. Direct mechanisms of control are largely through the secretory products perforin, granulysin, and granzymes, as well as multiple membrane-bound death receptors that facilitate target directed lysis. NK cells also have a role in indirectly stimulating an immune response through activation of macrophages and monocytes with multiple signaling pathways, including both reactive oxygen species and reactive nitrogen species. Glutathione (GSH) has been shown to play a part in inhibiting the growth of intracellular M. tb through bacteriostatic mechanisms. Enhancing cellular GSH through several cytokines and N-acetyl cysteine has been shown to increase these effects, at least in part, through their action on NK cells. Taken together, there is substantial evidence for a mechanistic correlation between NK cell activity and functionality in combating M. tb in HIV infection mediated through adequate GSH production and use.","container-title":"Frontiers in Immunology","DOI":"10.3389/fimmu.2015.00508","ISSN":"1664-3224","journalAbbreviation":"Front Immunol","language":"eng","note":"PMID: 26500648\nPMCID: PMC4593255","page":"508","source":"PubMed","title":"Mechanisms of Control of Mycobacterium tuberculosis by NK Cells: Role of Glutathione","title-short":"Mechanisms of Control of Mycobacterium tuberculosis by NK Cells","volume":"6","author":[{"family":"Allen","given":"Michael"},{"family":"Bailey","given":"Cedric"},{"family":"Cahatol","given":"Ian"},{"family":"Dodge","given":"Levi"},{"family":"Yim","given":"Jay"},{"family":"Kassissa","given":"Christine"},{"family":"Luong","given":"Jennifer"},{"family":"Kasko","given":"Sarah"},{"family":"Pandya","given":"Shalin"},{"family":"Venketaraman","given":"Vishwanath"}],"issued":{"date-parts":[["2015"]]}}},{"id":790,"uris":["http://zotero.org/users/local/BfzbJtgR/items/3MAKE357"],"itemData":{"id":790,"type":"article-journal","abstract":"In developed countries, pulmonary nontuberculous mycobacteria (NTM) infections are more prevalent than Mycobacterium tuberculosis infections. Given the differences in the pathogenesis of NTM and M. tuberculosis infections, separate studies are needed to investigate the pathological effects of NTM pathogens. Our previous study showed that anti-IFN-γ autoantibodies are detected in NTM-infected patients. However, the role of NK cells and especially NK cell-derived IFN-γ in this context has not been studied in detail. In the current study, we show that NK1.1 cell depletion increases bacterial load and mortality in a mouse model of pulmonary NTM infection. NK1.1 cell depletion exacerbates NTM-induced pathogenesis by reducing macrophage phagocytosis, dendritic cell development, cytokine production, and lung granuloma formation. Similar pathological phenomena are observed in IFN-γ-deficient (IFN-γ-/-) mice following NTM infection, and adoptive transfer of wild-type NK cells into IFN-γ-/- mice considerably reduces NTM pathogenesis. Injection of rIFN-γ also prevents NTM-induced pathogenesis in IFN-γ-/- mice. We observed that NK cells represent the main producers of IFN-γ in the lungs and production starts as soon as 1 d postinfection. Accordingly, injection of rIFN-γ into IFN-γ-/- mice 1 d (but not 2 wk) postinfection significantly improves immunity against NTM infection. NK cells also stimulate mycobacterial killing and IL-12 production by macrophages. Our results therefore indicate that IFN-γ production by NK cells plays an important role in activating and enhancing innate and adaptive immune responses at early stages of pulmonary NTM infection.","container-title":"Journal of Immunology (Baltimore, Md.: 1950)","DOI":"10.4049/jimmunol.1800123","ISSN":"1550-6606","issue":"5","journalAbbreviation":"J Immunol","language":"eng","note":"PMID: 30061197","page":"1478-1490","source":"PubMed","title":"NK Cell-Derived IFN-γ Protects against Nontuberculous Mycobacterial Lung Infection","volume":"201","author":[{"family":"Lai","given":"Hsin-Chih"},{"family":"Chang","given":"Chih-Jung"},{"family":"Lin","given":"Chuan-Sheng"},{"family":"Wu","given":"Tsung-Ru"},{"family":"Hsu","given":"Ya-Jing"},{"family":"Wu","given":"Ting-Shu"},{"family":"Lu","given":"Jang-Jih"},{"family":"Martel","given":"Jan"},{"family":"Ojcius","given":"David M."},{"family":"Ku","given":"Cheng-Lung"},{"family":"Young","given":"John D."},{"family":"Lu","given":"Chia-Chen"}],"issued":{"date-parts":[["2018",9,1]]}}},{"id":788,"uris":["http://zotero.org/users/local/BfzbJtgR/items/J69MPAIN"],"itemData":{"id":788,"type":"article-journal","abstract":"Tuberculosis (TB) is a leading cause of mortality due to infectious disease and rates have increased during the emergence of COVID-19, but many of the factors determining disease severity and progression remain unclear. Type I Interferons (IFNs) have diverse effector functions that regulate innate and adaptive immunity during infection with microorganisms. There is well-documented literature on type I IFNs providing host defense against viruses; however, in this review, we explore the growing body of work that indicates high levels of type I IFNs can have detrimental effects to a host fighting TB infection. We report findings that increased type I IFNs can affect alveolar macrophage and myeloid function, promote pathological neutrophil extracellular trap responses, inhibit production of protective prostaglandin 2, and promote cytosolic cyclic GMP synthase inflammation pathways, and discuss many other relevant findings.","container-title":"International Journal of Molecular Sciences","DOI":"10.3390/ijms24043919","ISSN":"1422-0067","issue":"4","journalAbbreviation":"IJMS","language":"en","license":"https://creativecommons.org/licenses/by/4.0/","page":"3919","source":"DOI.org (Crossref)","title":"Pathogenicity of Type I Interferons in Mycobacterium tuberculosis","volume":"24","author":[{"family":"Mundra","given":"Akaash"},{"family":"Yegiazaryan","given":"Aram"},{"family":"Karsian","given":"Haig"},{"family":"Alsaigh","given":"Dijla"},{"family":"Bonavida","given":"Victor"},{"family":"Frame","given":"Mitchell"},{"family":"May","given":"Nicole"},{"family":"Gargaloyan","given":"Areg"},{"family":"Abnousian","given":"Arbi"},{"family":"Venketaraman","given":"Vishwanath"}],"issued":{"date-parts":[["2023",2,15]]}}},{"id":786,"uris":["http://zotero.org/users/local/BfzbJtgR/items/5C6EP8E2"],"itemData":{"id":786,"type":"article-journal","container-title":"American Journal of Respiratory and Critical Care Medicine","DOI":"10.1164/ajrccm.157.3.9708002","ISSN":"1073-449X","issue":"3 Pt 1","journalAbbreviation":"Am J Respir Crit Care Med","language":"eng","note":"PMID: 9517576","page":"679-691","source":"PubMed","title":"The host immune response to tuberculosis","volume":"157","author":[{"family":"Schluger","given":"N. W."},{"family":"Rom","given":"W. N."}],"issued":{"date-parts":[["1998",3]]}}},{"id":780,"uris":["http://zotero.org/users/local/BfzbJtgR/items/TEAPPZYW"],"itemData":{"id":780,"type":"article-journal","abstract":"Considerable measures have been implemented in healthcare institutions to screen for and treat tuberculosis (TB) in developed countries; however, in low- and middle-income countries, many individuals still suffer from TB's deleterious effects. TB is caused by an infection from the Mycobacterium tuberculosis (M. tb) bacteria. Symptoms of TB may range from an asymptomatic latent-phase affecting the pulmonary tract to a devastating active and disseminated stage that can cause central nervous system demise, musculoskeletal impairments, and genitourinary compromise. Following M. tb infection, cytokines such as interferons (IFNs) are released as part of the host immune response. Three main classes of IFNs prevalent during the immune defense include: type I IFN (α and β), type II IFN (IFN-γ), and type III IFN (IFN-λ). The current literature reports that type I IFN plays a role in diminishing the host defense against M. tb by attenuating T-cell activation. In opposition, T-cell activation drives type II IFN release, which is the primary cytokine mediating protection from M. tb by stimulating macrophages and their oxidative defense mechanisms. Type III IFN has a subsidiary part in improving the Th1 response for host cell protection against M. tb. Based on the current evidence available, our group aims to summarize the role that each IFN serves in TB within this literature review.","container-title":"Clinics and Practice","DOI":"10.3390/clinpract12050082","ISSN":"2039-7275","issue":"5","journalAbbreviation":"Clin Pract","language":"eng","note":"PMID: 36286068\nPMCID: PMC9600403","page":"788-796","source":"PubMed","title":"Role of Interferons in Mycobacterium tuberculosis Infection","volume":"12","author":[{"family":"Shanmuganathan","given":"Gaithrri"},{"family":"Orujyan","given":"Davit"},{"family":"Narinyan","given":"William"},{"family":"Poladian","given":"Nicole"},{"family":"Dhama","given":"Sanya"},{"family":"Parthasarathy","given":"Arpitha"},{"family":"Ha","given":"Alexandra"},{"family":"Tran","given":"Daniel"},{"family":"Velpuri","given":"Prathosh"},{"family":"Nguyen","given":"Kevin H."},{"family":"Venketaraman","given":"Vishwanath"}],"issued":{"date-parts":[["2022",9,26]]}}}],"schema":"https://github.com/citation-style-language/schema/raw/master/csl-citation.json"} </w:instrText>
      </w:r>
      <w:r w:rsidRPr="00C24356">
        <w:fldChar w:fldCharType="separate"/>
      </w:r>
      <w:r w:rsidR="00B41ACC" w:rsidRPr="00B41ACC">
        <w:rPr>
          <w:rFonts w:cs="Times New Roman"/>
          <w:vertAlign w:val="superscript"/>
        </w:rPr>
        <w:t>92–96</w:t>
      </w:r>
      <w:r w:rsidRPr="00C24356">
        <w:fldChar w:fldCharType="end"/>
      </w:r>
      <w:r>
        <w:t>.</w:t>
      </w:r>
    </w:p>
    <w:p w:rsidR="00356E4F" w:rsidRDefault="00356E4F" w:rsidP="00356E4F">
      <w:pPr>
        <w:pStyle w:val="Standard"/>
        <w:spacing w:before="280" w:after="280" w:line="276" w:lineRule="auto"/>
        <w:jc w:val="both"/>
      </w:pPr>
      <w:r>
        <w:t xml:space="preserve">Interferon-Gamma Release Assays (IGRAs) are generally involved as QuantiFERON-TB Gold Plus (QFT-Plus) and T-SPOT assays.  </w:t>
      </w:r>
      <w:r w:rsidRPr="00AE18CE">
        <w:rPr>
          <w:i/>
        </w:rPr>
        <w:t>M. tb</w:t>
      </w:r>
      <w:r>
        <w:t xml:space="preserve"> antigens stimulate the immune system to release interferon-gamma (IFN-γ), which is measured </w:t>
      </w:r>
      <w:r w:rsidR="00001E6B">
        <w:t xml:space="preserve">by TB blood tests. The investigation of tuberculosis </w:t>
      </w:r>
      <w:r w:rsidR="00B42FB4">
        <w:t xml:space="preserve">infection has </w:t>
      </w:r>
      <w:r w:rsidR="00C235B2">
        <w:t xml:space="preserve">an </w:t>
      </w:r>
      <w:r w:rsidR="00B42FB4">
        <w:t>immense role</w:t>
      </w:r>
      <w:r>
        <w:t xml:space="preserve"> for these tests</w:t>
      </w:r>
      <w:r w:rsidR="00AE18CE">
        <w:t xml:space="preserve"> </w:t>
      </w:r>
      <w:r>
        <w:fldChar w:fldCharType="begin"/>
      </w:r>
      <w:r w:rsidR="00B41ACC">
        <w:instrText xml:space="preserve"> ADDIN ZOTERO_ITEM CSL_CITATION {"citationID":"cK5cPZbY","properties":{"formattedCitation":"\\super 97\\nosupersub{}","plainCitation":"97","noteIndex":0},"citationItems":[{"id":794,"uris":["http://zotero.org/users/local/BfzbJtgR/items/JR87WHUR"],"itemData":{"id":794,"type":"book","event-place":"USA","publisher-place":"USA","title":"\"Tuberculosis\", Red Book: 2024–2027 Report of the Committee on Infectious Diseases, Committee on Infectious Diseases, American Academy of Pediatrics","URL":"https://publications.aap.org/redbook/book/755/chapter/14083107/Tuberculosis","author":[{"family":"David W","given":"Kimberlin","suffix":"MD, FAAP"},{"family":"Ritu","given":"Banerjee","suffix":"MD, PhD, FAAP"},{"family":"Elizabeth D","given":"Barnett","suffix":"MD"},{"family":"Ruth","given":"Lynfield","suffix":"MD, FAAP"},{"family":"Mark H","given":". Sawyer","suffix":"MD, FAAP"}],"issued":{"date-parts":[["2024"]]}}}],"schema":"https://github.com/citation-style-language/schema/raw/master/csl-citation.json"} </w:instrText>
      </w:r>
      <w:r>
        <w:fldChar w:fldCharType="separate"/>
      </w:r>
      <w:r w:rsidR="00B41ACC" w:rsidRPr="00B41ACC">
        <w:rPr>
          <w:rFonts w:cs="Times New Roman"/>
          <w:vertAlign w:val="superscript"/>
        </w:rPr>
        <w:t>97</w:t>
      </w:r>
      <w:r>
        <w:fldChar w:fldCharType="end"/>
      </w:r>
      <w:r>
        <w:t xml:space="preserve">. </w:t>
      </w:r>
    </w:p>
    <w:p w:rsidR="00AE18CE" w:rsidRDefault="00AE18CE" w:rsidP="00AE18CE">
      <w:pPr>
        <w:pStyle w:val="Standard"/>
        <w:spacing w:before="280" w:after="280" w:line="276" w:lineRule="auto"/>
        <w:jc w:val="both"/>
      </w:pPr>
      <w:r>
        <w:t xml:space="preserve">IFN-γ is highly induced in people with latent tuberculosis infection (LTBI) than in people without the illness, which may predict that </w:t>
      </w:r>
      <w:r w:rsidR="00002585">
        <w:t xml:space="preserve">it </w:t>
      </w:r>
      <w:r>
        <w:t xml:space="preserve">is an </w:t>
      </w:r>
      <w:r w:rsidR="00002585">
        <w:t>important</w:t>
      </w:r>
      <w:r>
        <w:t xml:space="preserve"> biomarker for the containment of </w:t>
      </w:r>
      <w:r w:rsidRPr="00661422">
        <w:rPr>
          <w:i/>
        </w:rPr>
        <w:t>M.tb.</w:t>
      </w:r>
      <w:r>
        <w:t xml:space="preserve"> IFN-γ levels are also higher in active TB cases than in LTBI cases, suggesting a stronger immune response during active disease </w:t>
      </w:r>
      <w:r w:rsidRPr="00C24356">
        <w:fldChar w:fldCharType="begin"/>
      </w:r>
      <w:r w:rsidR="00B41ACC">
        <w:instrText xml:space="preserve"> ADDIN ZOTERO_ITEM CSL_CITATION {"citationID":"jShoyItE","properties":{"formattedCitation":"\\super 98\\nosupersub{}","plainCitation":"98","noteIndex":0},"citationItems":[{"id":777,"uris":["http://zotero.org/users/local/BfzbJtgR/items/GCVIRKFK"],"itemData":{"id":777,"type":"article-journal","abstract":"OBJECTIVES: We analyzed the results of the QuantiFERON Glod Plus assay (QFT) and cytokine patterns associated with active tuberculosis (ATB) among patients with positive QFT.\nMETHODS: A total of 195 patients are QFT-positive, among which 24 had an ATB and 171 had a latent tuberculosis infection (LTBI). Interferon-gamma (IFN-γ) secretion was analyzed relative to interleukin-2 (IL-2), IFN-γ inducible protein or CXCL-10 (IP-10), and monokine induced by IFN-γ or CXCL-9 (MIG) secretion, and then compared between two sets of peptide antigens [tube 1 - cluster of differentiation 4 (CD4+) T cell stimulation; tube 2 - CD4+/CD8+ T cell response].\nRESULTS: Higher IFN-γ responses were measured in the ATB group (p = 0.0089). The results showed that there was a lower ratio of tube 1/tube 2 IFN-γ concentrations in the ATB group (p = 0.0009), and a median [interquartile ranges (IQR)] difference between the two sets at -0.82 IU/ml (-1.67 to 0.18) vs. -0.07 IU/ml (-0.035 to 0.11, p &lt; 0.0001) in the ATB group compared to the LTBI group, respectively. In addition, patients with low ratios of IL-2/IFN-γ, IP-10/IFN-γ, and MIG/IFN-γ were much more likely to have ATB.\nCONCLUSION: High levels of IFN-γ secretion, preferential IFN-γ response in tube 2, and lower secretion of IL-2, IP-10, and MIG release relative to IFN-γ secretion were more likely observed in subjects with ATB. These features of T cell response may be helpful in low prevalence settings to suspect ATB in patients tested positive for IFN-γ release assays (IGRA).","container-title":"Frontiers in Microbiology","DOI":"10.3389/fmicb.2022.825021","ISSN":"1664-302X","journalAbbreviation":"Front Microbiol","language":"eng","note":"PMID: 35464936\nPMCID: PMC9026190","page":"825021","source":"PubMed","title":"QuantiFERON-TB Gold Plus Assay in Patients With Latent vs. Active Tuberculosis in a Low Incidence Setting: Level of IFN-γ, CD4/CD8 Responses, and Release of IL-2, IP-10, and MIG","title-short":"QuantiFERON-TB Gold Plus Assay in Patients With Latent vs. Active Tuberculosis in a Low Incidence Setting","volume":"13","author":[{"family":"Carrere-Kremer","given":"Severine"},{"family":"Kolia-Diafouka","given":"Pratt"},{"family":"Pisoni","given":"Amandine"},{"family":"Bolloré","given":"Karine"},{"family":"Peries","given":"Marianne"},{"family":"Godreuil","given":"Sylvain"},{"family":"Bourdin","given":"Arnaud"},{"family":"Van de Perre","given":"Philippe"},{"family":"Tuaillon","given":"Edouard"}],"issued":{"date-parts":[["2022"]]}}}],"schema":"https://github.com/citation-style-language/schema/raw/master/csl-citation.json"} </w:instrText>
      </w:r>
      <w:r w:rsidRPr="00C24356">
        <w:fldChar w:fldCharType="separate"/>
      </w:r>
      <w:r w:rsidR="00B41ACC" w:rsidRPr="00B41ACC">
        <w:rPr>
          <w:rFonts w:cs="Times New Roman"/>
          <w:vertAlign w:val="superscript"/>
        </w:rPr>
        <w:t>98</w:t>
      </w:r>
      <w:r w:rsidRPr="00C24356">
        <w:fldChar w:fldCharType="end"/>
      </w:r>
      <w:r>
        <w:t>.</w:t>
      </w:r>
    </w:p>
    <w:p w:rsidR="00AE18CE" w:rsidRDefault="00AE18CE" w:rsidP="00AE18CE">
      <w:pPr>
        <w:pStyle w:val="Standard"/>
        <w:spacing w:before="280" w:after="280" w:line="276" w:lineRule="auto"/>
        <w:jc w:val="both"/>
      </w:pPr>
      <w:r w:rsidRPr="00C24356">
        <w:t>A cytokine essential to T-cell</w:t>
      </w:r>
      <w:r>
        <w:t xml:space="preserve"> </w:t>
      </w:r>
      <w:r w:rsidR="003567FF">
        <w:t>propagation</w:t>
      </w:r>
      <w:r>
        <w:t xml:space="preserve"> and the induced</w:t>
      </w:r>
      <w:r w:rsidRPr="00C24356">
        <w:t xml:space="preserve"> of memory </w:t>
      </w:r>
      <w:r w:rsidR="003567FF" w:rsidRPr="00C24356">
        <w:t>reactions</w:t>
      </w:r>
      <w:r w:rsidRPr="00C24356">
        <w:t xml:space="preserve"> during Mycobacterium tuberculosis (</w:t>
      </w:r>
      <w:r w:rsidRPr="005D614A">
        <w:rPr>
          <w:i/>
        </w:rPr>
        <w:t>M.tb</w:t>
      </w:r>
      <w:r w:rsidRPr="00C24356">
        <w:t xml:space="preserve">) infection is interleukin-2 (IL-2). Rather than active tuberculosis sickness, </w:t>
      </w:r>
      <w:r w:rsidR="003567FF" w:rsidRPr="00C24356">
        <w:t>raised</w:t>
      </w:r>
      <w:r w:rsidRPr="00C24356">
        <w:t xml:space="preserve"> </w:t>
      </w:r>
      <w:r w:rsidR="00C235B2">
        <w:t>levels</w:t>
      </w:r>
      <w:r w:rsidRPr="00C24356">
        <w:t xml:space="preserve"> of IL-2 have been </w:t>
      </w:r>
      <w:r w:rsidR="003567FF" w:rsidRPr="00C24356">
        <w:t>related</w:t>
      </w:r>
      <w:r w:rsidRPr="00C24356">
        <w:t xml:space="preserve"> to latent tuberculosis infection (LTBI). To distinguish between distinct stages of tuberculosis infection, it has been investigated to combine IL-2 measures with interferon-gamma (IFN-γ) assays. A meta-analysis that assessed IL-2's diagnostic accuracy for LTBI found that it had an 81% sensitivity and a 95% specificity. High </w:t>
      </w:r>
      <w:r w:rsidRPr="00C24356">
        <w:lastRenderedPageBreak/>
        <w:t>diagnostic performance was indicated by th</w:t>
      </w:r>
      <w:r w:rsidR="003567FF">
        <w:t>e area under the curve</w:t>
      </w:r>
      <w:r w:rsidRPr="00C24356">
        <w:t xml:space="preserve">, which was 0.96. According to </w:t>
      </w:r>
      <w:r w:rsidR="003567FF">
        <w:t>the study's findings, Interleukin</w:t>
      </w:r>
      <w:r w:rsidRPr="00C24356">
        <w:t xml:space="preserve">-2 is a reliable marker for LTBI diagnosis and, when combined with IFN-γ release assays (IGRAs), can improve its diagnostic potential </w:t>
      </w:r>
      <w:r w:rsidRPr="00C24356">
        <w:fldChar w:fldCharType="begin"/>
      </w:r>
      <w:r w:rsidR="00B41ACC">
        <w:instrText xml:space="preserve"> ADDIN ZOTERO_ITEM CSL_CITATION {"citationID":"XIQFIOuA","properties":{"formattedCitation":"\\super 99\\nosupersub{}","plainCitation":"99","noteIndex":0},"citationItems":[{"id":795,"uris":["http://zotero.org/users/local/BfzbJtgR/items/AAZCQ8TG"],"itemData":{"id":795,"type":"article-journal","abstract":"We conducted a systematic review and meta-analysis to evaluate the diagnostic potential of interleukin-2 (IL-2) as biomarkers for the diagnosis of latent tuberculosis. Related studies were identified through searches of PubMed, Embase, Web of Science, and complementary manual searches up to December 30, 2013. We used standard methods recommended for meta-analyses of diagnostic test evaluations. The analysis was based on a summary receiver operating characteristic (SROC) curve. Meta-regression analysis was used to assess the effects of some confounding factors on the results of the meta-analysis. The potential presence of publication bias was tested using the Deeks' funnel plots. The pooled estimates of IL-2 for latent tuberculosis infection (LTBI) diagnosis were as follows: sensitivity, 0.81 [95 % confidence interval (CI), 0.60 to 0.92]; specificity, 0.95 (95 % CI, 0.90 to 0.97); positive likelihood ratio (PLR), 15.2 (95 % CI, 8.1to 28.4); negative likelihood ratio (NLR), 0.20 (95 % CI, 0.09 to 0.47). We found that the SROC curve is positioned near the upper left corner of the curve and the area under the curve (AUC) was 0.96 (95 % CI, 0.94 to 0.98). In conclusion, according to the meta-analysis, IL-2 is a valid marker for the diagnosis of LTBI. When there is no definite gold standard for the diagnosis of LTBI, IL-2 release assay in addition to interferon-gamma release assays (IGRAs) can improve the ability of IGRAs to identify individuals with LTBI.","container-title":"European Journal of Clinical Microbiology &amp; Infectious Diseases: Official Publication of the European Society of Clinical Microbiology","DOI":"10.1007/s10096-014-2190-z","ISSN":"1435-4373","issue":"12","journalAbbreviation":"Eur J Clin Microbiol Infect Dis","language":"eng","note":"PMID: 24993150","page":"2111-2119","source":"PubMed","title":"Diagnostic accuracy of IL-2 for the diagnosis of latent tuberculosis: a systematic review and meta-analysis","title-short":"Diagnostic accuracy of IL-2 for the diagnosis of latent tuberculosis","volume":"33","author":[{"family":"Mamishi","given":"S."},{"family":"Pourakbari","given":"B."},{"family":"Teymuri","given":"M."},{"family":"Rubbo","given":"P.-A."},{"family":"Tuaillon","given":"E."},{"family":"Keshtkar","given":"A. A."},{"family":"Mahmoudi","given":"S."}],"issued":{"date-parts":[["2014",12]]}}}],"schema":"https://github.com/citation-style-language/schema/raw/master/csl-citation.json"} </w:instrText>
      </w:r>
      <w:r w:rsidRPr="00C24356">
        <w:fldChar w:fldCharType="separate"/>
      </w:r>
      <w:r w:rsidR="00B41ACC" w:rsidRPr="00B41ACC">
        <w:rPr>
          <w:rFonts w:cs="Times New Roman"/>
          <w:vertAlign w:val="superscript"/>
        </w:rPr>
        <w:t>99</w:t>
      </w:r>
      <w:r w:rsidRPr="00C24356">
        <w:fldChar w:fldCharType="end"/>
      </w:r>
      <w:r w:rsidRPr="00C24356">
        <w:t xml:space="preserve">. To </w:t>
      </w:r>
      <w:r w:rsidR="003567FF" w:rsidRPr="00C24356">
        <w:t>distinguish</w:t>
      </w:r>
      <w:r w:rsidRPr="00C24356">
        <w:t xml:space="preserve"> active TB from LTBI, a different meta-analysis evaluated several cytokines, such as I</w:t>
      </w:r>
      <w:r w:rsidR="003567FF">
        <w:t>nterleukin</w:t>
      </w:r>
      <w:r w:rsidRPr="00C24356">
        <w:t>-2 and IFN-γ. With I</w:t>
      </w:r>
      <w:r w:rsidR="003567FF">
        <w:t>nterleukin</w:t>
      </w:r>
      <w:r w:rsidRPr="00C24356">
        <w:t xml:space="preserve">-2 exhibiting the highest sensitivity among the assessed indicators, the results indicated that combining these cytokines could increase diagnostic accuracy </w:t>
      </w:r>
      <w:r w:rsidRPr="00C24356">
        <w:fldChar w:fldCharType="begin"/>
      </w:r>
      <w:r w:rsidR="00B41ACC">
        <w:instrText xml:space="preserve"> ADDIN ZOTERO_ITEM CSL_CITATION {"citationID":"VogsI2YP","properties":{"formattedCitation":"\\super 100\\nosupersub{}","plainCitation":"100","noteIndex":0},"citationItems":[{"id":797,"uris":["http://zotero.org/users/local/BfzbJtgR/items/HWY7GPSS"],"itemData":{"id":797,"type":"article-journal","abstract":"OBJECTIVES: With a marginally effective vaccine and no significant breakthroughs in new treatments, a sensitive and specific method to distinguish active tuberculosis from latent tuberculosis infection (LTBI) would allow for early diagnosis and limit the spread of the pathogen. The analysis of multiple cytokine profiles provides the possibility to differentiate the two diseases.\nDESIGN: Systematic review and meta-analysis.\nDATA SOURCES: PubMed, Cochrane Library, Clinical Key and EMBASE databases were searched on 31 December 2019.\nELIGIBILITY CRITERIA: We included case-control studies, cohort studies and randomised controlled trials considering IFN-γ, TNF-α, IP-10, IL-2, IL-10, IL-12 and VEGF as biomarkers to distinguish active tuberculosis and LTBI.\nDATA EXTRACTION AND SYNTHESIS: Two students independently extracted data and assessed the risk of bias. Diagnostic OR, sensitivity, specificity, positive and negative likelihood ratios and area under the curve (AUC) together with 95% CI were used to estimate the diagnostic value.\nRESULTS: Of 1315 records identified, 14 studies were considered eligible. IL-2 had the highest sensitivity (0.84, 95% CI: 0.72 to 0.92), while VEGF had the highest specificity (0.87, 95% CI: 0.73 to 0.94). The highest AUC was observed for VEGF (0.85, 95% CI: 0.81 to 0.88), followed by IFN-γ (0.84, 95% CI: 0.80 to 0.87) and IL-2 (0.84, 95% CI: 0.81 to 0.87).\nCONCLUSION: Cytokines, such as IL-2, IFN-γ and VEGF, can be utilised as promising biomarkers to distinguish active tuberculosis from LTBI.\nPROSPERO REGISTRATION NUMBER: CRD42020170725.","container-title":"BMJ open","DOI":"10.1136/bmjopen-2020-039501","ISSN":"2044-6055","issue":"10","journalAbbreviation":"BMJ Open","language":"eng","note":"PMID: 33033030\nPMCID: PMC7542925","page":"e039501","source":"PubMed","title":"Evaluation of cytokines as a biomarker to distinguish active tuberculosis from latent tuberculosis infection: a diagnostic meta-analysis","title-short":"Evaluation of cytokines as a biomarker to distinguish active tuberculosis from latent tuberculosis infection","volume":"10","author":[{"family":"Qiu","given":"Beibei"},{"family":"Liu","given":"Qiao"},{"family":"Li","given":"Zhongqi"},{"family":"Song","given":"Huan"},{"family":"Xu","given":"Dian"},{"family":"Ji","given":"Ye"},{"family":"Jiang","given":"Yan"},{"family":"Tian","given":"Dan"},{"family":"Wang","given":"Jianming"}],"issued":{"date-parts":[["2020",10,7]]}}}],"schema":"https://github.com/citation-style-language/schema/raw/master/csl-citation.json"} </w:instrText>
      </w:r>
      <w:r w:rsidRPr="00C24356">
        <w:fldChar w:fldCharType="separate"/>
      </w:r>
      <w:r w:rsidR="00B41ACC" w:rsidRPr="00B41ACC">
        <w:rPr>
          <w:rFonts w:cs="Times New Roman"/>
          <w:vertAlign w:val="superscript"/>
        </w:rPr>
        <w:t>100</w:t>
      </w:r>
      <w:r w:rsidRPr="00C24356">
        <w:fldChar w:fldCharType="end"/>
      </w:r>
      <w:r w:rsidRPr="00C24356">
        <w:t>.</w:t>
      </w:r>
      <w:r>
        <w:t xml:space="preserve"> </w:t>
      </w:r>
    </w:p>
    <w:p w:rsidR="00B10036" w:rsidRPr="00B10036" w:rsidRDefault="003567FF" w:rsidP="00F861EB">
      <w:pPr>
        <w:pStyle w:val="Standard"/>
        <w:spacing w:before="280" w:after="280" w:line="276" w:lineRule="auto"/>
        <w:jc w:val="both"/>
      </w:pPr>
      <w:r>
        <w:t>The</w:t>
      </w:r>
      <w:r w:rsidR="00B10036" w:rsidRPr="00B10036">
        <w:rPr>
          <w:bCs/>
        </w:rPr>
        <w:t xml:space="preserve"> interleukin-6 (IL-6) greatly affects the </w:t>
      </w:r>
      <w:r w:rsidR="00B10036" w:rsidRPr="00B10036">
        <w:t xml:space="preserve">acute phase response to </w:t>
      </w:r>
      <w:r w:rsidR="00B10036" w:rsidRPr="00B10036">
        <w:rPr>
          <w:bCs/>
        </w:rPr>
        <w:t>diseases</w:t>
      </w:r>
      <w:r w:rsidR="00B10036" w:rsidRPr="00B10036">
        <w:t xml:space="preserve"> including</w:t>
      </w:r>
      <w:r w:rsidR="00B10036" w:rsidRPr="00B10036">
        <w:rPr>
          <w:bCs/>
        </w:rPr>
        <w:t>,</w:t>
      </w:r>
      <w:r w:rsidR="00B10036" w:rsidRPr="00B10036">
        <w:t xml:space="preserve"> </w:t>
      </w:r>
      <w:r w:rsidR="00B10036" w:rsidRPr="00B10036">
        <w:rPr>
          <w:bCs/>
        </w:rPr>
        <w:t xml:space="preserve">but not limited to, </w:t>
      </w:r>
      <w:r w:rsidR="00B10036" w:rsidRPr="00B10036">
        <w:t>tuberculosis (TB)</w:t>
      </w:r>
      <w:r w:rsidR="00B10036" w:rsidRPr="00B10036">
        <w:rPr>
          <w:bCs/>
        </w:rPr>
        <w:t>.</w:t>
      </w:r>
      <w:r w:rsidR="00B10036" w:rsidRPr="00B10036">
        <w:t xml:space="preserve"> </w:t>
      </w:r>
      <w:r w:rsidR="00B10036" w:rsidRPr="00B10036">
        <w:rPr>
          <w:bCs/>
        </w:rPr>
        <w:t>Active</w:t>
      </w:r>
      <w:r w:rsidR="00B10036" w:rsidRPr="00B10036">
        <w:t xml:space="preserve"> </w:t>
      </w:r>
      <w:r w:rsidR="00B10036" w:rsidRPr="00B10036">
        <w:rPr>
          <w:bCs/>
        </w:rPr>
        <w:t>tuberculosis</w:t>
      </w:r>
      <w:r w:rsidR="00B10036" w:rsidRPr="00B10036">
        <w:t xml:space="preserve"> </w:t>
      </w:r>
      <w:r w:rsidR="00B10036" w:rsidRPr="00B10036">
        <w:rPr>
          <w:bCs/>
        </w:rPr>
        <w:t>sufferers</w:t>
      </w:r>
      <w:r w:rsidR="00B10036" w:rsidRPr="00B10036">
        <w:t xml:space="preserve"> </w:t>
      </w:r>
      <w:r w:rsidR="00B10036" w:rsidRPr="00B10036">
        <w:rPr>
          <w:bCs/>
        </w:rPr>
        <w:t>have</w:t>
      </w:r>
      <w:r w:rsidR="00B10036" w:rsidRPr="00B10036">
        <w:t xml:space="preserve"> </w:t>
      </w:r>
      <w:r w:rsidR="00B10036" w:rsidRPr="00B10036">
        <w:rPr>
          <w:bCs/>
        </w:rPr>
        <w:t>been</w:t>
      </w:r>
      <w:r w:rsidR="00B10036" w:rsidRPr="00B10036">
        <w:t xml:space="preserve"> </w:t>
      </w:r>
      <w:r w:rsidR="00B10036" w:rsidRPr="00B10036">
        <w:rPr>
          <w:bCs/>
        </w:rPr>
        <w:t>discovered</w:t>
      </w:r>
      <w:r w:rsidR="00B10036" w:rsidRPr="00B10036">
        <w:t xml:space="preserve"> </w:t>
      </w:r>
      <w:r w:rsidR="00B10036" w:rsidRPr="00B10036">
        <w:rPr>
          <w:bCs/>
        </w:rPr>
        <w:t>to</w:t>
      </w:r>
      <w:r w:rsidR="00B10036" w:rsidRPr="00B10036">
        <w:t xml:space="preserve"> </w:t>
      </w:r>
      <w:r w:rsidR="00B10036" w:rsidRPr="00B10036">
        <w:rPr>
          <w:bCs/>
        </w:rPr>
        <w:t>have</w:t>
      </w:r>
      <w:r w:rsidR="00B10036" w:rsidRPr="00B10036">
        <w:t xml:space="preserve"> </w:t>
      </w:r>
      <w:r w:rsidR="00B10036" w:rsidRPr="00B10036">
        <w:rPr>
          <w:bCs/>
        </w:rPr>
        <w:t xml:space="preserve">increased </w:t>
      </w:r>
      <w:r w:rsidR="00B10036" w:rsidRPr="00B10036">
        <w:t>IL-6</w:t>
      </w:r>
      <w:r w:rsidR="00B10036" w:rsidRPr="00B10036">
        <w:rPr>
          <w:bCs/>
        </w:rPr>
        <w:t xml:space="preserve">, which are </w:t>
      </w:r>
      <w:r w:rsidR="00140003" w:rsidRPr="00B10036">
        <w:rPr>
          <w:bCs/>
        </w:rPr>
        <w:t>linked</w:t>
      </w:r>
      <w:r w:rsidR="00140003">
        <w:rPr>
          <w:bCs/>
        </w:rPr>
        <w:t xml:space="preserve"> with disease progression</w:t>
      </w:r>
      <w:r w:rsidR="00B10036" w:rsidRPr="00B10036">
        <w:rPr>
          <w:bCs/>
        </w:rPr>
        <w:t xml:space="preserve"> and </w:t>
      </w:r>
      <w:r w:rsidR="00140003" w:rsidRPr="00B10036">
        <w:rPr>
          <w:bCs/>
        </w:rPr>
        <w:t>reaction</w:t>
      </w:r>
      <w:r w:rsidR="00B10036" w:rsidRPr="00B10036">
        <w:rPr>
          <w:bCs/>
        </w:rPr>
        <w:t xml:space="preserve"> to therapy</w:t>
      </w:r>
      <w:r w:rsidR="00140003">
        <w:t>. Patients suffering with active PTB</w:t>
      </w:r>
      <w:r w:rsidR="00B10036" w:rsidRPr="00B10036">
        <w:t xml:space="preserve"> have </w:t>
      </w:r>
      <w:r w:rsidR="00B10036" w:rsidRPr="00B10036">
        <w:rPr>
          <w:bCs/>
        </w:rPr>
        <w:t>clearly</w:t>
      </w:r>
      <w:r w:rsidR="00B10036" w:rsidRPr="00B10036">
        <w:t xml:space="preserve"> </w:t>
      </w:r>
      <w:r w:rsidR="00B10036" w:rsidRPr="00B10036">
        <w:rPr>
          <w:bCs/>
        </w:rPr>
        <w:t>higher</w:t>
      </w:r>
      <w:r w:rsidR="00B10036" w:rsidRPr="00B10036">
        <w:t xml:space="preserve"> </w:t>
      </w:r>
      <w:r w:rsidR="00B10036" w:rsidRPr="00B10036">
        <w:rPr>
          <w:bCs/>
        </w:rPr>
        <w:t>serum</w:t>
      </w:r>
      <w:r w:rsidR="00B10036" w:rsidRPr="00B10036">
        <w:t xml:space="preserve"> levels of IL-6 </w:t>
      </w:r>
      <w:r w:rsidR="00B10036" w:rsidRPr="00B10036">
        <w:rPr>
          <w:bCs/>
        </w:rPr>
        <w:t>than</w:t>
      </w:r>
      <w:r w:rsidR="00B10036" w:rsidRPr="00B10036">
        <w:t xml:space="preserve"> </w:t>
      </w:r>
      <w:r w:rsidR="00B10036" w:rsidRPr="00B10036">
        <w:rPr>
          <w:bCs/>
        </w:rPr>
        <w:t>in</w:t>
      </w:r>
      <w:r w:rsidR="00B10036" w:rsidRPr="00B10036">
        <w:t xml:space="preserve"> </w:t>
      </w:r>
      <w:r w:rsidR="00B10036" w:rsidRPr="00B10036">
        <w:rPr>
          <w:bCs/>
        </w:rPr>
        <w:t>those</w:t>
      </w:r>
      <w:r w:rsidR="00B10036" w:rsidRPr="00B10036">
        <w:t xml:space="preserve"> </w:t>
      </w:r>
      <w:r w:rsidR="00B10036" w:rsidRPr="00B10036">
        <w:rPr>
          <w:bCs/>
        </w:rPr>
        <w:t>in</w:t>
      </w:r>
      <w:r w:rsidR="00B10036" w:rsidRPr="00B10036">
        <w:t xml:space="preserve"> </w:t>
      </w:r>
      <w:r w:rsidR="00B10036">
        <w:rPr>
          <w:bCs/>
        </w:rPr>
        <w:t>good</w:t>
      </w:r>
      <w:r w:rsidR="00B10036">
        <w:fldChar w:fldCharType="begin"/>
      </w:r>
      <w:r w:rsidR="00B41ACC">
        <w:instrText xml:space="preserve"> ADDIN ZOTERO_ITEM CSL_CITATION {"citationID":"oeiYkcYU","properties":{"formattedCitation":"\\super 101\\nosupersub{}","plainCitation":"101","noteIndex":0},"citationItems":[{"id":800,"uris":["http://zotero.org/users/local/BfzbJtgR/items/AM9JAAUR"],"itemData":{"id":800,"type":"article-journal","abstract":"BACKGROUND: Interleukin-6 (IL-6) is a proinflammatory cytokine implicated in the immunopathogenesis of tuberculosis (TB). Multidrug resistance in tuberculosis is recognized worldwide as an important public health issue. The mechanism underlying TB pathogenesis in general and drug resistance in particular is not well understood, but it may be that IL-6 is one factor that enhances pathology in drug-resistant TB. The purpose of this study was to identify patterns of IL-6 production in active pulmonary TB with different sensitivity to standard drug therapy.\nPATIENTS AND METHODS: IL-6 blood levels were studied in 38 patients with active pulmonary TB: 23 patients were very sensitive to specific chemotherapy (STB), and 15 were multiresistant (MDRTB). An ELISA assay (Biossource) was used to quantify IL-6 in the sera of 38 TB patients and 63 healthy blood donors.\nRESULTS: The STB group was composed of 16 males (73.9%) and 7 females, MDRTB by 9 males (60%) and 6 females, and control group by 51 males (81%) and 12 females. The results showed a significant increase in IL-6 concentration in TB (median = 4.3 pg/ml, range 0.5-24) compared to that of healthy individuals (median = 0.5 pg/ml, range 0-2.8, p &lt; 0.001). Additionally, IL-6 concentrations were increased in both STB (median = 4.1 pg/ml, range 0.5-24) and MDRTB (median = 5.1 pg/ml, range 0.5-12) groups in relation to controls (p &lt; 0.001). In contrast, significant differences were not observed between STB and MDRTB groups (p &gt; 0.05).\nCONCLUSION: IL-6 levels were increased in pulmonary tuberculosis, independent of drug resistance.","container-title":"Infection","DOI":"10.1007/s15010-008-7398-3","ISSN":"1439-0973","issue":"2","journalAbbreviation":"Infection","language":"eng","note":"PMID: 18998053","page":"138-141","source":"PubMed","title":"Interleukin-6 blood levels in sensitive and multiresistant tuberculosis","volume":"37","author":[{"family":"Correia","given":"J. W."},{"family":"Freitas","given":"M. V."},{"family":"Queiroz","given":"J. A."},{"family":"PereiraPerrin","given":"M."},{"family":"Cavadas","given":"B."}],"issued":{"date-parts":[["2009",4]]}}}],"schema":"https://github.com/citation-style-language/schema/raw/master/csl-citation.json"} </w:instrText>
      </w:r>
      <w:r w:rsidR="00B10036">
        <w:fldChar w:fldCharType="separate"/>
      </w:r>
      <w:r w:rsidR="00B41ACC" w:rsidRPr="00B41ACC">
        <w:rPr>
          <w:rFonts w:cs="Times New Roman"/>
          <w:vertAlign w:val="superscript"/>
        </w:rPr>
        <w:t>101</w:t>
      </w:r>
      <w:r w:rsidR="00B10036">
        <w:fldChar w:fldCharType="end"/>
      </w:r>
      <w:r w:rsidR="00B10036" w:rsidRPr="00B10036">
        <w:rPr>
          <w:bCs/>
        </w:rPr>
        <w:t>.</w:t>
      </w:r>
      <w:r w:rsidR="00B10036" w:rsidRPr="00B10036">
        <w:t xml:space="preserve"> </w:t>
      </w:r>
      <w:r w:rsidR="00B10036" w:rsidRPr="00B10036">
        <w:rPr>
          <w:bCs/>
        </w:rPr>
        <w:t>These</w:t>
      </w:r>
      <w:r w:rsidR="00B10036" w:rsidRPr="00B10036">
        <w:t xml:space="preserve"> </w:t>
      </w:r>
      <w:r w:rsidR="00B10036" w:rsidRPr="00B10036">
        <w:rPr>
          <w:bCs/>
        </w:rPr>
        <w:t>findings</w:t>
      </w:r>
      <w:r w:rsidR="00B10036" w:rsidRPr="00B10036">
        <w:t xml:space="preserve"> </w:t>
      </w:r>
      <w:r w:rsidR="00B10036" w:rsidRPr="00B10036">
        <w:rPr>
          <w:bCs/>
        </w:rPr>
        <w:t>show</w:t>
      </w:r>
      <w:r w:rsidR="00B10036" w:rsidRPr="00B10036">
        <w:t xml:space="preserve"> </w:t>
      </w:r>
      <w:r w:rsidR="00B10036" w:rsidRPr="00B10036">
        <w:rPr>
          <w:bCs/>
        </w:rPr>
        <w:t>that</w:t>
      </w:r>
      <w:r w:rsidR="00B10036" w:rsidRPr="00B10036">
        <w:t xml:space="preserve"> IL-6 </w:t>
      </w:r>
      <w:r w:rsidR="00B10036" w:rsidRPr="00B10036">
        <w:rPr>
          <w:bCs/>
        </w:rPr>
        <w:t>is</w:t>
      </w:r>
      <w:r w:rsidR="00B10036" w:rsidRPr="00B10036">
        <w:t xml:space="preserve"> </w:t>
      </w:r>
      <w:r w:rsidR="00B10036" w:rsidRPr="00B10036">
        <w:rPr>
          <w:bCs/>
        </w:rPr>
        <w:t>a</w:t>
      </w:r>
      <w:r w:rsidR="00B10036" w:rsidRPr="00B10036">
        <w:t xml:space="preserve"> </w:t>
      </w:r>
      <w:r w:rsidR="000F6D76">
        <w:rPr>
          <w:bCs/>
        </w:rPr>
        <w:t>best</w:t>
      </w:r>
      <w:r w:rsidR="00B10036" w:rsidRPr="00B10036">
        <w:t xml:space="preserve"> </w:t>
      </w:r>
      <w:r w:rsidR="000F6D76">
        <w:t>bio</w:t>
      </w:r>
      <w:r w:rsidR="00B10036" w:rsidRPr="00B10036">
        <w:rPr>
          <w:bCs/>
        </w:rPr>
        <w:t>marker</w:t>
      </w:r>
      <w:r w:rsidR="00B10036" w:rsidRPr="00B10036">
        <w:t xml:space="preserve"> </w:t>
      </w:r>
      <w:r w:rsidR="00B10036" w:rsidRPr="00B10036">
        <w:rPr>
          <w:bCs/>
        </w:rPr>
        <w:t>of</w:t>
      </w:r>
      <w:r w:rsidR="00B10036" w:rsidRPr="00B10036">
        <w:t xml:space="preserve"> </w:t>
      </w:r>
      <w:r w:rsidR="00B10036" w:rsidRPr="00B10036">
        <w:rPr>
          <w:bCs/>
        </w:rPr>
        <w:t>the</w:t>
      </w:r>
      <w:r w:rsidR="00B10036" w:rsidRPr="00B10036">
        <w:t xml:space="preserve"> </w:t>
      </w:r>
      <w:r w:rsidR="00B10036" w:rsidRPr="00B10036">
        <w:rPr>
          <w:bCs/>
        </w:rPr>
        <w:t>extent</w:t>
      </w:r>
      <w:r w:rsidR="00B10036" w:rsidRPr="00B10036">
        <w:t xml:space="preserve"> </w:t>
      </w:r>
      <w:r w:rsidR="00B10036" w:rsidRPr="00B10036">
        <w:rPr>
          <w:bCs/>
        </w:rPr>
        <w:t>of</w:t>
      </w:r>
      <w:r w:rsidR="00B10036" w:rsidRPr="00B10036">
        <w:t xml:space="preserve"> </w:t>
      </w:r>
      <w:r w:rsidR="00B10036" w:rsidRPr="00B10036">
        <w:rPr>
          <w:bCs/>
        </w:rPr>
        <w:t>disease</w:t>
      </w:r>
      <w:r w:rsidR="00B10036" w:rsidRPr="00B10036">
        <w:t xml:space="preserve"> </w:t>
      </w:r>
      <w:r w:rsidR="00B10036" w:rsidRPr="00B10036">
        <w:rPr>
          <w:bCs/>
        </w:rPr>
        <w:t>pathology</w:t>
      </w:r>
      <w:r w:rsidR="00B10036" w:rsidRPr="00B10036">
        <w:t xml:space="preserve"> </w:t>
      </w:r>
      <w:r w:rsidR="00B10036" w:rsidRPr="00B10036">
        <w:rPr>
          <w:bCs/>
        </w:rPr>
        <w:t>since</w:t>
      </w:r>
      <w:r w:rsidR="00B10036" w:rsidRPr="00B10036">
        <w:t xml:space="preserve"> in TB </w:t>
      </w:r>
      <w:r w:rsidR="00B10036" w:rsidRPr="00B10036">
        <w:rPr>
          <w:bCs/>
        </w:rPr>
        <w:t>sufferers</w:t>
      </w:r>
      <w:r w:rsidR="00B10036" w:rsidRPr="00B10036">
        <w:t xml:space="preserve">, </w:t>
      </w:r>
      <w:r w:rsidR="00B10036" w:rsidRPr="00B10036">
        <w:rPr>
          <w:bCs/>
        </w:rPr>
        <w:t>high</w:t>
      </w:r>
      <w:r w:rsidR="00B10036" w:rsidRPr="00B10036">
        <w:t xml:space="preserve"> IL-6 levels </w:t>
      </w:r>
      <w:r w:rsidR="00B10036" w:rsidRPr="00B10036">
        <w:rPr>
          <w:bCs/>
        </w:rPr>
        <w:t>correspond</w:t>
      </w:r>
      <w:r w:rsidR="00B10036" w:rsidRPr="00B10036">
        <w:t xml:space="preserve"> with a </w:t>
      </w:r>
      <w:r w:rsidR="00B10036" w:rsidRPr="00B10036">
        <w:rPr>
          <w:bCs/>
        </w:rPr>
        <w:t>high</w:t>
      </w:r>
      <w:r w:rsidR="00B10036" w:rsidRPr="00B10036">
        <w:t xml:space="preserve"> bacterial load and more severe </w:t>
      </w:r>
      <w:r w:rsidR="00B10036" w:rsidRPr="00B10036">
        <w:rPr>
          <w:bCs/>
        </w:rPr>
        <w:t>radiologic</w:t>
      </w:r>
      <w:r w:rsidR="00B10036" w:rsidRPr="00B10036">
        <w:t xml:space="preserve"> abnormalities</w:t>
      </w:r>
      <w:r w:rsidR="007D747E">
        <w:fldChar w:fldCharType="begin"/>
      </w:r>
      <w:r w:rsidR="00B41ACC">
        <w:instrText xml:space="preserve"> ADDIN ZOTERO_ITEM CSL_CITATION {"citationID":"CVCKYJou","properties":{"formattedCitation":"\\super 102\\nosupersub{}","plainCitation":"102","noteIndex":0},"citationItems":[{"id":802,"uris":["http://zotero.org/users/local/BfzbJtgR/items/3YML379U"],"itemData":{"id":802,"type":"article-journal","container-title":"Molecular Immunology","DOI":"10.1016/j.molimm.2014.06.002","ISSN":"01615890","issue":"1","journalAbbreviation":"Molecular Immunology","language":"en","page":"159-168","source":"DOI.org (Crossref)","title":"Alteration of serum inflammatory cytokines in active pulmonary tuberculosis following anti-tuberculosis drug therapy","volume":"62","author":[{"family":"Chowdhury","given":"Imran Hussain"},{"family":"Ahmed","given":"Albin Mostaque"},{"family":"Choudhuri","given":"Subhadip"},{"family":"Sen","given":"Aditi"},{"family":"Hazra","given":"Avijit"},{"family":"Pal","given":"Nishith Kumar"},{"family":"Bhattacharya","given":"Basudev"},{"family":"Bahar","given":"Bojlul"}],"issued":{"date-parts":[["2014",11]]}}}],"schema":"https://github.com/citation-style-language/schema/raw/master/csl-citation.json"} </w:instrText>
      </w:r>
      <w:r w:rsidR="007D747E">
        <w:fldChar w:fldCharType="separate"/>
      </w:r>
      <w:r w:rsidR="00B41ACC" w:rsidRPr="00B41ACC">
        <w:rPr>
          <w:rFonts w:cs="Times New Roman"/>
          <w:vertAlign w:val="superscript"/>
        </w:rPr>
        <w:t>102</w:t>
      </w:r>
      <w:r w:rsidR="007D747E">
        <w:fldChar w:fldCharType="end"/>
      </w:r>
      <w:r w:rsidR="00B10036" w:rsidRPr="00B10036">
        <w:rPr>
          <w:bCs/>
        </w:rPr>
        <w:t>.</w:t>
      </w:r>
      <w:r w:rsidR="00B10036" w:rsidRPr="00B10036">
        <w:t xml:space="preserve"> </w:t>
      </w:r>
      <w:r w:rsidR="001F01BA" w:rsidRPr="00B10036">
        <w:rPr>
          <w:bCs/>
        </w:rPr>
        <w:t>Raised</w:t>
      </w:r>
      <w:r w:rsidR="00B10036" w:rsidRPr="00B10036">
        <w:t xml:space="preserve"> </w:t>
      </w:r>
      <w:r w:rsidR="00B10036" w:rsidRPr="00B10036">
        <w:rPr>
          <w:bCs/>
        </w:rPr>
        <w:t>starting</w:t>
      </w:r>
      <w:r w:rsidR="00B10036" w:rsidRPr="00B10036">
        <w:t xml:space="preserve"> IL-6 </w:t>
      </w:r>
      <w:r w:rsidR="00B10036" w:rsidRPr="00B10036">
        <w:rPr>
          <w:bCs/>
        </w:rPr>
        <w:t>levels</w:t>
      </w:r>
      <w:r w:rsidR="00B10036" w:rsidRPr="00B10036">
        <w:t xml:space="preserve"> </w:t>
      </w:r>
      <w:r w:rsidR="00B10036" w:rsidRPr="00B10036">
        <w:rPr>
          <w:bCs/>
        </w:rPr>
        <w:t>are</w:t>
      </w:r>
      <w:r w:rsidR="00B10036" w:rsidRPr="00B10036">
        <w:t xml:space="preserve"> </w:t>
      </w:r>
      <w:r w:rsidR="001F01BA" w:rsidRPr="00B10036">
        <w:rPr>
          <w:bCs/>
        </w:rPr>
        <w:t>related</w:t>
      </w:r>
      <w:r w:rsidR="00B10036" w:rsidRPr="00B10036">
        <w:t xml:space="preserve"> </w:t>
      </w:r>
      <w:r w:rsidR="00B10036" w:rsidRPr="00B10036">
        <w:rPr>
          <w:bCs/>
        </w:rPr>
        <w:t>with</w:t>
      </w:r>
      <w:r w:rsidR="00B10036" w:rsidRPr="00B10036">
        <w:t xml:space="preserve"> </w:t>
      </w:r>
      <w:r w:rsidR="00B10036" w:rsidRPr="00B10036">
        <w:rPr>
          <w:bCs/>
        </w:rPr>
        <w:t>poor</w:t>
      </w:r>
      <w:r w:rsidR="00B10036" w:rsidRPr="00B10036">
        <w:t xml:space="preserve"> TB treatment </w:t>
      </w:r>
      <w:r w:rsidR="00B10036" w:rsidRPr="00B10036">
        <w:rPr>
          <w:bCs/>
        </w:rPr>
        <w:t>results</w:t>
      </w:r>
      <w:r w:rsidR="00B10036" w:rsidRPr="00B10036">
        <w:t xml:space="preserve"> </w:t>
      </w:r>
      <w:r w:rsidR="00B10036" w:rsidRPr="00B10036">
        <w:rPr>
          <w:bCs/>
        </w:rPr>
        <w:t>including</w:t>
      </w:r>
      <w:r w:rsidR="00B10036" w:rsidRPr="00B10036">
        <w:t xml:space="preserve"> </w:t>
      </w:r>
      <w:r w:rsidR="00B10036" w:rsidRPr="00B10036">
        <w:rPr>
          <w:bCs/>
        </w:rPr>
        <w:t>relapsing</w:t>
      </w:r>
      <w:r w:rsidR="00B10036" w:rsidRPr="00B10036">
        <w:t xml:space="preserve"> </w:t>
      </w:r>
      <w:r w:rsidR="00B10036" w:rsidRPr="00B10036">
        <w:rPr>
          <w:bCs/>
        </w:rPr>
        <w:t>sickness</w:t>
      </w:r>
      <w:r w:rsidR="00B10036" w:rsidRPr="00B10036">
        <w:t xml:space="preserve">, </w:t>
      </w:r>
      <w:r w:rsidR="00B10036" w:rsidRPr="00B10036">
        <w:rPr>
          <w:bCs/>
        </w:rPr>
        <w:t>mortality</w:t>
      </w:r>
      <w:r w:rsidR="00B10036" w:rsidRPr="00B10036">
        <w:t xml:space="preserve">, and </w:t>
      </w:r>
      <w:r w:rsidR="00B10036" w:rsidRPr="00B10036">
        <w:rPr>
          <w:bCs/>
        </w:rPr>
        <w:t>treatment</w:t>
      </w:r>
      <w:r w:rsidR="00B10036" w:rsidRPr="00B10036">
        <w:t xml:space="preserve"> </w:t>
      </w:r>
      <w:r w:rsidR="00B10036" w:rsidRPr="00B10036">
        <w:rPr>
          <w:bCs/>
        </w:rPr>
        <w:t>failure</w:t>
      </w:r>
      <w:r w:rsidR="007D747E">
        <w:rPr>
          <w:bCs/>
        </w:rPr>
        <w:t xml:space="preserve"> </w:t>
      </w:r>
      <w:r w:rsidR="007D747E">
        <w:fldChar w:fldCharType="begin"/>
      </w:r>
      <w:r w:rsidR="00B41ACC">
        <w:instrText xml:space="preserve"> ADDIN ZOTERO_ITEM CSL_CITATION {"citationID":"GQ8PKCnW","properties":{"formattedCitation":"\\super 103\\nosupersub{}","plainCitation":"103","noteIndex":0},"citationItems":[{"id":803,"uris":["http://zotero.org/users/local/BfzbJtgR/items/S69Z94JM"],"itemData":{"id":803,"type":"article-journal","abstract":"BACKGROUND: Biomarkers of unfavourable tuberculosis (TB) treatment outcomes are needed to accelerate new drug and regimen development. Whether plasma cytokine levels can predict unfavourable TB treatment outcomes is unclear.\nMETHODS: We identified and internally validated the association between 20 a priori selected plasma inflammatory markers and unfavourable treatment outcomes of failure, recurrence and all-cause mortality among adults with drug-sensitive pulmonary TB in India. We externally validated these findings in two independent cohorts of predominantly diabetic and HIV co-infected TB patients in India and South Africa, respectively.\nRESULTS: Pre-treatment interferon-γ, interleukin (IL)-13 and IL-6 were associated with treatment failure in the discovery analysis. Internal validation confirmed higher pre-treatment IL-6 concentrations among failure cases compared with controls. External validation among predominantly diabetic TB patients found an association between pre-treatment IL-6 concentrations and subsequent recurrence and death. Similarly, external validation among predominantly HIV co-infected TB patients found an association between pre-treatment IL-6 concentrations and subsequent treatment failure and death. In a pooled analysis of 363 TB cases from the Indian and South African validation cohorts, high pre-treatment IL-6 concentrations were associated with higher risk of failure (adjusted OR (aOR) 2.16, 95% CI 1.08-4.33; p=0.02), recurrence (aOR 5.36, 95% CI 2.48-11.57; p&lt;0.001) and death (aOR 4.62, 95% CI 1.95-10.95; p&lt;0.001). Adding baseline IL-6 to a risk prediction model comprised of low body mass index, high smear grade and cavitation improved model performance by 15% (C-statistic 0.66 versus 0.76; p=0.02).\nCONCLUSIONS: Pre-treatment IL-6 is a biomarker for unfavourable TB treatment outcomes. Future studies should identify optimal IL-6 concentrations for point-of-care risk prediction.","container-title":"The European Respiratory Journal","DOI":"10.1183/13993003.00905-2021","ISSN":"1399-3003","issue":"4","journalAbbreviation":"Eur Respir J","language":"eng","note":"PMID: 34711538\nPMCID: PMC7612881","page":"2100905","source":"PubMed","title":"Baseline IL-6 is a biomarker for unfavourable tuberculosis treatment outcomes: a multisite discovery and validation study","title-short":"Baseline IL-6 is a biomarker for unfavourable tuberculosis treatment outcomes","volume":"59","author":[{"family":"Gupte","given":"Akshay N."},{"family":"Kumar","given":"Pavan"},{"family":"Araújo-Pereira","given":"Mariana"},{"family":"Kulkarni","given":"Vandana"},{"family":"Paradkar","given":"Mandar"},{"family":"Pradhan","given":"Neeta"},{"family":"Menon","given":"Pradeep"},{"family":"Padmapriyadarsini","given":"Chandrasekaran"},{"family":"Hanna","given":"Luke-Elizabeth"},{"family":"Yogendra Shivakumar","given":"Shri Vijay Bala"},{"family":"Rockwood","given":"Neesha"},{"family":"Du Bruyn","given":"Elsa"},{"family":"Karyakarte","given":"Rajesh"},{"family":"Gaikwad","given":"Sanjay"},{"family":"Bollinger","given":"Robert"},{"family":"Golub","given":"Jonathan"},{"family":"Gupte","given":"Nikhil"},{"family":"Viswanathan","given":"Vijay"},{"family":"Wilkinson","given":"Robert J."},{"family":"Mave","given":"Vidya"},{"family":"Babu","given":"Subash"},{"family":"Kornfeld","given":"Hardy"},{"family":"Andrade","given":"Bruno B."},{"family":"Gupta","given":"Amita"}],"issued":{"date-parts":[["2022",4]]}}}],"schema":"https://github.com/citation-style-language/schema/raw/master/csl-citation.json"} </w:instrText>
      </w:r>
      <w:r w:rsidR="007D747E">
        <w:fldChar w:fldCharType="separate"/>
      </w:r>
      <w:r w:rsidR="00B41ACC" w:rsidRPr="00B41ACC">
        <w:rPr>
          <w:rFonts w:cs="Times New Roman"/>
          <w:vertAlign w:val="superscript"/>
        </w:rPr>
        <w:t>103</w:t>
      </w:r>
      <w:r w:rsidR="007D747E">
        <w:fldChar w:fldCharType="end"/>
      </w:r>
      <w:r w:rsidR="00B10036" w:rsidRPr="00B10036">
        <w:rPr>
          <w:bCs/>
        </w:rPr>
        <w:t>.</w:t>
      </w:r>
      <w:r w:rsidR="00B10036" w:rsidRPr="00B10036">
        <w:t xml:space="preserve"> </w:t>
      </w:r>
      <w:r w:rsidR="00B10036" w:rsidRPr="00B10036">
        <w:rPr>
          <w:bCs/>
        </w:rPr>
        <w:t>Patients</w:t>
      </w:r>
      <w:r w:rsidR="00B10036" w:rsidRPr="00B10036">
        <w:t xml:space="preserve"> </w:t>
      </w:r>
      <w:r w:rsidR="00B10036" w:rsidRPr="00B10036">
        <w:rPr>
          <w:bCs/>
        </w:rPr>
        <w:t>with</w:t>
      </w:r>
      <w:r w:rsidR="00B10036" w:rsidRPr="00B10036">
        <w:t xml:space="preserve"> </w:t>
      </w:r>
      <w:r w:rsidR="00B10036" w:rsidRPr="00B10036">
        <w:rPr>
          <w:bCs/>
        </w:rPr>
        <w:t>higher</w:t>
      </w:r>
      <w:r w:rsidR="00B10036" w:rsidRPr="00B10036">
        <w:t xml:space="preserve"> </w:t>
      </w:r>
      <w:r w:rsidR="00B10036" w:rsidRPr="00B10036">
        <w:rPr>
          <w:bCs/>
        </w:rPr>
        <w:t>starting</w:t>
      </w:r>
      <w:r w:rsidR="00B10036" w:rsidRPr="00B10036">
        <w:t xml:space="preserve"> IL-6 </w:t>
      </w:r>
      <w:r w:rsidR="00B10036" w:rsidRPr="00B10036">
        <w:rPr>
          <w:bCs/>
        </w:rPr>
        <w:t>levels</w:t>
      </w:r>
      <w:r w:rsidR="00B10036" w:rsidRPr="00B10036">
        <w:t xml:space="preserve"> </w:t>
      </w:r>
      <w:r w:rsidR="00B10036" w:rsidRPr="00B10036">
        <w:rPr>
          <w:bCs/>
        </w:rPr>
        <w:t>98</w:t>
      </w:r>
      <w:r w:rsidR="00B10036" w:rsidRPr="00B10036">
        <w:t xml:space="preserve"> are more </w:t>
      </w:r>
      <w:r w:rsidR="00B10036" w:rsidRPr="00B10036">
        <w:rPr>
          <w:bCs/>
        </w:rPr>
        <w:t>prone</w:t>
      </w:r>
      <w:r w:rsidR="00B10036" w:rsidRPr="00B10036">
        <w:t xml:space="preserve"> to </w:t>
      </w:r>
      <w:r w:rsidR="00B10036" w:rsidRPr="00B10036">
        <w:rPr>
          <w:bCs/>
        </w:rPr>
        <w:t>unfavourable</w:t>
      </w:r>
      <w:r w:rsidR="00B10036" w:rsidRPr="00B10036">
        <w:t xml:space="preserve"> results</w:t>
      </w:r>
      <w:r w:rsidR="00B10036" w:rsidRPr="00B10036">
        <w:rPr>
          <w:bCs/>
        </w:rPr>
        <w:t>.</w:t>
      </w:r>
      <w:r w:rsidR="00B10036" w:rsidRPr="00B10036">
        <w:t xml:space="preserve"> </w:t>
      </w:r>
      <w:r w:rsidR="00B10036" w:rsidRPr="00B10036">
        <w:rPr>
          <w:bCs/>
        </w:rPr>
        <w:t>Research</w:t>
      </w:r>
      <w:r w:rsidR="00B10036" w:rsidRPr="00B10036">
        <w:t xml:space="preserve"> </w:t>
      </w:r>
      <w:r w:rsidR="00B10036" w:rsidRPr="00B10036">
        <w:rPr>
          <w:bCs/>
        </w:rPr>
        <w:t>on</w:t>
      </w:r>
      <w:r w:rsidR="00B10036" w:rsidRPr="00B10036">
        <w:t xml:space="preserve"> </w:t>
      </w:r>
      <w:r w:rsidR="00B10036" w:rsidRPr="00B10036">
        <w:rPr>
          <w:bCs/>
        </w:rPr>
        <w:t>patients</w:t>
      </w:r>
      <w:r w:rsidR="00B10036" w:rsidRPr="00B10036">
        <w:t xml:space="preserve"> </w:t>
      </w:r>
      <w:r w:rsidR="00B10036" w:rsidRPr="00B10036">
        <w:rPr>
          <w:bCs/>
        </w:rPr>
        <w:t>with</w:t>
      </w:r>
      <w:r w:rsidR="00B10036" w:rsidRPr="00B10036">
        <w:t xml:space="preserve"> </w:t>
      </w:r>
      <w:r w:rsidR="00B10036" w:rsidRPr="00B10036">
        <w:rPr>
          <w:bCs/>
        </w:rPr>
        <w:t>active</w:t>
      </w:r>
      <w:r w:rsidR="00B10036" w:rsidRPr="00B10036">
        <w:t xml:space="preserve"> </w:t>
      </w:r>
      <w:r w:rsidR="00B10036" w:rsidRPr="00B10036">
        <w:rPr>
          <w:bCs/>
        </w:rPr>
        <w:t>pulmonary</w:t>
      </w:r>
      <w:r w:rsidR="00B10036" w:rsidRPr="00B10036">
        <w:t xml:space="preserve"> </w:t>
      </w:r>
      <w:r w:rsidR="00B10036" w:rsidRPr="00B10036">
        <w:rPr>
          <w:bCs/>
        </w:rPr>
        <w:t>tuberculosis</w:t>
      </w:r>
      <w:r w:rsidR="00B10036" w:rsidRPr="00B10036">
        <w:t xml:space="preserve"> </w:t>
      </w:r>
      <w:r w:rsidR="00B10036" w:rsidRPr="00B10036">
        <w:rPr>
          <w:bCs/>
        </w:rPr>
        <w:t>(APTB)</w:t>
      </w:r>
      <w:r w:rsidR="00B10036" w:rsidRPr="00B10036">
        <w:t xml:space="preserve"> </w:t>
      </w:r>
      <w:r w:rsidR="00B10036" w:rsidRPr="00B10036">
        <w:rPr>
          <w:bCs/>
        </w:rPr>
        <w:t>found</w:t>
      </w:r>
      <w:r w:rsidR="00B10036" w:rsidRPr="00B10036">
        <w:t xml:space="preserve"> </w:t>
      </w:r>
      <w:r w:rsidR="00B10036" w:rsidRPr="00B10036">
        <w:rPr>
          <w:bCs/>
        </w:rPr>
        <w:t>that</w:t>
      </w:r>
      <w:r w:rsidR="001F01BA">
        <w:t xml:space="preserve"> baseline to </w:t>
      </w:r>
      <w:r w:rsidR="00B10036" w:rsidRPr="00B10036">
        <w:t xml:space="preserve">6 months of anti-TB medication </w:t>
      </w:r>
      <w:r w:rsidR="00B10036" w:rsidRPr="00B10036">
        <w:rPr>
          <w:bCs/>
        </w:rPr>
        <w:t>treatments</w:t>
      </w:r>
      <w:r w:rsidR="00B10036" w:rsidRPr="00B10036">
        <w:t xml:space="preserve"> </w:t>
      </w:r>
      <w:r w:rsidR="00B10036" w:rsidRPr="00B10036">
        <w:rPr>
          <w:bCs/>
        </w:rPr>
        <w:t>evaluated</w:t>
      </w:r>
      <w:r w:rsidR="00B10036" w:rsidRPr="00B10036">
        <w:t xml:space="preserve"> </w:t>
      </w:r>
      <w:r w:rsidR="00B10036" w:rsidRPr="00B10036">
        <w:rPr>
          <w:bCs/>
        </w:rPr>
        <w:t>serum</w:t>
      </w:r>
      <w:r w:rsidR="00B10036" w:rsidRPr="00B10036">
        <w:t xml:space="preserve"> </w:t>
      </w:r>
      <w:r w:rsidR="00B10036" w:rsidRPr="00B10036">
        <w:rPr>
          <w:bCs/>
        </w:rPr>
        <w:t>inflammatory</w:t>
      </w:r>
      <w:r w:rsidR="00B10036" w:rsidRPr="00B10036">
        <w:t xml:space="preserve"> </w:t>
      </w:r>
      <w:r w:rsidR="00B10036" w:rsidRPr="00B10036">
        <w:rPr>
          <w:bCs/>
        </w:rPr>
        <w:t>cytokines</w:t>
      </w:r>
      <w:r w:rsidR="00B10036" w:rsidRPr="00B10036">
        <w:t xml:space="preserve">. </w:t>
      </w:r>
      <w:r w:rsidR="00B10036" w:rsidRPr="00B10036">
        <w:rPr>
          <w:bCs/>
        </w:rPr>
        <w:t>The</w:t>
      </w:r>
      <w:r w:rsidR="00B10036" w:rsidRPr="00B10036">
        <w:t xml:space="preserve"> </w:t>
      </w:r>
      <w:r w:rsidR="00B10036" w:rsidRPr="00B10036">
        <w:rPr>
          <w:bCs/>
        </w:rPr>
        <w:t>data</w:t>
      </w:r>
      <w:r w:rsidR="00B10036" w:rsidRPr="00B10036">
        <w:t xml:space="preserve"> </w:t>
      </w:r>
      <w:r w:rsidR="00B10036" w:rsidRPr="00B10036">
        <w:rPr>
          <w:bCs/>
        </w:rPr>
        <w:t>indicate</w:t>
      </w:r>
      <w:r w:rsidR="00B10036" w:rsidRPr="00B10036">
        <w:t xml:space="preserve"> </w:t>
      </w:r>
      <w:r w:rsidR="00B10036" w:rsidRPr="00B10036">
        <w:rPr>
          <w:bCs/>
        </w:rPr>
        <w:t>that</w:t>
      </w:r>
      <w:r w:rsidR="00B10036" w:rsidRPr="00B10036">
        <w:t xml:space="preserve"> baseline IL-6 levels </w:t>
      </w:r>
      <w:r w:rsidR="00B10036" w:rsidRPr="00B10036">
        <w:rPr>
          <w:bCs/>
        </w:rPr>
        <w:t>exceed</w:t>
      </w:r>
      <w:r w:rsidR="00B10036" w:rsidRPr="00B10036">
        <w:t xml:space="preserve"> </w:t>
      </w:r>
      <w:r w:rsidR="00B10036" w:rsidRPr="00B10036">
        <w:rPr>
          <w:bCs/>
        </w:rPr>
        <w:t>considerably</w:t>
      </w:r>
      <w:r w:rsidR="00B10036" w:rsidRPr="00B10036">
        <w:t xml:space="preserve"> those of </w:t>
      </w:r>
      <w:r w:rsidR="00B10036" w:rsidRPr="00B10036">
        <w:rPr>
          <w:bCs/>
        </w:rPr>
        <w:t>average</w:t>
      </w:r>
      <w:r w:rsidR="00B10036" w:rsidRPr="00B10036">
        <w:t xml:space="preserve">, healthy </w:t>
      </w:r>
      <w:r w:rsidR="00B10036" w:rsidRPr="00B10036">
        <w:rPr>
          <w:bCs/>
        </w:rPr>
        <w:t>individuals</w:t>
      </w:r>
      <w:r w:rsidR="00B10036" w:rsidRPr="00B10036">
        <w:t xml:space="preserve">. </w:t>
      </w:r>
      <w:r w:rsidR="00B10036" w:rsidRPr="00B10036">
        <w:rPr>
          <w:bCs/>
        </w:rPr>
        <w:t>Treatment</w:t>
      </w:r>
      <w:r w:rsidR="00B10036" w:rsidRPr="00B10036">
        <w:t xml:space="preserve"> </w:t>
      </w:r>
      <w:r w:rsidR="00B10036" w:rsidRPr="00B10036">
        <w:rPr>
          <w:bCs/>
        </w:rPr>
        <w:t>started</w:t>
      </w:r>
      <w:r w:rsidR="00B10036" w:rsidRPr="00B10036">
        <w:t xml:space="preserve"> </w:t>
      </w:r>
      <w:r w:rsidR="00B10036" w:rsidRPr="00B10036">
        <w:rPr>
          <w:bCs/>
        </w:rPr>
        <w:t>and</w:t>
      </w:r>
      <w:r w:rsidR="00B10036" w:rsidRPr="00B10036">
        <w:t xml:space="preserve"> IL-6 levels </w:t>
      </w:r>
      <w:r w:rsidR="00B10036" w:rsidRPr="00B10036">
        <w:rPr>
          <w:bCs/>
        </w:rPr>
        <w:t>fell</w:t>
      </w:r>
      <w:r w:rsidR="00B10036" w:rsidRPr="00B10036">
        <w:t xml:space="preserve"> </w:t>
      </w:r>
      <w:r w:rsidR="00B10036" w:rsidRPr="00B10036">
        <w:rPr>
          <w:bCs/>
        </w:rPr>
        <w:t>rapidly</w:t>
      </w:r>
      <w:r w:rsidR="00B10036" w:rsidRPr="00B10036">
        <w:t xml:space="preserve"> and </w:t>
      </w:r>
      <w:r w:rsidR="00B10036" w:rsidRPr="00B10036">
        <w:rPr>
          <w:bCs/>
        </w:rPr>
        <w:t>stabilized</w:t>
      </w:r>
      <w:r w:rsidR="00B10036" w:rsidRPr="00B10036">
        <w:t xml:space="preserve"> by the fourth month, </w:t>
      </w:r>
      <w:r w:rsidR="00B10036" w:rsidRPr="00B10036">
        <w:rPr>
          <w:bCs/>
        </w:rPr>
        <w:t>hence</w:t>
      </w:r>
      <w:r w:rsidR="00B10036" w:rsidRPr="00B10036">
        <w:t xml:space="preserve"> </w:t>
      </w:r>
      <w:r w:rsidR="00B10036" w:rsidRPr="00B10036">
        <w:rPr>
          <w:bCs/>
        </w:rPr>
        <w:t>indicating</w:t>
      </w:r>
      <w:r w:rsidR="00B10036" w:rsidRPr="00B10036">
        <w:t xml:space="preserve"> the </w:t>
      </w:r>
      <w:r w:rsidR="00B10036" w:rsidRPr="00B10036">
        <w:rPr>
          <w:bCs/>
        </w:rPr>
        <w:t>drug</w:t>
      </w:r>
      <w:r w:rsidR="00B10036" w:rsidRPr="00B10036">
        <w:t xml:space="preserve"> was </w:t>
      </w:r>
      <w:r w:rsidR="00B10036" w:rsidRPr="00B10036">
        <w:rPr>
          <w:bCs/>
        </w:rPr>
        <w:t>effective</w:t>
      </w:r>
      <w:r w:rsidR="007D747E">
        <w:rPr>
          <w:bCs/>
        </w:rPr>
        <w:t xml:space="preserve"> </w:t>
      </w:r>
      <w:r w:rsidR="007D747E">
        <w:fldChar w:fldCharType="begin"/>
      </w:r>
      <w:r w:rsidR="00B41ACC">
        <w:instrText xml:space="preserve"> ADDIN ZOTERO_ITEM CSL_CITATION {"citationID":"D0XMlGYJ","properties":{"formattedCitation":"\\super 104\\nosupersub{}","plainCitation":"104","noteIndex":0},"citationItems":[{"id":806,"uris":["http://zotero.org/users/local/BfzbJtgR/items/ZA83AFWD"],"itemData":{"id":806,"type":"article-journal","abstract":"Active pulmonary tuberculosis (APTB) is associated with a failure of the host immune system to control the invading Mycobacterium tuberculosis (Mtb). The objective of this study was to quantify and assess the role of serum inflammatory cytokines in active pulmonary tuberculosis patients following anti-tuberculosis drug (ATD) therapy. Blood samples were collected from APTB patients and normal healthy subjects (NHS) (total n=204) at baseline and 2, 4 and 6 months post-therapy and the abundance of serum inflammatory cytokines were measured by cytokine specific ELISA. Compared to NHS, APTB patients at baseline had higher levels of serum pro-inflammatory cytokines IL-12p40 (P&lt;0.001), IFN-γ (P&lt;0.001), TNF-α (P&lt;0.01), IL-1β (P&lt;0.001) and IL-6 (P&lt;0.001) and anti-inflammatory cytokines IL-10 (P&lt;0.001) and TGF-β1 (P&lt;0.001) while there was no change in the level of IL-4. In APTB patients, the serum levels of IFN-γ, TNF-α, IL-6 and TGF-β1 directly relate to the bacterial load while the TNF-α, IL-1β, IL-6 and TGF-β1 relate to radiological severity. At baseline, the IL-6 level in NHS and APTB patients differed most and following ATD therapy, this level rapidly decreased and stabilized by 4-month in APTB patients. It is concluded that a subtle reduction in the serum level of IL-6 of the APTB patients following ATD therapy might play a vital role in immune-protection of the host against Mtb infection and hence the serum IL-6 level can be a useful marker to diagnose the effectiveness of therapy in the patients.","container-title":"Molecular Immunology","DOI":"10.1016/j.molimm.2014.06.002","ISSN":"1872-9142","issue":"1","journalAbbreviation":"Mol Immunol","language":"eng","note":"PMID: 25019566","page":"159-168","source":"PubMed","title":"Alteration of serum inflammatory cytokines in active pulmonary tuberculosis following anti-tuberculosis drug therapy","volume":"62","author":[{"family":"Chowdhury","given":"Imran Hussain"},{"family":"Ahmed","given":"Albin Mostaque"},{"family":"Choudhuri","given":"Subhadip"},{"family":"Sen","given":"Aditi"},{"family":"Hazra","given":"Avijit"},{"family":"Pal","given":"Nishith Kumar"},{"family":"Bhattacharya","given":"Basudev"},{"family":"Bahar","given":"Bojlul"}],"issued":{"date-parts":[["2014",11]]}}}],"schema":"https://github.com/citation-style-language/schema/raw/master/csl-citation.json"} </w:instrText>
      </w:r>
      <w:r w:rsidR="007D747E">
        <w:fldChar w:fldCharType="separate"/>
      </w:r>
      <w:r w:rsidR="00B41ACC" w:rsidRPr="00B41ACC">
        <w:rPr>
          <w:rFonts w:cs="Times New Roman"/>
          <w:vertAlign w:val="superscript"/>
        </w:rPr>
        <w:t>104</w:t>
      </w:r>
      <w:r w:rsidR="007D747E">
        <w:fldChar w:fldCharType="end"/>
      </w:r>
      <w:r w:rsidR="007D747E" w:rsidRPr="00201CBB">
        <w:t>.</w:t>
      </w:r>
      <w:r w:rsidR="00B10036" w:rsidRPr="00B10036">
        <w:t xml:space="preserve">. </w:t>
      </w:r>
      <w:r w:rsidR="00B10036" w:rsidRPr="00B10036">
        <w:rPr>
          <w:bCs/>
        </w:rPr>
        <w:t>Proinflammatory</w:t>
      </w:r>
      <w:r w:rsidR="00B10036" w:rsidRPr="00B10036">
        <w:t xml:space="preserve"> </w:t>
      </w:r>
      <w:r w:rsidR="00B10036" w:rsidRPr="00B10036">
        <w:rPr>
          <w:bCs/>
        </w:rPr>
        <w:t>cytokines</w:t>
      </w:r>
      <w:r w:rsidR="00B10036" w:rsidRPr="00B10036">
        <w:t xml:space="preserve"> </w:t>
      </w:r>
      <w:r w:rsidR="00B10036" w:rsidRPr="00B10036">
        <w:rPr>
          <w:bCs/>
        </w:rPr>
        <w:t>in</w:t>
      </w:r>
      <w:r w:rsidR="00B10036" w:rsidRPr="00B10036">
        <w:t xml:space="preserve"> plasma </w:t>
      </w:r>
      <w:r w:rsidR="00B10036" w:rsidRPr="00B10036">
        <w:rPr>
          <w:bCs/>
        </w:rPr>
        <w:t>were</w:t>
      </w:r>
      <w:r w:rsidR="00B10036" w:rsidRPr="00B10036">
        <w:t xml:space="preserve"> </w:t>
      </w:r>
      <w:r w:rsidR="00B10036" w:rsidRPr="00B10036">
        <w:rPr>
          <w:bCs/>
        </w:rPr>
        <w:t>also</w:t>
      </w:r>
      <w:r w:rsidR="00B10036" w:rsidRPr="00B10036">
        <w:t xml:space="preserve"> </w:t>
      </w:r>
      <w:r w:rsidR="00B10036" w:rsidRPr="00B10036">
        <w:rPr>
          <w:bCs/>
        </w:rPr>
        <w:t>quantified</w:t>
      </w:r>
      <w:r w:rsidR="00B10036" w:rsidRPr="00B10036">
        <w:t xml:space="preserve"> in pulmonary tuberculosis </w:t>
      </w:r>
      <w:r w:rsidR="00B10036" w:rsidRPr="00B10036">
        <w:rPr>
          <w:bCs/>
        </w:rPr>
        <w:t>patients</w:t>
      </w:r>
      <w:r w:rsidR="00B10036" w:rsidRPr="00B10036">
        <w:t xml:space="preserve"> </w:t>
      </w:r>
      <w:r w:rsidR="00B10036" w:rsidRPr="00B10036">
        <w:rPr>
          <w:bCs/>
        </w:rPr>
        <w:t>prior</w:t>
      </w:r>
      <w:r w:rsidR="00B10036" w:rsidRPr="00B10036">
        <w:t xml:space="preserve"> and after </w:t>
      </w:r>
      <w:r w:rsidR="00B10036" w:rsidRPr="00B10036">
        <w:rPr>
          <w:bCs/>
        </w:rPr>
        <w:t>getting</w:t>
      </w:r>
      <w:r w:rsidR="00B10036" w:rsidRPr="00B10036">
        <w:t xml:space="preserve"> </w:t>
      </w:r>
      <w:r w:rsidR="00B10036" w:rsidRPr="00B10036">
        <w:rPr>
          <w:bCs/>
        </w:rPr>
        <w:t>ordinary</w:t>
      </w:r>
      <w:r w:rsidR="00B10036" w:rsidRPr="00B10036">
        <w:t xml:space="preserve"> anti-TB medication</w:t>
      </w:r>
      <w:r w:rsidR="00B10036" w:rsidRPr="00B10036">
        <w:rPr>
          <w:bCs/>
        </w:rPr>
        <w:t xml:space="preserve"> in a different study</w:t>
      </w:r>
      <w:r w:rsidR="00B10036" w:rsidRPr="00B10036">
        <w:t xml:space="preserve">. The </w:t>
      </w:r>
      <w:r w:rsidR="00B10036" w:rsidRPr="00B10036">
        <w:rPr>
          <w:bCs/>
        </w:rPr>
        <w:t>findings</w:t>
      </w:r>
      <w:r w:rsidR="00B10036" w:rsidRPr="00B10036">
        <w:t xml:space="preserve"> </w:t>
      </w:r>
      <w:r w:rsidR="00B10036" w:rsidRPr="00B10036">
        <w:rPr>
          <w:bCs/>
        </w:rPr>
        <w:t>suggested</w:t>
      </w:r>
      <w:r w:rsidR="00B10036" w:rsidRPr="00B10036">
        <w:t xml:space="preserve"> that proinflammatory cytokine levels</w:t>
      </w:r>
      <w:r w:rsidR="00B10036" w:rsidRPr="00B10036">
        <w:rPr>
          <w:bCs/>
        </w:rPr>
        <w:t>—especially</w:t>
      </w:r>
      <w:r w:rsidR="00B10036" w:rsidRPr="00B10036">
        <w:t xml:space="preserve"> IL-6</w:t>
      </w:r>
      <w:r w:rsidR="00B10036" w:rsidRPr="00B10036">
        <w:rPr>
          <w:bCs/>
        </w:rPr>
        <w:t>—dropped</w:t>
      </w:r>
      <w:r w:rsidR="00B10036" w:rsidRPr="00B10036">
        <w:t xml:space="preserve"> </w:t>
      </w:r>
      <w:r w:rsidR="00B10036" w:rsidRPr="00B10036">
        <w:rPr>
          <w:bCs/>
        </w:rPr>
        <w:t>quite</w:t>
      </w:r>
      <w:r w:rsidR="00B10036" w:rsidRPr="00B10036">
        <w:t xml:space="preserve"> after successful </w:t>
      </w:r>
      <w:r w:rsidR="00B10036" w:rsidRPr="00B10036">
        <w:rPr>
          <w:bCs/>
        </w:rPr>
        <w:t>treatment; therefore</w:t>
      </w:r>
      <w:r w:rsidR="00B10036" w:rsidRPr="00B10036">
        <w:t xml:space="preserve">, </w:t>
      </w:r>
      <w:r w:rsidR="00B10036" w:rsidRPr="00B10036">
        <w:rPr>
          <w:bCs/>
        </w:rPr>
        <w:t>measuring</w:t>
      </w:r>
      <w:r w:rsidR="00B10036" w:rsidRPr="00B10036">
        <w:t xml:space="preserve"> IL-6 levels </w:t>
      </w:r>
      <w:r w:rsidR="00B10036" w:rsidRPr="00B10036">
        <w:rPr>
          <w:bCs/>
        </w:rPr>
        <w:t>could</w:t>
      </w:r>
      <w:r w:rsidR="00B10036" w:rsidRPr="00B10036">
        <w:t xml:space="preserve"> help </w:t>
      </w:r>
      <w:r w:rsidR="00B10036" w:rsidRPr="00B10036">
        <w:rPr>
          <w:bCs/>
        </w:rPr>
        <w:t>to</w:t>
      </w:r>
      <w:r w:rsidR="00B10036" w:rsidRPr="00B10036">
        <w:t xml:space="preserve"> </w:t>
      </w:r>
      <w:r w:rsidR="00B10036" w:rsidRPr="00B10036">
        <w:rPr>
          <w:bCs/>
        </w:rPr>
        <w:t xml:space="preserve">determine </w:t>
      </w:r>
      <w:r w:rsidR="00B10036" w:rsidRPr="00B10036">
        <w:t xml:space="preserve">the </w:t>
      </w:r>
      <w:r w:rsidR="00B10036" w:rsidRPr="00B10036">
        <w:rPr>
          <w:bCs/>
        </w:rPr>
        <w:t>treatment's</w:t>
      </w:r>
      <w:r w:rsidR="00B10036" w:rsidRPr="00B10036">
        <w:t xml:space="preserve"> </w:t>
      </w:r>
      <w:r w:rsidR="00B10036" w:rsidRPr="00B10036">
        <w:rPr>
          <w:bCs/>
        </w:rPr>
        <w:t>success</w:t>
      </w:r>
      <w:r w:rsidR="007D747E">
        <w:rPr>
          <w:bCs/>
        </w:rPr>
        <w:t xml:space="preserve"> </w:t>
      </w:r>
      <w:r w:rsidR="007D747E">
        <w:fldChar w:fldCharType="begin"/>
      </w:r>
      <w:r w:rsidR="00B41ACC">
        <w:instrText xml:space="preserve"> ADDIN ZOTERO_ITEM CSL_CITATION {"citationID":"rXdBLZ4N","properties":{"formattedCitation":"\\super 105\\nosupersub{}","plainCitation":"105","noteIndex":0},"citationItems":[{"id":808,"uris":["http://zotero.org/users/local/BfzbJtgR/items/BA7H95SC"],"itemData":{"id":808,"type":"article-journal","abstract":"BACKGROUND: Type 1, type 17, and other proinflammatory cytokines are important in host immunity to tuberculosis (TB) in animal models. However, their role in human immunity to TB is not completely understood.\nMETHODS: To examine the association of proinflammatory cytokines with pulmonary TB (PTB), we examined the plasma levels of type 1 (interferon [IFN]γ and tumor necrosis factor [TNF]α), type 17 (interleukin [IL]-17A and IL-17F), and other proinflammatory (IL-6, IL-12, and IL-1β) cytokines in individuals with PTB, latent TB (LTB), or healthy controls (HC).\nRESULTS: Individuals with PTB exhibited significantly higher plasma levels of most of the above cytokines compared with LTB or HC individuals. Principal component analysis based on these cytokines could clearly distinguish PTB from both LTB or HC individuals. Pulmonary TB individuals with bilateral or cavitary disease exhibited significantly higher levels of IFNγ, TNFα, IL-17A, and IL-1β compared with those with unilateral or noncavitary disease. Pulmonary TB individuals also exhibited a significant positive relationship between IFNγ, TNFα, and IL-17A levels and bacterial burdens. In addition, PTB individuals with delayed culture conversion exhibited significantly higher levels of IFNγ, TNFα, IL-17A, and IL-1β at baseline. Finally, the plasma levels of all the cytokines examined were significantly reduced after successful chemotherapy.\nCONCLUSIONS: Therefore, our data demonstrate that PTB is associated with heightened levels of plasma proinflammatory cytokines, which are reversed after chemotherapy. Our data also reveal that proinflammatory cytokines are markers of disease severity, bacterial burden, and delayed culture conversion in PTB.","container-title":"Open Forum Infectious Diseases","DOI":"10.1093/ofid/ofz257","ISSN":"2328-8957","issue":"7","journalAbbreviation":"Open Forum Infect Dis","language":"eng","note":"PMID: 31281858\nPMCID: PMC6602384","page":"ofz257","source":"PubMed","title":"Plasma Proinflammatory Cytokines Are Markers of Disease Severity and Bacterial Burden in Pulmonary Tuberculosis","volume":"6","author":[{"family":"Kumar","given":"Nathella Pavan"},{"family":"Moideen","given":"Kadar"},{"family":"Banurekha","given":"Vaithilingam V."},{"family":"Nair","given":"Dina"},{"family":"Babu","given":"Subash"}],"issued":{"date-parts":[["2019",7]]}}}],"schema":"https://github.com/citation-style-language/schema/raw/master/csl-citation.json"} </w:instrText>
      </w:r>
      <w:r w:rsidR="007D747E">
        <w:fldChar w:fldCharType="separate"/>
      </w:r>
      <w:r w:rsidR="00B41ACC" w:rsidRPr="00B41ACC">
        <w:rPr>
          <w:rFonts w:cs="Times New Roman"/>
          <w:vertAlign w:val="superscript"/>
        </w:rPr>
        <w:t>105</w:t>
      </w:r>
      <w:r w:rsidR="007D747E">
        <w:fldChar w:fldCharType="end"/>
      </w:r>
      <w:r w:rsidR="00B10036" w:rsidRPr="00B10036">
        <w:t>.</w:t>
      </w:r>
    </w:p>
    <w:p w:rsidR="00A4265E" w:rsidRDefault="00A4265E" w:rsidP="00F861EB">
      <w:pPr>
        <w:pStyle w:val="Standard"/>
        <w:spacing w:before="280" w:after="280" w:line="276" w:lineRule="auto"/>
        <w:jc w:val="both"/>
      </w:pPr>
      <w:r w:rsidRPr="00A4265E">
        <w:t xml:space="preserve">TNF-α is an important cytokine that controls the granuloma formation in the immune </w:t>
      </w:r>
      <w:r w:rsidR="00433195" w:rsidRPr="00A4265E">
        <w:t>reaction</w:t>
      </w:r>
      <w:r w:rsidRPr="00A4265E">
        <w:t xml:space="preserve"> to </w:t>
      </w:r>
      <w:r w:rsidRPr="00A4265E">
        <w:rPr>
          <w:i/>
        </w:rPr>
        <w:t>M.tb</w:t>
      </w:r>
      <w:r w:rsidRPr="00A4265E">
        <w:t>. Granuloma contains the bacterium by localizing</w:t>
      </w:r>
      <w:r w:rsidRPr="00A4265E">
        <w:rPr>
          <w:i/>
        </w:rPr>
        <w:t xml:space="preserve"> M. tb</w:t>
      </w:r>
      <w:r w:rsidRPr="00A4265E">
        <w:t xml:space="preserve"> infections and halting their spread with organized groups of Immune cells.  TNF-α is a crucial cytokine which necessary for th</w:t>
      </w:r>
      <w:r>
        <w:t xml:space="preserve">e host's defenses against TB </w:t>
      </w:r>
      <w:r w:rsidRPr="00C24356">
        <w:fldChar w:fldCharType="begin"/>
      </w:r>
      <w:r w:rsidR="00B41ACC">
        <w:instrText xml:space="preserve"> ADDIN ZOTERO_ITEM CSL_CITATION {"citationID":"zRQBUggP","properties":{"formattedCitation":"\\super 106\\nosupersub{}","plainCitation":"106","noteIndex":0},"citationItems":[{"id":811,"uris":["http://zotero.org/users/local/BfzbJtgR/items/47J6CEJ8"],"itemData":{"id":811,"type":"article-journal","abstract":"TNF, a pleiotropic proinflammatory cytokine, is important for protective immunity and immunopathology during Mycobacterium tuberculosis (Mtb) infection, which causes tuberculosis (TB) in humans. TNF is produced primarily by phagocytes in the lungs during the early stages of Mtb infection and performs diverse physiological and pathological functions by binding to its receptors in a context-dependent manner. TNF is essential for granuloma formation, chronic infection prevention, and macrophage recruitment to and activation at the site of infection. In animal models, TNF, in cooperation with chemokines, contributes to the initiation, maintenance, and clearance of mycobacteria in granulomas. Although anti-TNF therapy is effective against immune diseases such as rheumatoid arthritis, it carries the risk of reactivating TB. Furthermore, TNF-associated inflammation contributes to cachexia in patients with TB. This review focuses on the multifaceted role of TNF in the pathogenesis and prevention of TB and underscores the importance of investigating the functions of TNF and its receptors in the establishment of protective immunity against and in the pathology of TB. Such investigations will facilitate the development of therapeutic strategies that target TNF signaling, which makes beneficial and detrimental contributions to the pathogenesis of TB.","container-title":"Immune Network","DOI":"10.4110/in.2024.24.e4","ISSN":"1598-2629","issue":"1","journalAbbreviation":"Immune Netw","language":"eng","note":"PMID: 38455468\nPMCID: PMC10917576","page":"e4","source":"PubMed","title":"TNF in Human Tuberculosis: A Double-Edged Sword","title-short":"TNF in Human Tuberculosis","volume":"24","author":[{"family":"Yuk","given":"Jae-Min"},{"family":"Kim","given":"Jin Kyung"},{"family":"Kim","given":"In Soo"},{"family":"Jo","given":"Eun-Kyeong"}],"issued":{"date-parts":[["2024",2]]}}}],"schema":"https://github.com/citation-style-language/schema/raw/master/csl-citation.json"} </w:instrText>
      </w:r>
      <w:r w:rsidRPr="00C24356">
        <w:fldChar w:fldCharType="separate"/>
      </w:r>
      <w:r w:rsidR="00B41ACC" w:rsidRPr="00B41ACC">
        <w:rPr>
          <w:rFonts w:cs="Times New Roman"/>
          <w:vertAlign w:val="superscript"/>
        </w:rPr>
        <w:t>106</w:t>
      </w:r>
      <w:r w:rsidRPr="00C24356">
        <w:fldChar w:fldCharType="end"/>
      </w:r>
      <w:r w:rsidRPr="00A4265E">
        <w:t xml:space="preserve">, is </w:t>
      </w:r>
      <w:r w:rsidR="00DB18C9" w:rsidRPr="00A4265E">
        <w:t>essential</w:t>
      </w:r>
      <w:r w:rsidRPr="00A4265E">
        <w:t xml:space="preserve"> for the </w:t>
      </w:r>
      <w:r w:rsidR="00DB18C9" w:rsidRPr="00A4265E">
        <w:t>development</w:t>
      </w:r>
      <w:r w:rsidR="00DB18C9">
        <w:t xml:space="preserve"> and monitoring</w:t>
      </w:r>
      <w:r w:rsidRPr="00A4265E">
        <w:t xml:space="preserve"> of these granulomas. Elevated TNF-α levels, a sign of the body's effort to control the infection, have been observed in active TB cases. TNF-α is necessary for launching a successful immune response, but too much of it can cause immunopathology. An overactive TNF-α response may be a </w:t>
      </w:r>
      <w:r w:rsidR="004B25B1" w:rsidRPr="00A4265E">
        <w:t>subsidizing</w:t>
      </w:r>
      <w:r w:rsidRPr="00A4265E">
        <w:t xml:space="preserve"> factor to tissue </w:t>
      </w:r>
      <w:r w:rsidR="004B25B1" w:rsidRPr="00A4265E">
        <w:t>injury</w:t>
      </w:r>
      <w:r w:rsidR="004B25B1">
        <w:t xml:space="preserve"> in TB</w:t>
      </w:r>
      <w:r w:rsidRPr="00A4265E">
        <w:t xml:space="preserve">, as high TNF-α concentrations have been </w:t>
      </w:r>
      <w:r w:rsidR="00EC5371">
        <w:t>associated to tissue death</w:t>
      </w:r>
      <w:r w:rsidR="00EC050F">
        <w:t xml:space="preserve"> and cachexia in experimental animal</w:t>
      </w:r>
      <w:r>
        <w:t xml:space="preserve"> </w:t>
      </w:r>
      <w:r w:rsidRPr="00C24356">
        <w:fldChar w:fldCharType="begin"/>
      </w:r>
      <w:r w:rsidR="00B41ACC">
        <w:instrText xml:space="preserve"> ADDIN ZOTERO_ITEM CSL_CITATION {"citationID":"bYzf42DP","properties":{"formattedCitation":"\\super 107\\nosupersub{}","plainCitation":"107","noteIndex":0},"citationItems":[{"id":814,"uris":["http://zotero.org/users/local/BfzbJtgR/items/6KYVIGJ8"],"itemData":{"id":814,"type":"article-journal","abstract":"In experimental mycobacterial infection, tumor necrosis factor alpha (TNF-alpha) is required for control of bacillary growth and the protective granulomatous response, but may cause immunopathology. To directly examine the positive and detrimental effects of this cytokine, a murine model was used in which different amounts of TNF-alpha were delivered to the site of infection. Mice with a disruption in the TNF-alpha gene (TNF-KO) or wild-type mice were infected with low or high doses of recombinant Mycobacterium bovis BCG that secreted murine TNF-alpha (BCG-TNF). Infection of TNF-KO mice with BCG containing the vector (BCG-vector) at a low dose led to increased bacillary load in all organs and an extensive granulomatous response in the lungs and spleen. The mice succumbed to the infection by approximately 40 days. However, when TNF-KO mice were infected with low doses of BCG-TNF, bacillary growth was controlled, granulomas were small and well differentiated, the spleen was not enlarged, and the mice survived. Infection with high inocula of BCG-TNF resulted in bacterial clearance, but was accompanied by severe inflammation in the lungs and spleen and earlier death compared to the results from the mice infected with high inocula of BCG-vector. Wild-type mice controlled infection with either recombinant strain, but showed decreased survival following high-dose BCG-TNF infection. The effects of TNF-alpha required signaling through an intact receptor, since the differential effects were not observed when TNF-alpha receptor-deficient mice were infected. The results suggest that the relative amount of TNF-alpha at the site of infection determines whether the cytokine is protective or destructive.","container-title":"Infection and Immunity","DOI":"10.1128/IAI.68.12.6954-6961.2000","ISSN":"0019-9567","issue":"12","journalAbbreviation":"Infect Immun","language":"eng","note":"PMID: 11083819\nPMCID: PMC97804","page":"6954-6961","source":"PubMed","title":"Immunopathologic effects of tumor necrosis factor alpha in murine mycobacterial infection are dose dependent","volume":"68","author":[{"family":"Bekker","given":"L. G."},{"family":"Moreira","given":"A. L."},{"family":"Bergtold","given":"A."},{"family":"Freeman","given":"S."},{"family":"Ryffel","given":"B."},{"family":"Kaplan","given":"G."}],"issued":{"date-parts":[["2000",12]]}}}],"schema":"https://github.com/citation-style-language/schema/raw/master/csl-citation.json"} </w:instrText>
      </w:r>
      <w:r w:rsidRPr="00C24356">
        <w:fldChar w:fldCharType="separate"/>
      </w:r>
      <w:r w:rsidR="00B41ACC" w:rsidRPr="00B41ACC">
        <w:rPr>
          <w:rFonts w:cs="Times New Roman"/>
          <w:vertAlign w:val="superscript"/>
        </w:rPr>
        <w:t>107</w:t>
      </w:r>
      <w:r w:rsidRPr="00C24356">
        <w:fldChar w:fldCharType="end"/>
      </w:r>
      <w:r w:rsidRPr="00A4265E">
        <w:t>. Therefore, a balanced TNF-α response is necessary; too low levels can prevent granuloma formation and bacterial containment, while too high levels can damage tissue. This tight balance emphasizes TNF-α's dual role as a preventive factor against tuberculosis and a possible con</w:t>
      </w:r>
      <w:r>
        <w:t>tribution to its development</w:t>
      </w:r>
      <w:r w:rsidRPr="00C24356">
        <w:fldChar w:fldCharType="begin"/>
      </w:r>
      <w:r w:rsidR="00B41ACC">
        <w:instrText xml:space="preserve"> ADDIN ZOTERO_ITEM CSL_CITATION {"citationID":"YxgfIryk","properties":{"formattedCitation":"\\super 106\\nosupersub{}","plainCitation":"106","noteIndex":0},"citationItems":[{"id":811,"uris":["http://zotero.org/users/local/BfzbJtgR/items/47J6CEJ8"],"itemData":{"id":811,"type":"article-journal","abstract":"TNF, a pleiotropic proinflammatory cytokine, is important for protective immunity and immunopathology during Mycobacterium tuberculosis (Mtb) infection, which causes tuberculosis (TB) in humans. TNF is produced primarily by phagocytes in the lungs during the early stages of Mtb infection and performs diverse physiological and pathological functions by binding to its receptors in a context-dependent manner. TNF is essential for granuloma formation, chronic infection prevention, and macrophage recruitment to and activation at the site of infection. In animal models, TNF, in cooperation with chemokines, contributes to the initiation, maintenance, and clearance of mycobacteria in granulomas. Although anti-TNF therapy is effective against immune diseases such as rheumatoid arthritis, it carries the risk of reactivating TB. Furthermore, TNF-associated inflammation contributes to cachexia in patients with TB. This review focuses on the multifaceted role of TNF in the pathogenesis and prevention of TB and underscores the importance of investigating the functions of TNF and its receptors in the establishment of protective immunity against and in the pathology of TB. Such investigations will facilitate the development of therapeutic strategies that target TNF signaling, which makes beneficial and detrimental contributions to the pathogenesis of TB.","container-title":"Immune Network","DOI":"10.4110/in.2024.24.e4","ISSN":"1598-2629","issue":"1","journalAbbreviation":"Immune Netw","language":"eng","note":"PMID: 38455468\nPMCID: PMC10917576","page":"e4","source":"PubMed","title":"TNF in Human Tuberculosis: A Double-Edged Sword","title-short":"TNF in Human Tuberculosis","volume":"24","author":[{"family":"Yuk","given":"Jae-Min"},{"family":"Kim","given":"Jin Kyung"},{"family":"Kim","given":"In Soo"},{"family":"Jo","given":"Eun-Kyeong"}],"issued":{"date-parts":[["2024",2]]}}}],"schema":"https://github.com/citation-style-language/schema/raw/master/csl-citation.json"} </w:instrText>
      </w:r>
      <w:r w:rsidRPr="00C24356">
        <w:fldChar w:fldCharType="separate"/>
      </w:r>
      <w:r w:rsidR="00B41ACC" w:rsidRPr="00B41ACC">
        <w:rPr>
          <w:rFonts w:cs="Times New Roman"/>
          <w:vertAlign w:val="superscript"/>
        </w:rPr>
        <w:t>106</w:t>
      </w:r>
      <w:r w:rsidRPr="00C24356">
        <w:fldChar w:fldCharType="end"/>
      </w:r>
      <w:r w:rsidRPr="00A4265E">
        <w:t>.</w:t>
      </w:r>
    </w:p>
    <w:p w:rsidR="00A4265E" w:rsidRDefault="00A4265E" w:rsidP="00F861EB">
      <w:pPr>
        <w:pStyle w:val="Standard"/>
        <w:spacing w:before="280" w:after="280" w:line="276" w:lineRule="auto"/>
        <w:jc w:val="both"/>
      </w:pPr>
      <w:r w:rsidRPr="00A4265E">
        <w:t xml:space="preserve">One acute-phase protein in TB infection is serum amyloid A (SAA), which plays an important role in inflammation. Thus, elevated SAA levels have been associated with active TB cases. Thus, it may be used as a biomarker for tracking the effectiveness of treatment as well as the severity of </w:t>
      </w:r>
      <w:r w:rsidRPr="00A4265E">
        <w:lastRenderedPageBreak/>
        <w:t>the disease. Patients with extensive lung damage showed strong acute-phase reactions, which were characterized by extremely high SAA levels, according to a study that examined SAA levels in pulmonary TB patients. This implies that more severe disease pathology is associated w</w:t>
      </w:r>
      <w:r>
        <w:t>ith higher SAA concentrations</w:t>
      </w:r>
      <w:r w:rsidRPr="00C24356">
        <w:fldChar w:fldCharType="begin"/>
      </w:r>
      <w:r w:rsidR="00B41ACC">
        <w:instrText xml:space="preserve"> ADDIN ZOTERO_ITEM CSL_CITATION {"citationID":"sKvIc7uK","properties":{"formattedCitation":"\\super 108\\nosupersub{}","plainCitation":"108","noteIndex":0},"citationItems":[{"id":"CxaW6x6n/YLRtkvXa","uris":["http://zotero.org/users/local/BfzbJtgR/items/WJ8H9824"],"itemData":{"id":820,"type":"article-journal","abstract":"C-reactive protein and serum amyloid A protein levels were measured in 54 patients with pulmonary tuberculosis. The primary tuberculous complex was associated with an insignificant acute phase response, while post-primary tuberculosis without evidence of lung destruction caused modest increases in C-reactive protein and serum amyloid A protein. In most patients with post-primary pulmonary tuberculosis with significant pulmonary destruction there was a major acute phase response, with very high serum amyloid A protein and C-reactive protein levels. The response in these patients is most likely to be due to secondary bacterial infection in addition to infection by Mycobacterium tuberculosis. Patients with miliary tuberculosis showed a major acute phase response. Serum amyloid A protein and C-reactive protein levels decreased rapidly after initiation of treatment in the patients with post-primary tuberculosis without significant pulmonary destruction.","container-title":"Thorax","DOI":"10.1136/thx.39.3.196","ISSN":"0040-6376","issue":"3","journalAbbreviation":"Thorax","language":"eng","note":"PMID: 6710428\nPMCID: PMC459761","page":"196-200","source":"PubMed","title":"Serum amyloid A protein and C-reactive protein levels in pulmonary tuberculosis: relationship to amyloidosis","title-short":"Serum amyloid A protein and C-reactive protein levels in pulmonary tuberculosis","volume":"39","author":[{"family":"Beer","given":"F. C.","non-dropping-particle":"de"},{"family":"Nel","given":"A. E."},{"family":"Gie","given":"R. P."},{"family":"Donald","given":"P. R."},{"family":"Strachan","given":"A. F."}],"issued":{"date-parts":[["1984",3]]}}}],"schema":"https://github.com/citation-style-language/schema/raw/master/csl-citation.json"} </w:instrText>
      </w:r>
      <w:r w:rsidRPr="00C24356">
        <w:fldChar w:fldCharType="separate"/>
      </w:r>
      <w:r w:rsidR="00B41ACC" w:rsidRPr="00B41ACC">
        <w:rPr>
          <w:rFonts w:cs="Times New Roman"/>
          <w:vertAlign w:val="superscript"/>
        </w:rPr>
        <w:t>108</w:t>
      </w:r>
      <w:r w:rsidRPr="00C24356">
        <w:fldChar w:fldCharType="end"/>
      </w:r>
      <w:r w:rsidRPr="00A4265E">
        <w:t>. Studies have demonstrated that SAA levels drop quickly following the start of anti-TB treatment, especially in individuals who do not have severe lung damage. This quick drop suggests that SAA might be a helpful indicator for tracking t</w:t>
      </w:r>
      <w:r w:rsidR="00C34DCC">
        <w:t xml:space="preserve">he effectiveness of treatment </w:t>
      </w:r>
      <w:r w:rsidR="00C34DCC" w:rsidRPr="00C24356">
        <w:fldChar w:fldCharType="begin"/>
      </w:r>
      <w:r w:rsidR="00B41ACC">
        <w:instrText xml:space="preserve"> ADDIN ZOTERO_ITEM CSL_CITATION {"citationID":"4Fn4sVN0","properties":{"formattedCitation":"\\super 109\\nosupersub{}","plainCitation":"109","noteIndex":0},"citationItems":[{"id":823,"uris":["http://zotero.org/users/local/BfzbJtgR/items/4DIP6WFF"],"itemData":{"id":823,"type":"article-journal","abstract":"C-reactive protein and serum amyloid A protein levels were measured in 54 patients with pulmonary tuberculosis. The primary tuberculous complex was associated with an insignificant acute phase response, while post-primary tuberculosis without evidence of lung destruction caused modest increases in C-reactive protein and serum amyloid A protein. In most patients with post-primary pulmonary tuberculosis with significant pulmonary destruction there was a major acute phase response, with very high serum amyloid A protein and C-reactive protein levels. The response in these patients is most likely to be due to secondary bacterial infection in addition to infection by Mycobacterium tuberculosis. Patients with miliary tuberculosis showed a major acute phase response. Serum amyloid A protein and C-reactive protein levels decreased rapidly after initiation of treatment in the patients with post-primary tuberculosis without significant pulmonary destruction.","container-title":"Thorax","DOI":"10.1136/thx.39.3.196","ISSN":"0040-6376","issue":"3","journalAbbreviation":"Thorax","language":"eng","note":"PMID: 6710428\nPMCID: PMC459761","page":"196-200","source":"PubMed","title":"Serum amyloid A protein and C-reactive protein levels in pulmonary tuberculosis: relationship to amyloidosis","title-short":"Serum amyloid A protein and C-reactive protein levels in pulmonary tuberculosis","volume":"39","author":[{"family":"Beer","given":"F. C.","non-dropping-particle":"de"},{"family":"Nel","given":"A. E."},{"family":"Gie","given":"R. P."},{"family":"Donald","given":"P. R."},{"family":"Strachan","given":"A. F."}],"issued":{"date-parts":[["1984",3]]}}}],"schema":"https://github.com/citation-style-language/schema/raw/master/csl-citation.json"} </w:instrText>
      </w:r>
      <w:r w:rsidR="00C34DCC" w:rsidRPr="00C24356">
        <w:fldChar w:fldCharType="separate"/>
      </w:r>
      <w:r w:rsidR="00B41ACC" w:rsidRPr="00B41ACC">
        <w:rPr>
          <w:rFonts w:cs="Times New Roman"/>
          <w:vertAlign w:val="superscript"/>
        </w:rPr>
        <w:t>109</w:t>
      </w:r>
      <w:r w:rsidR="00C34DCC" w:rsidRPr="00C24356">
        <w:fldChar w:fldCharType="end"/>
      </w:r>
      <w:r w:rsidRPr="00A4265E">
        <w:t>.</w:t>
      </w:r>
    </w:p>
    <w:p w:rsidR="009F25B1" w:rsidRDefault="003D754F" w:rsidP="00F861EB">
      <w:pPr>
        <w:pStyle w:val="Standard"/>
        <w:spacing w:before="280" w:after="280" w:line="276" w:lineRule="auto"/>
        <w:jc w:val="both"/>
      </w:pPr>
      <w:r>
        <w:t>A</w:t>
      </w:r>
      <w:r w:rsidR="00EC050F">
        <w:t xml:space="preserve"> regulatory</w:t>
      </w:r>
      <w:r w:rsidR="00C34DCC" w:rsidRPr="00C34DCC">
        <w:t xml:space="preserve"> cytokine called interleukin-10 is neces</w:t>
      </w:r>
      <w:r w:rsidR="00C34DCC">
        <w:t xml:space="preserve">sary to regulate </w:t>
      </w:r>
      <w:r w:rsidR="00C34DCC" w:rsidRPr="00C34DCC">
        <w:rPr>
          <w:i/>
        </w:rPr>
        <w:t>M.tb</w:t>
      </w:r>
      <w:r w:rsidR="00C34DCC" w:rsidRPr="00C34DCC">
        <w:t xml:space="preserve"> infection.  An important Th1 cy</w:t>
      </w:r>
      <w:r w:rsidR="0046694F">
        <w:t>tokine, interferon-gamma</w:t>
      </w:r>
      <w:r w:rsidR="00C34DCC" w:rsidRPr="00C34DCC">
        <w:t xml:space="preserve">, is </w:t>
      </w:r>
      <w:r w:rsidR="0046694F" w:rsidRPr="00C34DCC">
        <w:t>vital</w:t>
      </w:r>
      <w:r w:rsidR="00C34DCC" w:rsidRPr="00C34DCC">
        <w:t xml:space="preserve"> for activating macrophages to </w:t>
      </w:r>
      <w:r w:rsidR="0046694F" w:rsidRPr="00C34DCC">
        <w:t>eliminate</w:t>
      </w:r>
      <w:r w:rsidR="00C34DCC" w:rsidRPr="00C34DCC">
        <w:t xml:space="preserve"> </w:t>
      </w:r>
      <w:r w:rsidR="00C34DCC" w:rsidRPr="00754FFC">
        <w:rPr>
          <w:i/>
        </w:rPr>
        <w:t>M.tb.</w:t>
      </w:r>
      <w:r w:rsidR="001B0943">
        <w:t xml:space="preserve"> However, </w:t>
      </w:r>
      <w:r w:rsidR="0095134A">
        <w:t>the i</w:t>
      </w:r>
      <w:r w:rsidR="00C34DCC">
        <w:t>nduction</w:t>
      </w:r>
      <w:r w:rsidR="00C34DCC" w:rsidRPr="00C34DCC">
        <w:t xml:space="preserve"> of IL-10 suppresses expression of</w:t>
      </w:r>
      <w:r w:rsidR="0046694F">
        <w:t xml:space="preserve"> IFN-γ. Interleukin</w:t>
      </w:r>
      <w:r w:rsidR="00C34DCC" w:rsidRPr="00C34DCC">
        <w:t>-10</w:t>
      </w:r>
      <w:r w:rsidR="0046694F">
        <w:t xml:space="preserve"> can subvert the immune reaction</w:t>
      </w:r>
      <w:r w:rsidR="00C34DCC" w:rsidRPr="00C34DCC">
        <w:t xml:space="preserve"> to a Th2 phenotype by inhibiting Th1 responses, which may make it more difficult for the h</w:t>
      </w:r>
      <w:r w:rsidR="00C34DCC">
        <w:t xml:space="preserve">ost to contain the infection </w:t>
      </w:r>
      <w:r w:rsidR="00C34DCC" w:rsidRPr="00C24356">
        <w:fldChar w:fldCharType="begin"/>
      </w:r>
      <w:r w:rsidR="00B41ACC">
        <w:instrText xml:space="preserve"> ADDIN ZOTERO_ITEM CSL_CITATION {"citationID":"BxnUL3xM","properties":{"formattedCitation":"\\super 110\\nosupersub{}","plainCitation":"110","noteIndex":0},"citationItems":[{"id":826,"uris":["http://zotero.org/users/local/BfzbJtgR/items/MTEK9WWP"],"itemData":{"id":826,"type":"article-journal","abstract":"Activation of T cells requires both TCR-specific ligation and costimulation through accessory molecules during T cell priming. IFNgamma is a key cytokine responsible for macrophage activation during Mycobacterium tuberculosis (Mtb) infection while IL-10 is associated with suppression of cell mediated immunity in intracellular infection. In this paper we evaluated the role of IFNgamma and IL-10 on the function of cytotoxic T cells (CTL) and on the modulation of costimulatory molecules in healthy controls and patients with active tuberculosis (TB). gamma-irradiated-Mtb (i-Mtb) induced IL-10 production from CD14(+) cells from TB patients. Moreover, CD3(+) T cells of patients with advanced disease also produced IL-10 after i-Mtb stimulation. In healthy donors, IL-10 decreased the lytic activity of CD4(+) and CD8(+) T cells whereas it increased gammadelta-mediated cytotoxicity. Furthermore, we found that the presence of IL-10 induced a loss of the alternative processing pathways of antigen presentation along with a down-regulation of the expression of costimulatory molecule expression on monocytes and macrophages from healthy individuals. Conversely, neutralization of endogenous IL-10 or addition of IFNgamma to either effector or target cells from TB patients induced a strong lytic activity mediated by CD8(+) CTL together with an up-regulation of CD54 and CD86 expression on target cells. Moreover, we observed that macrophages from TB patients could use alternative pathways for i-Mtb presentation. Taken together, our results demonstrate that the presence of IL-10 during Mtb infection might contribute to mycobacteria persistence inside host macrophages through a mechanism that involved inhibition of MHC-restricted cytotoxicity against infected macrophages.","container-title":"Clinical and Experimental Immunology","DOI":"10.1111/j.1365-2249.2004.02577.x","ISSN":"0009-9104","issue":"1","journalAbbreviation":"Clin Exp Immunol","language":"eng","note":"PMID: 15373915\nPMCID: PMC1809183","page":"128-138","source":"PubMed","title":"IL-10 down-regulates costimulatory molecules on Mycobacterium tuberculosis-pulsed macrophages and impairs the lytic activity of CD4 and CD8 CTL in tuberculosis patients","volume":"138","author":[{"family":"Barrera","given":"S.","non-dropping-particle":"de la"},{"family":"Aleman","given":"M."},{"family":"Musella","given":"R."},{"family":"Schierloh","given":"P."},{"family":"Pasquinelli","given":"V."},{"family":"Garcia","given":"V."},{"family":"Abbate","given":"E."},{"family":"Sasiain","given":"M. del C."}],"issued":{"date-parts":[["2004",10]]}}}],"schema":"https://github.com/citation-style-language/schema/raw/master/csl-citation.json"} </w:instrText>
      </w:r>
      <w:r w:rsidR="00C34DCC" w:rsidRPr="00C24356">
        <w:fldChar w:fldCharType="separate"/>
      </w:r>
      <w:r w:rsidR="00B41ACC" w:rsidRPr="00B41ACC">
        <w:rPr>
          <w:rFonts w:cs="Times New Roman"/>
          <w:vertAlign w:val="superscript"/>
        </w:rPr>
        <w:t>110</w:t>
      </w:r>
      <w:r w:rsidR="00C34DCC" w:rsidRPr="00C24356">
        <w:fldChar w:fldCharType="end"/>
      </w:r>
      <w:r w:rsidR="00C34DCC" w:rsidRPr="00C34DCC">
        <w:t xml:space="preserve">. </w:t>
      </w:r>
      <w:r w:rsidR="0060581A" w:rsidRPr="0060581A">
        <w:t xml:space="preserve">The studies have reported that people with active TB, especially those with severe cases, have </w:t>
      </w:r>
      <w:r w:rsidR="0046694F">
        <w:t>increased interleukin</w:t>
      </w:r>
      <w:r w:rsidR="0060581A" w:rsidRPr="0060581A">
        <w:t>-10. This increase could lead to a weak immune response, which would enable the germs to continue and spread the illness</w:t>
      </w:r>
      <w:r w:rsidR="0060581A" w:rsidRPr="00C24356">
        <w:fldChar w:fldCharType="begin"/>
      </w:r>
      <w:r w:rsidR="00B41ACC">
        <w:instrText xml:space="preserve"> ADDIN ZOTERO_ITEM CSL_CITATION {"citationID":"EDklwInq","properties":{"formattedCitation":"\\super 111,112\\nosupersub{}","plainCitation":"111,112","noteIndex":0},"citationItems":[{"id":832,"uris":["http://zotero.org/users/local/BfzbJtgR/items/H53DVQIL"],"itemData":{"id":832,"type":"article-journal","abstract":"Activation of T cells requires both TCR-specific ligation and costimulation through accessory molecules during T cell priming. IFNgamma is a key cytokine responsible for macrophage activation during Mycobacterium tuberculosis (Mtb) infection while IL-10 is associated with suppression of cell mediated immunity in intracellular infection. In this paper we evaluated the role of IFNgamma and IL-10 on the function of cytotoxic T cells (CTL) and on the modulation of costimulatory molecules in healthy controls and patients with active tuberculosis (TB). gamma-irradiated-Mtb (i-Mtb) induced IL-10 production from CD14(+) cells from TB patients. Moreover, CD3(+) T cells of patients with advanced disease also produced IL-10 after i-Mtb stimulation. In healthy donors, IL-10 decreased the lytic activity of CD4(+) and CD8(+) T cells whereas it increased gammadelta-mediated cytotoxicity. Furthermore, we found that the presence of IL-10 induced a loss of the alternative processing pathways of antigen presentation along with a down-regulation of the expression of costimulatory molecule expression on monocytes and macrophages from healthy individuals. Conversely, neutralization of endogenous IL-10 or addition of IFNgamma to either effector or target cells from TB patients induced a strong lytic activity mediated by CD8(+) CTL together with an up-regulation of CD54 and CD86 expression on target cells. Moreover, we observed that macrophages from TB patients could use alternative pathways for i-Mtb presentation. Taken together, our results demonstrate that the presence of IL-10 during Mtb infection might contribute to mycobacteria persistence inside host macrophages through a mechanism that involved inhibition of MHC-restricted cytotoxicity against infected macrophages.","container-title":"Clinical and Experimental Immunology","DOI":"10.1111/j.1365-2249.2004.02577.x","ISSN":"0009-9104","issue":"1","journalAbbreviation":"Clin Exp Immunol","language":"eng","note":"PMID: 15373915\nPMCID: PMC1809183","page":"128-138","source":"PubMed","title":"IL-10 down-regulates costimulatory molecules on Mycobacterium tuberculosis-pulsed macrophages and impairs the lytic activity of CD4 and CD8 CTL in tuberculosis patients","volume":"138","author":[{"family":"Barrera","given":"S.","non-dropping-particle":"de la"},{"family":"Aleman","given":"M."},{"family":"Musella","given":"R."},{"family":"Schierloh","given":"P."},{"family":"Pasquinelli","given":"V."},{"family":"Garcia","given":"V."},{"family":"Abbate","given":"E."},{"family":"Sasiain","given":"M. del C."}],"issued":{"date-parts":[["2004",10]]}}},{"id":829,"uris":["http://zotero.org/users/local/BfzbJtgR/items/BP5X7DSX"],"itemData":{"id":829,"type":"article-journal","abstract":"It has been reported that IFN-gamma, TNF-alpha, and IL-12 stimulate, and that IL-10, TGF-beta, and IL-4 suppress the protective immune response against tuberculosis. We aim to evaluate changes in the serum levels of pro and antiinflammatory cytokines in active pulmonary tuberculosis (APTB) and the possible effects of treatment on these changes. Serum IL-12p40, IL-4, IL-10, TNF-alpha, IFN-gamma, and TGF-beta1 levels were determined in 20 APTB cases (group 1) before and 2, 4, and 6 months after therapy. The same parameters were also determined in 9 inactive pulmonary tuberculosis (IPTB) cases (group 2) and 9 healthy controls (HC, group 3). Before treatment, the mean serum IFN-gamma, TNF-alpha, and IL-10 levels in group 1 were statistically higher than those in group 2 (P=.001, P=.024, P=.016, resp) or group 3 (P=.003, P=.002, P=.011, resp). The levels in group 1 decreased significantly after treatment (P=.001 for IFN-gamma, P=.004 for TNF-alpha, P=.000 for IL-10). The serum levels of IL-12p40 were significantly higher in group 1 than in group 3 (P=.012) and decreased insignificantly after treatment. There was no difference in serum IL-4 and TGF-beta1 levels among the groups (P&gt;.05). Because the serum IL-12p40, IL-10, TNF-alpha, and IFN-gamma levels were high in APTB, we believe that these cytokines have important roles in the immune response to Mycobacterium tuberculosis (M tuberculosis). These parameters could be used in follow-up as indicators of the success of APTB therapy.","container-title":"Mediators of Inflammation","DOI":"10.1155/MI.2005.256","ISSN":"0962-9351","issue":"5","journalAbbreviation":"Mediators Inflamm","language":"eng","note":"PMID: 16258192\nPMCID: PMC1533887","page":"256-262","source":"PubMed","title":"Changes in serum cytokine levels in active tuberculosis with treatment","volume":"2005","author":[{"family":"Deveci","given":"Figen"},{"family":"Akbulut","given":"H. Handan"},{"family":"Turgut","given":"Teyfik"},{"family":"Muz","given":"M. Hamdi"}],"issued":{"date-parts":[["2005",10,24]]}}}],"schema":"https://github.com/citation-style-language/schema/raw/master/csl-citation.json"} </w:instrText>
      </w:r>
      <w:r w:rsidR="0060581A" w:rsidRPr="00C24356">
        <w:fldChar w:fldCharType="separate"/>
      </w:r>
      <w:r w:rsidR="00B41ACC" w:rsidRPr="00B41ACC">
        <w:rPr>
          <w:rFonts w:cs="Times New Roman"/>
          <w:vertAlign w:val="superscript"/>
        </w:rPr>
        <w:t>111,112</w:t>
      </w:r>
      <w:r w:rsidR="0060581A" w:rsidRPr="00C24356">
        <w:fldChar w:fldCharType="end"/>
      </w:r>
      <w:r w:rsidR="0060581A" w:rsidRPr="0060581A">
        <w:t xml:space="preserve">. Effective immunity against tuberculosis depends on the </w:t>
      </w:r>
      <w:r w:rsidR="0046694F" w:rsidRPr="0060581A">
        <w:t>stability</w:t>
      </w:r>
      <w:r w:rsidR="0060581A" w:rsidRPr="0060581A">
        <w:t xml:space="preserve"> between T-helper 1 (Th1) and T-helper 2 (Th2) responses, which it modifies.</w:t>
      </w:r>
      <w:r w:rsidR="0060581A">
        <w:t xml:space="preserve"> </w:t>
      </w:r>
    </w:p>
    <w:p w:rsidR="002522C7" w:rsidRDefault="00C34DCC" w:rsidP="00F861EB">
      <w:pPr>
        <w:pStyle w:val="Standard"/>
        <w:spacing w:before="280" w:after="280" w:line="276" w:lineRule="auto"/>
        <w:jc w:val="both"/>
      </w:pPr>
      <w:r w:rsidRPr="00C34DCC">
        <w:t xml:space="preserve">Research has indicated that people with active TB, especially those with severe cases, have higher levels of IL-10. </w:t>
      </w:r>
      <w:r w:rsidR="0034538D" w:rsidRPr="00C24356">
        <w:t>Several chemokines are considered profound biomarkers in TB disease</w:t>
      </w:r>
      <w:r w:rsidR="0095134A">
        <w:t>,</w:t>
      </w:r>
      <w:r w:rsidR="0034538D" w:rsidRPr="00C24356">
        <w:t xml:space="preserve"> such </w:t>
      </w:r>
      <w:r w:rsidR="002522C7">
        <w:t xml:space="preserve">as </w:t>
      </w:r>
      <w:r w:rsidR="0034538D" w:rsidRPr="00C24356">
        <w:t xml:space="preserve">an important chemokine induced by IFN-γ, involved in immune cell recruitment- IP-10 (CXCL10). </w:t>
      </w:r>
      <w:r w:rsidR="00BC1897" w:rsidRPr="00C24356">
        <w:t>IP-10 is noted to be elevated in active TB, LTBI</w:t>
      </w:r>
      <w:r w:rsidR="002522C7">
        <w:t>,</w:t>
      </w:r>
      <w:r w:rsidR="00BC1897" w:rsidRPr="00C24356">
        <w:t xml:space="preserve"> and subclinical TB infection. </w:t>
      </w:r>
      <w:r w:rsidR="00820D17" w:rsidRPr="00C24356">
        <w:t xml:space="preserve">It has been proposed as an alternative to IFN-ϒ-IGRA </w:t>
      </w:r>
      <w:r w:rsidR="00D77AA9" w:rsidRPr="00C24356">
        <w:t xml:space="preserve">with a higher sensitivity to children and immunocompromised individuals. It is noted to be </w:t>
      </w:r>
      <w:r w:rsidR="004639AB" w:rsidRPr="00C24356">
        <w:t xml:space="preserve">induced </w:t>
      </w:r>
      <w:r w:rsidR="0095134A">
        <w:t>at</w:t>
      </w:r>
      <w:r w:rsidR="004639AB" w:rsidRPr="00C24356">
        <w:t xml:space="preserve"> higher </w:t>
      </w:r>
      <w:r w:rsidR="002522C7">
        <w:t>levels</w:t>
      </w:r>
      <w:r w:rsidR="00D77AA9" w:rsidRPr="00C24356">
        <w:t xml:space="preserve"> in HIV-TB co-infections.</w:t>
      </w:r>
      <w:r w:rsidR="0046694F">
        <w:t xml:space="preserve"> Research has shown,   </w:t>
      </w:r>
      <w:r w:rsidR="00527210" w:rsidRPr="00C24356">
        <w:t xml:space="preserve"> IP-10 levels are noticeably higher in those with active TB and LTBI. It is still difficult to </w:t>
      </w:r>
      <w:r w:rsidR="007A724D" w:rsidRPr="00C24356">
        <w:t>distinguish</w:t>
      </w:r>
      <w:r w:rsidR="00527210" w:rsidRPr="00C24356">
        <w:t xml:space="preserve"> between LTBI and active TB based </w:t>
      </w:r>
      <w:r w:rsidR="0095134A">
        <w:t>solely</w:t>
      </w:r>
      <w:r w:rsidR="00527210" w:rsidRPr="00C24356">
        <w:t xml:space="preserve"> on IP-10 values</w:t>
      </w:r>
      <w:r w:rsidR="00527210" w:rsidRPr="00C24356">
        <w:fldChar w:fldCharType="begin"/>
      </w:r>
      <w:r w:rsidR="00B41ACC">
        <w:instrText xml:space="preserve"> ADDIN ZOTERO_ITEM CSL_CITATION {"citationID":"4PslhTMs","properties":{"formattedCitation":"\\super 113\\nosupersub{}","plainCitation":"113","noteIndex":0},"citationItems":[{"id":835,"uris":["http://zotero.org/users/local/BfzbJtgR/items/DP43PD8J"],"itemData":{"id":835,"type":"article-journal","abstract":"BACKGROUND: The blood based interferon-gamma release assays (IGRA) for the diagnosis of tuberculosis do not discriminate between active TB disease and latent TB infection (LTBI). The search for distinguishing biomarkers therefore continues, as the accurate diagnosis of tuberculosis is particularly challenging in children. IFN-gamma-inducible protein 10 (IP-10/CXCL10) has recently been evaluated as a marker for active TB in adults with promising results.\nAIM: To investigate this new biomarker for active TB and LTBI in paediatrics.\nMETHOD: We measured IP-10 levels using ELISA in supernatants of whole blood samples stimulated with TB-specific-antigens and negative control antigen.\nRESULTS: IP-10 is produced in high levels following mycobacterial antigen stimulation in active TB (n = 17) and LTBI (n = 16) compared to controls (n = 16) and to IFN-gamma. The baseline levels of IP-10 are increased in active TB and in LTBI, but there is no significant difference of stimulated levels of IP-10 between active TB and LTBI.\nCONCLUSIONS: IP-10 is a biomarker for tuberculosis in children. However like IFNgamma, IP-10 also does not distinguish between active TB and LTBI.","container-title":"PloS One","DOI":"10.1371/journal.pone.0003901","ISSN":"1932-6203","issue":"12","journalAbbreviation":"PLoS One","language":"eng","note":"PMID: 19065267\nPMCID: PMC2588495","page":"e3901","source":"PubMed","title":"Is IP-10 a better biomarker for active and latent tuberculosis in children than IFNgamma?","volume":"3","author":[{"family":"Whittaker","given":"Elizabeth"},{"family":"Gordon","given":"Andrea"},{"family":"Kampmann","given":"Beate"}],"issued":{"date-parts":[["2008"]]}}}],"schema":"https://github.com/citation-style-language/schema/raw/master/csl-citation.json"} </w:instrText>
      </w:r>
      <w:r w:rsidR="00527210" w:rsidRPr="00C24356">
        <w:fldChar w:fldCharType="separate"/>
      </w:r>
      <w:r w:rsidR="00B41ACC" w:rsidRPr="00B41ACC">
        <w:rPr>
          <w:rFonts w:cs="Times New Roman"/>
          <w:vertAlign w:val="superscript"/>
        </w:rPr>
        <w:t>113</w:t>
      </w:r>
      <w:r w:rsidR="00527210" w:rsidRPr="00C24356">
        <w:fldChar w:fldCharType="end"/>
      </w:r>
      <w:r w:rsidR="00527210" w:rsidRPr="00C24356">
        <w:t>.</w:t>
      </w:r>
      <w:r w:rsidR="00D77AA9" w:rsidRPr="00C24356">
        <w:t xml:space="preserve"> </w:t>
      </w:r>
      <w:r w:rsidR="00527210" w:rsidRPr="00C24356">
        <w:t xml:space="preserve">In </w:t>
      </w:r>
      <w:r w:rsidR="007A724D">
        <w:t>IGRAs</w:t>
      </w:r>
      <w:r w:rsidR="00527210" w:rsidRPr="00C24356">
        <w:t>, IP-10 has been suggested as a substitute biomarker for interferon-gamma (IFN-γ), particularly in populations like children and immunocompromised people</w:t>
      </w:r>
      <w:r w:rsidR="0095134A">
        <w:t>,</w:t>
      </w:r>
      <w:r w:rsidR="00527210" w:rsidRPr="00C24356">
        <w:t xml:space="preserve"> where conventional IGRAs may be less sensitive. The strong I</w:t>
      </w:r>
      <w:r w:rsidR="007A724D">
        <w:t>P-10 induction</w:t>
      </w:r>
      <w:r w:rsidR="00527210" w:rsidRPr="00C24356">
        <w:t xml:space="preserve"> in </w:t>
      </w:r>
      <w:r w:rsidR="00E069FB" w:rsidRPr="00C24356">
        <w:t>reaction</w:t>
      </w:r>
      <w:r w:rsidR="00527210" w:rsidRPr="00C24356">
        <w:t xml:space="preserve"> to </w:t>
      </w:r>
      <w:r w:rsidR="00E069FB" w:rsidRPr="00E069FB">
        <w:t xml:space="preserve">TB </w:t>
      </w:r>
      <w:r w:rsidR="00527210" w:rsidRPr="00C24356">
        <w:t xml:space="preserve">antigens points to the possibility of its use in these populations </w:t>
      </w:r>
      <w:r w:rsidR="00527210" w:rsidRPr="00C24356">
        <w:fldChar w:fldCharType="begin"/>
      </w:r>
      <w:r w:rsidR="00B41ACC">
        <w:instrText xml:space="preserve"> ADDIN ZOTERO_ITEM CSL_CITATION {"citationID":"5IOWJi8H","properties":{"formattedCitation":"\\super 114\\nosupersub{}","plainCitation":"114","noteIndex":0},"citationItems":[{"id":838,"uris":["http://zotero.org/users/local/BfzbJtgR/items/BZQLKW2G"],"itemData":{"id":838,"type":"article-journal","abstract":"The current state-of-the-art tests for infection with Mycobacterium tuberculosis - the IFN-γ release assays - rely on accurate measurement of the cytokine IFN-γ. Many other potential biomarkers are expressed in concert with IFN-γ, and IP-10 in particular has shown promising results. IP-10 is produced in large amounts, allowing for the development of new and simplified test platforms, such as lateral flow. In this review, we summarize the results of 22 clinical studies exploring the use of IP-10 as an alternative marker to IFN-γ. The studies report that diagnostic accuracy of IP-10 is on par with IFN-γ, but also that IP-10 may be more robust in young children and in HIV-infected individuals with low CD4 cell counts. We conclude the review by presenting limitations of the published works and outline recent developments and future directions.","container-title":"Expert Review of Molecular Diagnostics","DOI":"10.1586/erm.11.97","ISSN":"1744-8352","issue":"2","journalAbbreviation":"Expert Rev Mol Diagn","language":"eng","note":"PMID: 22369377","page":"175-187","source":"PubMed","title":"IP-10 release assays in the diagnosis of tuberculosis infection: current status and future directions","title-short":"IP-10 release assays in the diagnosis of tuberculosis infection","volume":"12","author":[{"family":"Ruhwald","given":"Morten"},{"family":"Aabye","given":"Martine G."},{"family":"Ravn","given":"Pernille"}],"issued":{"date-parts":[["2012",3]]}}}],"schema":"https://github.com/citation-style-language/schema/raw/master/csl-citation.json"} </w:instrText>
      </w:r>
      <w:r w:rsidR="00527210" w:rsidRPr="00C24356">
        <w:fldChar w:fldCharType="separate"/>
      </w:r>
      <w:r w:rsidR="00B41ACC" w:rsidRPr="00B41ACC">
        <w:rPr>
          <w:rFonts w:cs="Times New Roman"/>
          <w:vertAlign w:val="superscript"/>
        </w:rPr>
        <w:t>114</w:t>
      </w:r>
      <w:r w:rsidR="00527210" w:rsidRPr="00C24356">
        <w:fldChar w:fldCharType="end"/>
      </w:r>
      <w:r w:rsidR="00527210" w:rsidRPr="00C24356">
        <w:t xml:space="preserve">. </w:t>
      </w:r>
    </w:p>
    <w:p w:rsidR="00CB12F3" w:rsidRDefault="00CB12F3" w:rsidP="00F861EB">
      <w:pPr>
        <w:pStyle w:val="Standard"/>
        <w:spacing w:before="280" w:after="280" w:line="276" w:lineRule="auto"/>
        <w:jc w:val="both"/>
      </w:pPr>
      <w:r w:rsidRPr="00CB12F3">
        <w:t xml:space="preserve">Another important acute-phase protein, CRP found to be elevated in active TB cases and considered a general biomarker of inflammation. CRP is not a specific biomarker only </w:t>
      </w:r>
      <w:r>
        <w:t>for</w:t>
      </w:r>
      <w:r w:rsidRPr="00CB12F3">
        <w:t xml:space="preserve"> TB</w:t>
      </w:r>
      <w:r>
        <w:t>,</w:t>
      </w:r>
      <w:r w:rsidRPr="00CB12F3">
        <w:t xml:space="preserve"> but it is useful for tuberculosis disease progression. According to studies, people with active TB had much higher CRP levels than healthy </w:t>
      </w:r>
      <w:r w:rsidR="00E35CBF">
        <w:t>controls. For instance, the average first CRP level amongst TB cases</w:t>
      </w:r>
      <w:r w:rsidRPr="00CB12F3">
        <w:t xml:space="preserve"> was 18.52 µg/ml, whereas in controls it was 2.77 µg/ml. This </w:t>
      </w:r>
      <w:r w:rsidR="00E35CBF" w:rsidRPr="00CB12F3">
        <w:t>change</w:t>
      </w:r>
      <w:r w:rsidRPr="00CB12F3">
        <w:t xml:space="preserve"> </w:t>
      </w:r>
      <w:r w:rsidR="003864B0">
        <w:t>a</w:t>
      </w:r>
      <w:r w:rsidRPr="00CB12F3">
        <w:t xml:space="preserve"> </w:t>
      </w:r>
      <w:r w:rsidR="003864B0">
        <w:t>significant effect on the infection level</w:t>
      </w:r>
      <w:r w:rsidRPr="00CB12F3">
        <w:t>, according to one study</w:t>
      </w:r>
      <w:r>
        <w:t xml:space="preserve"> </w:t>
      </w:r>
      <w:r w:rsidRPr="00C24356">
        <w:fldChar w:fldCharType="begin"/>
      </w:r>
      <w:r w:rsidR="00B41ACC">
        <w:instrText xml:space="preserve"> ADDIN ZOTERO_ITEM CSL_CITATION {"citationID":"XS9zeKUf","properties":{"formattedCitation":"\\super 115\\nosupersub{}","plainCitation":"115","noteIndex":0},"citationItems":[{"id":841,"uris":["http://zotero.org/users/local/BfzbJtgR/items/GA22KT4P"],"itemData":{"id":841,"type":"article-journal","abstract":"'C' reactive protein (CRP) levels were determined in 100 cases of tuberculosis and 30 age and sex matched children. Serial estimations, one and 3 to 6 months after initiation of therapy was done in 81 and 41 of these patients, respectively. Mean initial levels of CRP in tuberculosis group was 18.52 micrograms/ml while in the control group it was 2.77 micrograms/ml (p less than 0.001). The elevated CRP levels fell significantly to 5.93 micrograms/ml after one month of treatment (p less than 0.001) and by 3 to 6 months of treatment had fallen to normal values. The fall in CRP levels correlated with clinical response. It is concluded that CRP can serve as a sensitive indicator of activity of the disease and the return to normal values of initially elevated CRP levels may indicate a good therapeutic response.","container-title":"Indian Pediatrics","ISSN":"0019-6061","issue":"10","journalAbbreviation":"Indian Pediatr","language":"eng","note":"PMID: 2630443","page":"1010-1013","source":"PubMed","title":"Prognostic value of 'C' reactive protein in tuberculosis","volume":"26","author":[{"family":"Bajaj","given":"G."},{"family":"Rattan","given":"A."},{"family":"Ahmad","given":"P."}],"issued":{"date-parts":[["1989",10]]}}}],"schema":"https://github.com/citation-style-language/schema/raw/master/csl-citation.json"} </w:instrText>
      </w:r>
      <w:r w:rsidRPr="00C24356">
        <w:fldChar w:fldCharType="separate"/>
      </w:r>
      <w:r w:rsidR="00B41ACC" w:rsidRPr="00B41ACC">
        <w:rPr>
          <w:rFonts w:cs="Times New Roman"/>
          <w:vertAlign w:val="superscript"/>
        </w:rPr>
        <w:t>115</w:t>
      </w:r>
      <w:r w:rsidRPr="00C24356">
        <w:fldChar w:fldCharType="end"/>
      </w:r>
      <w:r w:rsidRPr="00CB12F3">
        <w:t xml:space="preserve">. More severe forms of TB, such as cavitary lesions and significant lung involvement, have been linked to elevated CRP levels. In </w:t>
      </w:r>
      <w:r w:rsidR="002541E8" w:rsidRPr="00CB12F3">
        <w:t>additional</w:t>
      </w:r>
      <w:r w:rsidRPr="00CB12F3">
        <w:t xml:space="preserve"> study, </w:t>
      </w:r>
      <w:r w:rsidR="002541E8">
        <w:t>TB participants</w:t>
      </w:r>
      <w:r w:rsidRPr="00CB12F3">
        <w:t xml:space="preserve"> with higher CRP levels had a higher frequency of cavitary lung lesions, indicating a </w:t>
      </w:r>
      <w:r w:rsidR="002541E8" w:rsidRPr="00CB12F3">
        <w:t>association</w:t>
      </w:r>
      <w:r w:rsidRPr="00CB12F3">
        <w:t xml:space="preserve"> between </w:t>
      </w:r>
      <w:r w:rsidR="002541E8">
        <w:t xml:space="preserve">the </w:t>
      </w:r>
      <w:r w:rsidRPr="00CB12F3">
        <w:t>CRP and t</w:t>
      </w:r>
      <w:r>
        <w:t xml:space="preserve">he </w:t>
      </w:r>
      <w:r w:rsidR="002541E8">
        <w:t>level</w:t>
      </w:r>
      <w:r>
        <w:t xml:space="preserve"> of the condition </w:t>
      </w:r>
      <w:r w:rsidRPr="00C24356">
        <w:fldChar w:fldCharType="begin"/>
      </w:r>
      <w:r w:rsidR="00B41ACC">
        <w:instrText xml:space="preserve"> ADDIN ZOTERO_ITEM CSL_CITATION {"citationID":"DF7avCTC","properties":{"formattedCitation":"\\super 116\\nosupersub{}","plainCitation":"116","noteIndex":0},"citationItems":[{"id":843,"uris":["http://zotero.org/users/local/BfzbJtgR/items/2E74UU28"],"itemData":{"id":843,"type":"paper-conference","container-title":"10.2 Tuberculosis","DOI":"10.1183/13993003.congress-2015.PA2751","event-title":"Annual Congress 2015","page":"PA2751","publisher":"European Respiratory Society","source":"DOI.org (Crossref)","title":"C-reactive protein and pulmonary tuberculosis: What correlation with disease severity","title-short":"C-reactive protein and pulmonary tuberculosis","URL":"https://publications.ersnet.org/lookup/doi/10.1183/13993003.congress-2015.PA2751","author":[{"family":"Kwas","given":"Hamida"},{"family":"Guermazi","given":"Emna"},{"family":"Zendah","given":"Ines"},{"family":"Ben Jemia","given":"Emna"},{"family":"Khattab","given":"Amel"},{"family":"Khouaja","given":"Ibtihel"},{"family":"Ghedira","given":"Habib"}],"accessed":{"date-parts":[["2025",3,22]]},"issued":{"date-parts":[["2015",9]]}}}],"schema":"https://github.com/citation-style-language/schema/raw/master/csl-citation.json"} </w:instrText>
      </w:r>
      <w:r w:rsidRPr="00C24356">
        <w:fldChar w:fldCharType="separate"/>
      </w:r>
      <w:r w:rsidR="00B41ACC" w:rsidRPr="00B41ACC">
        <w:rPr>
          <w:rFonts w:cs="Times New Roman"/>
          <w:vertAlign w:val="superscript"/>
        </w:rPr>
        <w:t>116</w:t>
      </w:r>
      <w:r w:rsidRPr="00C24356">
        <w:fldChar w:fldCharType="end"/>
      </w:r>
      <w:r w:rsidRPr="00CB12F3">
        <w:t>. Effective anti-TB treatment tends to lower CRP levels. In one trial, CRP levels decreased considerably with clinical improvement, from a mean of 18.52 µg/ml at diagnosis to 5.93 µg/ml after one mo</w:t>
      </w:r>
      <w:r>
        <w:t>nth of treatment (p &lt; 0.001)</w:t>
      </w:r>
      <w:r w:rsidR="00104360" w:rsidRPr="00C24356">
        <w:fldChar w:fldCharType="begin"/>
      </w:r>
      <w:r w:rsidR="00B41ACC">
        <w:instrText xml:space="preserve"> ADDIN ZOTERO_ITEM CSL_CITATION {"citationID":"BxpC1tlW","properties":{"formattedCitation":"\\super 115\\nosupersub{}","plainCitation":"115","noteIndex":0},"citationItems":[{"id":841,"uris":["http://zotero.org/users/local/BfzbJtgR/items/GA22KT4P"],"itemData":{"id":841,"type":"article-journal","abstract":"'C' reactive protein (CRP) levels were determined in 100 cases of tuberculosis and 30 age and sex matched children. Serial estimations, one and 3 to 6 months after initiation of therapy was done in 81 and 41 of these patients, respectively. Mean initial levels of CRP in tuberculosis group was 18.52 micrograms/ml while in the control group it was 2.77 micrograms/ml (p less than 0.001). The elevated CRP levels fell significantly to 5.93 micrograms/ml after one month of treatment (p less than 0.001) and by 3 to 6 months of treatment had fallen to normal values. The fall in CRP levels correlated with clinical response. It is concluded that CRP can serve as a sensitive indicator of activity of the disease and the return to normal values of initially elevated CRP levels may indicate a good therapeutic response.","container-title":"Indian Pediatrics","ISSN":"0019-6061","issue":"10","journalAbbreviation":"Indian Pediatr","language":"eng","note":"PMID: 2630443","page":"1010-1013","source":"PubMed","title":"Prognostic value of 'C' reactive protein in tuberculosis","volume":"26","author":[{"family":"Bajaj","given":"G."},{"family":"Rattan","given":"A."},{"family":"Ahmad","given":"P."}],"issued":{"date-parts":[["1989",10]]}}}],"schema":"https://github.com/citation-style-language/schema/raw/master/csl-citation.json"} </w:instrText>
      </w:r>
      <w:r w:rsidR="00104360" w:rsidRPr="00C24356">
        <w:fldChar w:fldCharType="separate"/>
      </w:r>
      <w:r w:rsidR="00B41ACC" w:rsidRPr="00B41ACC">
        <w:rPr>
          <w:rFonts w:cs="Times New Roman"/>
          <w:vertAlign w:val="superscript"/>
        </w:rPr>
        <w:t>115</w:t>
      </w:r>
      <w:r w:rsidR="00104360" w:rsidRPr="00C24356">
        <w:fldChar w:fldCharType="end"/>
      </w:r>
      <w:r w:rsidRPr="00CB12F3">
        <w:t xml:space="preserve">. </w:t>
      </w:r>
      <w:r w:rsidRPr="00CB12F3">
        <w:lastRenderedPageBreak/>
        <w:t>It is noted to have an increased CRP level in tuberculosis infection. Despite of CRP is an important biomarker in TB cases, it can also be elevated in some other ailments, including autoimmune diseases, bacterial infections, and other inflammatory disorders. Therefore, CRP should be utilized as part of a thorough review that also includes imaging studies, microbiological testing, and clinical evaluation to identify tuberculosis. A favorable treatment response has been linked to the gradual normalization of CRP levels.</w:t>
      </w:r>
    </w:p>
    <w:p w:rsidR="00104360" w:rsidRDefault="00104360" w:rsidP="00F861EB">
      <w:pPr>
        <w:pStyle w:val="Standard"/>
        <w:spacing w:before="280" w:after="280" w:line="276" w:lineRule="auto"/>
        <w:jc w:val="both"/>
      </w:pPr>
      <w:r>
        <w:t>Furthermore, n</w:t>
      </w:r>
      <w:r w:rsidRPr="00104360">
        <w:t xml:space="preserve">eopterin is considered a marker for macrophage activation. It is elevated in active TB and TB-HIV co-infection. Neopterin has an association with TB disease activity. Research has shown that patients with active tuberculosis have substantially greater serum neopterin concentrations than healthy controls. For instance, in a study, pulmonary tuberculosis patients had </w:t>
      </w:r>
      <w:r w:rsidR="007D56FE">
        <w:t>average</w:t>
      </w:r>
      <w:r w:rsidRPr="00104360">
        <w:t xml:space="preserve"> neopterin levels </w:t>
      </w:r>
      <w:r w:rsidR="007D56FE">
        <w:t>around</w:t>
      </w:r>
      <w:r w:rsidRPr="00104360">
        <w:t xml:space="preserve"> 23.74 nmol/L, which was much greater than the 4.03 nm</w:t>
      </w:r>
      <w:r w:rsidR="00A823EC">
        <w:t xml:space="preserve">ol/L found in healthy people </w:t>
      </w:r>
      <w:r w:rsidR="00A823EC" w:rsidRPr="00C24356">
        <w:fldChar w:fldCharType="begin"/>
      </w:r>
      <w:r w:rsidR="00B41ACC">
        <w:instrText xml:space="preserve"> ADDIN ZOTERO_ITEM CSL_CITATION {"citationID":"0A7x90HJ","properties":{"formattedCitation":"\\super 117\\nosupersub{}","plainCitation":"117","noteIndex":0},"citationItems":[{"id":844,"uris":["http://zotero.org/users/local/BfzbJtgR/items/9U7C4LW4"],"itemData":{"id":844,"type":"article-journal","abstract":"OBJECTIVE: Neopterin is a sensitive marker for cell-mediated immune response. Because of this, the neopterin levels of body fluids show cell-mediated immune response in different infectious diseases which involve T cells and macrophages. The aim of this study was to determine the clinical importance of neopterin levels in patients with tuberculosis and compare with those levels of healthy subjects.\nMETHODS: Seventy patients with tuberculosis (46 newly diagnosed cases, 15 relapse cases, and 9 multidrug-resistant tuberculosis cases) and 18 healthy adult individuals were included in the study. Neopterin concentrations were measured by the ELISA method according to the protocol of the manufacturer. Chi-square test was used in statistical analysis; p</w:instrText>
      </w:r>
      <w:r w:rsidR="00B41ACC">
        <w:rPr>
          <w:rFonts w:ascii="Cambria Math" w:hAnsi="Cambria Math" w:cs="Cambria Math"/>
        </w:rPr>
        <w:instrText>⩽</w:instrText>
      </w:r>
      <w:r w:rsidR="00B41ACC">
        <w:instrText xml:space="preserve">0.05 was considered statistically significant.\nRESULTS: Serum mean neopterin levels were 23.74±21.8nmol/L (median: 18.3) in newly diagnosed patients with pulmonary tuberculosis; 28.69±21.2nmol/L (median: 21.2) in relapse patients and 31.28±14nmol/L (median: 25.4) in multidrug-resistant tuberculosis cases, respectively. Serum mean neopterin levels were 4.03±5.12nmol/L (median: 5.1) in healthy subjects. The serum neopterin levels were found to be significantly higher in patients with tuberculosis than the control group. There was a statistically significant correlation between neopterin positivity (neopterin level </w:instrText>
      </w:r>
      <w:r w:rsidR="00B41ACC">
        <w:rPr>
          <w:rFonts w:ascii="Cambria Math" w:hAnsi="Cambria Math" w:cs="Cambria Math"/>
        </w:rPr>
        <w:instrText>⩾</w:instrText>
      </w:r>
      <w:r w:rsidR="00B41ACC">
        <w:instrText xml:space="preserve">10nmol/L was accepted to be positive) and clinical symptoms of hemoptysis and weight loss. Besides statistically significant correlations between neopterin positivity and hemoglobin level, sedimentation rate, mean leukocyte count and radiological involvement (localized or diffuse) were determined.\nCONCLUSION: Serum neopterin levels can be used as a helper laboratory finding for the diagnosis of patients with tuberculosis. For this aim, further controlled studies are needed.","container-title":"International Journal of Mycobacteriology","DOI":"10.1016/j.ijmyco.2014.01.002","ISSN":"2212-554X","issue":"1","journalAbbreviation":"Int J Mycobacteriol","language":"eng","note":"PMID: 26786216","page":"5-8","source":"PubMed","title":"Clinical importance of serum neopterin level in patients with pulmonary tuberculosis","volume":"3","author":[{"family":"Cesur","given":"Salih"},{"family":"Aslan","given":"Turan"},{"family":"Hoca","given":"Nevin Taci"},{"family":"Çimen","given":"Filiz"},{"family":"Tarhan","given":"Gülnur"},{"family":"Çifçi","given":"Aydın"},{"family":"Ceyhan","given":"İsmail"},{"family":"Şipit","given":"Tuğrul"}],"issued":{"date-parts":[["2014",3]]}}}],"schema":"https://github.com/citation-style-language/schema/raw/master/csl-citation.json"} </w:instrText>
      </w:r>
      <w:r w:rsidR="00A823EC" w:rsidRPr="00C24356">
        <w:fldChar w:fldCharType="separate"/>
      </w:r>
      <w:r w:rsidR="00B41ACC" w:rsidRPr="00B41ACC">
        <w:rPr>
          <w:rFonts w:cs="Times New Roman"/>
          <w:vertAlign w:val="superscript"/>
        </w:rPr>
        <w:t>117</w:t>
      </w:r>
      <w:r w:rsidR="00A823EC" w:rsidRPr="00C24356">
        <w:fldChar w:fldCharType="end"/>
      </w:r>
      <w:r w:rsidRPr="00104360">
        <w:t>. Moreover, hematological indicators, including hemoglobin levels and ESR, as well as clinical signs like hemoptysis and weight loss, are correlated with elevated neopterin levels, implicating an association of elevated neopterin concentration an</w:t>
      </w:r>
      <w:r w:rsidR="00A823EC">
        <w:t xml:space="preserve">d the severity of TB disease </w:t>
      </w:r>
      <w:r w:rsidR="00A823EC" w:rsidRPr="00C24356">
        <w:fldChar w:fldCharType="begin"/>
      </w:r>
      <w:r w:rsidR="00B41ACC">
        <w:instrText xml:space="preserve"> ADDIN ZOTERO_ITEM CSL_CITATION {"citationID":"6Pl84bF6","properties":{"formattedCitation":"\\super 117\\nosupersub{}","plainCitation":"117","noteIndex":0},"citationItems":[{"id":844,"uris":["http://zotero.org/users/local/BfzbJtgR/items/9U7C4LW4"],"itemData":{"id":844,"type":"article-journal","abstract":"OBJECTIVE: Neopterin is a sensitive marker for cell-mediated immune response. Because of this, the neopterin levels of body fluids show cell-mediated immune response in different infectious diseases which involve T cells and macrophages. The aim of this study was to determine the clinical importance of neopterin levels in patients with tuberculosis and compare with those levels of healthy subjects.\nMETHODS: Seventy patients with tuberculosis (46 newly diagnosed cases, 15 relapse cases, and 9 multidrug-resistant tuberculosis cases) and 18 healthy adult individuals were included in the study. Neopterin concentrations were measured by the ELISA method according to the protocol of the manufacturer. Chi-square test was used in statistical analysis; p</w:instrText>
      </w:r>
      <w:r w:rsidR="00B41ACC">
        <w:rPr>
          <w:rFonts w:ascii="Cambria Math" w:hAnsi="Cambria Math" w:cs="Cambria Math"/>
        </w:rPr>
        <w:instrText>⩽</w:instrText>
      </w:r>
      <w:r w:rsidR="00B41ACC">
        <w:instrText xml:space="preserve">0.05 was considered statistically significant.\nRESULTS: Serum mean neopterin levels were 23.74±21.8nmol/L (median: 18.3) in newly diagnosed patients with pulmonary tuberculosis; 28.69±21.2nmol/L (median: 21.2) in relapse patients and 31.28±14nmol/L (median: 25.4) in multidrug-resistant tuberculosis cases, respectively. Serum mean neopterin levels were 4.03±5.12nmol/L (median: 5.1) in healthy subjects. The serum neopterin levels were found to be significantly higher in patients with tuberculosis than the control group. There was a statistically significant correlation between neopterin positivity (neopterin level </w:instrText>
      </w:r>
      <w:r w:rsidR="00B41ACC">
        <w:rPr>
          <w:rFonts w:ascii="Cambria Math" w:hAnsi="Cambria Math" w:cs="Cambria Math"/>
        </w:rPr>
        <w:instrText>⩾</w:instrText>
      </w:r>
      <w:r w:rsidR="00B41ACC">
        <w:instrText xml:space="preserve">10nmol/L was accepted to be positive) and clinical symptoms of hemoptysis and weight loss. Besides statistically significant correlations between neopterin positivity and hemoglobin level, sedimentation rate, mean leukocyte count and radiological involvement (localized or diffuse) were determined.\nCONCLUSION: Serum neopterin levels can be used as a helper laboratory finding for the diagnosis of patients with tuberculosis. For this aim, further controlled studies are needed.","container-title":"International Journal of Mycobacteriology","DOI":"10.1016/j.ijmyco.2014.01.002","ISSN":"2212-554X","issue":"1","journalAbbreviation":"Int J Mycobacteriol","language":"eng","note":"PMID: 26786216","page":"5-8","source":"PubMed","title":"Clinical importance of serum neopterin level in patients with pulmonary tuberculosis","volume":"3","author":[{"family":"Cesur","given":"Salih"},{"family":"Aslan","given":"Turan"},{"family":"Hoca","given":"Nevin Taci"},{"family":"Çimen","given":"Filiz"},{"family":"Tarhan","given":"Gülnur"},{"family":"Çifçi","given":"Aydın"},{"family":"Ceyhan","given":"İsmail"},{"family":"Şipit","given":"Tuğrul"}],"issued":{"date-parts":[["2014",3]]}}}],"schema":"https://github.com/citation-style-language/schema/raw/master/csl-citation.json"} </w:instrText>
      </w:r>
      <w:r w:rsidR="00A823EC" w:rsidRPr="00C24356">
        <w:fldChar w:fldCharType="separate"/>
      </w:r>
      <w:r w:rsidR="00B41ACC" w:rsidRPr="00B41ACC">
        <w:rPr>
          <w:rFonts w:cs="Times New Roman"/>
          <w:vertAlign w:val="superscript"/>
        </w:rPr>
        <w:t>117</w:t>
      </w:r>
      <w:r w:rsidR="00A823EC" w:rsidRPr="00C24356">
        <w:fldChar w:fldCharType="end"/>
      </w:r>
      <w:r w:rsidRPr="00104360">
        <w:t xml:space="preserve">. Remarkably, serum neopterin </w:t>
      </w:r>
      <w:r w:rsidR="00C235B2">
        <w:t>volumes</w:t>
      </w:r>
      <w:r w:rsidRPr="00104360">
        <w:t xml:space="preserve"> are </w:t>
      </w:r>
      <w:r w:rsidR="00AE021C">
        <w:t>raised</w:t>
      </w:r>
      <w:r w:rsidRPr="00104360">
        <w:t xml:space="preserve"> in </w:t>
      </w:r>
      <w:r w:rsidR="00AE021C">
        <w:t>clients</w:t>
      </w:r>
      <w:r w:rsidRPr="00104360">
        <w:t xml:space="preserve"> with </w:t>
      </w:r>
      <w:r w:rsidR="00AE021C">
        <w:t xml:space="preserve">people living </w:t>
      </w:r>
      <w:r w:rsidRPr="00104360">
        <w:t>HIV associated TB infections than in patients with TB alone. According to one study, patients with HIV and TB had median neopterin concentrations of 27.2 nmol/L, which was greater than the 14.6 nmol/L se</w:t>
      </w:r>
      <w:r w:rsidR="00A823EC">
        <w:t xml:space="preserve">en in patients with TB alone </w:t>
      </w:r>
      <w:r w:rsidR="00A823EC" w:rsidRPr="00C24356">
        <w:fldChar w:fldCharType="begin"/>
      </w:r>
      <w:r w:rsidR="00B41ACC">
        <w:instrText xml:space="preserve"> ADDIN ZOTERO_ITEM CSL_CITATION {"citationID":"FZVd2TUe","properties":{"formattedCitation":"\\super 118\\nosupersub{}","plainCitation":"118","noteIndex":0},"citationItems":[{"id":848,"uris":["http://zotero.org/users/local/BfzbJtgR/items/TLBWRN4R"],"itemData":{"id":848,"type":"article-journal","abstract":"BACKGROUND &amp; OBJECTIVE: Three categories of prognostic markers are best documented as having significance in relation to prognosis of HIV infection. These include HIV viral load, CD4 T-cell levels and plasma levels of soluble markers of immune activation. The plasma activation markers, like neopterin, tumor necrosis factor alpha (TNF-alpha), interleukins etc., are products of cytokine activity and represent immunologic changes throughout the body. There is not much information available on serum neopterin estimation in patients infected with both HIV and tuberculosis (TB), though neopterin levels are known to be elevated in pulmonary TB patients. In this study we attempted to correlate neopterin levels with the presence of tuberculosis in HIV infected and uninfected individuals and studied the changes after antituberculosis treatment.\nMETHODS: Serum neopterin concentrations were measured by high performance liquid chromatography (HPLC) in 25 HIV-seropositive (HIV-TB) and 10-seronegative (TB) patients with tuberculosis before, during and at the end of antituberculosis therapy (ATT). S-neo was also measured in 10 HIV-seropositive asymptomatic individuals and 10 healthy controls. The results were correlated with clinical, bacteriological and immunological status.\nRESULTS: All TB patients regardless of HIV status had elevated s-neo concentrations at diagnosis, which declined gradually during treatment. Patients with HIV/TB with CD4 counts &lt; 200/mm(3) had the highest levels at baseline with a steep fall during treatment. The median level at the end of treatment was significantly higher in HIV/TB than in TB patients, despite clinical improvement and bacteriological clearance of Mycobacterium tuberculosis. HIV infected asymptomatic individuals had neopterin levels that were higher than healthy controls but lower than HIV-TB patients.\nINTERPRETATION &amp; CONCLUSION: Serum neopterin levels are elevated in HIV-positive patients, with the highest levels in those with tuberculosis and CD4 counts &lt; 200/mm(3). Though the levels decrease with anti tuberculosis therapy, persistently elevated levels indicate progressive HIV disease and a poor prognosis.","container-title":"The Indian Journal of Medical Research","ISSN":"0971-5916","issue":"4","journalAbbreviation":"Indian J Med Res","language":"eng","note":"PMID: 15817939","page":"220-225","source":"PubMed","title":"Serum neopterin levels in HIV infected patients with &amp; without tuberculosis","volume":"121","author":[{"family":"Immanuel","given":"Chandra"},{"family":"Victor","given":"Lalitha"},{"family":"Chelvi","given":"K. Silambu"},{"family":"Padmapriyadarsini","given":"C."},{"family":"Rehman","given":"Fathima"},{"family":"Iliayas","given":"Sheik"},{"family":"Swaminathan","given":"Soumya"}],"issued":{"date-parts":[["2005",4]]}}}],"schema":"https://github.com/citation-style-language/schema/raw/master/csl-citation.json"} </w:instrText>
      </w:r>
      <w:r w:rsidR="00A823EC" w:rsidRPr="00C24356">
        <w:fldChar w:fldCharType="separate"/>
      </w:r>
      <w:r w:rsidR="00B41ACC" w:rsidRPr="00B41ACC">
        <w:rPr>
          <w:rFonts w:cs="Times New Roman"/>
          <w:vertAlign w:val="superscript"/>
        </w:rPr>
        <w:t>118</w:t>
      </w:r>
      <w:r w:rsidR="00A823EC" w:rsidRPr="00C24356">
        <w:fldChar w:fldCharType="end"/>
      </w:r>
      <w:r w:rsidRPr="00104360">
        <w:t xml:space="preserve">.  </w:t>
      </w:r>
      <w:r w:rsidR="004D7C17">
        <w:t>The h</w:t>
      </w:r>
      <w:r w:rsidRPr="00104360">
        <w:t>igher neopterin levels were</w:t>
      </w:r>
      <w:r w:rsidR="003B165F">
        <w:t xml:space="preserve"> associated with decreased CD4 </w:t>
      </w:r>
      <w:r w:rsidRPr="00104360">
        <w:t xml:space="preserve">cell counts within the HIV-TB co-infected </w:t>
      </w:r>
      <w:r w:rsidR="003B165F">
        <w:t>people</w:t>
      </w:r>
      <w:r w:rsidRPr="00104360">
        <w:t>, especially in individuals whose counts were less than 200/mm³. These people may have a worse prognosis and progressing HIV illness if their neopterin level</w:t>
      </w:r>
      <w:r w:rsidR="00A823EC">
        <w:t xml:space="preserve">s are consistently increased </w:t>
      </w:r>
      <w:r w:rsidR="00A823EC" w:rsidRPr="00C24356">
        <w:fldChar w:fldCharType="begin"/>
      </w:r>
      <w:r w:rsidR="00B41ACC">
        <w:instrText xml:space="preserve"> ADDIN ZOTERO_ITEM CSL_CITATION {"citationID":"WORKLBCW","properties":{"formattedCitation":"\\super 118\\nosupersub{}","plainCitation":"118","noteIndex":0},"citationItems":[{"id":848,"uris":["http://zotero.org/users/local/BfzbJtgR/items/TLBWRN4R"],"itemData":{"id":848,"type":"article-journal","abstract":"BACKGROUND &amp; OBJECTIVE: Three categories of prognostic markers are best documented as having significance in relation to prognosis of HIV infection. These include HIV viral load, CD4 T-cell levels and plasma levels of soluble markers of immune activation. The plasma activation markers, like neopterin, tumor necrosis factor alpha (TNF-alpha), interleukins etc., are products of cytokine activity and represent immunologic changes throughout the body. There is not much information available on serum neopterin estimation in patients infected with both HIV and tuberculosis (TB), though neopterin levels are known to be elevated in pulmonary TB patients. In this study we attempted to correlate neopterin levels with the presence of tuberculosis in HIV infected and uninfected individuals and studied the changes after antituberculosis treatment.\nMETHODS: Serum neopterin concentrations were measured by high performance liquid chromatography (HPLC) in 25 HIV-seropositive (HIV-TB) and 10-seronegative (TB) patients with tuberculosis before, during and at the end of antituberculosis therapy (ATT). S-neo was also measured in 10 HIV-seropositive asymptomatic individuals and 10 healthy controls. The results were correlated with clinical, bacteriological and immunological status.\nRESULTS: All TB patients regardless of HIV status had elevated s-neo concentrations at diagnosis, which declined gradually during treatment. Patients with HIV/TB with CD4 counts &lt; 200/mm(3) had the highest levels at baseline with a steep fall during treatment. The median level at the end of treatment was significantly higher in HIV/TB than in TB patients, despite clinical improvement and bacteriological clearance of Mycobacterium tuberculosis. HIV infected asymptomatic individuals had neopterin levels that were higher than healthy controls but lower than HIV-TB patients.\nINTERPRETATION &amp; CONCLUSION: Serum neopterin levels are elevated in HIV-positive patients, with the highest levels in those with tuberculosis and CD4 counts &lt; 200/mm(3). Though the levels decrease with anti tuberculosis therapy, persistently elevated levels indicate progressive HIV disease and a poor prognosis.","container-title":"The Indian Journal of Medical Research","ISSN":"0971-5916","issue":"4","journalAbbreviation":"Indian J Med Res","language":"eng","note":"PMID: 15817939","page":"220-225","source":"PubMed","title":"Serum neopterin levels in HIV infected patients with &amp; without tuberculosis","volume":"121","author":[{"family":"Immanuel","given":"Chandra"},{"family":"Victor","given":"Lalitha"},{"family":"Chelvi","given":"K. Silambu"},{"family":"Padmapriyadarsini","given":"C."},{"family":"Rehman","given":"Fathima"},{"family":"Iliayas","given":"Sheik"},{"family":"Swaminathan","given":"Soumya"}],"issued":{"date-parts":[["2005",4]]}}}],"schema":"https://github.com/citation-style-language/schema/raw/master/csl-citation.json"} </w:instrText>
      </w:r>
      <w:r w:rsidR="00A823EC" w:rsidRPr="00C24356">
        <w:fldChar w:fldCharType="separate"/>
      </w:r>
      <w:r w:rsidR="00B41ACC" w:rsidRPr="00B41ACC">
        <w:rPr>
          <w:rFonts w:cs="Times New Roman"/>
          <w:vertAlign w:val="superscript"/>
        </w:rPr>
        <w:t>118</w:t>
      </w:r>
      <w:r w:rsidR="00A823EC" w:rsidRPr="00C24356">
        <w:fldChar w:fldCharType="end"/>
      </w:r>
      <w:r w:rsidRPr="00104360">
        <w:t xml:space="preserve">. Thus, neopterin is a promising biomarker for TB diagnosis and monitoring due to its correlation with immunological response and macrophage activation, particularly in resource-limited clinical settings, where lack of sophisticated diagnostic instruments. However, it is abundant in other inflammatory responses and </w:t>
      </w:r>
      <w:r w:rsidR="00A823EC">
        <w:t>needs</w:t>
      </w:r>
      <w:r w:rsidRPr="00104360">
        <w:t xml:space="preserve"> to be interpreted carefully. To completely understand neopterin's function and usefulness in TB diagnosis and treatment, further investigation is necessary.</w:t>
      </w:r>
    </w:p>
    <w:p w:rsidR="00814437" w:rsidRDefault="00E17C31" w:rsidP="00F861EB">
      <w:pPr>
        <w:pStyle w:val="Standard"/>
        <w:spacing w:before="280" w:after="280" w:line="276" w:lineRule="auto"/>
        <w:jc w:val="both"/>
      </w:pPr>
      <w:r w:rsidRPr="00C24356">
        <w:t>Leucine-Rich Alpha-2-Glycoprotein-1</w:t>
      </w:r>
      <w:r>
        <w:t xml:space="preserve"> </w:t>
      </w:r>
      <w:r w:rsidR="00814437" w:rsidRPr="00C24356">
        <w:t>(</w:t>
      </w:r>
      <w:r>
        <w:t>LRG-1</w:t>
      </w:r>
      <w:r w:rsidR="00814437" w:rsidRPr="00C24356">
        <w:t xml:space="preserve">) is considered </w:t>
      </w:r>
      <w:r w:rsidR="006928E2" w:rsidRPr="00C24356">
        <w:t>a</w:t>
      </w:r>
      <w:r w:rsidR="00814437" w:rsidRPr="00C24356">
        <w:t xml:space="preserve"> </w:t>
      </w:r>
      <w:r>
        <w:t xml:space="preserve">remarkable diagnostic </w:t>
      </w:r>
      <w:r w:rsidR="00814437" w:rsidRPr="00C24356">
        <w:t xml:space="preserve">marker for TB and </w:t>
      </w:r>
      <w:r w:rsidR="002F64B2">
        <w:t xml:space="preserve">is </w:t>
      </w:r>
      <w:r w:rsidR="00814437" w:rsidRPr="00C24356">
        <w:t>as</w:t>
      </w:r>
      <w:r w:rsidR="00FE2243">
        <w:t>sociated with immune signaling, as i</w:t>
      </w:r>
      <w:r w:rsidR="00814437" w:rsidRPr="00C24356">
        <w:t xml:space="preserve">t </w:t>
      </w:r>
      <w:r w:rsidR="002F64B2">
        <w:t>is</w:t>
      </w:r>
      <w:r>
        <w:t xml:space="preserve"> increased</w:t>
      </w:r>
      <w:r w:rsidR="00814437" w:rsidRPr="00C24356">
        <w:t xml:space="preserve"> in active TB </w:t>
      </w:r>
      <w:r>
        <w:t>patients</w:t>
      </w:r>
      <w:r w:rsidR="00814437" w:rsidRPr="00C24356">
        <w:t xml:space="preserve">. </w:t>
      </w:r>
      <w:r w:rsidR="004468EA" w:rsidRPr="00C24356">
        <w:t xml:space="preserve">It has been </w:t>
      </w:r>
      <w:r w:rsidR="007873BC">
        <w:t>recommended</w:t>
      </w:r>
      <w:r w:rsidR="004468EA" w:rsidRPr="00C24356">
        <w:t xml:space="preserve"> that </w:t>
      </w:r>
      <w:r w:rsidR="007873BC">
        <w:t>LRG-1</w:t>
      </w:r>
      <w:r w:rsidR="004468EA" w:rsidRPr="00C24356">
        <w:t xml:space="preserve"> may be a biomarker for active tuberculosis. In reaction to inflammatory cyt</w:t>
      </w:r>
      <w:r w:rsidR="007873BC">
        <w:t>okines like interleukin-6</w:t>
      </w:r>
      <w:r w:rsidR="004468EA" w:rsidRPr="00C24356">
        <w:t xml:space="preserve">, the liver produces the acute-phase protein LRG-1. </w:t>
      </w:r>
      <w:r w:rsidR="007873BC">
        <w:t>The TNF-α</w:t>
      </w:r>
      <w:r w:rsidR="004468EA" w:rsidRPr="00C24356">
        <w:t>, IL-1β, and IL-22 all have an impact on LRG-1 synthesis, in cont</w:t>
      </w:r>
      <w:r w:rsidR="00E62996">
        <w:t>rast to C-reactive protein</w:t>
      </w:r>
      <w:r w:rsidR="004468EA" w:rsidRPr="00C24356">
        <w:t>, which is mostly generated by IL-6</w:t>
      </w:r>
      <w:r w:rsidR="00723259" w:rsidRPr="00C24356">
        <w:t xml:space="preserve"> </w:t>
      </w:r>
      <w:r w:rsidR="004468EA" w:rsidRPr="00C24356">
        <w:fldChar w:fldCharType="begin"/>
      </w:r>
      <w:r w:rsidR="00B41ACC">
        <w:instrText xml:space="preserve"> ADDIN ZOTERO_ITEM CSL_CITATION {"citationID":"mHjUtUsK","properties":{"formattedCitation":"\\super 119\\nosupersub{}","plainCitation":"119","noteIndex":0},"citationItems":[{"id":852,"uris":["http://zotero.org/users/local/BfzbJtgR/items/6NLZ4234"],"itemData":{"id":852,"type":"article-journal","abstract":"Tuberculosis (TB) caused by Mycobacterium tuberculosis (Mtb) is a global health problem. At present, prior exposure to Mtb can be determined by blood-based interferon-gamma release assay (IGRA), but active TB is not always detectable by blood tests such as CRP and ESR. This study was undertaken to investigate whether leucine-rich alpha-2 glycoprotein (LRG), a new inflammatory biomarker, could be used to assess active disease of TB. Cynomolgus macaques pretreated with or without Bacille Calmette-Guerin (BCG) vaccination were inoculated with Mtb to induce active TB. Blood was collected over time from these animals and levels of LRG as well as CRP and ESR were quantified. In the macaques without BCG vaccination, Mtb inoculation caused extensive TB and significantly increased plasma CRP and LRG levels, but not ESR. In the macaques with BCG vaccination, whereas Mtb challenge caused pulmonary TB, only LRG levels were significantly elevated. By immunohistochemical analysis of the lung, LRG was visualized in epithelioid cells and giant cells of the granulation tissue. In humans, serum LRG levels in TB patients were significantly higher than those in healthy controls and declined one month after anti-tubercular therapy. These findings suggest that LRG is a promising biomarker when performed following IGRA for the detection of active TB.","container-title":"Scientific Reports","DOI":"10.1038/s41598-020-60450-3","ISSN":"2045-2322","issue":"1","journalAbbreviation":"Sci Rep","language":"eng","note":"PMID: 32099022\nPMCID: PMC7042324","page":"3384","source":"PubMed","title":"Leucine-rich alpha 2 glycoprotein is a new marker for active disease of tuberculosis","volume":"10","author":[{"family":"Fujimoto","given":"Minoru"},{"family":"Matsumoto","given":"Tomoshige"},{"family":"Serada","given":"Satoshi"},{"family":"Tsujimura","given":"Yusuke"},{"family":"Hashimoto","given":"Shoji"},{"family":"Yasutomi","given":"Yasuhiro"},{"family":"Naka","given":"Tetsuji"}],"issued":{"date-parts":[["2020",2,25]]}}}],"schema":"https://github.com/citation-style-language/schema/raw/master/csl-citation.json"} </w:instrText>
      </w:r>
      <w:r w:rsidR="004468EA" w:rsidRPr="00C24356">
        <w:fldChar w:fldCharType="separate"/>
      </w:r>
      <w:r w:rsidR="00B41ACC" w:rsidRPr="00B41ACC">
        <w:rPr>
          <w:rFonts w:cs="Times New Roman"/>
          <w:vertAlign w:val="superscript"/>
        </w:rPr>
        <w:t>119</w:t>
      </w:r>
      <w:r w:rsidR="004468EA" w:rsidRPr="00C24356">
        <w:fldChar w:fldCharType="end"/>
      </w:r>
      <w:r w:rsidR="004468EA" w:rsidRPr="00C24356">
        <w:t xml:space="preserve">. </w:t>
      </w:r>
    </w:p>
    <w:p w:rsidR="00FD2CB3" w:rsidRDefault="00023014" w:rsidP="00F861EB">
      <w:pPr>
        <w:pStyle w:val="Standard"/>
        <w:spacing w:before="280" w:after="280" w:line="276" w:lineRule="auto"/>
        <w:jc w:val="both"/>
      </w:pPr>
      <w:r w:rsidRPr="00023014">
        <w:t xml:space="preserve">Certain strain lineages or combinations of lineages predominate in specific geographic areas, indicating that </w:t>
      </w:r>
      <w:r>
        <w:t xml:space="preserve">the genotypes of </w:t>
      </w:r>
      <w:r w:rsidRPr="00023014">
        <w:rPr>
          <w:i/>
        </w:rPr>
        <w:t>M. tb</w:t>
      </w:r>
      <w:r w:rsidRPr="00023014">
        <w:t xml:space="preserve"> strains are not distributed uniformly around </w:t>
      </w:r>
      <w:r>
        <w:t>the world</w:t>
      </w:r>
      <w:r w:rsidRPr="00023014">
        <w:t xml:space="preserve">. This conclusion can be explained by the fact that evolutionary selection pressure results from long-term host-pathogen contact and is influenced by both host and bacterial genetics. Variability in both host and bacterial parameters is expected to affect the interaction between bacteria and the host immune system, which is likely to determine the outcome of the </w:t>
      </w:r>
      <w:r w:rsidR="00AF392F">
        <w:t>disease</w:t>
      </w:r>
      <w:r w:rsidR="00AF392F">
        <w:fldChar w:fldCharType="begin"/>
      </w:r>
      <w:r w:rsidR="00AF392F">
        <w:instrText xml:space="preserve"> ADDIN ZOTERO_ITEM CSL_CITATION {"citationID":"4rsjc6KD","properties":{"formattedCitation":"\\super 120\\nosupersub{}","plainCitation":"120","noteIndex":0},"citationItems":[{"id":1172,"uris":["http://zotero.org/users/local/BfzbJtgR/items/DSQINB7K"],"itemData":{"id":1172,"type":"book","title":"The innate immune response to Mycobacterium tuberculosis is dependent on strain lineage and on host population","URL":"DOI: 10.13140/RG.2.2.20667.69929","author":[{"family":"Sarkar","given":"Rajesh"}],"issued":{"date-parts":[["2013"]]}}}],"schema":"https://github.com/citation-style-language/schema/raw/master/csl-citation.json"} </w:instrText>
      </w:r>
      <w:r w:rsidR="00AF392F">
        <w:fldChar w:fldCharType="separate"/>
      </w:r>
      <w:r w:rsidR="00AF392F" w:rsidRPr="00AF392F">
        <w:rPr>
          <w:rFonts w:cs="Times New Roman"/>
          <w:vertAlign w:val="superscript"/>
        </w:rPr>
        <w:t>120</w:t>
      </w:r>
      <w:r w:rsidR="00AF392F">
        <w:fldChar w:fldCharType="end"/>
      </w:r>
      <w:r w:rsidRPr="00023014">
        <w:t>.</w:t>
      </w:r>
      <w:r>
        <w:t xml:space="preserve"> Several studies have </w:t>
      </w:r>
      <w:r>
        <w:lastRenderedPageBreak/>
        <w:t xml:space="preserve">already </w:t>
      </w:r>
      <w:r w:rsidR="00C715B9">
        <w:t>shown</w:t>
      </w:r>
      <w:r>
        <w:t xml:space="preserve"> variation in inflammatory cytokine response amongst East-Asian</w:t>
      </w:r>
      <w:r w:rsidR="003F15CA">
        <w:t xml:space="preserve"> (Beijing strains)</w:t>
      </w:r>
      <w:r>
        <w:t xml:space="preserve"> stra</w:t>
      </w:r>
      <w:r w:rsidR="00C715B9">
        <w:t>ins of sub-lineages 3, 4 and 5, and i</w:t>
      </w:r>
      <w:r>
        <w:t>t could be attribute</w:t>
      </w:r>
      <w:r w:rsidR="003F15CA">
        <w:t>d to pks1-15 intact pgl-tb</w:t>
      </w:r>
      <w:r w:rsidR="002D7AB7">
        <w:t xml:space="preserve"> production</w:t>
      </w:r>
      <w:r w:rsidR="003F15CA">
        <w:t xml:space="preserve"> </w:t>
      </w:r>
      <w:r w:rsidRPr="003F15CA">
        <w:rPr>
          <w:i/>
        </w:rPr>
        <w:t>in vitro</w:t>
      </w:r>
      <w:r>
        <w:t xml:space="preserve"> macrophages and animal studies</w:t>
      </w:r>
      <w:r w:rsidR="001C1263">
        <w:fldChar w:fldCharType="begin"/>
      </w:r>
      <w:r w:rsidR="00AF392F">
        <w:instrText xml:space="preserve"> ADDIN ZOTERO_ITEM CSL_CITATION {"citationID":"a3NAVnel","properties":{"formattedCitation":"\\super 121\\uc0\\u8211{}125\\nosupersub{}","plainCitation":"121–125","noteIndex":0},"citationItems":[{"id":1173,"uris":["http://zotero.org/users/local/BfzbJtgR/items/NQB6K3JK"],"itemData":{"id":1173,"type":"article-journal","abstract":"BACKGROUND: Strains of Mycobacterium tuberculosis vary in virulence. Strains that have caused outbreaks in the United States and United Kingdom have been shown to subvert the innate immune response as a potential immune evasion mechanism. There is, however, little information available as to whether these patterns of immune subversion are features of individual strains or characteristic of broad clonal lineages of M. tuberculosis.\nMETHODS: Strains from two major modern lineages (lineage 2 [East-Asian] and lineage 4 [Euro-American]) circulating in the Western Cape in South Africa as well as a comparator modern lineage (lineage 3 [CAS/Delhi]) were identified. We assessed two virulence associated characteristics: mycobacterial growth (in liquid broth and monocyte derived macrophages) and early pro-inflammatory cytokine induction.\nRESULTS: In liquid culture, Lineage 4 strains grew more rapidly and reached higher plateau levels than other strains (lineage 4 vs. lineage 2 p=0.0024; lineage 4 vs. lineage 3 p=0.0005). Lineage 3 strains were characterized by low and early plateau levels, while lineage 2 strains showed an intermediate growth phenotype. In monocyte-derived macrophages, lineage 2 strains grew faster than lineage 3 strains (p&lt;0.01) with lineage 4 strains having an intermediate phenotype. Lineage 2 strains induced the lowest levels of pro-inflammatory TNF and IL-12p40 as compared to other lineages (lineage 2: median TNF 362 pg/ml, IL-12p40 91 pg/ml; lineage 3: median TNF 1818 pg/ml, IL-12p40 123 pg/ml; lineage 4: median TNF 1207 pg/ml, IL-12p40 205 pg/ml;). In contrast, lineage 4 strains induced high levels of IL-12p40 and intermediate level of TNF. Lineage 3 strains induced high levels of TNF and intermediate levels of IL-12p40.\nCONCLUSIONS: Strains of M. tuberculosis from the three major modern strain lineages possess distinct patterns of growth and cytokine induction. Rapid growth and immune subversion may be key characteristics to the success of these strains in different human populations.","container-title":"PloS One","DOI":"10.1371/journal.pone.0043170","ISSN":"1932-6203","issue":"8","journalAbbreviation":"PLoS One","language":"eng","note":"PMID: 22916219\nPMCID: PMC3420893","page":"e43170","source":"PubMed","title":"Modern lineages of Mycobacterium tuberculosis exhibit lineage-specific patterns of growth and cytokine induction in human monocyte-derived macrophages","volume":"7","author":[{"family":"Sarkar","given":"Rajesh"},{"family":"Lenders","given":"Laura"},{"family":"Wilkinson","given":"Katalin A."},{"family":"Wilkinson","given":"Robert J."},{"family":"Nicol","given":"Mark P."}],"issued":{"date-parts":[["2012"]]}}},{"id":1178,"uris":["http://zotero.org/users/local/BfzbJtgR/items/Q2A82NHM"],"itemData":{"id":1178,"type":"article-journal","abstract":"Fifty million new infections with Mycobacterium tuberculosis occur annually, claiming 2-3 million lives from tuberculosis worldwide. Despite the apparent lack of significant genetic heterogeneity between strains of M. tuberculosis, there is mounting evidence that considerable heterogeneity exists in molecules important in disease pathogenesis. These differences may manifest in the ability of some isolates to modify the host cellular immune response, thereby contributing to the observed diversity of clinical outcomes. Here we describe the identification and functional relevance of a highly biologically active lipid species-a polyketide synthase-derived phenolic glycolipid (PGL) produced by a subset of M. tuberculosis isolates belonging to the W-Beijing family that show 'hyperlethality' in murine disease models. Disruption of PGL synthesis results in loss of this hypervirulent phenotype without significantly affecting bacterial load during disease. Loss of PGL was found to correlate with an increase in the release of the pro-inflammatory cytokines tumour-necrosis factor-alpha and interleukins 6 and 12 in vitro. Furthermore, the overproduction of PGL by M. tuberculosis or the addition of purified PGL to monocyte-derived macrophages was found to inhibit the release of these pro-inflammatory mediators in a dose-dependent manner.","container-title":"Nature","DOI":"10.1038/nature02837","ISSN":"1476-4687","issue":"7004","journalAbbreviation":"Nature","language":"eng","note":"PMID: 15343336","page":"84-87","source":"PubMed","title":"A glycolipid of hypervirulent tuberculosis strains that inhibits the innate immune response","volume":"431","author":[{"family":"Reed","given":"Michael B."},{"family":"Domenech","given":"Pilar"},{"family":"Manca","given":"Claudia"},{"family":"Su","given":"Hua"},{"family":"Barczak","given":"Amy K."},{"family":"Kreiswirth","given":"Barry N."},{"family":"Kaplan","given":"Gilla"},{"family":"Barry","given":"Clifton E."}],"issued":{"date-parts":[["2004",9,2]]}}},{"id":1180,"uris":["http://zotero.org/users/local/BfzbJtgR/items/CS9JI454"],"itemData":{"id":1180,"type":"article-journal","abstract":"In infection experiments with genetically distinct Mycobacterium tuberculosis complex (MTBC) strains, we identified clade-specific virulence patterns in human primary macrophages and in mice infected by the aerosol route, both reflecting relevant model systems. Exclusively human-adapted M. tuberculosis lineages, also termed clade I, comprising \"modern\" lineages, such as Beijing and Euro-American Haarlem strains, showed a significantly enhanced capability to grow compared to that of clade II strains, which include \"ancient\" lineages, such as, e.g., East African Indian or M. africanum strains. However, a simple correlation of inflammatory response profiles with strain virulence was not apparent. Overall, our data reveal three different pathogenic profiles: (i) strains of the Beijing lineage are characterized by low uptake, low cytokine induction, and a high replicative potential, (ii) strains of the Haarlem lineage by high uptake, high cytokine induction, and high growth rates, and (iii) EAI strains by low uptake, low cytokine induction, and a low replicative potential. Our findings have significant implications for our understanding of host-pathogen interaction and factors that modulate the outcomes of infections. Future studies addressing the underlying mechanisms and clinical implications need to take into account the diversity of both the pathogen and the host.\nIMPORTANCE: Clinical strains of the Mycobacterium tuberculosis complex (MTBC) are genetically more diverse than previously anticipated. Our analysis of mycobacterial growth characteristics in primary human macrophages and aerogenically infected mice shows that the MTBC genetic differences translate into pathogenic differences in the interaction with the host. Our study reveals for the first time that \"TB is not TB,\" if put in plain terms. We are convinced that it is very unlikely that a single molecular mechanism may explain the observed effects. Our study refutes the hypothesis that there is a simple correlation between cytokine induction as a single functional parameter of host interaction and mycobacterial virulence. Instead, careful consideration of strain- and lineage-specific characteristics must guide our attempts to decipher what determines the pathological potential and thus the outcomes of infection with MTBC, one of the most important human pathogens.","container-title":"mBio","DOI":"10.1128/mBio.00250-13","ISSN":"2150-7511","issue":"4","journalAbbreviation":"mBio","language":"eng","note":"PMID: 23900170\nPMCID: PMC3735190","page":"e00250-13","source":"PubMed","title":"Clade-specific virulence patterns of Mycobacterium tuberculosis complex strains in human primary macrophages and aerogenically infected mice","volume":"4","author":[{"family":"Reiling","given":"Norbert"},{"family":"Homolka","given":"Susanne"},{"family":"Walter","given":"Kerstin"},{"family":"Brandenburg","given":"Julius"},{"family":"Niwinski","given":"Lisa"},{"family":"Ernst","given":"Martin"},{"family":"Herzmann","given":"Christian"},{"family":"Lange","given":"Christoph"},{"family":"Diel","given":"Roland"},{"family":"Ehlers","given":"Stefan"},{"family":"Niemann","given":"Stefan"}],"issued":{"date-parts":[["2013",7,30]]}}},{"id":1183,"uris":["http://zotero.org/users/local/BfzbJtgR/items/489U7HJP"],"itemData":{"id":1183,"type":"article-journal","abstract":"To understand how virulent mycobacteria subvert host immunity and establish disease, we examined the differential response of mice to infection with various human outbreak Mycobacterium tuberculosis clinical isolates. One clinical isolate, HN878, was found to be hypervirulent, as demonstrated by unusually early death of infected immune-competent mice, compared with infection with other clinical isolates. The differential effect on survival required lymphocyte function because severe combined immunodeficiency (SCID) mice infected with HN878 or other clinical isolates all died at the same rate. The hypervirulence of HN878 was associated with failure to induce M. tuberculosis-specific proliferation and IFN-gamma production by spleen and lymph node cells from infected mice. In addition, 2- to 4-fold lower levels of tumor necrosis factor-alpha (TNF-alpha), IL-6, IL-12, and IFN-gamma mRNAs were observed in lungs of HN878-infected mice. IL-10, IL-4, and IL-5 mRNA levels were not significantly elevated in lungs of HN878 infected mice. In contrast, IFN-alpha mRNA levels were significantly higher in lungs of these mice. To further investigate the role of Type 1 IFNs, mice infected with HN878 were treated intranasally with purified IFN-alpha/beta. The treatment resulted in increased lung bacillary loads and even further reduced survival. These results suggest that the hypervirulence of HN878 may be due to failure of this strain to stimulate Th1 type immunity. In addition, the lack of development of Th1 immunity in response to HN878 appears to be associated with increased induction of Type 1 IFNs.","container-title":"Proceedings of the National Academy of Sciences of the United States of America","DOI":"10.1073/pnas.091096998","ISSN":"0027-8424","issue":"10","journalAbbreviation":"Proc Natl Acad Sci U S A","language":"eng","note":"PMID: 11320211\nPMCID: PMC33285","page":"5752-5757","source":"PubMed","title":"Virulence of a Mycobacterium tuberculosis clinical isolate in mice is determined by failure to induce Th1 type immunity and is associated with induction of IFN-alpha /beta","volume":"98","author":[{"family":"Manca","given":"C."},{"family":"Tsenova","given":"L."},{"family":"Bergtold","given":"A."},{"family":"Freeman","given":"S."},{"family":"Tovey","given":"M."},{"family":"Musser","given":"J. M."},{"family":"Barry","given":"C. E."},{"family":"Freedman","given":"V. H."},{"family":"Kaplan","given":"G."}],"issued":{"date-parts":[["2001",5,8]]}}},{"id":1193,"uris":["http://zotero.org/users/local/BfzbJtgR/items/8LG3M2FE"],"itemData":{"id":1193,"type":"article-journal","container-title":"PLoS ONE","DOI":"10.1371/journal.pone.0013594","ISSN":"1932-6203","issue":"10","journalAbbreviation":"PLoS ONE","language":"en","page":"e13594","source":"DOI.org (Crossref)","title":"Innate Immune Response to Mycobacterium tuberculosis Beijing and Other Genotypes","volume":"5","author":[{"family":"Wang","given":"Chongzhen"},{"family":"Peyron","given":"Pascale"},{"family":"Mestre","given":"Olga"},{"family":"Kaplan","given":"Gilla"},{"family":"Van Soolingen","given":"Dick"},{"family":"Gao","given":"Qian"},{"family":"Gicquel","given":"Brigitte"},{"family":"Neyrolles","given":"Olivier"}],"editor":[{"family":"Ahmed","given":"Niyaz"}],"issued":{"date-parts":[["2010",10,25]]}}}],"schema":"https://github.com/citation-style-language/schema/raw/master/csl-citation.json"} </w:instrText>
      </w:r>
      <w:r w:rsidR="001C1263">
        <w:fldChar w:fldCharType="separate"/>
      </w:r>
      <w:r w:rsidR="00AF392F" w:rsidRPr="00AF392F">
        <w:rPr>
          <w:rFonts w:cs="Times New Roman"/>
          <w:vertAlign w:val="superscript"/>
        </w:rPr>
        <w:t>121–125</w:t>
      </w:r>
      <w:r w:rsidR="001C1263">
        <w:fldChar w:fldCharType="end"/>
      </w:r>
      <w:r>
        <w:t>.</w:t>
      </w:r>
      <w:r w:rsidR="00C715B9">
        <w:t xml:space="preserve"> </w:t>
      </w:r>
      <w:r w:rsidR="00C715B9" w:rsidRPr="00C715B9">
        <w:t>In mice's lungs, the lineage 4-outbreak strain (Euro-American), CDC1551, produced</w:t>
      </w:r>
      <w:r w:rsidR="00C715B9">
        <w:t xml:space="preserve"> elevated TNF-α, IFN-</w:t>
      </w:r>
      <w:r w:rsidR="00C715B9">
        <w:rPr>
          <w:rFonts w:ascii="Times New Roman" w:hAnsi="Times New Roman" w:cs="Times New Roman"/>
        </w:rPr>
        <w:t>ϒ</w:t>
      </w:r>
      <w:r w:rsidR="00C715B9">
        <w:t>, IL-12, IL-10, and IL-6 mRNA</w:t>
      </w:r>
      <w:r w:rsidR="00C715B9">
        <w:fldChar w:fldCharType="begin"/>
      </w:r>
      <w:r w:rsidR="00AF392F">
        <w:instrText xml:space="preserve"> ADDIN ZOTERO_ITEM CSL_CITATION {"citationID":"GuuOFsdS","properties":{"formattedCitation":"\\super 126\\nosupersub{}","plainCitation":"126","noteIndex":0},"citationItems":[{"id":1195,"uris":["http://zotero.org/users/local/BfzbJtgR/items/X2847ZCN"],"itemData":{"id":1195,"type":"article-journal","abstract":"To understand how virulent mycobacteria subvert host immunity and establish disease, we examined the differential response of mice to infection with various human outbreak Mycobacterium tuberculosis clinical isolates. One clinical isolate, HN878, was found to be hypervirulent, as demonstrated by unusually early death of infected immune-competent mice, compared with infection with other clinical isolates. The differential effect on survival required lymphocyte function because severe combined immunodeficiency (SCID) mice infected with HN878 or other clinical isolates all died at the same rate. The hypervirulence of HN878 was associated with failure to induce M. tuberculosis-specific proliferation and IFN-gamma production by spleen and lymph node cells from infected mice. In addition, 2- to 4-fold lower levels of tumor necrosis factor-alpha (TNF-alpha), IL-6, IL-12, and IFN-gamma mRNAs were observed in lungs of HN878-infected mice. IL-10, IL-4, and IL-5 mRNA levels were not significantly elevated in lungs of HN878 infected mice. In contrast, IFN-alpha mRNA levels were significantly higher in lungs of these mice. To further investigate the role of Type 1 IFNs, mice infected with HN878 were treated intranasally with purified IFN-alpha/beta. The treatment resulted in increased lung bacillary loads and even further reduced survival. These results suggest that the hypervirulence of HN878 may be due to failure of this strain to stimulate Th1 type immunity. In addition, the lack of development of Th1 immunity in response to HN878 appears to be associated with increased induction of Type 1 IFNs.","container-title":"Proceedings of the National Academy of Sciences of the United States of America","DOI":"10.1073/pnas.091096998","ISSN":"0027-8424","issue":"10","journalAbbreviation":"Proc Natl Acad Sci U S A","language":"eng","note":"PMID: 11320211\nPMCID: PMC33285","page":"5752-5757","source":"PubMed","title":"Virulence of a Mycobacterium tuberculosis clinical isolate in mice is determined by failure to induce Th1 type immunity and is associated with induction of IFN-alpha /beta","volume":"98","author":[{"family":"Manca","given":"C."},{"family":"Tsenova","given":"L."},{"family":"Bergtold","given":"A."},{"family":"Freeman","given":"S."},{"family":"Tovey","given":"M."},{"family":"Musser","given":"J. M."},{"family":"Barry","given":"C. E."},{"family":"Freedman","given":"V. H."},{"family":"Kaplan","given":"G."}],"issued":{"date-parts":[["2001",5,8]]}}}],"schema":"https://github.com/citation-style-language/schema/raw/master/csl-citation.json"} </w:instrText>
      </w:r>
      <w:r w:rsidR="00C715B9">
        <w:fldChar w:fldCharType="separate"/>
      </w:r>
      <w:r w:rsidR="00AF392F" w:rsidRPr="00AF392F">
        <w:rPr>
          <w:rFonts w:cs="Times New Roman"/>
          <w:vertAlign w:val="superscript"/>
        </w:rPr>
        <w:t>126</w:t>
      </w:r>
      <w:r w:rsidR="00C715B9">
        <w:fldChar w:fldCharType="end"/>
      </w:r>
      <w:r w:rsidR="00C715B9" w:rsidRPr="00C715B9">
        <w:t xml:space="preserve">. On the other hand, the Beijing lineage 2 outbreak strain, HN878, which killed mice early, produced a change from Th1 to Th2 cytokine production by inducing decreased levels </w:t>
      </w:r>
      <w:r w:rsidR="00C715B9">
        <w:t>of TNF-α, IL-6, IL-12, and IFN-</w:t>
      </w:r>
      <w:r w:rsidR="00C715B9">
        <w:rPr>
          <w:rFonts w:ascii="Times New Roman" w:hAnsi="Times New Roman" w:cs="Times New Roman"/>
        </w:rPr>
        <w:t>ϒ</w:t>
      </w:r>
      <w:r w:rsidR="00C715B9" w:rsidRPr="00C715B9">
        <w:t xml:space="preserve"> mRNA in the lungs while considerably increasing levels of IL-10, IL-4, and IL-5 mRNA</w:t>
      </w:r>
      <w:r w:rsidR="00C715B9">
        <w:fldChar w:fldCharType="begin"/>
      </w:r>
      <w:r w:rsidR="00AF392F">
        <w:instrText xml:space="preserve"> ADDIN ZOTERO_ITEM CSL_CITATION {"citationID":"BOcJCELN","properties":{"formattedCitation":"\\super 127,128\\nosupersub{}","plainCitation":"127,128","noteIndex":0},"citationItems":[{"id":1188,"uris":["http://zotero.org/users/local/BfzbJtgR/items/LZLL8NQT"],"itemData":{"id":1188,"type":"article-journal","abstract":"To understand how virulent mycobacteria subvert host immunity and establish disease, we examined the differential response of mice to infection with various human outbreak Mycobacterium tuberculosis clinical isolates. One clinical isolate, HN878, was found to be hypervirulent, as demonstrated by unusually early death of infected immune-competent mice, compared with infection with other clinical isolates. The differential effect on survival required lymphocyte function because severe combined immunodeficiency (SCID) mice infected with HN878 or other clinical isolates all died at the same rate. The hypervirulence of HN878 was associated with failure to induce M. tuberculosis-specific proliferation and IFN-gamma production by spleen and lymph node cells from infected mice. In addition, 2- to 4-fold lower levels of tumor necrosis factor-alpha (TNF-alpha), IL-6, IL-12, and IFN-gamma mRNAs were observed in lungs of HN878-infected mice. IL-10, IL-4, and IL-5 mRNA levels were not significantly elevated in lungs of HN878 infected mice. In contrast, IFN-alpha mRNA levels were significantly higher in lungs of these mice. To further investigate the role of Type 1 IFNs, mice infected with HN878 were treated intranasally with purified IFN-alpha/beta. The treatment resulted in increased lung bacillary loads and even further reduced survival. These results suggest that the hypervirulence of HN878 may be due to failure of this strain to stimulate Th1 type immunity. In addition, the lack of development of Th1 immunity in response to HN878 appears to be associated with increased induction of Type 1 IFNs.","container-title":"Proceedings of the National Academy of Sciences of the United States of America","DOI":"10.1073/pnas.091096998","ISSN":"0027-8424","issue":"10","journalAbbreviation":"Proc Natl Acad Sci U S A","language":"eng","note":"PMID: 11320211\nPMCID: PMC33285","page":"5752-5757","source":"PubMed","title":"Virulence of a Mycobacterium tuberculosis clinical isolate in mice is determined by failure to induce Th1 type immunity and is associated with induction of IFN-alpha /beta","volume":"98","author":[{"family":"Manca","given":"C."},{"family":"Tsenova","given":"L."},{"family":"Bergtold","given":"A."},{"family":"Freeman","given":"S."},{"family":"Tovey","given":"M."},{"family":"Musser","given":"J. M."},{"family":"Barry","given":"C. E."},{"family":"Freedman","given":"V. H."},{"family":"Kaplan","given":"G."}],"issued":{"date-parts":[["2001",5,8]]}}},{"id":1191,"uris":["http://zotero.org/users/local/BfzbJtgR/items/WFV5RFDM"],"itemData":{"id":1191,"type":"article-journal","abstract":"The role of type I interferons (IFNs) in the host response to bacterial infections is controversial. Here, we examined the role of IFN-alpha/beta in the murine response to infection with Mycobacterium tuberculosis, using wildtype mice, mice with impaired signaling through the type I IFN receptor (IFNAR), and mice treated to reduce levels of type I IFNs. In this study, we used virulent clinical isolates of M. tuberculosis, including HN878, W4, and CDC1551. Our results indicate that higher levels of type I IFNs are induced by the HN878 and W4 strains. Induction of type I IFNs was associated with lower levels of tumor necrosis factor-alpha (TNF-alpha) and interleukin- 12 (IL-12) and reduced T cell activation, and associated with decreased survival of the mice infected with HN878 or W4 relative to infection with CDC1551. Infection of mice with HN878 and W4 was also associated with relatively higher levels of mRNA for a number of negative regulators of the Jak-Stat signaling pathway, such as suppressors of cytokine signaling (SOCS) 1, 4, and 5, CD45, protein inhibitor of activated Stat1 (PIAS1), protein tyrosine phosphatase nonreceptor type 1 (Ptpn1), and protein tyrosine phosphatase nonreceptor type substrate 1 (Ptpns1). Taken together, these results suggest that increased type I IFNs may be deleterious for survival of M. tuberculosis-infected mice in association with reduced Th1 immunity.","container-title":"Journal of Interferon &amp; Cytokine Research: The Official Journal of the International Society for Interferon and Cytokine Research","DOI":"10.1089/jir.2005.25.694","ISSN":"1079-9907","issue":"11","journalAbbreviation":"J Interferon Cytokine Res","language":"eng","note":"PMID: 16318583","page":"694-701","source":"PubMed","title":"Hypervirulent M. tuberculosis W/Beijing strains upregulate type I IFNs and increase expression of negative regulators of the Jak-Stat pathway","volume":"25","author":[{"family":"Manca","given":"Claudia"},{"family":"Tsenova","given":"Liana"},{"family":"Freeman","given":"Sherry"},{"family":"Barczak","given":"Amy K."},{"family":"Tovey","given":"Michael"},{"family":"Murray","given":"Peter J."},{"family":"Barry","given":"Clifton"},{"family":"Kaplan","given":"Gilla"}],"issued":{"date-parts":[["2005",11]]}}}],"schema":"https://github.com/citation-style-language/schema/raw/master/csl-citation.json"} </w:instrText>
      </w:r>
      <w:r w:rsidR="00C715B9">
        <w:fldChar w:fldCharType="separate"/>
      </w:r>
      <w:r w:rsidR="00AF392F" w:rsidRPr="00AF392F">
        <w:rPr>
          <w:rFonts w:cs="Times New Roman"/>
          <w:vertAlign w:val="superscript"/>
        </w:rPr>
        <w:t>127,128</w:t>
      </w:r>
      <w:r w:rsidR="00C715B9">
        <w:fldChar w:fldCharType="end"/>
      </w:r>
      <w:r w:rsidR="00C715B9">
        <w:t>.</w:t>
      </w:r>
      <w:r w:rsidR="00EA31F3">
        <w:t xml:space="preserve"> </w:t>
      </w:r>
    </w:p>
    <w:p w:rsidR="00023014" w:rsidRPr="00C24356" w:rsidRDefault="00023014" w:rsidP="00F861EB">
      <w:pPr>
        <w:pStyle w:val="Standard"/>
        <w:spacing w:before="280" w:after="280" w:line="276" w:lineRule="auto"/>
        <w:jc w:val="both"/>
      </w:pPr>
      <w:r>
        <w:t xml:space="preserve"> </w:t>
      </w:r>
      <w:r w:rsidR="00FD2CB3" w:rsidRPr="00FD2CB3">
        <w:t>In Leicester, UK, a TB outbreak among schoolchildren was brought on by the lineage 3 (CAS) strain CH. Within a year</w:t>
      </w:r>
      <w:r w:rsidR="00FD2CB3">
        <w:t>,</w:t>
      </w:r>
      <w:r w:rsidR="00FD2CB3" w:rsidRPr="00FD2CB3">
        <w:t xml:space="preserve"> 140 CH was linked to 77 occurrences of active pulmonary tuberculosis and 254 cases of latent tuberculosis infection. Compared to H37Rv, CH-infected MDMs</w:t>
      </w:r>
      <w:r w:rsidR="00EF41A2">
        <w:t xml:space="preserve"> (monocyte-derived macrophages)</w:t>
      </w:r>
      <w:r w:rsidR="00EF41A2" w:rsidRPr="00FD2CB3">
        <w:t xml:space="preserve"> </w:t>
      </w:r>
      <w:r w:rsidR="00FD2CB3" w:rsidRPr="00FD2CB3">
        <w:t>produced more anti-inflammatory IL-10 and less protective IL12p40.</w:t>
      </w:r>
      <w:r w:rsidR="00747690">
        <w:t xml:space="preserve"> Additionally, CH caused MDMs </w:t>
      </w:r>
      <w:r w:rsidR="00FD2CB3" w:rsidRPr="00FD2CB3">
        <w:t>to express more IL-10 mRNA. This immunological phenotype was partially attributed to an Rv1519 deletion. Since lineage 3 strains share the Rv1519 deletion, the immune-subversiv</w:t>
      </w:r>
      <w:r w:rsidR="00FD2CB3">
        <w:t>e phenotype</w:t>
      </w:r>
      <w:r w:rsidR="00FD2CB3">
        <w:fldChar w:fldCharType="begin"/>
      </w:r>
      <w:r w:rsidR="00AF392F">
        <w:instrText xml:space="preserve"> ADDIN ZOTERO_ITEM CSL_CITATION {"citationID":"dEnHpdSr","properties":{"formattedCitation":"\\super 121,129\\nosupersub{}","plainCitation":"121,129","noteIndex":0},"citationItems":[{"id":1173,"uris":["http://zotero.org/users/local/BfzbJtgR/items/NQB6K3JK"],"itemData":{"id":1173,"type":"article-journal","abstract":"BACKGROUND: Strains of Mycobacterium tuberculosis vary in virulence. Strains that have caused outbreaks in the United States and United Kingdom have been shown to subvert the innate immune response as a potential immune evasion mechanism. There is, however, little information available as to whether these patterns of immune subversion are features of individual strains or characteristic of broad clonal lineages of M. tuberculosis.\nMETHODS: Strains from two major modern lineages (lineage 2 [East-Asian] and lineage 4 [Euro-American]) circulating in the Western Cape in South Africa as well as a comparator modern lineage (lineage 3 [CAS/Delhi]) were identified. We assessed two virulence associated characteristics: mycobacterial growth (in liquid broth and monocyte derived macrophages) and early pro-inflammatory cytokine induction.\nRESULTS: In liquid culture, Lineage 4 strains grew more rapidly and reached higher plateau levels than other strains (lineage 4 vs. lineage 2 p=0.0024; lineage 4 vs. lineage 3 p=0.0005). Lineage 3 strains were characterized by low and early plateau levels, while lineage 2 strains showed an intermediate growth phenotype. In monocyte-derived macrophages, lineage 2 strains grew faster than lineage 3 strains (p&lt;0.01) with lineage 4 strains having an intermediate phenotype. Lineage 2 strains induced the lowest levels of pro-inflammatory TNF and IL-12p40 as compared to other lineages (lineage 2: median TNF 362 pg/ml, IL-12p40 91 pg/ml; lineage 3: median TNF 1818 pg/ml, IL-12p40 123 pg/ml; lineage 4: median TNF 1207 pg/ml, IL-12p40 205 pg/ml;). In contrast, lineage 4 strains induced high levels of IL-12p40 and intermediate level of TNF. Lineage 3 strains induced high levels of TNF and intermediate levels of IL-12p40.\nCONCLUSIONS: Strains of M. tuberculosis from the three major modern strain lineages possess distinct patterns of growth and cytokine induction. Rapid growth and immune subversion may be key characteristics to the success of these strains in different human populations.","container-title":"PloS One","DOI":"10.1371/journal.pone.0043170","ISSN":"1932-6203","issue":"8","journalAbbreviation":"PLoS One","language":"eng","note":"PMID: 22916219\nPMCID: PMC3420893","page":"e43170","source":"PubMed","title":"Modern lineages of Mycobacterium tuberculosis exhibit lineage-specific patterns of growth and cytokine induction in human monocyte-derived macrophages","volume":"7","author":[{"family":"Sarkar","given":"Rajesh"},{"family":"Lenders","given":"Laura"},{"family":"Wilkinson","given":"Katalin A."},{"family":"Wilkinson","given":"Robert J."},{"family":"Nicol","given":"Mark P."}],"issued":{"date-parts":[["2012"]]}}},{"id":1200,"uris":["http://zotero.org/users/local/BfzbJtgR/items/GX85K7EC"],"itemData":{"id":1200,"type":"article-journal","abstract":"Six major lineages of\n              Mycobacterium tuberculosis\n              appear preferentially transmitted amongst distinct ethnic groups. We identified a deletion affecting\n              Rv1519\n              in CH, a strain isolated from a large outbreak in Leicester U.K., that coincidentally defines the East African-Indian lineage matching a major ethnic group in this city. In broth media, CH grew less rapidly and was less acidic and H\n              2\n              O\n              2\n              -tolerant than reference sequenced strains (CDC1551 and H37Rv). Nevertheless, CH was not impaired in its ability to grow in human monocyte-derived macrophages. When compared with CDC1551 and H37Rv, CH induced less protective IL-12p40 and more antiinflammatory IL-10 and IL-6 gene transcription and secretion from monocyte-derived macrophages. It thus appears that CH compensates microbiological attenuation by skewing the innate response toward phagocyte deactivation. Complementation of\n              Rv1519\n              , but none of nine additional genes absent from CH compared with the type strain, H37Rv, reversed the capacity of CH to elicit antiinflammatory IL-10 production by macrophages. The\n              Rv1519\n              polymorphism in\n              M. tuberculosis\n              confers an immune subverting phenotype that contributes to the persistence and outbreak potential of this lineage.","container-title":"Proceedings of the National Academy of Sciences","DOI":"10.1073/pnas.0604283103","ISSN":"0027-8424, 1091-6490","issue":"42","journalAbbreviation":"Proc. Natl. Acad. Sci. U.S.A.","language":"en","page":"15594-15598","source":"DOI.org (Crossref)","title":"A deletion defining a common Asian lineage of &lt;i&gt;Mycobacterium tuberculosis&lt;/i&gt; associates with immune subversion","volume":"103","author":[{"family":"Newton","given":"Sandra M."},{"family":"Smith","given":"Rebecca J."},{"family":"Wilkinson","given":"Katalin A."},{"family":"Nicol","given":"Mark P."},{"family":"Garton","given":"Natalie J."},{"family":"Staples","given":"Karl J."},{"family":"Stewart","given":"Graham R."},{"family":"Wain","given":"John R."},{"family":"Martineau","given":"Adrian R."},{"family":"Fandrich","given":"Sarah"},{"family":"Smallie","given":"Timothy"},{"family":"Foxwell","given":"Brian"},{"family":"Al-Obaidi","given":"Ahmed"},{"family":"Shafi","given":"Jamila"},{"family":"Rajakumar","given":"Kumar"},{"family":"Kampmann","given":"Beate"},{"family":"Andrew","given":"Peter W."},{"family":"Ziegler-Heitbrock","given":"Loems"},{"family":"Barer","given":"Michael R."},{"family":"Wilkinson","given":"Robert J."}],"issued":{"date-parts":[["2006",10,17]]}}}],"schema":"https://github.com/citation-style-language/schema/raw/master/csl-citation.json"} </w:instrText>
      </w:r>
      <w:r w:rsidR="00FD2CB3">
        <w:fldChar w:fldCharType="separate"/>
      </w:r>
      <w:r w:rsidR="00AF392F" w:rsidRPr="00AF392F">
        <w:rPr>
          <w:rFonts w:cs="Times New Roman"/>
          <w:vertAlign w:val="superscript"/>
        </w:rPr>
        <w:t>121,129</w:t>
      </w:r>
      <w:r w:rsidR="00FD2CB3">
        <w:fldChar w:fldCharType="end"/>
      </w:r>
      <w:r w:rsidR="00FD2CB3" w:rsidRPr="00FD2CB3">
        <w:t>.</w:t>
      </w:r>
      <w:r w:rsidR="00FD2CB3">
        <w:t xml:space="preserve"> </w:t>
      </w:r>
      <w:r w:rsidR="00C715B9">
        <w:t>Notably</w:t>
      </w:r>
      <w:r w:rsidR="003F15CA">
        <w:t>, v</w:t>
      </w:r>
      <w:r w:rsidR="003F15CA" w:rsidRPr="003F15CA">
        <w:t>ariable macrophage responses in Tanzanian tuberculosis patients are dominated by bacterial diversity</w:t>
      </w:r>
      <w:r w:rsidR="003F15CA">
        <w:fldChar w:fldCharType="begin"/>
      </w:r>
      <w:r w:rsidR="00AF392F">
        <w:instrText xml:space="preserve"> ADDIN ZOTERO_ITEM CSL_CITATION {"citationID":"Efnx4PkP","properties":{"formattedCitation":"\\super 130\\nosupersub{}","plainCitation":"130","noteIndex":0},"citationItems":[{"id":1186,"uris":["http://zotero.org/users/local/BfzbJtgR/items/33URTIMV"],"itemData":{"id":1186,"type":"article-journal","abstract":"Abstract\n            \n              The\n              Mycobacterium tuberculosis\n              complex (MTBC) comprises nine human-adapted lineages that differ in their geographical distribution. Local adaptation of specific MTBC genotypes to the respective human host population has been invoked in this context. We aimed to assess if bacterial genetics governs MTBC pathogenesis or if local co-adaptation translates into differential susceptibility of human macrophages to infection by different MTBC genotypes. We generated macrophages from cryopreserved blood mononuclear cells of Tanzanian tuberculosis patients, from which the infecting MTBC strains had previously been phylogenetically characterized. We infected these macrophages ex vivo with a phylogenetically similar MTBC strain (“matched infection”) or with strains representative of other MTBC lineages (“mismatched infection”). We found that L1 infections resulted in a significantly lower bacterial burden and that the intra-cellular replication rate of L2 strains was significantly higher compared the other MTBC lineages, irrespective of the MTBC lineage originally infecting the patients. Moreover, L4-infected macrophages released significantly greater amounts of TNF-α, IL-6, IL-10, MIP-1β, and IL-1β compared to macrophages infected by all other strains. While our results revealed no measurable effect of local adaptation, they further highlight the strong impact of MTBC phylogenetic diversity on the variable outcome of the host–pathogen interaction in human tuberculosis.","container-title":"Scientific Reports","DOI":"10.1038/s41598-024-60001-0","ISSN":"2045-2322","issue":"1","journalAbbreviation":"Sci Rep","language":"en","page":"9287","source":"DOI.org (Crossref)","title":"Bacterial diversity dominates variable macrophage responses of tuberculosis patients in Tanzania","volume":"14","author":[{"family":"Hiza","given":"Hellen"},{"family":"Zwyer","given":"Michaela"},{"family":"Hella","given":"Jerry"},{"family":"Arbués","given":"Ainhoa"},{"family":"Sasamalo","given":"Mohamed"},{"family":"Borrell","given":"Sonia"},{"family":"Xu","given":"Zhi Ming"},{"family":"Ross","given":"Amanda"},{"family":"Brites","given":"Daniela"},{"family":"Fellay","given":"Jacques"},{"family":"Reither","given":"Klaus"},{"family":"Gagneux","given":"Sébastien"},{"family":"Portevin","given":"Damien"}],"issued":{"date-parts":[["2024",4,23]]}}}],"schema":"https://github.com/citation-style-language/schema/raw/master/csl-citation.json"} </w:instrText>
      </w:r>
      <w:r w:rsidR="003F15CA">
        <w:fldChar w:fldCharType="separate"/>
      </w:r>
      <w:r w:rsidR="00AF392F" w:rsidRPr="00AF392F">
        <w:rPr>
          <w:rFonts w:cs="Times New Roman"/>
          <w:vertAlign w:val="superscript"/>
        </w:rPr>
        <w:t>130</w:t>
      </w:r>
      <w:r w:rsidR="003F15CA">
        <w:fldChar w:fldCharType="end"/>
      </w:r>
      <w:r w:rsidR="003F15CA" w:rsidRPr="003F15CA">
        <w:t>.</w:t>
      </w:r>
      <w:r w:rsidR="003F15CA">
        <w:t xml:space="preserve"> </w:t>
      </w:r>
      <w:r w:rsidR="003F15CA" w:rsidRPr="003F15CA">
        <w:t xml:space="preserve">Regardless of the MTBC lineage that </w:t>
      </w:r>
      <w:r w:rsidR="003F15CA">
        <w:t xml:space="preserve">first infected the patients, the study </w:t>
      </w:r>
      <w:r w:rsidR="003F15CA" w:rsidRPr="003F15CA">
        <w:t>discovered that L</w:t>
      </w:r>
      <w:r w:rsidR="003F15CA">
        <w:t>ineage-</w:t>
      </w:r>
      <w:r w:rsidR="003F15CA" w:rsidRPr="003F15CA">
        <w:t>1 infections led to a substantially lower bacterial load and that the intracellular replication rate of L</w:t>
      </w:r>
      <w:r w:rsidR="003F15CA">
        <w:t>ineage-</w:t>
      </w:r>
      <w:r w:rsidR="003F15CA" w:rsidRPr="003F15CA">
        <w:t>2 strains was significantly higher than that of the other MTBC lineages. Furthermore, compared to macrophages infected by all other strains, L4-infected macrophages generated noticeably higher levels of TNF-α,</w:t>
      </w:r>
      <w:r w:rsidR="002D7AB7">
        <w:t xml:space="preserve"> IL-6, IL-10, MIP-1β, and IL-1β</w:t>
      </w:r>
      <w:r w:rsidR="00747690">
        <w:t xml:space="preserve">. </w:t>
      </w:r>
      <w:r w:rsidR="00C715B9" w:rsidRPr="00C715B9">
        <w:t>The pathogen strain and host race/ethnicity both affect the innate immune response. This discrepancy could affect the creation of novel TB treatment, immunodiagnostic, and vaccination technologies</w:t>
      </w:r>
      <w:r w:rsidR="00FD2CB3">
        <w:fldChar w:fldCharType="begin"/>
      </w:r>
      <w:r w:rsidR="00AF392F">
        <w:instrText xml:space="preserve"> ADDIN ZOTERO_ITEM CSL_CITATION {"citationID":"R3fsynwH","properties":{"formattedCitation":"\\super 120,131\\nosupersub{}","plainCitation":"120,131","noteIndex":0},"citationItems":[{"id":1172,"uris":["http://zotero.org/users/local/BfzbJtgR/items/DSQINB7K"],"itemData":{"id":1172,"type":"book","title":"The innate immune response to Mycobacterium tuberculosis is dependent on strain lineage and on host population","URL":"DOI: 10.13140/RG.2.2.20667.69929","author":[{"family":"Sarkar","given":"Rajesh"}],"issued":{"date-parts":[["2013"]]}}},{"id":1198,"uris":["http://zotero.org/users/local/BfzbJtgR/items/9UAEV67K"],"itemData":{"id":1198,"type":"article-journal","container-title":"PLOS ONE","DOI":"10.1371/journal.pone.0195392","ISSN":"1932-6203","issue":"5","journalAbbreviation":"PLoS ONE","language":"en","page":"e0195392","source":"DOI.org (Crossref)","title":"Interplay of strain and race/ethnicity in the innate immune response to M. tuberculosis","volume":"13","author":[{"family":"Nahid","given":"P."},{"family":"Jarlsberg","given":"L. G."},{"family":"Kato-Maeda","given":"M."},{"family":"Segal","given":"M. R."},{"family":"Osmond","given":"D. H."},{"family":"Gagneux","given":"S."},{"family":"Dobos","given":"K."},{"family":"Gold","given":"M."},{"family":"Hopewell","given":"P. C."},{"family":"Lewinsohn","given":"D. M."}],"editor":[{"family":"Neyrolles","given":"Olivier"}],"issued":{"date-parts":[["2018",5,22]]}}}],"schema":"https://github.com/citation-style-language/schema/raw/master/csl-citation.json"} </w:instrText>
      </w:r>
      <w:r w:rsidR="00FD2CB3">
        <w:fldChar w:fldCharType="separate"/>
      </w:r>
      <w:r w:rsidR="00AF392F" w:rsidRPr="00AF392F">
        <w:rPr>
          <w:rFonts w:cs="Times New Roman"/>
          <w:vertAlign w:val="superscript"/>
        </w:rPr>
        <w:t>120,131</w:t>
      </w:r>
      <w:r w:rsidR="00FD2CB3">
        <w:fldChar w:fldCharType="end"/>
      </w:r>
      <w:r w:rsidR="00C715B9" w:rsidRPr="00C715B9">
        <w:t>.</w:t>
      </w:r>
    </w:p>
    <w:p w:rsidR="00D23F82" w:rsidRPr="00AF5835" w:rsidRDefault="00AF5835" w:rsidP="00AF5835">
      <w:pPr>
        <w:pStyle w:val="Heading2"/>
        <w:rPr>
          <w:rStyle w:val="match"/>
          <w:rFonts w:ascii="Times New Roman" w:hAnsi="Times New Roman" w:cs="Times New Roman"/>
          <w:color w:val="auto"/>
          <w:sz w:val="28"/>
        </w:rPr>
      </w:pPr>
      <w:bookmarkStart w:id="9" w:name="_Toc193802120"/>
      <w:r>
        <w:rPr>
          <w:rStyle w:val="match"/>
          <w:rFonts w:ascii="Times New Roman" w:hAnsi="Times New Roman" w:cs="Times New Roman"/>
          <w:color w:val="auto"/>
          <w:sz w:val="28"/>
        </w:rPr>
        <w:t>2.2</w:t>
      </w:r>
      <w:r w:rsidRPr="0075426B">
        <w:rPr>
          <w:rStyle w:val="match"/>
          <w:rFonts w:ascii="Times New Roman" w:hAnsi="Times New Roman" w:cs="Times New Roman"/>
          <w:b/>
          <w:color w:val="auto"/>
          <w:sz w:val="28"/>
        </w:rPr>
        <w:t xml:space="preserve">. </w:t>
      </w:r>
      <w:r w:rsidR="00D23F82" w:rsidRPr="0075426B">
        <w:rPr>
          <w:rStyle w:val="match"/>
          <w:rFonts w:ascii="Times New Roman" w:hAnsi="Times New Roman" w:cs="Times New Roman"/>
          <w:b/>
          <w:color w:val="auto"/>
          <w:sz w:val="28"/>
        </w:rPr>
        <w:t>Acute-phase proteins</w:t>
      </w:r>
      <w:bookmarkEnd w:id="9"/>
    </w:p>
    <w:p w:rsidR="00D23F82" w:rsidRDefault="00DF12ED" w:rsidP="00F861EB">
      <w:pPr>
        <w:pStyle w:val="Standard"/>
        <w:suppressAutoHyphens w:val="0"/>
        <w:spacing w:before="280" w:after="280" w:line="276" w:lineRule="auto"/>
        <w:jc w:val="both"/>
        <w:textAlignment w:val="auto"/>
        <w:rPr>
          <w:rStyle w:val="resultpara2"/>
        </w:rPr>
      </w:pPr>
      <w:r w:rsidRPr="00DF12ED">
        <w:t xml:space="preserve">In 1930, the </w:t>
      </w:r>
      <w:r w:rsidRPr="00DF12ED">
        <w:rPr>
          <w:bCs/>
        </w:rPr>
        <w:t>discovery</w:t>
      </w:r>
      <w:r w:rsidRPr="00DF12ED">
        <w:t xml:space="preserve"> of C-reactive protein </w:t>
      </w:r>
      <w:r w:rsidR="00B502F9">
        <w:t xml:space="preserve">(CRP) </w:t>
      </w:r>
      <w:r w:rsidRPr="00DF12ED">
        <w:rPr>
          <w:bCs/>
        </w:rPr>
        <w:t>as a response</w:t>
      </w:r>
      <w:r w:rsidRPr="00DF12ED">
        <w:t xml:space="preserve"> to the pneumococcal C-polysaccharide </w:t>
      </w:r>
      <w:r w:rsidRPr="00DF12ED">
        <w:rPr>
          <w:bCs/>
        </w:rPr>
        <w:t>marked</w:t>
      </w:r>
      <w:r w:rsidRPr="00DF12ED">
        <w:t xml:space="preserve"> the </w:t>
      </w:r>
      <w:r w:rsidRPr="00DF12ED">
        <w:rPr>
          <w:bCs/>
        </w:rPr>
        <w:t>beginning</w:t>
      </w:r>
      <w:r w:rsidRPr="00DF12ED">
        <w:t xml:space="preserve"> of </w:t>
      </w:r>
      <w:r w:rsidRPr="00DF12ED">
        <w:rPr>
          <w:bCs/>
        </w:rPr>
        <w:t xml:space="preserve">recognizing </w:t>
      </w:r>
      <w:r w:rsidRPr="00DF12ED">
        <w:t xml:space="preserve">acute phase proteins in </w:t>
      </w:r>
      <w:r w:rsidRPr="00DF12ED">
        <w:rPr>
          <w:bCs/>
        </w:rPr>
        <w:t>different</w:t>
      </w:r>
      <w:r w:rsidRPr="00DF12ED">
        <w:t xml:space="preserve"> bacterial and </w:t>
      </w:r>
      <w:r w:rsidR="00FD2CB3">
        <w:t>autoimmune</w:t>
      </w:r>
      <w:r w:rsidRPr="00DF12ED">
        <w:t xml:space="preserve"> </w:t>
      </w:r>
      <w:r w:rsidRPr="00DF12ED">
        <w:rPr>
          <w:bCs/>
        </w:rPr>
        <w:t>diseases</w:t>
      </w:r>
      <w:r w:rsidR="005E24D1">
        <w:rPr>
          <w:bCs/>
        </w:rPr>
        <w:t xml:space="preserve"> </w:t>
      </w:r>
      <w:r w:rsidR="005E24D1">
        <w:rPr>
          <w:bCs/>
        </w:rPr>
        <w:fldChar w:fldCharType="begin"/>
      </w:r>
      <w:r w:rsidR="00B41ACC">
        <w:rPr>
          <w:bCs/>
        </w:rPr>
        <w:instrText xml:space="preserve"> ADDIN ZOTERO_ITEM CSL_CITATION {"citationID":"koNGzDoW","properties":{"formattedCitation":"\\super 132\\nosupersub{}","plainCitation":"132","noteIndex":0},"citationItems":[{"id":666,"uris":["http://zotero.org/users/local/BfzbJtgR/items/PDY7MAP4"],"itemData":{"id":666,"type":"article-journal","abstract":"1. Sera from individuals acutely ill with lobar pneumonia possess the capacity to precipitate in high titre a non-protein somatic fraction derived from pneumococci (Fraction C). Following crisis the reaction is no longer demonstrable. 2. Sera obtained from cases of pneumococcus pneumonia during illness and convalescence have been tested for antibodies specifically reactive with three chemically distinct constituents of Pneumococcus. The results, when correlated with the course of disease, demonstrate differences in the occurrence of each qualitatively distinct antibody. 3. The precipitation of pneumococcus Fraction C is not limited to the sera of individuals ill with pneumococcus infection. But in the few other cases available for comparative tests, definite reactions have been obtained only in streptococcus and staphylococcus infections and in acute rheumatic fever.","container-title":"The Journal of Experimental Medicine","DOI":"10.1084/jem.52.4.561","ISSN":"0022-1007","issue":"4","journalAbbreviation":"J Exp Med","language":"eng","note":"PMID: 19869788\nPMCID: PMC2131884","page":"561-571","source":"PubMed","title":"SEROLOGICAL REACTIONS IN PNEUMONIA WITH A NON-PROTEIN SOMATIC FRACTION OF PNEUMOCOCCUS","volume":"52","author":[{"family":"Tillett","given":"W. S."},{"family":"Francis","given":"T."}],"issued":{"date-parts":[["1930",9,30]]}}}],"schema":"https://github.com/citation-style-language/schema/raw/master/csl-citation.json"} </w:instrText>
      </w:r>
      <w:r w:rsidR="005E24D1">
        <w:rPr>
          <w:bCs/>
        </w:rPr>
        <w:fldChar w:fldCharType="separate"/>
      </w:r>
      <w:r w:rsidR="00B41ACC" w:rsidRPr="00B41ACC">
        <w:rPr>
          <w:rFonts w:cs="Times New Roman"/>
          <w:vertAlign w:val="superscript"/>
        </w:rPr>
        <w:t>132</w:t>
      </w:r>
      <w:r w:rsidR="005E24D1">
        <w:rPr>
          <w:bCs/>
        </w:rPr>
        <w:fldChar w:fldCharType="end"/>
      </w:r>
      <w:r w:rsidRPr="00DF12ED">
        <w:t>.</w:t>
      </w:r>
      <w:r>
        <w:t xml:space="preserve"> </w:t>
      </w:r>
      <w:r w:rsidR="00D30912">
        <w:rPr>
          <w:rStyle w:val="resultpara0"/>
        </w:rPr>
        <w:t xml:space="preserve"> </w:t>
      </w:r>
      <w:r w:rsidR="005C4BC1" w:rsidRPr="005C4BC1">
        <w:rPr>
          <w:rStyle w:val="resultpara0"/>
        </w:rPr>
        <w:t xml:space="preserve">Pneumococcus </w:t>
      </w:r>
      <w:r w:rsidR="005C4BC1" w:rsidRPr="005C4BC1">
        <w:rPr>
          <w:rStyle w:val="resultpara0"/>
          <w:bCs/>
        </w:rPr>
        <w:t>contains several</w:t>
      </w:r>
      <w:r w:rsidR="005C4BC1" w:rsidRPr="005C4BC1">
        <w:rPr>
          <w:rStyle w:val="resultpara0"/>
        </w:rPr>
        <w:t xml:space="preserve"> antigenic </w:t>
      </w:r>
      <w:r w:rsidR="005C4BC1" w:rsidRPr="005C4BC1">
        <w:rPr>
          <w:rStyle w:val="resultpara0"/>
          <w:bCs/>
        </w:rPr>
        <w:t>elements</w:t>
      </w:r>
      <w:r w:rsidR="005C4BC1" w:rsidRPr="005C4BC1">
        <w:rPr>
          <w:rStyle w:val="resultpara0"/>
        </w:rPr>
        <w:t xml:space="preserve"> (e.</w:t>
      </w:r>
      <w:r w:rsidR="005C4BC1" w:rsidRPr="005C4BC1">
        <w:rPr>
          <w:rStyle w:val="resultpara2"/>
        </w:rPr>
        <w:t>g.</w:t>
      </w:r>
      <w:r w:rsidR="005C4BC1" w:rsidRPr="005C4BC1">
        <w:rPr>
          <w:rStyle w:val="resultpara4"/>
        </w:rPr>
        <w:t>, capsular polysaccharides, cell wall proteins, and other surface molecules).</w:t>
      </w:r>
      <w:r w:rsidR="005C4BC1" w:rsidRPr="005C4BC1">
        <w:t xml:space="preserve"> </w:t>
      </w:r>
      <w:r w:rsidR="005C4BC1" w:rsidRPr="005C4BC1">
        <w:rPr>
          <w:rStyle w:val="resultpara6"/>
        </w:rPr>
        <w:t xml:space="preserve">The immune </w:t>
      </w:r>
      <w:r w:rsidR="005C4BC1" w:rsidRPr="005C4BC1">
        <w:rPr>
          <w:rStyle w:val="resultpara6"/>
          <w:bCs/>
        </w:rPr>
        <w:t>reaction</w:t>
      </w:r>
      <w:r w:rsidR="005C4BC1" w:rsidRPr="005C4BC1">
        <w:rPr>
          <w:rStyle w:val="resultpara6"/>
        </w:rPr>
        <w:t xml:space="preserve"> to these </w:t>
      </w:r>
      <w:r w:rsidR="005C4BC1" w:rsidRPr="005C4BC1">
        <w:rPr>
          <w:rStyle w:val="resultpara6"/>
          <w:bCs/>
        </w:rPr>
        <w:t>various elements might change throughout</w:t>
      </w:r>
      <w:r w:rsidR="005C4BC1" w:rsidRPr="005C4BC1">
        <w:rPr>
          <w:rStyle w:val="resultpara6"/>
        </w:rPr>
        <w:t xml:space="preserve"> the illness.</w:t>
      </w:r>
      <w:r w:rsidRPr="00DF12ED">
        <w:t xml:space="preserve"> </w:t>
      </w:r>
      <w:r w:rsidR="005C4BC1" w:rsidRPr="00DF12ED">
        <w:rPr>
          <w:rStyle w:val="resultpara0"/>
        </w:rPr>
        <w:t xml:space="preserve">Sera from </w:t>
      </w:r>
      <w:r w:rsidR="00F94E80">
        <w:rPr>
          <w:rStyle w:val="resultpara0"/>
        </w:rPr>
        <w:t xml:space="preserve">patients </w:t>
      </w:r>
      <w:r w:rsidR="005C4BC1" w:rsidRPr="00DF12ED">
        <w:rPr>
          <w:rStyle w:val="resultpara0"/>
          <w:bCs/>
        </w:rPr>
        <w:t>severely</w:t>
      </w:r>
      <w:r w:rsidR="005C4BC1" w:rsidRPr="00DF12ED">
        <w:rPr>
          <w:rStyle w:val="resultpara0"/>
        </w:rPr>
        <w:t xml:space="preserve"> ill with lobar pneumonia </w:t>
      </w:r>
      <w:r w:rsidR="005C4BC1" w:rsidRPr="00DF12ED">
        <w:rPr>
          <w:rStyle w:val="resultpara0"/>
          <w:bCs/>
        </w:rPr>
        <w:t>can trigger</w:t>
      </w:r>
      <w:r w:rsidR="005C4BC1" w:rsidRPr="00DF12ED">
        <w:rPr>
          <w:rStyle w:val="resultpara0"/>
        </w:rPr>
        <w:t xml:space="preserve"> a non-protein somatic fraction </w:t>
      </w:r>
      <w:r w:rsidR="005C4BC1" w:rsidRPr="00DF12ED">
        <w:rPr>
          <w:rStyle w:val="resultpara0"/>
          <w:bCs/>
        </w:rPr>
        <w:t>produced</w:t>
      </w:r>
      <w:r w:rsidR="005C4BC1" w:rsidRPr="00DF12ED">
        <w:rPr>
          <w:rStyle w:val="resultpara0"/>
        </w:rPr>
        <w:t xml:space="preserve"> from pneumococci (Fraction C) in high titers.</w:t>
      </w:r>
      <w:r w:rsidR="005C4BC1">
        <w:rPr>
          <w:rStyle w:val="resultpara0"/>
        </w:rPr>
        <w:t xml:space="preserve"> </w:t>
      </w:r>
      <w:r w:rsidRPr="00DF12ED">
        <w:rPr>
          <w:rStyle w:val="resultpara2"/>
          <w:bCs/>
        </w:rPr>
        <w:t>Nevertheless</w:t>
      </w:r>
      <w:r w:rsidRPr="00DF12ED">
        <w:rPr>
          <w:rStyle w:val="resultpara2"/>
        </w:rPr>
        <w:t xml:space="preserve">, this precipitation reaction </w:t>
      </w:r>
      <w:r w:rsidRPr="00DF12ED">
        <w:rPr>
          <w:rStyle w:val="resultpara2"/>
          <w:bCs/>
        </w:rPr>
        <w:t>vanishes once</w:t>
      </w:r>
      <w:r w:rsidRPr="00DF12ED">
        <w:rPr>
          <w:rStyle w:val="resultpara2"/>
        </w:rPr>
        <w:t xml:space="preserve"> the patient </w:t>
      </w:r>
      <w:r w:rsidR="003134D1">
        <w:rPr>
          <w:rStyle w:val="resultpara2"/>
          <w:bCs/>
        </w:rPr>
        <w:t>recovers</w:t>
      </w:r>
      <w:r w:rsidRPr="00DF12ED">
        <w:rPr>
          <w:rStyle w:val="resultpara2"/>
        </w:rPr>
        <w:t xml:space="preserve"> from the crisis.</w:t>
      </w:r>
      <w:r>
        <w:rPr>
          <w:rStyle w:val="resultpara2"/>
        </w:rPr>
        <w:t xml:space="preserve"> Thus, </w:t>
      </w:r>
      <w:r>
        <w:t>t</w:t>
      </w:r>
      <w:r w:rsidRPr="00DF12ED">
        <w:t xml:space="preserve">he serological </w:t>
      </w:r>
      <w:r w:rsidRPr="00DF12ED">
        <w:rPr>
          <w:bCs/>
        </w:rPr>
        <w:t>response</w:t>
      </w:r>
      <w:r w:rsidRPr="00DF12ED">
        <w:t xml:space="preserve"> here </w:t>
      </w:r>
      <w:r w:rsidRPr="00DF12ED">
        <w:rPr>
          <w:bCs/>
        </w:rPr>
        <w:t>appears</w:t>
      </w:r>
      <w:r w:rsidRPr="00DF12ED">
        <w:t xml:space="preserve"> to be an immune </w:t>
      </w:r>
      <w:r w:rsidRPr="00DF12ED">
        <w:rPr>
          <w:bCs/>
        </w:rPr>
        <w:t>reaction directed towards</w:t>
      </w:r>
      <w:r w:rsidRPr="00DF12ED">
        <w:t xml:space="preserve"> pneumococcal antigens. Pneumococci (</w:t>
      </w:r>
      <w:r w:rsidRPr="00DF12ED">
        <w:rPr>
          <w:i/>
        </w:rPr>
        <w:t>Streptococcus pneumoniae</w:t>
      </w:r>
      <w:r w:rsidRPr="00DF12ED">
        <w:t xml:space="preserve">) </w:t>
      </w:r>
      <w:r w:rsidRPr="00DF12ED">
        <w:rPr>
          <w:bCs/>
        </w:rPr>
        <w:t>create different</w:t>
      </w:r>
      <w:r w:rsidRPr="00DF12ED">
        <w:t xml:space="preserve"> fractions, </w:t>
      </w:r>
      <w:r w:rsidRPr="00DF12ED">
        <w:rPr>
          <w:bCs/>
        </w:rPr>
        <w:t>one of which is</w:t>
      </w:r>
      <w:r w:rsidRPr="00DF12ED">
        <w:t xml:space="preserve"> Fraction C, likely </w:t>
      </w:r>
      <w:r w:rsidRPr="00DF12ED">
        <w:rPr>
          <w:bCs/>
        </w:rPr>
        <w:t>associated with</w:t>
      </w:r>
      <w:r w:rsidRPr="00DF12ED">
        <w:t xml:space="preserve"> the capsular polysaccharide or other </w:t>
      </w:r>
      <w:r w:rsidRPr="00DF12ED">
        <w:rPr>
          <w:bCs/>
        </w:rPr>
        <w:t>structural elements</w:t>
      </w:r>
      <w:r w:rsidRPr="00DF12ED">
        <w:t xml:space="preserve"> of the bacterium. </w:t>
      </w:r>
      <w:r w:rsidR="00D6688D" w:rsidRPr="00D6688D">
        <w:rPr>
          <w:rStyle w:val="resultpara0"/>
        </w:rPr>
        <w:t xml:space="preserve">The </w:t>
      </w:r>
      <w:r w:rsidR="00D6688D" w:rsidRPr="00D6688D">
        <w:rPr>
          <w:rStyle w:val="resultpara0"/>
          <w:bCs/>
        </w:rPr>
        <w:t>vanishing</w:t>
      </w:r>
      <w:r w:rsidR="00D6688D" w:rsidRPr="00D6688D">
        <w:rPr>
          <w:rStyle w:val="resultpara0"/>
        </w:rPr>
        <w:t xml:space="preserve"> of this </w:t>
      </w:r>
      <w:r w:rsidR="00D6688D" w:rsidRPr="00D6688D">
        <w:rPr>
          <w:rStyle w:val="resultpara0"/>
          <w:bCs/>
        </w:rPr>
        <w:t>response following a</w:t>
      </w:r>
      <w:r w:rsidR="00D6688D">
        <w:rPr>
          <w:rStyle w:val="resultpara0"/>
        </w:rPr>
        <w:t xml:space="preserve"> </w:t>
      </w:r>
      <w:r w:rsidR="00D6688D" w:rsidRPr="00D6688D">
        <w:rPr>
          <w:rStyle w:val="resultpara0"/>
        </w:rPr>
        <w:t>convalescence</w:t>
      </w:r>
      <w:r w:rsidR="00D6688D">
        <w:rPr>
          <w:rStyle w:val="resultpara0"/>
        </w:rPr>
        <w:t xml:space="preserve"> </w:t>
      </w:r>
      <w:r w:rsidR="00783DBD">
        <w:rPr>
          <w:rStyle w:val="resultpara0"/>
        </w:rPr>
        <w:t>phase</w:t>
      </w:r>
      <w:r w:rsidR="00D6688D">
        <w:rPr>
          <w:rStyle w:val="resultpara0"/>
        </w:rPr>
        <w:t xml:space="preserve"> </w:t>
      </w:r>
      <w:r w:rsidR="00D6688D" w:rsidRPr="00D6688D">
        <w:rPr>
          <w:rStyle w:val="resultpara0"/>
          <w:bCs/>
        </w:rPr>
        <w:t>may imply</w:t>
      </w:r>
      <w:r w:rsidR="00D6688D" w:rsidRPr="00D6688D">
        <w:rPr>
          <w:rStyle w:val="resultpara0"/>
        </w:rPr>
        <w:t xml:space="preserve"> that </w:t>
      </w:r>
      <w:r w:rsidR="00D6688D" w:rsidRPr="00D6688D">
        <w:rPr>
          <w:rStyle w:val="resultpara0"/>
          <w:bCs/>
        </w:rPr>
        <w:t xml:space="preserve">antibodies present during the </w:t>
      </w:r>
      <w:r w:rsidR="00D5422A">
        <w:rPr>
          <w:rStyle w:val="resultpara0"/>
        </w:rPr>
        <w:t>early and acute</w:t>
      </w:r>
      <w:r w:rsidR="00D6688D" w:rsidRPr="00D6688D">
        <w:rPr>
          <w:rStyle w:val="resultpara0"/>
        </w:rPr>
        <w:t xml:space="preserve"> phase are </w:t>
      </w:r>
      <w:r w:rsidR="00D6688D" w:rsidRPr="00D6688D">
        <w:rPr>
          <w:rStyle w:val="resultpara0"/>
          <w:bCs/>
        </w:rPr>
        <w:t>temporary</w:t>
      </w:r>
      <w:r w:rsidR="00D6688D" w:rsidRPr="00D6688D">
        <w:rPr>
          <w:rStyle w:val="resultpara0"/>
        </w:rPr>
        <w:t xml:space="preserve">, and their </w:t>
      </w:r>
      <w:r w:rsidR="00D6688D" w:rsidRPr="00D6688D">
        <w:rPr>
          <w:rStyle w:val="resultpara0"/>
          <w:bCs/>
        </w:rPr>
        <w:t xml:space="preserve">existence is </w:t>
      </w:r>
      <w:r w:rsidR="00D5422A">
        <w:rPr>
          <w:rStyle w:val="resultpara0"/>
          <w:bCs/>
        </w:rPr>
        <w:t>linked</w:t>
      </w:r>
      <w:r w:rsidR="00D6688D" w:rsidRPr="00D6688D">
        <w:rPr>
          <w:rStyle w:val="resultpara0"/>
        </w:rPr>
        <w:t xml:space="preserve"> with </w:t>
      </w:r>
      <w:r w:rsidR="00D6688D" w:rsidRPr="00D6688D">
        <w:rPr>
          <w:rStyle w:val="resultpara0"/>
          <w:bCs/>
        </w:rPr>
        <w:t>an ongoing</w:t>
      </w:r>
      <w:r w:rsidR="00D6688D" w:rsidRPr="00D6688D">
        <w:rPr>
          <w:rStyle w:val="resultpara0"/>
        </w:rPr>
        <w:t xml:space="preserve"> infection.</w:t>
      </w:r>
      <w:r w:rsidR="00D6688D" w:rsidRPr="00D6688D">
        <w:t xml:space="preserve"> </w:t>
      </w:r>
      <w:r w:rsidR="005C4BC1" w:rsidRPr="005C4BC1">
        <w:t xml:space="preserve">This observation </w:t>
      </w:r>
      <w:r w:rsidR="005C4BC1" w:rsidRPr="005C4BC1">
        <w:rPr>
          <w:bCs/>
        </w:rPr>
        <w:t>could assist in gaining a clearer understanding of</w:t>
      </w:r>
      <w:r w:rsidR="005C4BC1" w:rsidRPr="005C4BC1">
        <w:t xml:space="preserve"> the immune dynamics </w:t>
      </w:r>
      <w:r w:rsidR="005C4BC1" w:rsidRPr="005C4BC1">
        <w:rPr>
          <w:bCs/>
        </w:rPr>
        <w:t>triggered by</w:t>
      </w:r>
      <w:r w:rsidR="005C4BC1" w:rsidRPr="005C4BC1">
        <w:t xml:space="preserve"> infection. </w:t>
      </w:r>
      <w:r w:rsidR="005C4BC1" w:rsidRPr="005C4BC1">
        <w:rPr>
          <w:bCs/>
        </w:rPr>
        <w:t>Certain</w:t>
      </w:r>
      <w:r w:rsidR="005C4BC1" w:rsidRPr="005C4BC1">
        <w:t xml:space="preserve"> antibodies </w:t>
      </w:r>
      <w:r w:rsidR="005C4BC1" w:rsidRPr="005C4BC1">
        <w:rPr>
          <w:bCs/>
        </w:rPr>
        <w:t>might</w:t>
      </w:r>
      <w:r w:rsidR="005C4BC1" w:rsidRPr="005C4BC1">
        <w:t xml:space="preserve"> be </w:t>
      </w:r>
      <w:r w:rsidR="005C4BC1" w:rsidRPr="005C4BC1">
        <w:rPr>
          <w:bCs/>
        </w:rPr>
        <w:lastRenderedPageBreak/>
        <w:t>associated with different phases</w:t>
      </w:r>
      <w:r w:rsidR="005C4BC1" w:rsidRPr="005C4BC1">
        <w:t xml:space="preserve"> of infection (acute </w:t>
      </w:r>
      <w:r w:rsidR="005C4BC1" w:rsidRPr="005C4BC1">
        <w:rPr>
          <w:bCs/>
        </w:rPr>
        <w:t>versus</w:t>
      </w:r>
      <w:r w:rsidR="005C4BC1" w:rsidRPr="005C4BC1">
        <w:t xml:space="preserve"> convalescence) and </w:t>
      </w:r>
      <w:r w:rsidR="005C4BC1" w:rsidRPr="005C4BC1">
        <w:rPr>
          <w:bCs/>
        </w:rPr>
        <w:t>could aid</w:t>
      </w:r>
      <w:r w:rsidR="005C4BC1" w:rsidRPr="005C4BC1">
        <w:t xml:space="preserve"> in diagnosis or </w:t>
      </w:r>
      <w:r w:rsidR="005C4BC1" w:rsidRPr="005C4BC1">
        <w:rPr>
          <w:bCs/>
        </w:rPr>
        <w:t>potentially</w:t>
      </w:r>
      <w:r w:rsidR="005C4BC1" w:rsidRPr="005C4BC1">
        <w:t xml:space="preserve"> in </w:t>
      </w:r>
      <w:r w:rsidR="005C4BC1" w:rsidRPr="005C4BC1">
        <w:rPr>
          <w:bCs/>
        </w:rPr>
        <w:t>evaluating</w:t>
      </w:r>
      <w:r w:rsidR="005C4BC1" w:rsidRPr="005C4BC1">
        <w:t xml:space="preserve"> the severity of </w:t>
      </w:r>
      <w:r w:rsidR="005C4BC1" w:rsidRPr="005C4BC1">
        <w:rPr>
          <w:bCs/>
        </w:rPr>
        <w:t xml:space="preserve">the </w:t>
      </w:r>
      <w:r w:rsidR="005C4BC1" w:rsidRPr="005C4BC1">
        <w:t>infection.</w:t>
      </w:r>
      <w:r w:rsidR="005C4BC1">
        <w:t xml:space="preserve"> </w:t>
      </w:r>
      <w:r w:rsidR="00D6688D" w:rsidRPr="00D6688D">
        <w:rPr>
          <w:rStyle w:val="resultpara2"/>
          <w:bCs/>
        </w:rPr>
        <w:t>Serological examinations of</w:t>
      </w:r>
      <w:r w:rsidR="00D6688D" w:rsidRPr="00D6688D">
        <w:rPr>
          <w:rStyle w:val="resultpara2"/>
        </w:rPr>
        <w:t xml:space="preserve"> this </w:t>
      </w:r>
      <w:r w:rsidR="00D6688D" w:rsidRPr="00D6688D">
        <w:rPr>
          <w:rStyle w:val="resultpara2"/>
          <w:bCs/>
        </w:rPr>
        <w:t xml:space="preserve">nature </w:t>
      </w:r>
      <w:r w:rsidR="00D6688D" w:rsidRPr="00D6688D">
        <w:rPr>
          <w:rStyle w:val="resultpara2"/>
        </w:rPr>
        <w:t xml:space="preserve">could </w:t>
      </w:r>
      <w:r w:rsidR="00D6688D" w:rsidRPr="00D6688D">
        <w:rPr>
          <w:rStyle w:val="resultpara2"/>
          <w:bCs/>
        </w:rPr>
        <w:t>serve</w:t>
      </w:r>
      <w:r w:rsidR="00D6688D" w:rsidRPr="00D6688D">
        <w:rPr>
          <w:rStyle w:val="resultpara2"/>
        </w:rPr>
        <w:t xml:space="preserve"> as diagnostic </w:t>
      </w:r>
      <w:r w:rsidR="00D6688D" w:rsidRPr="00D6688D">
        <w:rPr>
          <w:rStyle w:val="resultpara2"/>
          <w:bCs/>
        </w:rPr>
        <w:t>indicators</w:t>
      </w:r>
      <w:r w:rsidR="00D6688D" w:rsidRPr="00D6688D">
        <w:rPr>
          <w:rStyle w:val="resultpara2"/>
        </w:rPr>
        <w:t xml:space="preserve"> for acute pneumococcal infection and to </w:t>
      </w:r>
      <w:r w:rsidR="00D6688D" w:rsidRPr="00D6688D">
        <w:rPr>
          <w:rStyle w:val="resultpara2"/>
          <w:bCs/>
        </w:rPr>
        <w:t>track</w:t>
      </w:r>
      <w:r w:rsidR="00D6688D" w:rsidRPr="00D6688D">
        <w:rPr>
          <w:rStyle w:val="resultpara2"/>
        </w:rPr>
        <w:t xml:space="preserve"> the </w:t>
      </w:r>
      <w:r w:rsidR="00D6688D" w:rsidRPr="00D6688D">
        <w:rPr>
          <w:rStyle w:val="resultpara2"/>
          <w:bCs/>
        </w:rPr>
        <w:t>progression</w:t>
      </w:r>
      <w:r w:rsidR="00D6688D" w:rsidRPr="00D6688D">
        <w:rPr>
          <w:rStyle w:val="resultpara2"/>
        </w:rPr>
        <w:t xml:space="preserve"> of the </w:t>
      </w:r>
      <w:r w:rsidR="00D6688D" w:rsidRPr="00D6688D">
        <w:rPr>
          <w:rStyle w:val="resultpara2"/>
          <w:bCs/>
        </w:rPr>
        <w:t>illness</w:t>
      </w:r>
      <w:r w:rsidR="00D6688D" w:rsidRPr="00D6688D">
        <w:rPr>
          <w:rStyle w:val="resultpara2"/>
        </w:rPr>
        <w:t>.</w:t>
      </w:r>
      <w:r w:rsidR="005C4BC1">
        <w:rPr>
          <w:rStyle w:val="resultpara2"/>
        </w:rPr>
        <w:t xml:space="preserve"> </w:t>
      </w:r>
    </w:p>
    <w:p w:rsidR="00C228CD" w:rsidRDefault="005C4BC1" w:rsidP="00C228CD">
      <w:pPr>
        <w:pStyle w:val="Standard"/>
        <w:spacing w:before="280" w:after="280" w:line="276" w:lineRule="auto"/>
        <w:jc w:val="both"/>
      </w:pPr>
      <w:r w:rsidRPr="005C4BC1">
        <w:rPr>
          <w:rStyle w:val="resultpara0"/>
        </w:rPr>
        <w:t xml:space="preserve">The precipitation of pneumococcus Fraction C is not </w:t>
      </w:r>
      <w:r w:rsidRPr="005C4BC1">
        <w:rPr>
          <w:rStyle w:val="resultpara0"/>
          <w:bCs/>
        </w:rPr>
        <w:t>solely associated with</w:t>
      </w:r>
      <w:r w:rsidRPr="005C4BC1">
        <w:rPr>
          <w:rStyle w:val="resultpara0"/>
        </w:rPr>
        <w:t xml:space="preserve"> pneumonia </w:t>
      </w:r>
      <w:r w:rsidRPr="005C4BC1">
        <w:rPr>
          <w:rStyle w:val="resultpara0"/>
          <w:bCs/>
        </w:rPr>
        <w:t>induced</w:t>
      </w:r>
      <w:r w:rsidRPr="005C4BC1">
        <w:rPr>
          <w:rStyle w:val="resultpara0"/>
        </w:rPr>
        <w:t xml:space="preserve"> by </w:t>
      </w:r>
      <w:r w:rsidRPr="005C4BC1">
        <w:rPr>
          <w:rStyle w:val="resultpara0"/>
          <w:i/>
        </w:rPr>
        <w:t>Streptococcus pneumoniae</w:t>
      </w:r>
      <w:r w:rsidRPr="005C4BC1">
        <w:rPr>
          <w:rStyle w:val="resultpara0"/>
        </w:rPr>
        <w:t xml:space="preserve"> but has also been </w:t>
      </w:r>
      <w:r w:rsidRPr="005C4BC1">
        <w:rPr>
          <w:rStyle w:val="resultpara0"/>
          <w:bCs/>
        </w:rPr>
        <w:t>noted</w:t>
      </w:r>
      <w:r w:rsidRPr="005C4BC1">
        <w:rPr>
          <w:rStyle w:val="resultpara0"/>
        </w:rPr>
        <w:t xml:space="preserve"> in infections </w:t>
      </w:r>
      <w:r w:rsidRPr="005C4BC1">
        <w:rPr>
          <w:rStyle w:val="resultpara0"/>
          <w:bCs/>
        </w:rPr>
        <w:t xml:space="preserve">caused by </w:t>
      </w:r>
      <w:r>
        <w:rPr>
          <w:rStyle w:val="resultpara0"/>
          <w:bCs/>
        </w:rPr>
        <w:t>Streptococcus</w:t>
      </w:r>
      <w:r w:rsidRPr="005C4BC1">
        <w:rPr>
          <w:rStyle w:val="resultpara0"/>
        </w:rPr>
        <w:t xml:space="preserve">, infections </w:t>
      </w:r>
      <w:r w:rsidRPr="005C4BC1">
        <w:rPr>
          <w:rStyle w:val="resultpara0"/>
          <w:bCs/>
        </w:rPr>
        <w:t xml:space="preserve">caused by </w:t>
      </w:r>
      <w:r w:rsidR="003134D1">
        <w:rPr>
          <w:rStyle w:val="resultpara0"/>
          <w:bCs/>
        </w:rPr>
        <w:t>Staphylococcus</w:t>
      </w:r>
      <w:r w:rsidRPr="005C4BC1">
        <w:rPr>
          <w:rStyle w:val="resultpara0"/>
        </w:rPr>
        <w:t>, and acute rheumatic fever.</w:t>
      </w:r>
      <w:r>
        <w:rPr>
          <w:rStyle w:val="resultpara0"/>
        </w:rPr>
        <w:t xml:space="preserve"> </w:t>
      </w:r>
      <w:r w:rsidRPr="005C4BC1">
        <w:rPr>
          <w:rStyle w:val="resultpara0"/>
        </w:rPr>
        <w:t xml:space="preserve">This </w:t>
      </w:r>
      <w:r w:rsidRPr="005C4BC1">
        <w:rPr>
          <w:rStyle w:val="resultpara0"/>
          <w:bCs/>
        </w:rPr>
        <w:t>indicates</w:t>
      </w:r>
      <w:r w:rsidRPr="005C4BC1">
        <w:rPr>
          <w:rStyle w:val="resultpara0"/>
        </w:rPr>
        <w:t xml:space="preserve"> that </w:t>
      </w:r>
      <w:r w:rsidRPr="005C4BC1">
        <w:rPr>
          <w:rStyle w:val="resultpara0"/>
          <w:bCs/>
        </w:rPr>
        <w:t xml:space="preserve">there is </w:t>
      </w:r>
      <w:r w:rsidRPr="005C4BC1">
        <w:rPr>
          <w:rStyle w:val="resultpara0"/>
        </w:rPr>
        <w:t xml:space="preserve">cross-reactivity between immune responses to </w:t>
      </w:r>
      <w:r w:rsidRPr="005C4BC1">
        <w:rPr>
          <w:rStyle w:val="resultpara0"/>
          <w:bCs/>
        </w:rPr>
        <w:t>various</w:t>
      </w:r>
      <w:r w:rsidRPr="005C4BC1">
        <w:rPr>
          <w:rStyle w:val="resultpara0"/>
        </w:rPr>
        <w:t xml:space="preserve"> bacterial infections.</w:t>
      </w:r>
      <w:r w:rsidRPr="005C4BC1">
        <w:t xml:space="preserve"> </w:t>
      </w:r>
      <w:r w:rsidRPr="005C4BC1">
        <w:rPr>
          <w:rStyle w:val="resultpara2"/>
        </w:rPr>
        <w:t>Streptococci (</w:t>
      </w:r>
      <w:r w:rsidRPr="005C4BC1">
        <w:rPr>
          <w:rStyle w:val="resultpara2"/>
          <w:bCs/>
        </w:rPr>
        <w:t xml:space="preserve">including </w:t>
      </w:r>
      <w:r w:rsidRPr="005C4BC1">
        <w:rPr>
          <w:rStyle w:val="resultpara2"/>
        </w:rPr>
        <w:t xml:space="preserve">both </w:t>
      </w:r>
      <w:r w:rsidRPr="005C4BC1">
        <w:rPr>
          <w:rStyle w:val="resultpara2"/>
          <w:i/>
        </w:rPr>
        <w:t>S.</w:t>
      </w:r>
      <w:r w:rsidRPr="005C4BC1">
        <w:rPr>
          <w:i/>
        </w:rPr>
        <w:t xml:space="preserve"> </w:t>
      </w:r>
      <w:r w:rsidRPr="005C4BC1">
        <w:rPr>
          <w:rStyle w:val="resultpara4"/>
          <w:i/>
        </w:rPr>
        <w:t>pneumoniae</w:t>
      </w:r>
      <w:r w:rsidRPr="005C4BC1">
        <w:rPr>
          <w:rStyle w:val="resultpara4"/>
        </w:rPr>
        <w:t xml:space="preserve"> and other species) and </w:t>
      </w:r>
      <w:r w:rsidRPr="00313FB9">
        <w:rPr>
          <w:rStyle w:val="resultpara4"/>
          <w:i/>
        </w:rPr>
        <w:t>Staphylococcus aureus</w:t>
      </w:r>
      <w:r w:rsidRPr="005C4BC1">
        <w:rPr>
          <w:rStyle w:val="resultpara4"/>
        </w:rPr>
        <w:t xml:space="preserve"> </w:t>
      </w:r>
      <w:r w:rsidRPr="005C4BC1">
        <w:rPr>
          <w:rStyle w:val="resultpara4"/>
          <w:bCs/>
        </w:rPr>
        <w:t>may have analogous</w:t>
      </w:r>
      <w:r w:rsidRPr="005C4BC1">
        <w:rPr>
          <w:rStyle w:val="resultpara4"/>
        </w:rPr>
        <w:t xml:space="preserve"> or homologous somatic antigens that can </w:t>
      </w:r>
      <w:r w:rsidRPr="005C4BC1">
        <w:rPr>
          <w:rStyle w:val="resultpara4"/>
          <w:bCs/>
        </w:rPr>
        <w:t>activate</w:t>
      </w:r>
      <w:r w:rsidRPr="005C4BC1">
        <w:rPr>
          <w:rStyle w:val="resultpara4"/>
        </w:rPr>
        <w:t xml:space="preserve"> an immune response.</w:t>
      </w:r>
      <w:r w:rsidRPr="005C4BC1">
        <w:t xml:space="preserve"> </w:t>
      </w:r>
      <w:r w:rsidRPr="005C4BC1">
        <w:rPr>
          <w:rStyle w:val="resultpara6"/>
        </w:rPr>
        <w:t xml:space="preserve">Acute rheumatic fever is </w:t>
      </w:r>
      <w:r w:rsidRPr="005C4BC1">
        <w:rPr>
          <w:rStyle w:val="resultpara6"/>
          <w:bCs/>
        </w:rPr>
        <w:t>an additional</w:t>
      </w:r>
      <w:r w:rsidRPr="005C4BC1">
        <w:rPr>
          <w:rStyle w:val="resultpara6"/>
        </w:rPr>
        <w:t xml:space="preserve"> condition </w:t>
      </w:r>
      <w:r w:rsidRPr="005C4BC1">
        <w:rPr>
          <w:rStyle w:val="resultpara6"/>
          <w:bCs/>
        </w:rPr>
        <w:t>linked to</w:t>
      </w:r>
      <w:r w:rsidRPr="005C4BC1">
        <w:rPr>
          <w:rStyle w:val="resultpara6"/>
        </w:rPr>
        <w:t xml:space="preserve"> streptococcal infections, and it is </w:t>
      </w:r>
      <w:r w:rsidRPr="005C4BC1">
        <w:rPr>
          <w:rStyle w:val="resultpara6"/>
          <w:bCs/>
        </w:rPr>
        <w:t>recognized for involving</w:t>
      </w:r>
      <w:r w:rsidRPr="005C4BC1">
        <w:rPr>
          <w:rStyle w:val="resultpara6"/>
        </w:rPr>
        <w:t xml:space="preserve"> autoimmune reactions where the </w:t>
      </w:r>
      <w:r w:rsidR="00100081">
        <w:rPr>
          <w:rStyle w:val="resultpara6"/>
        </w:rPr>
        <w:t>body</w:t>
      </w:r>
      <w:r w:rsidRPr="005C4BC1">
        <w:rPr>
          <w:rStyle w:val="resultpara6"/>
        </w:rPr>
        <w:t xml:space="preserve"> system </w:t>
      </w:r>
      <w:r w:rsidRPr="005C4BC1">
        <w:rPr>
          <w:rStyle w:val="resultpara6"/>
          <w:bCs/>
        </w:rPr>
        <w:t xml:space="preserve">erroneously </w:t>
      </w:r>
      <w:r w:rsidR="00100081">
        <w:rPr>
          <w:rStyle w:val="resultpara6"/>
          <w:bCs/>
        </w:rPr>
        <w:t>hurt</w:t>
      </w:r>
      <w:r w:rsidRPr="005C4BC1">
        <w:rPr>
          <w:rStyle w:val="resultpara6"/>
        </w:rPr>
        <w:t xml:space="preserve"> the tissues, which </w:t>
      </w:r>
      <w:r w:rsidRPr="005C4BC1">
        <w:rPr>
          <w:rStyle w:val="resultpara6"/>
          <w:bCs/>
        </w:rPr>
        <w:t>may</w:t>
      </w:r>
      <w:r w:rsidRPr="005C4BC1">
        <w:rPr>
          <w:rStyle w:val="resultpara6"/>
        </w:rPr>
        <w:t xml:space="preserve"> also </w:t>
      </w:r>
      <w:r w:rsidRPr="005C4BC1">
        <w:rPr>
          <w:rStyle w:val="resultpara6"/>
          <w:bCs/>
        </w:rPr>
        <w:t>generate</w:t>
      </w:r>
      <w:r w:rsidRPr="005C4BC1">
        <w:rPr>
          <w:rStyle w:val="resultpara6"/>
        </w:rPr>
        <w:t xml:space="preserve"> antibodies that cross-react with bacterial antigens.</w:t>
      </w:r>
      <w:r w:rsidR="00B502F9">
        <w:rPr>
          <w:rStyle w:val="resultpara6"/>
        </w:rPr>
        <w:t xml:space="preserve"> </w:t>
      </w:r>
      <w:r w:rsidR="00B502F9" w:rsidRPr="006B5793">
        <w:rPr>
          <w:rStyle w:val="resultpara0"/>
        </w:rPr>
        <w:t xml:space="preserve">The precipitation of pneumococcal Fraction C is not </w:t>
      </w:r>
      <w:r w:rsidR="00B502F9" w:rsidRPr="006B5793">
        <w:rPr>
          <w:rStyle w:val="resultpara0"/>
          <w:bCs/>
        </w:rPr>
        <w:t>limited</w:t>
      </w:r>
      <w:r w:rsidR="00B502F9" w:rsidRPr="006B5793">
        <w:rPr>
          <w:rStyle w:val="resultpara0"/>
        </w:rPr>
        <w:t xml:space="preserve"> to pneumococcal infections</w:t>
      </w:r>
      <w:r w:rsidR="00B502F9" w:rsidRPr="006B5793">
        <w:rPr>
          <w:rStyle w:val="resultpara0"/>
          <w:bCs/>
        </w:rPr>
        <w:t>; it can</w:t>
      </w:r>
      <w:r w:rsidR="00B502F9" w:rsidRPr="006B5793">
        <w:rPr>
          <w:rStyle w:val="resultpara0"/>
        </w:rPr>
        <w:t xml:space="preserve"> also </w:t>
      </w:r>
      <w:r w:rsidR="00B502F9" w:rsidRPr="006B5793">
        <w:rPr>
          <w:rStyle w:val="resultpara0"/>
          <w:bCs/>
        </w:rPr>
        <w:t xml:space="preserve">be </w:t>
      </w:r>
      <w:r w:rsidR="00B502F9" w:rsidRPr="006B5793">
        <w:rPr>
          <w:rStyle w:val="resultpara0"/>
        </w:rPr>
        <w:t xml:space="preserve">observed in </w:t>
      </w:r>
      <w:r w:rsidR="00B502F9" w:rsidRPr="006B5793">
        <w:rPr>
          <w:rStyle w:val="resultpara0"/>
          <w:bCs/>
        </w:rPr>
        <w:t xml:space="preserve">infections caused by </w:t>
      </w:r>
      <w:r w:rsidR="00806282">
        <w:rPr>
          <w:rStyle w:val="resultpara0"/>
        </w:rPr>
        <w:t>Streptococcus</w:t>
      </w:r>
      <w:r w:rsidR="00B502F9" w:rsidRPr="006B5793">
        <w:rPr>
          <w:rStyle w:val="resultpara0"/>
        </w:rPr>
        <w:t xml:space="preserve">, </w:t>
      </w:r>
      <w:r w:rsidR="00C228CD">
        <w:rPr>
          <w:rStyle w:val="resultpara0"/>
        </w:rPr>
        <w:t>Staphylococcus</w:t>
      </w:r>
      <w:r w:rsidR="00B502F9" w:rsidRPr="006B5793">
        <w:rPr>
          <w:rStyle w:val="resultpara0"/>
        </w:rPr>
        <w:t xml:space="preserve">, and </w:t>
      </w:r>
      <w:r w:rsidR="00B502F9" w:rsidRPr="006B5793">
        <w:rPr>
          <w:rStyle w:val="resultpara0"/>
          <w:bCs/>
        </w:rPr>
        <w:t xml:space="preserve">in cases of </w:t>
      </w:r>
      <w:r w:rsidR="00B502F9" w:rsidRPr="006B5793">
        <w:rPr>
          <w:rStyle w:val="resultpara0"/>
        </w:rPr>
        <w:t>acute rheumatic fever.</w:t>
      </w:r>
      <w:r w:rsidR="00095CBA" w:rsidRPr="006B5793">
        <w:rPr>
          <w:rStyle w:val="resultpara6"/>
        </w:rPr>
        <w:t xml:space="preserve"> </w:t>
      </w:r>
      <w:r w:rsidR="006B5793" w:rsidRPr="006B5793">
        <w:t xml:space="preserve">CRP is </w:t>
      </w:r>
      <w:r w:rsidR="006B5793" w:rsidRPr="006B5793">
        <w:rPr>
          <w:bCs/>
        </w:rPr>
        <w:t>generated as a reaction</w:t>
      </w:r>
      <w:r w:rsidR="006B5793" w:rsidRPr="006B5793">
        <w:t xml:space="preserve"> to inflammation and can be </w:t>
      </w:r>
      <w:r w:rsidR="006B5793" w:rsidRPr="006B5793">
        <w:rPr>
          <w:bCs/>
        </w:rPr>
        <w:t>increased</w:t>
      </w:r>
      <w:r w:rsidR="006B5793" w:rsidRPr="006B5793">
        <w:t xml:space="preserve"> in </w:t>
      </w:r>
      <w:r w:rsidR="006B5793" w:rsidRPr="006B5793">
        <w:rPr>
          <w:bCs/>
        </w:rPr>
        <w:t>various</w:t>
      </w:r>
      <w:r w:rsidR="006B5793" w:rsidRPr="006B5793">
        <w:t xml:space="preserve"> infections, not </w:t>
      </w:r>
      <w:r w:rsidR="006B5793" w:rsidRPr="006B5793">
        <w:rPr>
          <w:bCs/>
        </w:rPr>
        <w:t>solely</w:t>
      </w:r>
      <w:r w:rsidR="006B5793" w:rsidRPr="006B5793">
        <w:t xml:space="preserve"> pneumococcal infection. </w:t>
      </w:r>
      <w:r w:rsidR="00C228CD">
        <w:t xml:space="preserve">This includes staphylococcal and streptococcal infections, which could explain why Fraction C precipitation is seen in these other situations. Serological tests may yield </w:t>
      </w:r>
      <w:r w:rsidR="00100081">
        <w:t>erroneous</w:t>
      </w:r>
      <w:r w:rsidR="00C228CD">
        <w:t xml:space="preserve"> </w:t>
      </w:r>
      <w:r w:rsidR="00100081">
        <w:t>outcome</w:t>
      </w:r>
      <w:r w:rsidR="00C228CD">
        <w:t xml:space="preserve"> due to immune response cross-reactivity. </w:t>
      </w:r>
    </w:p>
    <w:p w:rsidR="0053671C" w:rsidRDefault="00DF750B" w:rsidP="00C228CD">
      <w:pPr>
        <w:pStyle w:val="Standard"/>
        <w:spacing w:before="280" w:after="280" w:line="276" w:lineRule="auto"/>
        <w:jc w:val="both"/>
        <w:rPr>
          <w:rStyle w:val="resultpara0"/>
        </w:rPr>
      </w:pPr>
      <w:r>
        <w:t>As</w:t>
      </w:r>
      <w:r w:rsidR="006B5793" w:rsidRPr="006B5793">
        <w:t xml:space="preserve"> </w:t>
      </w:r>
      <w:r>
        <w:rPr>
          <w:bCs/>
        </w:rPr>
        <w:t>example</w:t>
      </w:r>
      <w:r w:rsidR="006B5793" w:rsidRPr="006B5793">
        <w:t xml:space="preserve">, CRP levels </w:t>
      </w:r>
      <w:r w:rsidR="006B5793" w:rsidRPr="006B5793">
        <w:rPr>
          <w:bCs/>
        </w:rPr>
        <w:t>could</w:t>
      </w:r>
      <w:r w:rsidR="006B5793" w:rsidRPr="006B5793">
        <w:t xml:space="preserve"> also </w:t>
      </w:r>
      <w:r w:rsidR="006B5793" w:rsidRPr="006B5793">
        <w:rPr>
          <w:bCs/>
        </w:rPr>
        <w:t>increase</w:t>
      </w:r>
      <w:r w:rsidR="006B5793" w:rsidRPr="006B5793">
        <w:t xml:space="preserve"> in streptococcal or staphylococcal infections or even in </w:t>
      </w:r>
      <w:r w:rsidR="006B5793" w:rsidRPr="006B5793">
        <w:rPr>
          <w:bCs/>
        </w:rPr>
        <w:t>situations</w:t>
      </w:r>
      <w:r w:rsidR="006B5793" w:rsidRPr="006B5793">
        <w:t xml:space="preserve"> like rheumatic fever, </w:t>
      </w:r>
      <w:r w:rsidR="006B5793" w:rsidRPr="006B5793">
        <w:rPr>
          <w:bCs/>
        </w:rPr>
        <w:t>potentially resulting in comparable</w:t>
      </w:r>
      <w:r w:rsidR="006B5793" w:rsidRPr="006B5793">
        <w:t xml:space="preserve"> immune </w:t>
      </w:r>
      <w:r w:rsidR="006B5793" w:rsidRPr="006B5793">
        <w:rPr>
          <w:bCs/>
        </w:rPr>
        <w:t>reactions</w:t>
      </w:r>
      <w:r w:rsidR="006B5793" w:rsidRPr="006B5793">
        <w:t xml:space="preserve">, including the </w:t>
      </w:r>
      <w:r w:rsidR="007359C7">
        <w:rPr>
          <w:bCs/>
        </w:rPr>
        <w:t>production</w:t>
      </w:r>
      <w:r w:rsidR="006B5793" w:rsidRPr="006B5793">
        <w:t xml:space="preserve"> of </w:t>
      </w:r>
      <w:r w:rsidR="007359C7">
        <w:t>immunoglobulin’s</w:t>
      </w:r>
      <w:r w:rsidR="006B5793" w:rsidRPr="006B5793">
        <w:t xml:space="preserve"> that </w:t>
      </w:r>
      <w:r w:rsidR="0096269A">
        <w:t>false</w:t>
      </w:r>
      <w:r w:rsidR="007359C7">
        <w:t>-</w:t>
      </w:r>
      <w:r w:rsidR="006B5793" w:rsidRPr="006B5793">
        <w:t xml:space="preserve">react with pneumococcal antigens. </w:t>
      </w:r>
      <w:r w:rsidR="006B5793" w:rsidRPr="006B5793">
        <w:br/>
      </w:r>
      <w:r w:rsidR="006B5793" w:rsidRPr="006B5793">
        <w:rPr>
          <w:bCs/>
        </w:rPr>
        <w:t>In these instances, heightened</w:t>
      </w:r>
      <w:r w:rsidR="006B5793" w:rsidRPr="006B5793">
        <w:t xml:space="preserve"> CRP levels would </w:t>
      </w:r>
      <w:r w:rsidR="006B5793" w:rsidRPr="006B5793">
        <w:rPr>
          <w:bCs/>
        </w:rPr>
        <w:t>signify</w:t>
      </w:r>
      <w:r w:rsidR="006B5793" w:rsidRPr="006B5793">
        <w:t xml:space="preserve"> general inflammation, </w:t>
      </w:r>
      <w:r w:rsidR="006B5793" w:rsidRPr="006B5793">
        <w:rPr>
          <w:bCs/>
        </w:rPr>
        <w:t>whereas</w:t>
      </w:r>
      <w:r w:rsidR="006B5793" w:rsidRPr="006B5793">
        <w:t xml:space="preserve"> Fraction C precipitation may </w:t>
      </w:r>
      <w:r w:rsidR="006B5793" w:rsidRPr="006B5793">
        <w:rPr>
          <w:bCs/>
        </w:rPr>
        <w:t>serve as</w:t>
      </w:r>
      <w:r w:rsidR="006B5793" w:rsidRPr="006B5793">
        <w:t xml:space="preserve"> a more specific </w:t>
      </w:r>
      <w:r w:rsidR="006B5793" w:rsidRPr="006B5793">
        <w:rPr>
          <w:bCs/>
        </w:rPr>
        <w:t>yet possibly</w:t>
      </w:r>
      <w:r w:rsidR="006B5793" w:rsidRPr="006B5793">
        <w:t xml:space="preserve"> cross-reactive </w:t>
      </w:r>
      <w:r w:rsidR="006B5793" w:rsidRPr="006B5793">
        <w:rPr>
          <w:bCs/>
        </w:rPr>
        <w:t>indicator</w:t>
      </w:r>
      <w:r w:rsidR="006B5793" w:rsidRPr="006B5793">
        <w:t xml:space="preserve"> for bacterial infections </w:t>
      </w:r>
      <w:r w:rsidR="006B5793" w:rsidRPr="006B5793">
        <w:rPr>
          <w:bCs/>
        </w:rPr>
        <w:t>overall</w:t>
      </w:r>
      <w:r w:rsidR="006B5793" w:rsidRPr="006B5793">
        <w:t>.</w:t>
      </w:r>
      <w:r w:rsidR="006B5793">
        <w:t xml:space="preserve"> </w:t>
      </w:r>
      <w:r w:rsidR="00B502F9" w:rsidRPr="00B502F9">
        <w:t xml:space="preserve">CRP </w:t>
      </w:r>
      <w:r w:rsidR="00B502F9" w:rsidRPr="00B502F9">
        <w:rPr>
          <w:bCs/>
        </w:rPr>
        <w:t>serves as</w:t>
      </w:r>
      <w:r w:rsidR="00B502F9" w:rsidRPr="00B502F9">
        <w:t xml:space="preserve"> a </w:t>
      </w:r>
      <w:r w:rsidR="00C65141">
        <w:t>nonspecific</w:t>
      </w:r>
      <w:r w:rsidR="00B502F9" w:rsidRPr="00B502F9">
        <w:t xml:space="preserve"> </w:t>
      </w:r>
      <w:r w:rsidR="00B502F9" w:rsidRPr="00B502F9">
        <w:rPr>
          <w:bCs/>
        </w:rPr>
        <w:t>indicator</w:t>
      </w:r>
      <w:r w:rsidR="00B502F9" w:rsidRPr="00B502F9">
        <w:t xml:space="preserve"> of acute inflammation and infection. Its levels </w:t>
      </w:r>
      <w:r w:rsidR="00B502F9" w:rsidRPr="00B502F9">
        <w:rPr>
          <w:bCs/>
        </w:rPr>
        <w:t>increase</w:t>
      </w:r>
      <w:r w:rsidR="00B502F9" w:rsidRPr="00B502F9">
        <w:t xml:space="preserve"> in </w:t>
      </w:r>
      <w:r w:rsidR="00B502F9" w:rsidRPr="00B502F9">
        <w:rPr>
          <w:bCs/>
        </w:rPr>
        <w:t>reaction</w:t>
      </w:r>
      <w:r w:rsidR="00B502F9" w:rsidRPr="00B502F9">
        <w:t xml:space="preserve"> to pneumococcal infection (</w:t>
      </w:r>
      <w:r w:rsidR="00B502F9" w:rsidRPr="00B502F9">
        <w:rPr>
          <w:bCs/>
        </w:rPr>
        <w:t>along with</w:t>
      </w:r>
      <w:r w:rsidR="00B502F9" w:rsidRPr="00B502F9">
        <w:t xml:space="preserve"> other bacterial infections), and they </w:t>
      </w:r>
      <w:r w:rsidR="00B502F9" w:rsidRPr="00B502F9">
        <w:rPr>
          <w:bCs/>
        </w:rPr>
        <w:t>decrease</w:t>
      </w:r>
      <w:r w:rsidR="00B502F9" w:rsidRPr="00B502F9">
        <w:t xml:space="preserve"> as the infection </w:t>
      </w:r>
      <w:r w:rsidR="00B502F9" w:rsidRPr="00B502F9">
        <w:rPr>
          <w:bCs/>
        </w:rPr>
        <w:t>subsides</w:t>
      </w:r>
      <w:r w:rsidR="00B502F9" w:rsidRPr="00B502F9">
        <w:t>.</w:t>
      </w:r>
      <w:r w:rsidR="006B5793">
        <w:t xml:space="preserve"> </w:t>
      </w:r>
      <w:r w:rsidR="00B502F9" w:rsidRPr="00B502F9">
        <w:t xml:space="preserve">Fraction C precipitation specifically </w:t>
      </w:r>
      <w:r w:rsidR="00B502F9" w:rsidRPr="00B502F9">
        <w:rPr>
          <w:bCs/>
        </w:rPr>
        <w:t>evaluates</w:t>
      </w:r>
      <w:r w:rsidR="00B502F9" w:rsidRPr="00B502F9">
        <w:t xml:space="preserve"> an immune response to pneumococcal antigens, and </w:t>
      </w:r>
      <w:r w:rsidR="00B502F9" w:rsidRPr="00B502F9">
        <w:rPr>
          <w:bCs/>
        </w:rPr>
        <w:t>identifying</w:t>
      </w:r>
      <w:r w:rsidR="00B502F9" w:rsidRPr="00B502F9">
        <w:t xml:space="preserve"> this reaction can </w:t>
      </w:r>
      <w:r w:rsidR="00B502F9" w:rsidRPr="00B502F9">
        <w:rPr>
          <w:bCs/>
        </w:rPr>
        <w:t>assist in diagnosing</w:t>
      </w:r>
      <w:r w:rsidR="006B5793">
        <w:t xml:space="preserve"> pneumococcal </w:t>
      </w:r>
      <w:r w:rsidR="00B502F9" w:rsidRPr="00B502F9">
        <w:t>pneumonia.</w:t>
      </w:r>
      <w:r w:rsidR="006B5793">
        <w:t xml:space="preserve"> </w:t>
      </w:r>
      <w:r w:rsidR="00B502F9" w:rsidRPr="00B502F9">
        <w:t xml:space="preserve">CRP levels </w:t>
      </w:r>
      <w:r w:rsidR="00B502F9" w:rsidRPr="00B502F9">
        <w:rPr>
          <w:bCs/>
        </w:rPr>
        <w:t xml:space="preserve">are </w:t>
      </w:r>
      <w:r w:rsidR="006F5DBB">
        <w:rPr>
          <w:bCs/>
        </w:rPr>
        <w:t>linked</w:t>
      </w:r>
      <w:r w:rsidR="00B502F9" w:rsidRPr="00B502F9">
        <w:t xml:space="preserve"> with the </w:t>
      </w:r>
      <w:r w:rsidR="006F5DBB">
        <w:t>early</w:t>
      </w:r>
      <w:r w:rsidR="00B502F9" w:rsidRPr="00B502F9">
        <w:t xml:space="preserve"> phase of infection, while the antibody response (</w:t>
      </w:r>
      <w:r w:rsidR="00B502F9" w:rsidRPr="00B502F9">
        <w:rPr>
          <w:bCs/>
        </w:rPr>
        <w:t>which includes</w:t>
      </w:r>
      <w:r w:rsidR="00B502F9" w:rsidRPr="00B502F9">
        <w:t xml:space="preserve"> reactions to Fraction C) </w:t>
      </w:r>
      <w:r w:rsidR="00B502F9" w:rsidRPr="00B502F9">
        <w:rPr>
          <w:bCs/>
        </w:rPr>
        <w:t>contributes to</w:t>
      </w:r>
      <w:r w:rsidR="00B502F9" w:rsidRPr="00B502F9">
        <w:t xml:space="preserve"> both diagnosis and long-term immunity.</w:t>
      </w:r>
      <w:r w:rsidR="00B502F9">
        <w:t xml:space="preserve"> </w:t>
      </w:r>
      <w:r w:rsidR="00095CBA" w:rsidRPr="00095CBA">
        <w:rPr>
          <w:rStyle w:val="resultpara0"/>
        </w:rPr>
        <w:t xml:space="preserve">Cross-reactivity </w:t>
      </w:r>
      <w:r w:rsidR="00095CBA" w:rsidRPr="00095CBA">
        <w:rPr>
          <w:rStyle w:val="resultpara0"/>
          <w:bCs/>
        </w:rPr>
        <w:t>within</w:t>
      </w:r>
      <w:r w:rsidR="00095CBA" w:rsidRPr="00095CBA">
        <w:rPr>
          <w:rStyle w:val="resultpara0"/>
        </w:rPr>
        <w:t xml:space="preserve"> the immune system (</w:t>
      </w:r>
      <w:r w:rsidR="00095CBA" w:rsidRPr="00095CBA">
        <w:rPr>
          <w:rStyle w:val="resultpara0"/>
          <w:bCs/>
        </w:rPr>
        <w:t>for example</w:t>
      </w:r>
      <w:r w:rsidR="00095CBA" w:rsidRPr="00095CBA">
        <w:rPr>
          <w:rStyle w:val="resultpara0"/>
        </w:rPr>
        <w:t xml:space="preserve">, </w:t>
      </w:r>
      <w:r w:rsidR="00095CBA" w:rsidRPr="00095CBA">
        <w:rPr>
          <w:rStyle w:val="resultpara0"/>
          <w:bCs/>
        </w:rPr>
        <w:t>among</w:t>
      </w:r>
      <w:r w:rsidR="00095CBA" w:rsidRPr="00095CBA">
        <w:rPr>
          <w:rStyle w:val="resultpara0"/>
        </w:rPr>
        <w:t xml:space="preserve"> pneumococci, streptococci, staphylococci, and conditions </w:t>
      </w:r>
      <w:r w:rsidR="00095CBA" w:rsidRPr="00095CBA">
        <w:rPr>
          <w:rStyle w:val="resultpara0"/>
          <w:bCs/>
        </w:rPr>
        <w:t>such as</w:t>
      </w:r>
      <w:r w:rsidR="00095CBA" w:rsidRPr="00095CBA">
        <w:rPr>
          <w:rStyle w:val="resultpara0"/>
        </w:rPr>
        <w:t xml:space="preserve"> acute rheumatic fever) </w:t>
      </w:r>
      <w:r w:rsidR="00095CBA" w:rsidRPr="00095CBA">
        <w:rPr>
          <w:rStyle w:val="resultpara0"/>
          <w:bCs/>
        </w:rPr>
        <w:t>can result in comparable</w:t>
      </w:r>
      <w:r w:rsidR="00095CBA" w:rsidRPr="00095CBA">
        <w:rPr>
          <w:rStyle w:val="resultpara0"/>
        </w:rPr>
        <w:t xml:space="preserve"> immune </w:t>
      </w:r>
      <w:r w:rsidR="00095CBA" w:rsidRPr="00095CBA">
        <w:rPr>
          <w:rStyle w:val="resultpara0"/>
          <w:bCs/>
        </w:rPr>
        <w:t>responses</w:t>
      </w:r>
      <w:r w:rsidR="00095CBA" w:rsidRPr="00095CBA">
        <w:rPr>
          <w:rStyle w:val="resultpara0"/>
        </w:rPr>
        <w:t xml:space="preserve">, </w:t>
      </w:r>
      <w:r w:rsidR="00095CBA" w:rsidRPr="00095CBA">
        <w:rPr>
          <w:rStyle w:val="resultpara0"/>
          <w:bCs/>
        </w:rPr>
        <w:t>causing</w:t>
      </w:r>
      <w:r w:rsidR="00095CBA" w:rsidRPr="00095CBA">
        <w:rPr>
          <w:rStyle w:val="resultpara0"/>
        </w:rPr>
        <w:t xml:space="preserve"> CRP </w:t>
      </w:r>
      <w:r w:rsidR="00095CBA" w:rsidRPr="00095CBA">
        <w:rPr>
          <w:rStyle w:val="resultpara0"/>
          <w:bCs/>
        </w:rPr>
        <w:t xml:space="preserve">to serve as </w:t>
      </w:r>
      <w:r w:rsidR="00095CBA" w:rsidRPr="00095CBA">
        <w:rPr>
          <w:rStyle w:val="resultpara0"/>
        </w:rPr>
        <w:t xml:space="preserve">a </w:t>
      </w:r>
      <w:r w:rsidR="00095CBA" w:rsidRPr="00095CBA">
        <w:rPr>
          <w:rStyle w:val="resultpara0"/>
          <w:bCs/>
        </w:rPr>
        <w:t xml:space="preserve">broad </w:t>
      </w:r>
      <w:r w:rsidR="000C6762">
        <w:rPr>
          <w:rStyle w:val="resultpara0"/>
          <w:bCs/>
        </w:rPr>
        <w:t>bio</w:t>
      </w:r>
      <w:r w:rsidR="00095CBA" w:rsidRPr="00095CBA">
        <w:rPr>
          <w:rStyle w:val="resultpara0"/>
          <w:bCs/>
        </w:rPr>
        <w:t>marker</w:t>
      </w:r>
      <w:r w:rsidR="00095CBA" w:rsidRPr="00095CBA">
        <w:rPr>
          <w:rStyle w:val="resultpara0"/>
        </w:rPr>
        <w:t xml:space="preserve"> of inflammation </w:t>
      </w:r>
      <w:r w:rsidR="00095CBA" w:rsidRPr="00095CBA">
        <w:rPr>
          <w:rStyle w:val="resultpara0"/>
          <w:bCs/>
        </w:rPr>
        <w:t>in multiple</w:t>
      </w:r>
      <w:r w:rsidR="00095CBA" w:rsidRPr="00095CBA">
        <w:rPr>
          <w:rStyle w:val="resultpara0"/>
        </w:rPr>
        <w:t xml:space="preserve"> </w:t>
      </w:r>
      <w:r w:rsidR="000C6762" w:rsidRPr="00095CBA">
        <w:rPr>
          <w:rStyle w:val="resultpara0"/>
        </w:rPr>
        <w:t>situations</w:t>
      </w:r>
      <w:r w:rsidR="00095CBA" w:rsidRPr="00095CBA">
        <w:rPr>
          <w:rStyle w:val="resultpara0"/>
        </w:rPr>
        <w:t>.</w:t>
      </w:r>
      <w:r w:rsidR="00B502F9">
        <w:rPr>
          <w:rStyle w:val="resultpara0"/>
        </w:rPr>
        <w:t xml:space="preserve"> </w:t>
      </w:r>
      <w:r w:rsidR="00B502F9" w:rsidRPr="00B502F9">
        <w:rPr>
          <w:rStyle w:val="resultpara0"/>
        </w:rPr>
        <w:t xml:space="preserve">In clinical </w:t>
      </w:r>
      <w:r w:rsidR="00B502F9" w:rsidRPr="00B502F9">
        <w:rPr>
          <w:rStyle w:val="resultpara0"/>
          <w:bCs/>
        </w:rPr>
        <w:t>settings</w:t>
      </w:r>
      <w:r w:rsidR="00B502F9" w:rsidRPr="00B502F9">
        <w:rPr>
          <w:rStyle w:val="resultpara0"/>
        </w:rPr>
        <w:t xml:space="preserve">, CRP levels </w:t>
      </w:r>
      <w:r w:rsidR="00B502F9" w:rsidRPr="00B502F9">
        <w:rPr>
          <w:rStyle w:val="resultpara0"/>
          <w:bCs/>
        </w:rPr>
        <w:t>may</w:t>
      </w:r>
      <w:r w:rsidR="00B502F9" w:rsidRPr="00B502F9">
        <w:rPr>
          <w:rStyle w:val="resultpara0"/>
        </w:rPr>
        <w:t xml:space="preserve"> be </w:t>
      </w:r>
      <w:r w:rsidR="00B502F9" w:rsidRPr="00B502F9">
        <w:rPr>
          <w:rStyle w:val="resultpara0"/>
          <w:bCs/>
        </w:rPr>
        <w:t>evaluated</w:t>
      </w:r>
      <w:r w:rsidR="00B502F9" w:rsidRPr="00B502F9">
        <w:rPr>
          <w:rStyle w:val="resultpara0"/>
        </w:rPr>
        <w:t xml:space="preserve"> to </w:t>
      </w:r>
      <w:r w:rsidR="00B502F9" w:rsidRPr="00B502F9">
        <w:rPr>
          <w:rStyle w:val="resultpara0"/>
          <w:bCs/>
        </w:rPr>
        <w:t>determine</w:t>
      </w:r>
      <w:r w:rsidR="00B502F9" w:rsidRPr="00B502F9">
        <w:rPr>
          <w:rStyle w:val="resultpara0"/>
        </w:rPr>
        <w:t xml:space="preserve"> the </w:t>
      </w:r>
      <w:r w:rsidR="00B502F9" w:rsidRPr="00B502F9">
        <w:rPr>
          <w:rStyle w:val="resultpara0"/>
          <w:bCs/>
        </w:rPr>
        <w:t>existence</w:t>
      </w:r>
      <w:r w:rsidR="00B502F9" w:rsidRPr="00B502F9">
        <w:rPr>
          <w:rStyle w:val="resultpara0"/>
        </w:rPr>
        <w:t xml:space="preserve"> of infection or inflammation, </w:t>
      </w:r>
      <w:r w:rsidR="00B502F9" w:rsidRPr="00B502F9">
        <w:rPr>
          <w:rStyle w:val="resultpara0"/>
          <w:bCs/>
        </w:rPr>
        <w:t>whereas</w:t>
      </w:r>
      <w:r w:rsidR="00B502F9" w:rsidRPr="00B502F9">
        <w:rPr>
          <w:rStyle w:val="resultpara0"/>
        </w:rPr>
        <w:t xml:space="preserve"> tests for Fraction C antibodies </w:t>
      </w:r>
      <w:r w:rsidR="00B502F9" w:rsidRPr="00B502F9">
        <w:rPr>
          <w:rStyle w:val="resultpara0"/>
          <w:bCs/>
        </w:rPr>
        <w:t>might assist in delivering</w:t>
      </w:r>
      <w:r w:rsidR="00B502F9" w:rsidRPr="00B502F9">
        <w:rPr>
          <w:rStyle w:val="resultpara0"/>
        </w:rPr>
        <w:t xml:space="preserve"> more </w:t>
      </w:r>
      <w:r w:rsidR="00B502F9" w:rsidRPr="00B502F9">
        <w:rPr>
          <w:rStyle w:val="resultpara0"/>
          <w:bCs/>
        </w:rPr>
        <w:t>detailed</w:t>
      </w:r>
      <w:r w:rsidR="00B502F9" w:rsidRPr="00B502F9">
        <w:rPr>
          <w:rStyle w:val="resultpara0"/>
        </w:rPr>
        <w:t xml:space="preserve"> information </w:t>
      </w:r>
      <w:r w:rsidR="00B502F9" w:rsidRPr="00B502F9">
        <w:rPr>
          <w:rStyle w:val="resultpara0"/>
          <w:bCs/>
        </w:rPr>
        <w:t>regarding</w:t>
      </w:r>
      <w:r w:rsidR="00B502F9" w:rsidRPr="00B502F9">
        <w:rPr>
          <w:rStyle w:val="resultpara0"/>
        </w:rPr>
        <w:t xml:space="preserve"> pneumococcal infection</w:t>
      </w:r>
      <w:r w:rsidR="005E24D1">
        <w:rPr>
          <w:rStyle w:val="resultpara0"/>
        </w:rPr>
        <w:t xml:space="preserve"> </w:t>
      </w:r>
      <w:r w:rsidR="003F5925">
        <w:rPr>
          <w:rStyle w:val="resultpara0"/>
        </w:rPr>
        <w:fldChar w:fldCharType="begin"/>
      </w:r>
      <w:r w:rsidR="00B41ACC">
        <w:rPr>
          <w:rStyle w:val="resultpara0"/>
        </w:rPr>
        <w:instrText xml:space="preserve"> ADDIN ZOTERO_ITEM CSL_CITATION {"citationID":"gQNLJpg8","properties":{"formattedCitation":"\\super 133\\uc0\\u8211{}135\\nosupersub{}","plainCitation":"133–135","noteIndex":0},"citationItems":[{"id":657,"uris":["http://zotero.org/users/local/BfzbJtgR/items/9GPIBLHV"],"itemData":{"id":657,"type":"article-journal","container-title":"The Journal of Clinical Investigation","DOI":"10.1172/JCI18921","ISSN":"0021-9738","issue":"12","journalAbbreviation":"J Clin Invest","language":"eng","note":"PMID: 12813013\nPMCID: PMC161431","page":"1805-1812","source":"PubMed","title":"C-reactive protein: a critical update","title-short":"C-reactive protein","volume":"111","author":[{"family":"Pepys","given":"Mark B."},{"family":"Hirschfield","given":"Gideon M."}],"issued":{"date-parts":[["2003",6]]}}},{"id":663,"uris":["http://zotero.org/users/local/BfzbJtgR/items/CM4WCQWH"],"itemData":{"id":663,"type":"article-journal","abstract":"No deficiency of human C-reactive protein (CRP), or even structural polymorphism of the protein, has yet been reported so its physiological role is not known. Here we show for the first time that CRP-deficient mice are remarkably susceptible to Streptococcus pneumoniae infection and are protected by reconstitution with isolated pure human CRP, or by anti-pneumococcal antibodies. Autologous mouse CRP is evidently essential for innate resistance to pneumococcal infection before antibodies are produced. Our findings are consistent with the significant association between clinical pneumococcal infection and non-coding human CRP gene polymorphisms which affect CRP expression. Deficiency or loss of function variation in CRP may therefore be lethal at the first early-life encounter with this ubiquitous virulent pathogen, explaining the invariant presence and structure of CRP in human adults.","container-title":"Immunology","DOI":"10.1111/imm.12266","ISSN":"1365-2567","issue":"3","journalAbbreviation":"Immunology","language":"eng","note":"PMID: 24673624\nPMCID: PMC4080957","page":"414-420","source":"PubMed","title":"C-reactive protein is essential for innate resistance to pneumococcal infection","volume":"142","author":[{"family":"Simons","given":"J. Paul"},{"family":"Loeffler","given":"Jutta M."},{"family":"Al-Shawi","given":"Raya"},{"family":"Ellmerich","given":"Stephan"},{"family":"Hutchinson","given":"Winston L."},{"family":"Tennent","given":"Glenys A."},{"family":"Petrie","given":"Aviva"},{"family":"Raynes","given":"John G."},{"family":"Souza","given":"J. Brian","non-dropping-particle":"de"},{"family":"Lawrence","given":"Rachel A."},{"family":"Read","given":"Kevin D."},{"family":"Pepys","given":"Mark B."}],"issued":{"date-parts":[["2014",7]]}}},{"id":660,"uris":["http://zotero.org/users/local/BfzbJtgR/items/6LFE6FWN"],"itemData":{"id":660,"type":"article-journal","abstract":"C-reactive protein (CRP) is not an acute-phase protein in mice, and therefore, mice are widely used to investigate the functions of human CRP. It has been shown that CRP protects mice from pneumococcal infection, and an active complement system is required for full protection. In this study, we assessed the contribution of CRP's ability of activating the classical pathway of complement in the protection of mice from lethal infection with virulent Streptococcus pneumoniae type 3. We used two CRP mutants, Y175A and K114A. The Y175A CRP does not bind C1q and does not activate complement in human serum. The K114A CRP binds C1q and activates complement more efficiently than wild-type CRP. Passively administered, both CRP mutants and the wild-type CRP protected mice from infection equally. Infected mice injected with wild-type or mutant CRP had reduced bacteremia, resulting in lower mortality and increased longevity compared with mice that did not receive CRP. Thus, the protection of mice was independent of CRP-mediated activation of the classical pathway of complement. To confirm that human CRP does not differentiate between human and mouse complement, we analyzed the binding of human CRP to mouse C1q. Surprisingly, CRP did not react with mouse C1q, although both mutant and wild-type CRP activated mouse C3, indicating species specificity of CRP-C1q interaction. We conclude that the mouse is an unfit animal for exploring CRP-mediated activation of the classical complement pathway, and that the characteristic of CRP to activate the classical complement pathway has no role in protecting mice from infection.","container-title":"Journal of Immunology (Baltimore, Md.: 1950)","DOI":"10.4049/jimmunol.176.7.4369","ISSN":"0022-1767","issue":"7","journalAbbreviation":"J Immunol","language":"eng","note":"PMID: 16547275\nPMCID: PMC3818093","page":"4369-4374","source":"PubMed","title":"Role of the property of C-reactive protein to activate the classical pathway of complement in protecting mice from pneumococcal infection","volume":"176","author":[{"family":"Suresh","given":"Madathilparambil V."},{"family":"Singh","given":"Sanjay K."},{"family":"Ferguson","given":"Donald A."},{"family":"Agrawal","given":"Alok"}],"issued":{"date-parts":[["2006",4,1]]}}}],"schema":"https://github.com/citation-style-language/schema/raw/master/csl-citation.json"} </w:instrText>
      </w:r>
      <w:r w:rsidR="003F5925">
        <w:rPr>
          <w:rStyle w:val="resultpara0"/>
        </w:rPr>
        <w:fldChar w:fldCharType="separate"/>
      </w:r>
      <w:r w:rsidR="00B41ACC" w:rsidRPr="00B41ACC">
        <w:rPr>
          <w:rFonts w:cs="Times New Roman"/>
          <w:vertAlign w:val="superscript"/>
        </w:rPr>
        <w:t>133–135</w:t>
      </w:r>
      <w:r w:rsidR="003F5925">
        <w:rPr>
          <w:rStyle w:val="resultpara0"/>
        </w:rPr>
        <w:fldChar w:fldCharType="end"/>
      </w:r>
      <w:r w:rsidR="00B502F9" w:rsidRPr="00B502F9">
        <w:rPr>
          <w:rStyle w:val="resultpara0"/>
        </w:rPr>
        <w:t>.</w:t>
      </w:r>
      <w:r w:rsidR="005E24D1">
        <w:rPr>
          <w:rStyle w:val="resultpara0"/>
        </w:rPr>
        <w:t xml:space="preserve"> </w:t>
      </w:r>
    </w:p>
    <w:p w:rsidR="003C47CD" w:rsidRPr="005F270A" w:rsidRDefault="005E24D1" w:rsidP="00F861EB">
      <w:pPr>
        <w:pStyle w:val="Standard"/>
        <w:suppressAutoHyphens w:val="0"/>
        <w:spacing w:before="280" w:after="280" w:line="276" w:lineRule="auto"/>
        <w:jc w:val="both"/>
        <w:textAlignment w:val="auto"/>
      </w:pPr>
      <w:r>
        <w:rPr>
          <w:rStyle w:val="resultpara0"/>
        </w:rPr>
        <w:t xml:space="preserve">Despite their presence in many acute and chronic disorders, many systemic changes are </w:t>
      </w:r>
      <w:r w:rsidR="007901E2">
        <w:rPr>
          <w:rStyle w:val="resultpara0"/>
        </w:rPr>
        <w:t>mentioned</w:t>
      </w:r>
      <w:r>
        <w:rPr>
          <w:rStyle w:val="resultpara0"/>
        </w:rPr>
        <w:t xml:space="preserve"> to as the acute phase response</w:t>
      </w:r>
      <w:r w:rsidR="008D1193">
        <w:rPr>
          <w:rStyle w:val="resultpara0"/>
        </w:rPr>
        <w:t xml:space="preserve"> </w:t>
      </w:r>
      <w:r w:rsidR="008D1193">
        <w:rPr>
          <w:rStyle w:val="resultpara0"/>
        </w:rPr>
        <w:fldChar w:fldCharType="begin"/>
      </w:r>
      <w:r w:rsidR="00B41ACC">
        <w:rPr>
          <w:rStyle w:val="resultpara0"/>
        </w:rPr>
        <w:instrText xml:space="preserve"> ADDIN ZOTERO_ITEM CSL_CITATION {"citationID":"Eut9DyIB","properties":{"formattedCitation":"\\super 136\\nosupersub{}","plainCitation":"136","noteIndex":0},"citationItems":[{"id":669,"uris":["http://zotero.org/users/local/BfzbJtgR/items/5NL4SB9Y"],"itemData":{"id":669,"type":"article-journal","abstract":"Cytokines appear to function as part of a complex regulatory network, a signaling language in which informational content resides in the combinations, and perhaps sequence, of cytokines and other extracellular messenger molecules received by a cell. The effects of combinations of cytokines are complex and often differ from their in vitro effects or when administered by themselves. (From this perspective, to use a somewhat crude simile, individual cytokines can be thought of as words which bear informational content. Although individual cytokines may, on occasion, communicate a complete message, more commonly the actual messages received by cells probably resemble sentences, in which it is the combination and sequence of words which convey information.) Currently available data suggest an in vivo scenario in the acute phase response in which the hepatocyte receives a complex mixture of humoral or paracrine signals which are integrated by multiple interacting post-receptor and gene regulatory mechanisms to cause finely regulated changes in plasma protein synthesis. Regulation often occurs by transcriptional control, but post-transcriptional mechanisms, including translational regulation, may participate. Both the extracellular and intracellular mechanisms that mediate the response of the hepatocyte to inflammatory stimuli appear to be highly complex and involve multiple overlapping, concurrent, and parallel pathways. Enough is known at present to conclude that IL-6 is a major participant in these changes in man. Regulation of non-hepatocyte acute phase phenomena has not been delineated as thoroughly, but clearly involves a number of cytokines.","container-title":"Perspectives in Biology and Medicine","DOI":"10.1353/pbm.1993.0004","ISSN":"0031-5982","issue":"4","journalAbbreviation":"Perspect Biol Med","language":"eng","note":"PMID: 8361844","page":"611-622","source":"PubMed","title":"Regulation of the acute phase response by cytokines","volume":"36","author":[{"family":"Kushner","given":"I."}],"issued":{"date-parts":[["1993"]]}}}],"schema":"https://github.com/citation-style-language/schema/raw/master/csl-citation.json"} </w:instrText>
      </w:r>
      <w:r w:rsidR="008D1193">
        <w:rPr>
          <w:rStyle w:val="resultpara0"/>
        </w:rPr>
        <w:fldChar w:fldCharType="separate"/>
      </w:r>
      <w:r w:rsidR="00B41ACC" w:rsidRPr="00B41ACC">
        <w:rPr>
          <w:rFonts w:cs="Times New Roman"/>
          <w:vertAlign w:val="superscript"/>
        </w:rPr>
        <w:t>136</w:t>
      </w:r>
      <w:r w:rsidR="008D1193">
        <w:rPr>
          <w:rStyle w:val="resultpara0"/>
        </w:rPr>
        <w:fldChar w:fldCharType="end"/>
      </w:r>
      <w:r>
        <w:rPr>
          <w:rStyle w:val="resultpara0"/>
        </w:rPr>
        <w:t xml:space="preserve">. </w:t>
      </w:r>
      <w:r w:rsidR="003B44E2">
        <w:rPr>
          <w:rStyle w:val="resultpara0"/>
        </w:rPr>
        <w:t xml:space="preserve">Acute-phase changes may be classified based on the </w:t>
      </w:r>
      <w:r w:rsidR="007901E2">
        <w:rPr>
          <w:rStyle w:val="resultpara0"/>
        </w:rPr>
        <w:t>level</w:t>
      </w:r>
      <w:r w:rsidR="003B44E2">
        <w:rPr>
          <w:rStyle w:val="resultpara0"/>
        </w:rPr>
        <w:t xml:space="preserve"> of </w:t>
      </w:r>
      <w:r w:rsidR="003B44E2">
        <w:rPr>
          <w:rStyle w:val="resultpara0"/>
        </w:rPr>
        <w:lastRenderedPageBreak/>
        <w:t xml:space="preserve">many plasma proteins with the differences in various behavioural, physiological, nutritional and biochemical states. </w:t>
      </w:r>
      <w:r w:rsidR="003B44E2" w:rsidRPr="003B44E2">
        <w:t xml:space="preserve">Acute-phase proteins are </w:t>
      </w:r>
      <w:r w:rsidR="003B44E2" w:rsidRPr="003B44E2">
        <w:rPr>
          <w:bCs/>
        </w:rPr>
        <w:t>categorized</w:t>
      </w:r>
      <w:r w:rsidR="003B44E2" w:rsidRPr="003B44E2">
        <w:t xml:space="preserve"> into two types</w:t>
      </w:r>
      <w:r w:rsidR="003B44E2" w:rsidRPr="003B44E2">
        <w:rPr>
          <w:bCs/>
        </w:rPr>
        <w:t>:</w:t>
      </w:r>
      <w:r w:rsidR="003B44E2" w:rsidRPr="003B44E2">
        <w:t xml:space="preserve"> positive acute-phase proteins, </w:t>
      </w:r>
      <w:r w:rsidR="003B44E2" w:rsidRPr="003B44E2">
        <w:rPr>
          <w:bCs/>
        </w:rPr>
        <w:t>which get an increase</w:t>
      </w:r>
      <w:r w:rsidR="003B44E2" w:rsidRPr="003B44E2">
        <w:t xml:space="preserve"> in </w:t>
      </w:r>
      <w:r w:rsidR="003B44E2" w:rsidRPr="003B44E2">
        <w:rPr>
          <w:bCs/>
        </w:rPr>
        <w:t xml:space="preserve">their </w:t>
      </w:r>
      <w:r w:rsidR="003B44E2" w:rsidRPr="003B44E2">
        <w:t xml:space="preserve">plasma </w:t>
      </w:r>
      <w:r w:rsidR="003B44E2" w:rsidRPr="003B44E2">
        <w:rPr>
          <w:bCs/>
        </w:rPr>
        <w:t>concentration,</w:t>
      </w:r>
      <w:r w:rsidR="003B44E2" w:rsidRPr="003B44E2">
        <w:t xml:space="preserve"> and negative acute-phase proteins, </w:t>
      </w:r>
      <w:r w:rsidR="003B44E2" w:rsidRPr="003B44E2">
        <w:rPr>
          <w:bCs/>
        </w:rPr>
        <w:t xml:space="preserve">which experience a </w:t>
      </w:r>
      <w:r w:rsidR="007901E2">
        <w:rPr>
          <w:bCs/>
        </w:rPr>
        <w:t>lower</w:t>
      </w:r>
      <w:r w:rsidR="003B44E2" w:rsidRPr="003B44E2">
        <w:t xml:space="preserve"> in </w:t>
      </w:r>
      <w:r w:rsidR="003B44E2" w:rsidRPr="003B44E2">
        <w:rPr>
          <w:bCs/>
        </w:rPr>
        <w:t xml:space="preserve">their </w:t>
      </w:r>
      <w:r w:rsidR="003B44E2" w:rsidRPr="003B44E2">
        <w:t xml:space="preserve">plasma </w:t>
      </w:r>
      <w:r w:rsidR="003B44E2" w:rsidRPr="003B44E2">
        <w:rPr>
          <w:bCs/>
        </w:rPr>
        <w:t>concentration of</w:t>
      </w:r>
      <w:r w:rsidR="003B44E2" w:rsidRPr="003B44E2">
        <w:t xml:space="preserve"> at least 25%</w:t>
      </w:r>
      <w:r w:rsidR="000549FA">
        <w:t xml:space="preserve"> during inflammatory dis</w:t>
      </w:r>
      <w:r w:rsidR="00BA12E3">
        <w:t>ease state</w:t>
      </w:r>
      <w:r w:rsidR="0053671C">
        <w:t xml:space="preserve"> </w:t>
      </w:r>
      <w:r w:rsidR="0053671C">
        <w:fldChar w:fldCharType="begin"/>
      </w:r>
      <w:r w:rsidR="00B41ACC">
        <w:instrText xml:space="preserve"> ADDIN ZOTERO_ITEM CSL_CITATION {"citationID":"bzjwWQd4","properties":{"formattedCitation":"\\super 137\\nosupersub{}","plainCitation":"137","noteIndex":0},"citationItems":[{"id":671,"uris":["http://zotero.org/users/local/BfzbJtgR/items/8V6MWFX7"],"itemData":{"id":671,"type":"article-journal","container-title":"Annals of the New York Academy of Sciences","DOI":"10.1111/j.1749-6632.1982.tb22153.x","ISSN":"0077-8923, 1749-6632","issue":"1","journalAbbreviation":"Annals of the New York Academy of Sciences","language":"en","license":"http://onlinelibrary.wiley.com/termsAndConditions#vor","page":"406-418","source":"DOI.org (Crossref)","title":"SERUM C‐REACTIVE PROTEIN LEVELS IN DISEASE","volume":"389","author":[{"family":"Morley","given":"John J."},{"family":"Kushner","given":"Irving"}],"issued":{"date-parts":[["1982",6]]}}}],"schema":"https://github.com/citation-style-language/schema/raw/master/csl-citation.json"} </w:instrText>
      </w:r>
      <w:r w:rsidR="0053671C">
        <w:fldChar w:fldCharType="separate"/>
      </w:r>
      <w:r w:rsidR="00B41ACC" w:rsidRPr="00B41ACC">
        <w:rPr>
          <w:rFonts w:cs="Times New Roman"/>
          <w:vertAlign w:val="superscript"/>
        </w:rPr>
        <w:t>137</w:t>
      </w:r>
      <w:r w:rsidR="0053671C">
        <w:fldChar w:fldCharType="end"/>
      </w:r>
      <w:r w:rsidR="003B44E2" w:rsidRPr="003B44E2">
        <w:t>.</w:t>
      </w:r>
      <w:r w:rsidR="005F270A">
        <w:t xml:space="preserve"> </w:t>
      </w:r>
    </w:p>
    <w:p w:rsidR="0053671C" w:rsidRPr="003C47CD" w:rsidRDefault="003C47CD" w:rsidP="003C47CD">
      <w:pPr>
        <w:pStyle w:val="Heading3"/>
        <w:rPr>
          <w:rFonts w:ascii="Times New Roman" w:hAnsi="Times New Roman" w:cs="Times New Roman"/>
          <w:color w:val="auto"/>
          <w:sz w:val="24"/>
        </w:rPr>
      </w:pPr>
      <w:bookmarkStart w:id="10" w:name="_Toc193802121"/>
      <w:r w:rsidRPr="003C47CD">
        <w:rPr>
          <w:rFonts w:ascii="Times New Roman" w:hAnsi="Times New Roman" w:cs="Times New Roman"/>
          <w:color w:val="auto"/>
          <w:sz w:val="24"/>
        </w:rPr>
        <w:t>2.2.1. Positive Acute-phase proteins</w:t>
      </w:r>
      <w:bookmarkEnd w:id="10"/>
    </w:p>
    <w:p w:rsidR="0053671C" w:rsidRDefault="0053671C" w:rsidP="00F861EB">
      <w:pPr>
        <w:pStyle w:val="Standard"/>
        <w:suppressAutoHyphens w:val="0"/>
        <w:spacing w:before="280" w:after="280" w:line="276" w:lineRule="auto"/>
        <w:jc w:val="both"/>
        <w:textAlignment w:val="auto"/>
        <w:rPr>
          <w:rFonts w:ascii="Times New Roman" w:eastAsia="Times New Roman" w:hAnsi="Times New Roman" w:cs="Times New Roman"/>
          <w:bCs/>
          <w:kern w:val="0"/>
          <w:lang w:eastAsia="en-US" w:bidi="ar-SA"/>
        </w:rPr>
      </w:pPr>
      <w:r>
        <w:rPr>
          <w:rFonts w:ascii="Times New Roman" w:eastAsia="Times New Roman" w:hAnsi="Times New Roman" w:cs="Times New Roman"/>
          <w:bCs/>
          <w:kern w:val="0"/>
          <w:lang w:eastAsia="en-US" w:bidi="ar-SA"/>
        </w:rPr>
        <w:t xml:space="preserve">These proteins are found in high </w:t>
      </w:r>
      <w:r w:rsidR="00D80899">
        <w:rPr>
          <w:rFonts w:ascii="Times New Roman" w:eastAsia="Times New Roman" w:hAnsi="Times New Roman" w:cs="Times New Roman"/>
          <w:bCs/>
          <w:kern w:val="0"/>
          <w:lang w:eastAsia="en-US" w:bidi="ar-SA"/>
        </w:rPr>
        <w:t>concentrations</w:t>
      </w:r>
      <w:r>
        <w:rPr>
          <w:rFonts w:ascii="Times New Roman" w:eastAsia="Times New Roman" w:hAnsi="Times New Roman" w:cs="Times New Roman"/>
          <w:bCs/>
          <w:kern w:val="0"/>
          <w:lang w:eastAsia="en-US" w:bidi="ar-SA"/>
        </w:rPr>
        <w:t xml:space="preserve"> during </w:t>
      </w:r>
      <w:r w:rsidR="001666D4">
        <w:rPr>
          <w:rFonts w:ascii="Times New Roman" w:eastAsia="Times New Roman" w:hAnsi="Times New Roman" w:cs="Times New Roman"/>
          <w:bCs/>
          <w:kern w:val="0"/>
          <w:lang w:eastAsia="en-US" w:bidi="ar-SA"/>
        </w:rPr>
        <w:t xml:space="preserve">the </w:t>
      </w:r>
      <w:r>
        <w:rPr>
          <w:rFonts w:ascii="Times New Roman" w:eastAsia="Times New Roman" w:hAnsi="Times New Roman" w:cs="Times New Roman"/>
          <w:bCs/>
          <w:kern w:val="0"/>
          <w:lang w:eastAsia="en-US" w:bidi="ar-SA"/>
        </w:rPr>
        <w:t xml:space="preserve">inflammatory state. They mainly </w:t>
      </w:r>
      <w:r w:rsidR="001666D4">
        <w:rPr>
          <w:rFonts w:ascii="Times New Roman" w:eastAsia="Times New Roman" w:hAnsi="Times New Roman" w:cs="Times New Roman"/>
          <w:bCs/>
          <w:kern w:val="0"/>
          <w:lang w:eastAsia="en-US" w:bidi="ar-SA"/>
        </w:rPr>
        <w:t>serve</w:t>
      </w:r>
      <w:r>
        <w:rPr>
          <w:rFonts w:ascii="Times New Roman" w:eastAsia="Times New Roman" w:hAnsi="Times New Roman" w:cs="Times New Roman"/>
          <w:bCs/>
          <w:kern w:val="0"/>
          <w:lang w:eastAsia="en-US" w:bidi="ar-SA"/>
        </w:rPr>
        <w:t xml:space="preserve"> </w:t>
      </w:r>
      <w:r w:rsidR="001666D4">
        <w:rPr>
          <w:rFonts w:ascii="Times New Roman" w:eastAsia="Times New Roman" w:hAnsi="Times New Roman" w:cs="Times New Roman"/>
          <w:bCs/>
          <w:kern w:val="0"/>
          <w:lang w:eastAsia="en-US" w:bidi="ar-SA"/>
        </w:rPr>
        <w:t>to</w:t>
      </w:r>
      <w:r>
        <w:rPr>
          <w:rFonts w:ascii="Times New Roman" w:eastAsia="Times New Roman" w:hAnsi="Times New Roman" w:cs="Times New Roman"/>
          <w:bCs/>
          <w:kern w:val="0"/>
          <w:lang w:eastAsia="en-US" w:bidi="ar-SA"/>
        </w:rPr>
        <w:t xml:space="preserve"> </w:t>
      </w:r>
      <w:r w:rsidR="00C447CB">
        <w:rPr>
          <w:rFonts w:ascii="Times New Roman" w:eastAsia="Times New Roman" w:hAnsi="Times New Roman" w:cs="Times New Roman"/>
          <w:bCs/>
          <w:kern w:val="0"/>
          <w:lang w:eastAsia="en-US" w:bidi="ar-SA"/>
        </w:rPr>
        <w:t>control</w:t>
      </w:r>
      <w:r>
        <w:rPr>
          <w:rFonts w:ascii="Times New Roman" w:eastAsia="Times New Roman" w:hAnsi="Times New Roman" w:cs="Times New Roman"/>
          <w:bCs/>
          <w:kern w:val="0"/>
          <w:lang w:eastAsia="en-US" w:bidi="ar-SA"/>
        </w:rPr>
        <w:t xml:space="preserve"> </w:t>
      </w:r>
      <w:r w:rsidR="001666D4">
        <w:rPr>
          <w:rFonts w:ascii="Times New Roman" w:eastAsia="Times New Roman" w:hAnsi="Times New Roman" w:cs="Times New Roman"/>
          <w:bCs/>
          <w:kern w:val="0"/>
          <w:lang w:eastAsia="en-US" w:bidi="ar-SA"/>
        </w:rPr>
        <w:t xml:space="preserve">the </w:t>
      </w:r>
      <w:r>
        <w:rPr>
          <w:rFonts w:ascii="Times New Roman" w:eastAsia="Times New Roman" w:hAnsi="Times New Roman" w:cs="Times New Roman"/>
          <w:bCs/>
          <w:kern w:val="0"/>
          <w:lang w:eastAsia="en-US" w:bidi="ar-SA"/>
        </w:rPr>
        <w:t xml:space="preserve">immune </w:t>
      </w:r>
      <w:r w:rsidR="00C447CB">
        <w:rPr>
          <w:rFonts w:ascii="Times New Roman" w:eastAsia="Times New Roman" w:hAnsi="Times New Roman" w:cs="Times New Roman"/>
          <w:bCs/>
          <w:kern w:val="0"/>
          <w:lang w:eastAsia="en-US" w:bidi="ar-SA"/>
        </w:rPr>
        <w:t>reactions</w:t>
      </w:r>
      <w:r>
        <w:rPr>
          <w:rFonts w:ascii="Times New Roman" w:eastAsia="Times New Roman" w:hAnsi="Times New Roman" w:cs="Times New Roman"/>
          <w:bCs/>
          <w:kern w:val="0"/>
          <w:lang w:eastAsia="en-US" w:bidi="ar-SA"/>
        </w:rPr>
        <w:t xml:space="preserve">, tissue </w:t>
      </w:r>
      <w:r w:rsidR="001666D4">
        <w:rPr>
          <w:rFonts w:ascii="Times New Roman" w:eastAsia="Times New Roman" w:hAnsi="Times New Roman" w:cs="Times New Roman"/>
          <w:bCs/>
          <w:kern w:val="0"/>
          <w:lang w:eastAsia="en-US" w:bidi="ar-SA"/>
        </w:rPr>
        <w:t>repair</w:t>
      </w:r>
      <w:r>
        <w:rPr>
          <w:rFonts w:ascii="Times New Roman" w:eastAsia="Times New Roman" w:hAnsi="Times New Roman" w:cs="Times New Roman"/>
          <w:bCs/>
          <w:kern w:val="0"/>
          <w:lang w:eastAsia="en-US" w:bidi="ar-SA"/>
        </w:rPr>
        <w:t xml:space="preserve"> and </w:t>
      </w:r>
      <w:r w:rsidR="004105EC">
        <w:rPr>
          <w:rFonts w:ascii="Times New Roman" w:eastAsia="Times New Roman" w:hAnsi="Times New Roman" w:cs="Times New Roman"/>
          <w:bCs/>
          <w:kern w:val="0"/>
          <w:lang w:eastAsia="en-US" w:bidi="ar-SA"/>
        </w:rPr>
        <w:t>combating infections</w:t>
      </w:r>
      <w:r w:rsidR="006F079F">
        <w:rPr>
          <w:rFonts w:ascii="Times New Roman" w:eastAsia="Times New Roman" w:hAnsi="Times New Roman" w:cs="Times New Roman"/>
          <w:bCs/>
          <w:kern w:val="0"/>
          <w:lang w:eastAsia="en-US" w:bidi="ar-SA"/>
        </w:rPr>
        <w:t xml:space="preserve"> </w:t>
      </w:r>
      <w:r w:rsidR="004105EC">
        <w:rPr>
          <w:rFonts w:ascii="Times New Roman" w:eastAsia="Times New Roman" w:hAnsi="Times New Roman" w:cs="Times New Roman"/>
          <w:bCs/>
          <w:kern w:val="0"/>
          <w:lang w:eastAsia="en-US" w:bidi="ar-SA"/>
        </w:rPr>
        <w:fldChar w:fldCharType="begin"/>
      </w:r>
      <w:r w:rsidR="00B41ACC">
        <w:rPr>
          <w:rFonts w:ascii="Times New Roman" w:eastAsia="Times New Roman" w:hAnsi="Times New Roman" w:cs="Times New Roman"/>
          <w:bCs/>
          <w:kern w:val="0"/>
          <w:lang w:eastAsia="en-US" w:bidi="ar-SA"/>
        </w:rPr>
        <w:instrText xml:space="preserve"> ADDIN ZOTERO_ITEM CSL_CITATION {"citationID":"SiSwAr2D","properties":{"formattedCitation":"\\super 138,139\\nosupersub{}","plainCitation":"138,139","noteIndex":0},"citationItems":[{"id":672,"uris":["http://zotero.org/users/local/BfzbJtgR/items/L35ZV5NJ"],"itemData":{"id":672,"type":"article-journal","container-title":"New England Journal of Medicine","DOI":"10.1056/NEJM199902113400607","ISSN":"0028-4793, 1533-4406","issue":"6","journalAbbreviation":"N Engl J Med","language":"en","page":"448-454","source":"DOI.org (Crossref)","title":"Acute-Phase Proteins and Other Systemic Responses to Inflammation","volume":"340","editor":[{"family":"Epstein","given":"Franklin H."}],"author":[{"family":"Gabay","given":"Cem"},{"family":"Kushner","given":"Irving"}],"issued":{"date-parts":[["1999",2,11]]}}},{"id":673,"uris":["http://zotero.org/users/local/BfzbJtgR/items/D3JFDGVH"],"itemData":{"id":673,"type":"article-journal","container-title":"Journal of Pharmacy And Bioallied Sciences","DOI":"10.4103/0975-7406.76489","ISSN":"0975-7406","issue":"1","journalAbbreviation":"J Pharm Bioall Sci","language":"en","page":"118","source":"DOI.org (Crossref)","title":"Acute-phase proteins: As diagnostic tool","title-short":"Acute-phase proteins","volume":"3","author":[{"family":"Jain","given":"Sachin"},{"family":"Gautam","given":"Vidhi"},{"family":"Naseem","given":"Sania"}],"issued":{"date-parts":[["2011"]]}}}],"schema":"https://github.com/citation-style-language/schema/raw/master/csl-citation.json"} </w:instrText>
      </w:r>
      <w:r w:rsidR="004105EC">
        <w:rPr>
          <w:rFonts w:ascii="Times New Roman" w:eastAsia="Times New Roman" w:hAnsi="Times New Roman" w:cs="Times New Roman"/>
          <w:bCs/>
          <w:kern w:val="0"/>
          <w:lang w:eastAsia="en-US" w:bidi="ar-SA"/>
        </w:rPr>
        <w:fldChar w:fldCharType="separate"/>
      </w:r>
      <w:r w:rsidR="00B41ACC" w:rsidRPr="00B41ACC">
        <w:rPr>
          <w:rFonts w:ascii="Times New Roman" w:hAnsi="Times New Roman" w:cs="Times New Roman"/>
          <w:vertAlign w:val="superscript"/>
        </w:rPr>
        <w:t>138,139</w:t>
      </w:r>
      <w:r w:rsidR="004105EC">
        <w:rPr>
          <w:rFonts w:ascii="Times New Roman" w:eastAsia="Times New Roman" w:hAnsi="Times New Roman" w:cs="Times New Roman"/>
          <w:bCs/>
          <w:kern w:val="0"/>
          <w:lang w:eastAsia="en-US" w:bidi="ar-SA"/>
        </w:rPr>
        <w:fldChar w:fldCharType="end"/>
      </w:r>
      <w:r w:rsidR="004105EC">
        <w:rPr>
          <w:rFonts w:ascii="Times New Roman" w:eastAsia="Times New Roman" w:hAnsi="Times New Roman" w:cs="Times New Roman"/>
          <w:bCs/>
          <w:kern w:val="0"/>
          <w:lang w:eastAsia="en-US" w:bidi="ar-SA"/>
        </w:rPr>
        <w:t xml:space="preserve">. </w:t>
      </w:r>
    </w:p>
    <w:p w:rsidR="00D80899" w:rsidRDefault="00E0373D" w:rsidP="00F861EB">
      <w:pPr>
        <w:pStyle w:val="Standard"/>
        <w:suppressAutoHyphens w:val="0"/>
        <w:spacing w:before="280" w:after="280" w:line="276" w:lineRule="auto"/>
        <w:jc w:val="both"/>
        <w:textAlignment w:val="auto"/>
        <w:rPr>
          <w:rFonts w:ascii="Times New Roman" w:eastAsia="Times New Roman" w:hAnsi="Times New Roman" w:cs="Times New Roman"/>
          <w:bCs/>
          <w:kern w:val="0"/>
          <w:lang w:eastAsia="en-US" w:bidi="ar-SA"/>
        </w:rPr>
      </w:pPr>
      <w:r>
        <w:rPr>
          <w:rFonts w:ascii="Times New Roman" w:eastAsia="Times New Roman" w:hAnsi="Times New Roman" w:cs="Times New Roman"/>
          <w:bCs/>
          <w:kern w:val="0"/>
          <w:lang w:eastAsia="en-US" w:bidi="ar-SA"/>
        </w:rPr>
        <w:t>These kinds of</w:t>
      </w:r>
      <w:r w:rsidR="00D80899" w:rsidRPr="0002019B">
        <w:rPr>
          <w:rFonts w:ascii="Times New Roman" w:eastAsia="Times New Roman" w:hAnsi="Times New Roman" w:cs="Times New Roman"/>
          <w:bCs/>
          <w:kern w:val="0"/>
          <w:lang w:eastAsia="en-US" w:bidi="ar-SA"/>
        </w:rPr>
        <w:t xml:space="preserve"> proteins are </w:t>
      </w:r>
      <w:r>
        <w:rPr>
          <w:rFonts w:ascii="Times New Roman" w:eastAsia="Times New Roman" w:hAnsi="Times New Roman" w:cs="Times New Roman"/>
          <w:bCs/>
          <w:kern w:val="0"/>
          <w:lang w:eastAsia="en-US" w:bidi="ar-SA"/>
        </w:rPr>
        <w:t xml:space="preserve">a types of </w:t>
      </w:r>
      <w:r w:rsidR="00D80899" w:rsidRPr="0002019B">
        <w:rPr>
          <w:rFonts w:ascii="Times New Roman" w:eastAsia="Times New Roman" w:hAnsi="Times New Roman" w:cs="Times New Roman"/>
          <w:bCs/>
          <w:kern w:val="0"/>
          <w:lang w:eastAsia="en-US" w:bidi="ar-SA"/>
        </w:rPr>
        <w:t xml:space="preserve">proteins that exhibit significant </w:t>
      </w:r>
      <w:r>
        <w:rPr>
          <w:rFonts w:ascii="Times New Roman" w:eastAsia="Times New Roman" w:hAnsi="Times New Roman" w:cs="Times New Roman"/>
          <w:bCs/>
          <w:kern w:val="0"/>
          <w:lang w:eastAsia="en-US" w:bidi="ar-SA"/>
        </w:rPr>
        <w:t>raised</w:t>
      </w:r>
      <w:r w:rsidR="00D80899" w:rsidRPr="0002019B">
        <w:rPr>
          <w:rFonts w:ascii="Times New Roman" w:eastAsia="Times New Roman" w:hAnsi="Times New Roman" w:cs="Times New Roman"/>
          <w:bCs/>
          <w:kern w:val="0"/>
          <w:lang w:eastAsia="en-US" w:bidi="ar-SA"/>
        </w:rPr>
        <w:t xml:space="preserve"> in their plasma concentrations when there is inflammation, infection, injury, or trauma. These proteins are components of the acute-phase response, a quick immune reaction trigge</w:t>
      </w:r>
      <w:r w:rsidR="00D96A2E">
        <w:rPr>
          <w:rFonts w:ascii="Times New Roman" w:eastAsia="Times New Roman" w:hAnsi="Times New Roman" w:cs="Times New Roman"/>
          <w:bCs/>
          <w:kern w:val="0"/>
          <w:lang w:eastAsia="en-US" w:bidi="ar-SA"/>
        </w:rPr>
        <w:t>red by the liver in response to</w:t>
      </w:r>
      <w:r w:rsidR="00D80899" w:rsidRPr="0002019B">
        <w:rPr>
          <w:rFonts w:ascii="Times New Roman" w:eastAsia="Times New Roman" w:hAnsi="Times New Roman" w:cs="Times New Roman"/>
          <w:bCs/>
          <w:kern w:val="0"/>
          <w:lang w:eastAsia="en-US" w:bidi="ar-SA"/>
        </w:rPr>
        <w:t xml:space="preserve"> cytokines </w:t>
      </w:r>
      <w:r w:rsidR="00D96A2E">
        <w:rPr>
          <w:rFonts w:ascii="Times New Roman" w:eastAsia="Times New Roman" w:hAnsi="Times New Roman" w:cs="Times New Roman"/>
          <w:bCs/>
          <w:kern w:val="0"/>
          <w:lang w:eastAsia="en-US" w:bidi="ar-SA"/>
        </w:rPr>
        <w:t>like</w:t>
      </w:r>
      <w:r w:rsidR="00D80899" w:rsidRPr="0002019B">
        <w:rPr>
          <w:rFonts w:ascii="Times New Roman" w:eastAsia="Times New Roman" w:hAnsi="Times New Roman" w:cs="Times New Roman"/>
          <w:bCs/>
          <w:kern w:val="0"/>
          <w:lang w:eastAsia="en-US" w:bidi="ar-SA"/>
        </w:rPr>
        <w:t xml:space="preserve"> IL-1, IL-6, and TNF-α</w:t>
      </w:r>
      <w:r w:rsidR="00830D4C">
        <w:rPr>
          <w:rFonts w:ascii="Times New Roman" w:eastAsia="Times New Roman" w:hAnsi="Times New Roman" w:cs="Times New Roman"/>
          <w:bCs/>
          <w:kern w:val="0"/>
          <w:lang w:eastAsia="en-US" w:bidi="ar-SA"/>
        </w:rPr>
        <w:t xml:space="preserve"> (</w:t>
      </w:r>
      <w:r w:rsidR="00830D4C">
        <w:rPr>
          <w:bCs/>
        </w:rPr>
        <w:t>Table 4)</w:t>
      </w:r>
      <w:r w:rsidR="00D80899" w:rsidRPr="0002019B">
        <w:rPr>
          <w:rFonts w:ascii="Times New Roman" w:eastAsia="Times New Roman" w:hAnsi="Times New Roman" w:cs="Times New Roman"/>
          <w:bCs/>
          <w:kern w:val="0"/>
          <w:lang w:eastAsia="en-US" w:bidi="ar-SA"/>
        </w:rPr>
        <w:t>.</w:t>
      </w:r>
    </w:p>
    <w:p w:rsidR="00882D62" w:rsidRDefault="00830D4C" w:rsidP="00F861EB">
      <w:pPr>
        <w:pStyle w:val="Standard"/>
        <w:suppressAutoHyphens w:val="0"/>
        <w:spacing w:before="280" w:after="280" w:line="276" w:lineRule="auto"/>
        <w:jc w:val="both"/>
        <w:textAlignment w:val="auto"/>
        <w:rPr>
          <w:bCs/>
        </w:rPr>
      </w:pPr>
      <w:r>
        <w:rPr>
          <w:bCs/>
        </w:rPr>
        <w:t>Table 4</w:t>
      </w:r>
      <w:r w:rsidR="00882D62">
        <w:rPr>
          <w:bCs/>
        </w:rPr>
        <w:t>: The important positive acute phase proteins as inflammatory biomarkers</w:t>
      </w:r>
      <w:r w:rsidR="00C9229A">
        <w:rPr>
          <w:bCs/>
        </w:rPr>
        <w:t>.</w:t>
      </w:r>
    </w:p>
    <w:tbl>
      <w:tblPr>
        <w:tblStyle w:val="TableGrid"/>
        <w:tblW w:w="11160" w:type="dxa"/>
        <w:tblInd w:w="-725" w:type="dxa"/>
        <w:tblLayout w:type="fixed"/>
        <w:tblLook w:val="04A0" w:firstRow="1" w:lastRow="0" w:firstColumn="1" w:lastColumn="0" w:noHBand="0" w:noVBand="1"/>
      </w:tblPr>
      <w:tblGrid>
        <w:gridCol w:w="3240"/>
        <w:gridCol w:w="7920"/>
      </w:tblGrid>
      <w:tr w:rsidR="0002019B" w:rsidRPr="00066A7D" w:rsidTr="00066A7D">
        <w:trPr>
          <w:trHeight w:val="305"/>
        </w:trPr>
        <w:tc>
          <w:tcPr>
            <w:tcW w:w="3240" w:type="dxa"/>
          </w:tcPr>
          <w:p w:rsidR="0002019B" w:rsidRPr="00066A7D" w:rsidRDefault="0002019B" w:rsidP="00066A7D">
            <w:pPr>
              <w:pStyle w:val="Standard"/>
              <w:suppressAutoHyphens w:val="0"/>
              <w:textAlignment w:val="auto"/>
              <w:rPr>
                <w:rFonts w:ascii="Times New Roman" w:eastAsia="Times New Roman" w:hAnsi="Times New Roman" w:cs="Times New Roman"/>
                <w:b/>
                <w:bCs/>
                <w:kern w:val="0"/>
                <w:sz w:val="22"/>
                <w:lang w:eastAsia="en-US" w:bidi="ar-SA"/>
              </w:rPr>
            </w:pPr>
            <w:r w:rsidRPr="00066A7D">
              <w:rPr>
                <w:rFonts w:ascii="Times New Roman" w:eastAsia="Times New Roman" w:hAnsi="Times New Roman" w:cs="Times New Roman"/>
                <w:b/>
                <w:bCs/>
                <w:kern w:val="0"/>
                <w:sz w:val="22"/>
                <w:lang w:eastAsia="en-US" w:bidi="ar-SA"/>
              </w:rPr>
              <w:t>Positive acute phase proteins</w:t>
            </w:r>
          </w:p>
        </w:tc>
        <w:tc>
          <w:tcPr>
            <w:tcW w:w="7920" w:type="dxa"/>
          </w:tcPr>
          <w:p w:rsidR="0002019B" w:rsidRPr="00066A7D" w:rsidRDefault="0002019B" w:rsidP="00066A7D">
            <w:pPr>
              <w:pStyle w:val="Standard"/>
              <w:suppressAutoHyphens w:val="0"/>
              <w:textAlignment w:val="auto"/>
              <w:rPr>
                <w:rFonts w:ascii="Times New Roman" w:eastAsia="Times New Roman" w:hAnsi="Times New Roman" w:cs="Times New Roman"/>
                <w:b/>
                <w:bCs/>
                <w:kern w:val="0"/>
                <w:sz w:val="22"/>
                <w:lang w:eastAsia="en-US" w:bidi="ar-SA"/>
              </w:rPr>
            </w:pPr>
            <w:r w:rsidRPr="00066A7D">
              <w:rPr>
                <w:rFonts w:ascii="Times New Roman" w:eastAsia="Times New Roman" w:hAnsi="Times New Roman" w:cs="Times New Roman"/>
                <w:bCs/>
                <w:kern w:val="0"/>
                <w:sz w:val="22"/>
                <w:lang w:eastAsia="en-US" w:bidi="ar-SA"/>
              </w:rPr>
              <w:t xml:space="preserve">                       </w:t>
            </w:r>
            <w:r w:rsidRPr="00066A7D">
              <w:rPr>
                <w:rFonts w:ascii="Times New Roman" w:eastAsia="Times New Roman" w:hAnsi="Times New Roman" w:cs="Times New Roman"/>
                <w:b/>
                <w:bCs/>
                <w:kern w:val="0"/>
                <w:sz w:val="22"/>
                <w:lang w:eastAsia="en-US" w:bidi="ar-SA"/>
              </w:rPr>
              <w:t>Roles</w:t>
            </w:r>
          </w:p>
        </w:tc>
      </w:tr>
      <w:tr w:rsidR="0002019B" w:rsidRPr="00066A7D" w:rsidTr="00066A7D">
        <w:trPr>
          <w:trHeight w:val="467"/>
        </w:trPr>
        <w:tc>
          <w:tcPr>
            <w:tcW w:w="3240" w:type="dxa"/>
          </w:tcPr>
          <w:p w:rsidR="0002019B" w:rsidRPr="00066A7D" w:rsidRDefault="0002019B" w:rsidP="00066A7D">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C-reactive proteins</w:t>
            </w:r>
          </w:p>
        </w:tc>
        <w:tc>
          <w:tcPr>
            <w:tcW w:w="7920" w:type="dxa"/>
          </w:tcPr>
          <w:p w:rsidR="0002019B" w:rsidRPr="00066A7D" w:rsidRDefault="0002019B" w:rsidP="00066A7D">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hAnsi="Times New Roman" w:cs="Times New Roman"/>
                <w:sz w:val="22"/>
              </w:rPr>
              <w:t>Opsonization, complement activation, and inflammation marker</w:t>
            </w:r>
            <w:r w:rsidR="0044245D" w:rsidRPr="00066A7D">
              <w:rPr>
                <w:rFonts w:ascii="Times New Roman" w:hAnsi="Times New Roman" w:cs="Times New Roman"/>
                <w:sz w:val="22"/>
              </w:rPr>
              <w:t xml:space="preserve"> (Pepys and Hirschfield, 2003)</w:t>
            </w:r>
          </w:p>
        </w:tc>
      </w:tr>
      <w:tr w:rsidR="0002019B" w:rsidRPr="00066A7D" w:rsidTr="00066A7D">
        <w:trPr>
          <w:trHeight w:val="125"/>
        </w:trPr>
        <w:tc>
          <w:tcPr>
            <w:tcW w:w="3240" w:type="dxa"/>
          </w:tcPr>
          <w:p w:rsidR="0002019B" w:rsidRPr="00066A7D" w:rsidRDefault="0002019B" w:rsidP="00066A7D">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Fibrinogen</w:t>
            </w:r>
          </w:p>
        </w:tc>
        <w:tc>
          <w:tcPr>
            <w:tcW w:w="7920" w:type="dxa"/>
          </w:tcPr>
          <w:p w:rsidR="0002019B" w:rsidRPr="00066A7D" w:rsidRDefault="0002019B" w:rsidP="00B41ACC">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Formation of blood clots and wound curing</w:t>
            </w:r>
            <w:r w:rsidR="0044245D" w:rsidRPr="00066A7D">
              <w:rPr>
                <w:rFonts w:ascii="Times New Roman" w:eastAsia="Times New Roman" w:hAnsi="Times New Roman" w:cs="Times New Roman"/>
                <w:bCs/>
                <w:kern w:val="0"/>
                <w:sz w:val="22"/>
                <w:lang w:eastAsia="en-US" w:bidi="ar-SA"/>
              </w:rPr>
              <w:t xml:space="preserve"> </w:t>
            </w:r>
            <w:r w:rsidR="0044245D" w:rsidRPr="00066A7D">
              <w:rPr>
                <w:rFonts w:ascii="Times New Roman" w:eastAsia="Times New Roman" w:hAnsi="Times New Roman" w:cs="Times New Roman"/>
                <w:bCs/>
                <w:kern w:val="0"/>
                <w:sz w:val="22"/>
                <w:lang w:eastAsia="en-US" w:bidi="ar-SA"/>
              </w:rPr>
              <w:fldChar w:fldCharType="begin"/>
            </w:r>
            <w:r w:rsidR="00B41ACC">
              <w:rPr>
                <w:rFonts w:ascii="Times New Roman" w:eastAsia="Times New Roman" w:hAnsi="Times New Roman" w:cs="Times New Roman"/>
                <w:bCs/>
                <w:kern w:val="0"/>
                <w:sz w:val="22"/>
                <w:lang w:eastAsia="en-US" w:bidi="ar-SA"/>
              </w:rPr>
              <w:instrText xml:space="preserve"> ADDIN ZOTERO_ITEM CSL_CITATION {"citationID":"RhOdNO79","properties":{"formattedCitation":"\\super 140\\nosupersub{}","plainCitation":"140","noteIndex":0},"citationItems":[{"id":1086,"uris":["http://zotero.org/users/local/BfzbJtgR/items/N5HE4EPS"],"itemData":{"id":1086,"type":"article-journal","container-title":"Journal of Thrombosis and Haemostasis","DOI":"10.1016/j.jtha.2023.08.014","ISSN":"15387836","issue":"11","journalAbbreviation":"Journal of Thrombosis and Haemostasis","language":"en","page":"3005-3015","source":"DOI.org (Crossref)","title":"Fibrinogen and fibrin: synthesis, structure, and function in health and disease","title-short":"Fibrinogen and fibrin","volume":"21","author":[{"family":"Wolberg","given":"Alisa S."}],"issued":{"date-parts":[["2023",11]]}}}],"schema":"https://github.com/citation-style-language/schema/raw/master/csl-citation.json"} </w:instrText>
            </w:r>
            <w:r w:rsidR="0044245D" w:rsidRPr="00066A7D">
              <w:rPr>
                <w:rFonts w:ascii="Times New Roman" w:eastAsia="Times New Roman" w:hAnsi="Times New Roman" w:cs="Times New Roman"/>
                <w:bCs/>
                <w:kern w:val="0"/>
                <w:sz w:val="22"/>
                <w:lang w:eastAsia="en-US" w:bidi="ar-SA"/>
              </w:rPr>
              <w:fldChar w:fldCharType="separate"/>
            </w:r>
            <w:r w:rsidR="00B41ACC" w:rsidRPr="00B41ACC">
              <w:rPr>
                <w:rFonts w:ascii="Times New Roman" w:hAnsi="Times New Roman" w:cs="Times New Roman"/>
                <w:sz w:val="22"/>
                <w:vertAlign w:val="superscript"/>
              </w:rPr>
              <w:t>140</w:t>
            </w:r>
            <w:r w:rsidR="0044245D" w:rsidRPr="00066A7D">
              <w:rPr>
                <w:rFonts w:ascii="Times New Roman" w:eastAsia="Times New Roman" w:hAnsi="Times New Roman" w:cs="Times New Roman"/>
                <w:bCs/>
                <w:kern w:val="0"/>
                <w:sz w:val="22"/>
                <w:lang w:eastAsia="en-US" w:bidi="ar-SA"/>
              </w:rPr>
              <w:fldChar w:fldCharType="end"/>
            </w:r>
          </w:p>
        </w:tc>
      </w:tr>
      <w:tr w:rsidR="0002019B" w:rsidRPr="00066A7D" w:rsidTr="00066A7D">
        <w:trPr>
          <w:trHeight w:val="62"/>
        </w:trPr>
        <w:tc>
          <w:tcPr>
            <w:tcW w:w="3240" w:type="dxa"/>
          </w:tcPr>
          <w:p w:rsidR="0002019B" w:rsidRPr="00066A7D" w:rsidRDefault="0002019B" w:rsidP="00066A7D">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hAnsi="Times New Roman" w:cs="Times New Roman"/>
                <w:sz w:val="22"/>
              </w:rPr>
              <w:t>Serum amyloid A (SAA)</w:t>
            </w:r>
          </w:p>
        </w:tc>
        <w:tc>
          <w:tcPr>
            <w:tcW w:w="7920" w:type="dxa"/>
          </w:tcPr>
          <w:p w:rsidR="0002019B" w:rsidRPr="00066A7D" w:rsidRDefault="0002019B" w:rsidP="00B41ACC">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Immune cell employment to inflammation</w:t>
            </w:r>
            <w:r w:rsidR="0044245D" w:rsidRPr="00066A7D">
              <w:rPr>
                <w:rFonts w:ascii="Times New Roman" w:eastAsia="Times New Roman" w:hAnsi="Times New Roman" w:cs="Times New Roman"/>
                <w:bCs/>
                <w:kern w:val="0"/>
                <w:sz w:val="22"/>
                <w:lang w:eastAsia="en-US" w:bidi="ar-SA"/>
              </w:rPr>
              <w:t xml:space="preserve"> </w:t>
            </w:r>
            <w:r w:rsidR="0044245D" w:rsidRPr="00066A7D">
              <w:rPr>
                <w:rFonts w:ascii="Times New Roman" w:eastAsia="Times New Roman" w:hAnsi="Times New Roman" w:cs="Times New Roman"/>
                <w:bCs/>
                <w:kern w:val="0"/>
                <w:sz w:val="22"/>
                <w:lang w:eastAsia="en-US" w:bidi="ar-SA"/>
              </w:rPr>
              <w:fldChar w:fldCharType="begin"/>
            </w:r>
            <w:r w:rsidR="00B41ACC">
              <w:rPr>
                <w:rFonts w:ascii="Times New Roman" w:eastAsia="Times New Roman" w:hAnsi="Times New Roman" w:cs="Times New Roman"/>
                <w:bCs/>
                <w:kern w:val="0"/>
                <w:sz w:val="22"/>
                <w:lang w:eastAsia="en-US" w:bidi="ar-SA"/>
              </w:rPr>
              <w:instrText xml:space="preserve"> ADDIN ZOTERO_ITEM CSL_CITATION {"citationID":"iKgxETVH","properties":{"formattedCitation":"\\super 141\\nosupersub{}","plainCitation":"141","noteIndex":0},"citationItems":[{"id":1087,"uris":["http://zotero.org/users/local/BfzbJtgR/items/4VYGPYAF"],"itemData":{"id":1087,"type":"article-journal","abstract":"The serum amyloid A (SAA) family comprises a number of differentially expressed apolipoproteins, acute-phase SAAs (A-SAAs) and constitutive SAAs (C-SAAs). A-SAAs are major acute-phase reactants, the in vivo concentrations of which increase by as much as 1000-fold during inflammation. A-SAA mRNAs or proteins have been identified in all vertebrates investigated to date and are highly conserved. In contrast, C-SAAs are induced minimally, if at all, during the acute-phase response and have only been found in human and mouse. Although the liver is the primary site of synthesis of both A-SAA and C-SAA, extrahepatic production has been reported for most family members in most of the mammalian species studied. In vitro, the dramatic induction of A-SAA mRNA in response to pro-inflammatory stimuli is due largely to the synergistic effects of cytokine signaling pathways, principally those of the interleukin-1 and interleukin-6 type cytokines. This induction can be enhanced by glucocorticoids. Studies of the A-SAA promoters in several mammalian species have identified a range of transcription factors that are variously involved in defining both cytokine responsiveness and cell specificity. These include NF-kappaB, C/EBP, YY1, AP-2, SAF and Sp1. A-SAA is also post-transcriptionally regulated. Although the precise role of A-SAA in host defense during inflammation has not been defined, many potential clinically important functions have been proposed for individual SAA family members. These include involvement in lipid metabolism/transport, induction of extracellular-matrix-degrading enzymes, and chemotactic recruitment of inflammatory cells to sites of inflammation. A-SAA is potentially involved in the pathogenesis of several chronic inflammatory diseases: it is the precursor of the amyloid A protein deposited in amyloid A amyloidosis, and it has also been implicated in the pathogenesis of atheroscelerosis and rheumatoid arthritis.","container-title":"European Journal of Biochemistry","DOI":"10.1046/j.1432-1327.1999.00657.x","ISSN":"0014-2956","issue":"2","journalAbbreviation":"Eur J Biochem","language":"eng","note":"PMID: 10504381","page":"501-523","source":"PubMed","title":"Serum amyloid A, the major vertebrate acute-phase reactant","volume":"265","author":[{"family":"Uhlar","given":"C. M."},{"family":"Whitehead","given":"A. S."}],"issued":{"date-parts":[["1999",10]]}}}],"schema":"https://github.com/citation-style-language/schema/raw/master/csl-citation.json"} </w:instrText>
            </w:r>
            <w:r w:rsidR="0044245D" w:rsidRPr="00066A7D">
              <w:rPr>
                <w:rFonts w:ascii="Times New Roman" w:eastAsia="Times New Roman" w:hAnsi="Times New Roman" w:cs="Times New Roman"/>
                <w:bCs/>
                <w:kern w:val="0"/>
                <w:sz w:val="22"/>
                <w:lang w:eastAsia="en-US" w:bidi="ar-SA"/>
              </w:rPr>
              <w:fldChar w:fldCharType="separate"/>
            </w:r>
            <w:r w:rsidR="00B41ACC" w:rsidRPr="00B41ACC">
              <w:rPr>
                <w:rFonts w:ascii="Times New Roman" w:hAnsi="Times New Roman" w:cs="Times New Roman"/>
                <w:sz w:val="22"/>
                <w:vertAlign w:val="superscript"/>
              </w:rPr>
              <w:t>141</w:t>
            </w:r>
            <w:r w:rsidR="0044245D" w:rsidRPr="00066A7D">
              <w:rPr>
                <w:rFonts w:ascii="Times New Roman" w:eastAsia="Times New Roman" w:hAnsi="Times New Roman" w:cs="Times New Roman"/>
                <w:bCs/>
                <w:kern w:val="0"/>
                <w:sz w:val="22"/>
                <w:lang w:eastAsia="en-US" w:bidi="ar-SA"/>
              </w:rPr>
              <w:fldChar w:fldCharType="end"/>
            </w:r>
            <w:r w:rsidRPr="00066A7D">
              <w:rPr>
                <w:rFonts w:ascii="Times New Roman" w:eastAsia="Times New Roman" w:hAnsi="Times New Roman" w:cs="Times New Roman"/>
                <w:bCs/>
                <w:kern w:val="0"/>
                <w:sz w:val="22"/>
                <w:lang w:eastAsia="en-US" w:bidi="ar-SA"/>
              </w:rPr>
              <w:t>.</w:t>
            </w:r>
          </w:p>
        </w:tc>
      </w:tr>
      <w:tr w:rsidR="0002019B" w:rsidRPr="00066A7D" w:rsidTr="00066A7D">
        <w:trPr>
          <w:trHeight w:val="134"/>
        </w:trPr>
        <w:tc>
          <w:tcPr>
            <w:tcW w:w="3240" w:type="dxa"/>
          </w:tcPr>
          <w:p w:rsidR="0002019B" w:rsidRPr="00066A7D" w:rsidRDefault="0002019B" w:rsidP="00066A7D">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Ferritin</w:t>
            </w:r>
          </w:p>
        </w:tc>
        <w:tc>
          <w:tcPr>
            <w:tcW w:w="7920" w:type="dxa"/>
          </w:tcPr>
          <w:p w:rsidR="0002019B" w:rsidRPr="00066A7D" w:rsidRDefault="0002019B" w:rsidP="00B41ACC">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Iron sequestration to limit microbial growth</w:t>
            </w:r>
            <w:r w:rsidR="0044245D" w:rsidRPr="00066A7D">
              <w:rPr>
                <w:rFonts w:ascii="Times New Roman" w:eastAsia="Times New Roman" w:hAnsi="Times New Roman" w:cs="Times New Roman"/>
                <w:bCs/>
                <w:kern w:val="0"/>
                <w:sz w:val="22"/>
                <w:lang w:eastAsia="en-US" w:bidi="ar-SA"/>
              </w:rPr>
              <w:t xml:space="preserve"> </w:t>
            </w:r>
            <w:r w:rsidR="0044245D" w:rsidRPr="00066A7D">
              <w:rPr>
                <w:rFonts w:ascii="Times New Roman" w:eastAsia="Times New Roman" w:hAnsi="Times New Roman" w:cs="Times New Roman"/>
                <w:bCs/>
                <w:kern w:val="0"/>
                <w:sz w:val="22"/>
                <w:lang w:eastAsia="en-US" w:bidi="ar-SA"/>
              </w:rPr>
              <w:fldChar w:fldCharType="begin"/>
            </w:r>
            <w:r w:rsidR="00B41ACC">
              <w:rPr>
                <w:rFonts w:ascii="Times New Roman" w:eastAsia="Times New Roman" w:hAnsi="Times New Roman" w:cs="Times New Roman"/>
                <w:bCs/>
                <w:kern w:val="0"/>
                <w:sz w:val="22"/>
                <w:lang w:eastAsia="en-US" w:bidi="ar-SA"/>
              </w:rPr>
              <w:instrText xml:space="preserve"> ADDIN ZOTERO_ITEM CSL_CITATION {"citationID":"aKRG0DrM","properties":{"formattedCitation":"\\super 142\\nosupersub{}","plainCitation":"142","noteIndex":0},"citationItems":[{"id":1090,"uris":["http://zotero.org/users/local/BfzbJtgR/items/IZ66P4DF"],"itemData":{"id":1090,"type":"article-journal","abstract":"Understanding of ferritin biology has traditionally centered on its role in iron storage and homeostasis, with low ferritin levels indicative of deficiency and high levels indicative of primary or secondary hemochromatosis. However, further work has shown that iron, redox biology and inflammation are inexorably linked. During infection, increased ferritin levels represent an important host defense mechanism that deprives bacterial growth of iron and protects immune cell function. It may also be protective, limiting the production of free radicals and mediating immunomodulation. Additionally, hyperferritinemia is a key acute-phase reactants, used by clinicians as an indication for therapeutic intervention, aimed at controlling inflammation in high-risk patients. One school of thought maintains that hyperferritinemia is an 'innocent bystander' biomarker of uncontrolled inflammation that can be used to gauge effectiveness of intervention. Other schools of thought maintain that ferritin induction could be a protective negative regulatory loop. Others maintain that ferritin is a key mediator of immune dysregulation, especially in extreme hyperferritinemia, via direct immune-suppressive and pro-inflammatory effects. There is a clear need for further investigation of the role of ferritin in uncontrolled inflammatory conditions both as a biomarker and mediator of disease because its occurrence identifies patients with high mortality risk and its resolution predicts their improved survival.","container-title":"International Immunology","DOI":"10.1093/intimm/dxx031","ISSN":"1460-2377","issue":"9","journalAbbreviation":"Int Immunol","language":"eng","note":"PMID: 28541437\nPMCID: PMC5890889","page":"401-409","source":"PubMed","title":"Hyperferritinemia and inflammation","volume":"29","author":[{"family":"Kernan","given":"Kate F."},{"family":"Carcillo","given":"Joseph A."}],"issued":{"date-parts":[["2017",11,1]]}}}],"schema":"https://github.com/citation-style-language/schema/raw/master/csl-citation.json"} </w:instrText>
            </w:r>
            <w:r w:rsidR="0044245D" w:rsidRPr="00066A7D">
              <w:rPr>
                <w:rFonts w:ascii="Times New Roman" w:eastAsia="Times New Roman" w:hAnsi="Times New Roman" w:cs="Times New Roman"/>
                <w:bCs/>
                <w:kern w:val="0"/>
                <w:sz w:val="22"/>
                <w:lang w:eastAsia="en-US" w:bidi="ar-SA"/>
              </w:rPr>
              <w:fldChar w:fldCharType="separate"/>
            </w:r>
            <w:r w:rsidR="00B41ACC" w:rsidRPr="00B41ACC">
              <w:rPr>
                <w:rFonts w:ascii="Times New Roman" w:hAnsi="Times New Roman" w:cs="Times New Roman"/>
                <w:sz w:val="22"/>
                <w:vertAlign w:val="superscript"/>
              </w:rPr>
              <w:t>142</w:t>
            </w:r>
            <w:r w:rsidR="0044245D" w:rsidRPr="00066A7D">
              <w:rPr>
                <w:rFonts w:ascii="Times New Roman" w:eastAsia="Times New Roman" w:hAnsi="Times New Roman" w:cs="Times New Roman"/>
                <w:bCs/>
                <w:kern w:val="0"/>
                <w:sz w:val="22"/>
                <w:lang w:eastAsia="en-US" w:bidi="ar-SA"/>
              </w:rPr>
              <w:fldChar w:fldCharType="end"/>
            </w:r>
          </w:p>
        </w:tc>
      </w:tr>
      <w:tr w:rsidR="0002019B" w:rsidRPr="00066A7D" w:rsidTr="00066A7D">
        <w:trPr>
          <w:trHeight w:val="62"/>
        </w:trPr>
        <w:tc>
          <w:tcPr>
            <w:tcW w:w="3240" w:type="dxa"/>
          </w:tcPr>
          <w:p w:rsidR="0002019B" w:rsidRPr="00066A7D" w:rsidRDefault="0002019B" w:rsidP="00066A7D">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 xml:space="preserve">Heparin </w:t>
            </w:r>
            <w:r w:rsidR="00B26281" w:rsidRPr="00066A7D">
              <w:rPr>
                <w:rFonts w:ascii="Times New Roman" w:eastAsia="Times New Roman" w:hAnsi="Times New Roman" w:cs="Times New Roman"/>
                <w:bCs/>
                <w:kern w:val="0"/>
                <w:sz w:val="22"/>
                <w:lang w:eastAsia="en-US" w:bidi="ar-SA"/>
              </w:rPr>
              <w:t>Cofactor</w:t>
            </w:r>
            <w:r w:rsidRPr="00066A7D">
              <w:rPr>
                <w:rFonts w:ascii="Times New Roman" w:eastAsia="Times New Roman" w:hAnsi="Times New Roman" w:cs="Times New Roman"/>
                <w:bCs/>
                <w:kern w:val="0"/>
                <w:sz w:val="22"/>
                <w:lang w:eastAsia="en-US" w:bidi="ar-SA"/>
              </w:rPr>
              <w:t xml:space="preserve"> II</w:t>
            </w:r>
          </w:p>
        </w:tc>
        <w:tc>
          <w:tcPr>
            <w:tcW w:w="7920" w:type="dxa"/>
          </w:tcPr>
          <w:p w:rsidR="0002019B" w:rsidRPr="00066A7D" w:rsidRDefault="00B26281" w:rsidP="00B41ACC">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A</w:t>
            </w:r>
            <w:r w:rsidR="0002019B" w:rsidRPr="00066A7D">
              <w:rPr>
                <w:rFonts w:ascii="Times New Roman" w:eastAsia="Times New Roman" w:hAnsi="Times New Roman" w:cs="Times New Roman"/>
                <w:bCs/>
                <w:kern w:val="0"/>
                <w:sz w:val="22"/>
                <w:lang w:eastAsia="en-US" w:bidi="ar-SA"/>
              </w:rPr>
              <w:t>nticoagulant</w:t>
            </w:r>
            <w:r w:rsidRPr="00066A7D">
              <w:rPr>
                <w:rFonts w:ascii="Times New Roman" w:eastAsia="Times New Roman" w:hAnsi="Times New Roman" w:cs="Times New Roman"/>
                <w:bCs/>
                <w:kern w:val="0"/>
                <w:sz w:val="22"/>
                <w:lang w:eastAsia="en-US" w:bidi="ar-SA"/>
              </w:rPr>
              <w:t xml:space="preserve"> </w:t>
            </w:r>
            <w:r w:rsidRPr="00066A7D">
              <w:rPr>
                <w:rFonts w:ascii="Times New Roman" w:eastAsia="Times New Roman" w:hAnsi="Times New Roman" w:cs="Times New Roman"/>
                <w:bCs/>
                <w:kern w:val="0"/>
                <w:sz w:val="22"/>
                <w:lang w:eastAsia="en-US" w:bidi="ar-SA"/>
              </w:rPr>
              <w:fldChar w:fldCharType="begin"/>
            </w:r>
            <w:r w:rsidR="00B41ACC">
              <w:rPr>
                <w:rFonts w:ascii="Times New Roman" w:eastAsia="Times New Roman" w:hAnsi="Times New Roman" w:cs="Times New Roman"/>
                <w:bCs/>
                <w:kern w:val="0"/>
                <w:sz w:val="22"/>
                <w:lang w:eastAsia="en-US" w:bidi="ar-SA"/>
              </w:rPr>
              <w:instrText xml:space="preserve"> ADDIN ZOTERO_ITEM CSL_CITATION {"citationID":"wGGTA6Ha","properties":{"formattedCitation":"\\super 143\\nosupersub{}","plainCitation":"143","noteIndex":0},"citationItems":[{"id":1105,"uris":["http://zotero.org/users/local/BfzbJtgR/items/6P9D45Z5"],"itemData":{"id":1105,"type":"article-journal","container-title":"Journal of Biological Chemistry","DOI":"10.1016/S0021-9258(19)83650-5","ISSN":"00219258","issue":"6","journalAbbreviation":"Journal of Biological Chemistry","language":"en","license":"https://www.elsevier.com/tdm/userlicense/1.0/","page":"3501-3505","source":"DOI.org (Crossref)","title":"The protease specificity of heparin cofactor II. Inhibition of thrombin generated during coagulation.","volume":"260","author":[{"family":"Parker","given":"K A"},{"family":"Tollefsen","given":"D M"}],"issued":{"date-parts":[["1985",3]]}}}],"schema":"https://github.com/citation-style-language/schema/raw/master/csl-citation.json"} </w:instrText>
            </w:r>
            <w:r w:rsidRPr="00066A7D">
              <w:rPr>
                <w:rFonts w:ascii="Times New Roman" w:eastAsia="Times New Roman" w:hAnsi="Times New Roman" w:cs="Times New Roman"/>
                <w:bCs/>
                <w:kern w:val="0"/>
                <w:sz w:val="22"/>
                <w:lang w:eastAsia="en-US" w:bidi="ar-SA"/>
              </w:rPr>
              <w:fldChar w:fldCharType="separate"/>
            </w:r>
            <w:r w:rsidR="00B41ACC" w:rsidRPr="00B41ACC">
              <w:rPr>
                <w:rFonts w:ascii="Times New Roman" w:hAnsi="Times New Roman" w:cs="Times New Roman"/>
                <w:sz w:val="22"/>
                <w:vertAlign w:val="superscript"/>
              </w:rPr>
              <w:t>143</w:t>
            </w:r>
            <w:r w:rsidRPr="00066A7D">
              <w:rPr>
                <w:rFonts w:ascii="Times New Roman" w:eastAsia="Times New Roman" w:hAnsi="Times New Roman" w:cs="Times New Roman"/>
                <w:bCs/>
                <w:kern w:val="0"/>
                <w:sz w:val="22"/>
                <w:lang w:eastAsia="en-US" w:bidi="ar-SA"/>
              </w:rPr>
              <w:fldChar w:fldCharType="end"/>
            </w:r>
          </w:p>
        </w:tc>
      </w:tr>
      <w:tr w:rsidR="0002019B" w:rsidRPr="00066A7D" w:rsidTr="00066A7D">
        <w:trPr>
          <w:trHeight w:val="62"/>
        </w:trPr>
        <w:tc>
          <w:tcPr>
            <w:tcW w:w="3240" w:type="dxa"/>
          </w:tcPr>
          <w:p w:rsidR="0002019B" w:rsidRPr="00066A7D" w:rsidRDefault="0002019B" w:rsidP="00066A7D">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Plasminogen</w:t>
            </w:r>
          </w:p>
        </w:tc>
        <w:tc>
          <w:tcPr>
            <w:tcW w:w="7920" w:type="dxa"/>
          </w:tcPr>
          <w:p w:rsidR="0002019B" w:rsidRPr="00066A7D" w:rsidRDefault="0002019B" w:rsidP="00B41ACC">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Fibrinolysis</w:t>
            </w:r>
            <w:r w:rsidR="00B26281" w:rsidRPr="00066A7D">
              <w:rPr>
                <w:rFonts w:ascii="Times New Roman" w:eastAsia="Times New Roman" w:hAnsi="Times New Roman" w:cs="Times New Roman"/>
                <w:bCs/>
                <w:kern w:val="0"/>
                <w:sz w:val="22"/>
                <w:lang w:eastAsia="en-US" w:bidi="ar-SA"/>
              </w:rPr>
              <w:t xml:space="preserve"> </w:t>
            </w:r>
            <w:r w:rsidR="00B26281" w:rsidRPr="00066A7D">
              <w:rPr>
                <w:rFonts w:ascii="Times New Roman" w:eastAsia="Times New Roman" w:hAnsi="Times New Roman" w:cs="Times New Roman"/>
                <w:bCs/>
                <w:kern w:val="0"/>
                <w:sz w:val="22"/>
                <w:lang w:eastAsia="en-US" w:bidi="ar-SA"/>
              </w:rPr>
              <w:fldChar w:fldCharType="begin"/>
            </w:r>
            <w:r w:rsidR="00B41ACC">
              <w:rPr>
                <w:rFonts w:ascii="Times New Roman" w:eastAsia="Times New Roman" w:hAnsi="Times New Roman" w:cs="Times New Roman"/>
                <w:bCs/>
                <w:kern w:val="0"/>
                <w:sz w:val="22"/>
                <w:lang w:eastAsia="en-US" w:bidi="ar-SA"/>
              </w:rPr>
              <w:instrText xml:space="preserve"> ADDIN ZOTERO_ITEM CSL_CITATION {"citationID":"cQfFw7ax","properties":{"formattedCitation":"\\super 144\\nosupersub{}","plainCitation":"144","noteIndex":0},"citationItems":[{"id":1108,"uris":["http://zotero.org/users/local/BfzbJtgR/items/5MA2G3HK"],"itemData":{"id":1108,"type":"article-journal","container-title":"Progress in Cardiovascular Diseases","DOI":"10.1016/0033-0620(91)90010-j","ISSN":"0033-0620","issue":"2","journalAbbreviation":"Prog Cardiovasc Dis","language":"eng","note":"PMID: 1832499","page":"135-164","source":"PubMed","title":"The plasminogen-plasmin system","volume":"34","author":[{"family":"Henkin","given":"J."},{"family":"Marcotte","given":"P."},{"family":"Yang","given":"H. C."}],"issued":{"date-parts":[["1991"]]}}}],"schema":"https://github.com/citation-style-language/schema/raw/master/csl-citation.json"} </w:instrText>
            </w:r>
            <w:r w:rsidR="00B26281" w:rsidRPr="00066A7D">
              <w:rPr>
                <w:rFonts w:ascii="Times New Roman" w:eastAsia="Times New Roman" w:hAnsi="Times New Roman" w:cs="Times New Roman"/>
                <w:bCs/>
                <w:kern w:val="0"/>
                <w:sz w:val="22"/>
                <w:lang w:eastAsia="en-US" w:bidi="ar-SA"/>
              </w:rPr>
              <w:fldChar w:fldCharType="separate"/>
            </w:r>
            <w:r w:rsidR="00B41ACC" w:rsidRPr="00B41ACC">
              <w:rPr>
                <w:rFonts w:ascii="Times New Roman" w:hAnsi="Times New Roman" w:cs="Times New Roman"/>
                <w:sz w:val="22"/>
                <w:vertAlign w:val="superscript"/>
              </w:rPr>
              <w:t>144</w:t>
            </w:r>
            <w:r w:rsidR="00B26281" w:rsidRPr="00066A7D">
              <w:rPr>
                <w:rFonts w:ascii="Times New Roman" w:eastAsia="Times New Roman" w:hAnsi="Times New Roman" w:cs="Times New Roman"/>
                <w:bCs/>
                <w:kern w:val="0"/>
                <w:sz w:val="22"/>
                <w:lang w:eastAsia="en-US" w:bidi="ar-SA"/>
              </w:rPr>
              <w:fldChar w:fldCharType="end"/>
            </w:r>
          </w:p>
        </w:tc>
      </w:tr>
      <w:tr w:rsidR="0002019B" w:rsidRPr="00066A7D" w:rsidTr="00066A7D">
        <w:trPr>
          <w:trHeight w:val="287"/>
        </w:trPr>
        <w:tc>
          <w:tcPr>
            <w:tcW w:w="3240" w:type="dxa"/>
          </w:tcPr>
          <w:p w:rsidR="0002019B" w:rsidRPr="00066A7D" w:rsidRDefault="0002019B" w:rsidP="00066A7D">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Complement (C3, C4, C9)</w:t>
            </w:r>
          </w:p>
        </w:tc>
        <w:tc>
          <w:tcPr>
            <w:tcW w:w="7920" w:type="dxa"/>
          </w:tcPr>
          <w:p w:rsidR="0002019B" w:rsidRPr="00066A7D" w:rsidRDefault="0002019B" w:rsidP="00B41ACC">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Opsonisation of phagocytes and immunity</w:t>
            </w:r>
            <w:r w:rsidR="00B26281" w:rsidRPr="00066A7D">
              <w:rPr>
                <w:rFonts w:ascii="Times New Roman" w:eastAsia="Times New Roman" w:hAnsi="Times New Roman" w:cs="Times New Roman"/>
                <w:bCs/>
                <w:kern w:val="0"/>
                <w:sz w:val="22"/>
                <w:lang w:eastAsia="en-US" w:bidi="ar-SA"/>
              </w:rPr>
              <w:t xml:space="preserve"> </w:t>
            </w:r>
            <w:r w:rsidR="00B26281" w:rsidRPr="00066A7D">
              <w:rPr>
                <w:rFonts w:ascii="Times New Roman" w:eastAsia="Times New Roman" w:hAnsi="Times New Roman" w:cs="Times New Roman"/>
                <w:bCs/>
                <w:kern w:val="0"/>
                <w:sz w:val="22"/>
                <w:lang w:eastAsia="en-US" w:bidi="ar-SA"/>
              </w:rPr>
              <w:fldChar w:fldCharType="begin"/>
            </w:r>
            <w:r w:rsidR="00B41ACC">
              <w:rPr>
                <w:rFonts w:ascii="Times New Roman" w:eastAsia="Times New Roman" w:hAnsi="Times New Roman" w:cs="Times New Roman"/>
                <w:bCs/>
                <w:kern w:val="0"/>
                <w:sz w:val="22"/>
                <w:lang w:eastAsia="en-US" w:bidi="ar-SA"/>
              </w:rPr>
              <w:instrText xml:space="preserve"> ADDIN ZOTERO_ITEM CSL_CITATION {"citationID":"7QZNgNbp","properties":{"formattedCitation":"\\super 145\\nosupersub{}","plainCitation":"145","noteIndex":0},"citationItems":[{"id":1098,"uris":["http://zotero.org/users/local/BfzbJtgR/items/ELHE9SFX"],"itemData":{"id":1098,"type":"article-journal","container-title":"The New England Journal of Medicine","DOI":"10.1056/NEJM200104053441406","ISSN":"0028-4793","issue":"14","journalAbbreviation":"N Engl J Med","language":"eng","note":"PMID: 11287977","page":"1058-1066","source":"PubMed","title":"Complement. First of two parts","volume":"344","author":[{"family":"Walport","given":"M. J."}],"issued":{"date-parts":[["2001",4,5]]}}}],"schema":"https://github.com/citation-style-language/schema/raw/master/csl-citation.json"} </w:instrText>
            </w:r>
            <w:r w:rsidR="00B26281" w:rsidRPr="00066A7D">
              <w:rPr>
                <w:rFonts w:ascii="Times New Roman" w:eastAsia="Times New Roman" w:hAnsi="Times New Roman" w:cs="Times New Roman"/>
                <w:bCs/>
                <w:kern w:val="0"/>
                <w:sz w:val="22"/>
                <w:lang w:eastAsia="en-US" w:bidi="ar-SA"/>
              </w:rPr>
              <w:fldChar w:fldCharType="separate"/>
            </w:r>
            <w:r w:rsidR="00B41ACC" w:rsidRPr="00B41ACC">
              <w:rPr>
                <w:rFonts w:ascii="Times New Roman" w:hAnsi="Times New Roman" w:cs="Times New Roman"/>
                <w:sz w:val="22"/>
                <w:vertAlign w:val="superscript"/>
              </w:rPr>
              <w:t>145</w:t>
            </w:r>
            <w:r w:rsidR="00B26281" w:rsidRPr="00066A7D">
              <w:rPr>
                <w:rFonts w:ascii="Times New Roman" w:eastAsia="Times New Roman" w:hAnsi="Times New Roman" w:cs="Times New Roman"/>
                <w:bCs/>
                <w:kern w:val="0"/>
                <w:sz w:val="22"/>
                <w:lang w:eastAsia="en-US" w:bidi="ar-SA"/>
              </w:rPr>
              <w:fldChar w:fldCharType="end"/>
            </w:r>
          </w:p>
        </w:tc>
      </w:tr>
      <w:tr w:rsidR="0002019B" w:rsidRPr="00066A7D" w:rsidTr="00066A7D">
        <w:trPr>
          <w:trHeight w:val="62"/>
        </w:trPr>
        <w:tc>
          <w:tcPr>
            <w:tcW w:w="3240" w:type="dxa"/>
          </w:tcPr>
          <w:p w:rsidR="0002019B" w:rsidRPr="00066A7D" w:rsidRDefault="0002019B" w:rsidP="00066A7D">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hAnsi="Times New Roman" w:cs="Times New Roman"/>
                <w:sz w:val="22"/>
              </w:rPr>
              <w:t>Alpha-1 antitrypsin</w:t>
            </w:r>
          </w:p>
        </w:tc>
        <w:tc>
          <w:tcPr>
            <w:tcW w:w="7920" w:type="dxa"/>
          </w:tcPr>
          <w:p w:rsidR="0002019B" w:rsidRPr="00066A7D" w:rsidRDefault="00882D62" w:rsidP="00B41ACC">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 xml:space="preserve">Protease inhibitors, </w:t>
            </w:r>
            <w:r w:rsidR="0002019B" w:rsidRPr="00066A7D">
              <w:rPr>
                <w:rFonts w:ascii="Times New Roman" w:eastAsia="Times New Roman" w:hAnsi="Times New Roman" w:cs="Times New Roman"/>
                <w:bCs/>
                <w:kern w:val="0"/>
                <w:sz w:val="22"/>
                <w:lang w:eastAsia="en-US" w:bidi="ar-SA"/>
              </w:rPr>
              <w:t xml:space="preserve">protect tissue from </w:t>
            </w:r>
            <w:r w:rsidRPr="00066A7D">
              <w:rPr>
                <w:rFonts w:ascii="Times New Roman" w:eastAsia="Times New Roman" w:hAnsi="Times New Roman" w:cs="Times New Roman"/>
                <w:bCs/>
                <w:kern w:val="0"/>
                <w:sz w:val="22"/>
                <w:lang w:eastAsia="en-US" w:bidi="ar-SA"/>
              </w:rPr>
              <w:t>enzymatic damage</w:t>
            </w:r>
            <w:r w:rsidR="00B26281" w:rsidRPr="00066A7D">
              <w:rPr>
                <w:rFonts w:ascii="Times New Roman" w:eastAsia="Times New Roman" w:hAnsi="Times New Roman" w:cs="Times New Roman"/>
                <w:bCs/>
                <w:kern w:val="0"/>
                <w:sz w:val="22"/>
                <w:lang w:eastAsia="en-US" w:bidi="ar-SA"/>
              </w:rPr>
              <w:fldChar w:fldCharType="begin"/>
            </w:r>
            <w:r w:rsidR="00B41ACC">
              <w:rPr>
                <w:rFonts w:ascii="Times New Roman" w:eastAsia="Times New Roman" w:hAnsi="Times New Roman" w:cs="Times New Roman"/>
                <w:bCs/>
                <w:kern w:val="0"/>
                <w:sz w:val="22"/>
                <w:lang w:eastAsia="en-US" w:bidi="ar-SA"/>
              </w:rPr>
              <w:instrText xml:space="preserve"> ADDIN ZOTERO_ITEM CSL_CITATION {"citationID":"rionc5nF","properties":{"formattedCitation":"\\super 146\\nosupersub{}","plainCitation":"146","noteIndex":0},"citationItems":[{"id":1102,"uris":["http://zotero.org/users/local/BfzbJtgR/items/IFPLZRYY"],"itemData":{"id":1102,"type":"article-journal","container-title":"The Journal of Clinical Investigation","DOI":"10.1172/JCI114578","ISSN":"0021-9738","issue":"5","journalAbbreviation":"J Clin Invest","language":"eng","note":"PMID: 2185272\nPMCID: PMC296579","page":"1343-1352","source":"PubMed","title":"Alpha 1-antitrypsin deficiency, emphysema, and liver disease. Genetic basis and strategies for therapy","volume":"85","author":[{"family":"Crystal","given":"R. G."}],"issued":{"date-parts":[["1990",5]]}}}],"schema":"https://github.com/citation-style-language/schema/raw/master/csl-citation.json"} </w:instrText>
            </w:r>
            <w:r w:rsidR="00B26281" w:rsidRPr="00066A7D">
              <w:rPr>
                <w:rFonts w:ascii="Times New Roman" w:eastAsia="Times New Roman" w:hAnsi="Times New Roman" w:cs="Times New Roman"/>
                <w:bCs/>
                <w:kern w:val="0"/>
                <w:sz w:val="22"/>
                <w:lang w:eastAsia="en-US" w:bidi="ar-SA"/>
              </w:rPr>
              <w:fldChar w:fldCharType="separate"/>
            </w:r>
            <w:r w:rsidR="00B41ACC" w:rsidRPr="00B41ACC">
              <w:rPr>
                <w:rFonts w:ascii="Times New Roman" w:hAnsi="Times New Roman" w:cs="Times New Roman"/>
                <w:sz w:val="22"/>
                <w:vertAlign w:val="superscript"/>
              </w:rPr>
              <w:t>146</w:t>
            </w:r>
            <w:r w:rsidR="00B26281" w:rsidRPr="00066A7D">
              <w:rPr>
                <w:rFonts w:ascii="Times New Roman" w:eastAsia="Times New Roman" w:hAnsi="Times New Roman" w:cs="Times New Roman"/>
                <w:bCs/>
                <w:kern w:val="0"/>
                <w:sz w:val="22"/>
                <w:lang w:eastAsia="en-US" w:bidi="ar-SA"/>
              </w:rPr>
              <w:fldChar w:fldCharType="end"/>
            </w:r>
          </w:p>
        </w:tc>
      </w:tr>
      <w:tr w:rsidR="0002019B" w:rsidRPr="00066A7D" w:rsidTr="00066A7D">
        <w:trPr>
          <w:trHeight w:val="233"/>
        </w:trPr>
        <w:tc>
          <w:tcPr>
            <w:tcW w:w="3240" w:type="dxa"/>
          </w:tcPr>
          <w:p w:rsidR="0002019B" w:rsidRPr="00066A7D" w:rsidRDefault="00882D62" w:rsidP="00066A7D">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hAnsi="Times New Roman" w:cs="Times New Roman"/>
                <w:sz w:val="22"/>
              </w:rPr>
              <w:t>Ceruloplasmin</w:t>
            </w:r>
          </w:p>
        </w:tc>
        <w:tc>
          <w:tcPr>
            <w:tcW w:w="7920" w:type="dxa"/>
          </w:tcPr>
          <w:p w:rsidR="0002019B" w:rsidRPr="00066A7D" w:rsidRDefault="00882D62" w:rsidP="00B41ACC">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Cu transport and antioxidant</w:t>
            </w:r>
            <w:r w:rsidR="00C9229A" w:rsidRPr="00066A7D">
              <w:rPr>
                <w:rFonts w:ascii="Times New Roman" w:eastAsia="Times New Roman" w:hAnsi="Times New Roman" w:cs="Times New Roman"/>
                <w:bCs/>
                <w:kern w:val="0"/>
                <w:sz w:val="22"/>
                <w:lang w:eastAsia="en-US" w:bidi="ar-SA"/>
              </w:rPr>
              <w:t xml:space="preserve"> </w:t>
            </w:r>
            <w:r w:rsidR="00C9229A" w:rsidRPr="00066A7D">
              <w:rPr>
                <w:rFonts w:ascii="Times New Roman" w:eastAsia="Times New Roman" w:hAnsi="Times New Roman" w:cs="Times New Roman"/>
                <w:bCs/>
                <w:kern w:val="0"/>
                <w:sz w:val="22"/>
                <w:lang w:eastAsia="en-US" w:bidi="ar-SA"/>
              </w:rPr>
              <w:fldChar w:fldCharType="begin"/>
            </w:r>
            <w:r w:rsidR="00B41ACC">
              <w:rPr>
                <w:rFonts w:ascii="Times New Roman" w:eastAsia="Times New Roman" w:hAnsi="Times New Roman" w:cs="Times New Roman"/>
                <w:bCs/>
                <w:kern w:val="0"/>
                <w:sz w:val="22"/>
                <w:lang w:eastAsia="en-US" w:bidi="ar-SA"/>
              </w:rPr>
              <w:instrText xml:space="preserve"> ADDIN ZOTERO_ITEM CSL_CITATION {"citationID":"V9mWq9fd","properties":{"formattedCitation":"\\super 147\\nosupersub{}","plainCitation":"147","noteIndex":0},"citationItems":[{"id":1110,"uris":["http://zotero.org/users/local/BfzbJtgR/items/5ZMKVC9L"],"itemData":{"id":1110,"type":"book","publisher":"In: StatPearls [Internet]. Treasure Island (FL): StatPearls Publishin","title":"Biochemistry, Ceruloplasmin. [Updated 2023 Feb 24].","URL":"https://www.ncbi.nlm.nih.gov/books/NBK554422/","author":[{"family":"Lopez","given":"MJ"},{"family":"Royer","given":"A"},{"family":"Shah","given":"NJ"}],"issued":{"date-parts":[["2025",1]]}}}],"schema":"https://github.com/citation-style-language/schema/raw/master/csl-citation.json"} </w:instrText>
            </w:r>
            <w:r w:rsidR="00C9229A" w:rsidRPr="00066A7D">
              <w:rPr>
                <w:rFonts w:ascii="Times New Roman" w:eastAsia="Times New Roman" w:hAnsi="Times New Roman" w:cs="Times New Roman"/>
                <w:bCs/>
                <w:kern w:val="0"/>
                <w:sz w:val="22"/>
                <w:lang w:eastAsia="en-US" w:bidi="ar-SA"/>
              </w:rPr>
              <w:fldChar w:fldCharType="separate"/>
            </w:r>
            <w:r w:rsidR="00B41ACC" w:rsidRPr="00B41ACC">
              <w:rPr>
                <w:rFonts w:ascii="Times New Roman" w:hAnsi="Times New Roman" w:cs="Times New Roman"/>
                <w:sz w:val="22"/>
                <w:vertAlign w:val="superscript"/>
              </w:rPr>
              <w:t>147</w:t>
            </w:r>
            <w:r w:rsidR="00C9229A" w:rsidRPr="00066A7D">
              <w:rPr>
                <w:rFonts w:ascii="Times New Roman" w:eastAsia="Times New Roman" w:hAnsi="Times New Roman" w:cs="Times New Roman"/>
                <w:bCs/>
                <w:kern w:val="0"/>
                <w:sz w:val="22"/>
                <w:lang w:eastAsia="en-US" w:bidi="ar-SA"/>
              </w:rPr>
              <w:fldChar w:fldCharType="end"/>
            </w:r>
          </w:p>
        </w:tc>
      </w:tr>
      <w:tr w:rsidR="0002019B" w:rsidRPr="00066A7D" w:rsidTr="00066A7D">
        <w:trPr>
          <w:trHeight w:val="62"/>
        </w:trPr>
        <w:tc>
          <w:tcPr>
            <w:tcW w:w="3240" w:type="dxa"/>
          </w:tcPr>
          <w:p w:rsidR="0002019B" w:rsidRPr="00066A7D" w:rsidRDefault="00C9229A" w:rsidP="00066A7D">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Haptoglobin</w:t>
            </w:r>
            <w:r w:rsidR="00882D62" w:rsidRPr="00066A7D">
              <w:rPr>
                <w:rFonts w:ascii="Times New Roman" w:eastAsia="Times New Roman" w:hAnsi="Times New Roman" w:cs="Times New Roman"/>
                <w:bCs/>
                <w:kern w:val="0"/>
                <w:sz w:val="22"/>
                <w:lang w:eastAsia="en-US" w:bidi="ar-SA"/>
              </w:rPr>
              <w:t xml:space="preserve"> </w:t>
            </w:r>
          </w:p>
        </w:tc>
        <w:tc>
          <w:tcPr>
            <w:tcW w:w="7920" w:type="dxa"/>
          </w:tcPr>
          <w:p w:rsidR="0002019B" w:rsidRPr="00066A7D" w:rsidRDefault="00882D62" w:rsidP="00B41ACC">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 xml:space="preserve">Bind to </w:t>
            </w:r>
            <w:r w:rsidR="007239EA" w:rsidRPr="00066A7D">
              <w:rPr>
                <w:rFonts w:ascii="Times New Roman" w:eastAsia="Times New Roman" w:hAnsi="Times New Roman" w:cs="Times New Roman"/>
                <w:bCs/>
                <w:kern w:val="0"/>
                <w:sz w:val="22"/>
                <w:lang w:eastAsia="en-US" w:bidi="ar-SA"/>
              </w:rPr>
              <w:t>hemoglobin</w:t>
            </w:r>
            <w:r w:rsidRPr="00066A7D">
              <w:rPr>
                <w:rFonts w:ascii="Times New Roman" w:eastAsia="Times New Roman" w:hAnsi="Times New Roman" w:cs="Times New Roman"/>
                <w:bCs/>
                <w:kern w:val="0"/>
                <w:sz w:val="22"/>
                <w:lang w:eastAsia="en-US" w:bidi="ar-SA"/>
              </w:rPr>
              <w:t xml:space="preserve"> and reduce oxidative stress</w:t>
            </w:r>
            <w:r w:rsidR="00B26281" w:rsidRPr="00066A7D">
              <w:rPr>
                <w:rFonts w:ascii="Times New Roman" w:eastAsia="Times New Roman" w:hAnsi="Times New Roman" w:cs="Times New Roman"/>
                <w:bCs/>
                <w:kern w:val="0"/>
                <w:sz w:val="22"/>
                <w:lang w:eastAsia="en-US" w:bidi="ar-SA"/>
              </w:rPr>
              <w:t xml:space="preserve"> </w:t>
            </w:r>
            <w:r w:rsidR="00B26281" w:rsidRPr="00066A7D">
              <w:rPr>
                <w:rFonts w:ascii="Times New Roman" w:eastAsia="Times New Roman" w:hAnsi="Times New Roman" w:cs="Times New Roman"/>
                <w:bCs/>
                <w:kern w:val="0"/>
                <w:sz w:val="22"/>
                <w:lang w:eastAsia="en-US" w:bidi="ar-SA"/>
              </w:rPr>
              <w:fldChar w:fldCharType="begin"/>
            </w:r>
            <w:r w:rsidR="00B41ACC">
              <w:rPr>
                <w:rFonts w:ascii="Times New Roman" w:eastAsia="Times New Roman" w:hAnsi="Times New Roman" w:cs="Times New Roman"/>
                <w:bCs/>
                <w:kern w:val="0"/>
                <w:sz w:val="22"/>
                <w:lang w:eastAsia="en-US" w:bidi="ar-SA"/>
              </w:rPr>
              <w:instrText xml:space="preserve"> ADDIN ZOTERO_ITEM CSL_CITATION {"citationID":"WkuUuLl5","properties":{"formattedCitation":"\\super 148\\nosupersub{}","plainCitation":"148","noteIndex":0},"citationItems":[{"id":1093,"uris":["http://zotero.org/users/local/BfzbJtgR/items/P4B6UHN8"],"itemData":{"id":1093,"type":"article-journal","abstract":"Haptoglobin, an \"acute phase\" protein, has different functions, which display genetic polymorphism. The complex of haptoglobin with haemoglobin is metabolized in the heptic reticuloendothelial system. Biosynthesis of haptoglobin occurs not only in the liver, but also in adipose tissue and in lung; providing antioxidant and antimicrobial activity. Changes in the measured concentrations of haptoglobin in serum may help to assess the disease status of patients with inflammations, infections, malignancy etc. (increases) as well as in haemolytic conditions (decreases). Haptoglobin plays a role in stimulation of angiogenesis and has highly potent cholesterolcrystallization-promoting activity. Probably the most important biological function of haptoglobin consists in the host defence responses to infection and inflammation, acting as a natural antagonist for receptor-ligand activation of the immune system.","container-title":"European Journal of Clinical Chemistry and Clinical Biochemistry: Journal of the Forum of European Clinical Chemistry Societies","ISSN":"0939-4974","issue":"9","journalAbbreviation":"Eur J Clin Chem Clin Biochem","language":"eng","note":"PMID: 9352226","page":"647-654","source":"PubMed","title":"Biological functions of haptoglobin--new pieces to an old puzzle","volume":"35","author":[{"family":"Dobryszycka","given":"W."}],"issued":{"date-parts":[["1997",9]]}}}],"schema":"https://github.com/citation-style-language/schema/raw/master/csl-citation.json"} </w:instrText>
            </w:r>
            <w:r w:rsidR="00B26281" w:rsidRPr="00066A7D">
              <w:rPr>
                <w:rFonts w:ascii="Times New Roman" w:eastAsia="Times New Roman" w:hAnsi="Times New Roman" w:cs="Times New Roman"/>
                <w:bCs/>
                <w:kern w:val="0"/>
                <w:sz w:val="22"/>
                <w:lang w:eastAsia="en-US" w:bidi="ar-SA"/>
              </w:rPr>
              <w:fldChar w:fldCharType="separate"/>
            </w:r>
            <w:r w:rsidR="00B41ACC" w:rsidRPr="00B41ACC">
              <w:rPr>
                <w:rFonts w:ascii="Times New Roman" w:hAnsi="Times New Roman" w:cs="Times New Roman"/>
                <w:sz w:val="22"/>
                <w:vertAlign w:val="superscript"/>
              </w:rPr>
              <w:t>148</w:t>
            </w:r>
            <w:r w:rsidR="00B26281" w:rsidRPr="00066A7D">
              <w:rPr>
                <w:rFonts w:ascii="Times New Roman" w:eastAsia="Times New Roman" w:hAnsi="Times New Roman" w:cs="Times New Roman"/>
                <w:bCs/>
                <w:kern w:val="0"/>
                <w:sz w:val="22"/>
                <w:lang w:eastAsia="en-US" w:bidi="ar-SA"/>
              </w:rPr>
              <w:fldChar w:fldCharType="end"/>
            </w:r>
            <w:r w:rsidR="00407572" w:rsidRPr="00066A7D">
              <w:rPr>
                <w:rFonts w:ascii="Times New Roman" w:eastAsia="Times New Roman" w:hAnsi="Times New Roman" w:cs="Times New Roman"/>
                <w:bCs/>
                <w:kern w:val="0"/>
                <w:sz w:val="22"/>
                <w:lang w:eastAsia="en-US" w:bidi="ar-SA"/>
              </w:rPr>
              <w:t>.</w:t>
            </w:r>
          </w:p>
        </w:tc>
      </w:tr>
      <w:tr w:rsidR="00407572" w:rsidRPr="00066A7D" w:rsidTr="00066A7D">
        <w:trPr>
          <w:trHeight w:val="395"/>
        </w:trPr>
        <w:tc>
          <w:tcPr>
            <w:tcW w:w="3240" w:type="dxa"/>
          </w:tcPr>
          <w:p w:rsidR="00407572" w:rsidRPr="00066A7D" w:rsidRDefault="00933683" w:rsidP="00066A7D">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hAnsi="Times New Roman" w:cs="Times New Roman"/>
                <w:sz w:val="22"/>
              </w:rPr>
              <w:t>Procalcitonin</w:t>
            </w:r>
            <w:r w:rsidR="00407572" w:rsidRPr="00066A7D">
              <w:rPr>
                <w:rFonts w:ascii="Times New Roman" w:hAnsi="Times New Roman" w:cs="Times New Roman"/>
                <w:sz w:val="22"/>
              </w:rPr>
              <w:t xml:space="preserve"> (PCT)</w:t>
            </w:r>
          </w:p>
        </w:tc>
        <w:tc>
          <w:tcPr>
            <w:tcW w:w="7920" w:type="dxa"/>
          </w:tcPr>
          <w:p w:rsidR="00407572" w:rsidRPr="00066A7D" w:rsidRDefault="00407572" w:rsidP="00B41ACC">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Biomarkers for bacterial infection and Sepsis</w:t>
            </w:r>
            <w:r w:rsidR="00B26281" w:rsidRPr="00066A7D">
              <w:rPr>
                <w:rFonts w:ascii="Times New Roman" w:eastAsia="Times New Roman" w:hAnsi="Times New Roman" w:cs="Times New Roman"/>
                <w:bCs/>
                <w:kern w:val="0"/>
                <w:sz w:val="22"/>
                <w:lang w:eastAsia="en-US" w:bidi="ar-SA"/>
              </w:rPr>
              <w:t xml:space="preserve"> </w:t>
            </w:r>
            <w:r w:rsidR="00B26281" w:rsidRPr="00066A7D">
              <w:rPr>
                <w:rFonts w:ascii="Times New Roman" w:eastAsia="Times New Roman" w:hAnsi="Times New Roman" w:cs="Times New Roman"/>
                <w:bCs/>
                <w:kern w:val="0"/>
                <w:sz w:val="22"/>
                <w:lang w:eastAsia="en-US" w:bidi="ar-SA"/>
              </w:rPr>
              <w:fldChar w:fldCharType="begin"/>
            </w:r>
            <w:r w:rsidR="00B41ACC">
              <w:rPr>
                <w:rFonts w:ascii="Times New Roman" w:eastAsia="Times New Roman" w:hAnsi="Times New Roman" w:cs="Times New Roman"/>
                <w:bCs/>
                <w:kern w:val="0"/>
                <w:sz w:val="22"/>
                <w:lang w:eastAsia="en-US" w:bidi="ar-SA"/>
              </w:rPr>
              <w:instrText xml:space="preserve"> ADDIN ZOTERO_ITEM CSL_CITATION {"citationID":"SnDQRYEn","properties":{"formattedCitation":"\\super 149\\nosupersub{}","plainCitation":"149","noteIndex":0},"citationItems":[{"id":1095,"uris":["http://zotero.org/users/local/BfzbJtgR/items/LF42TVUE"],"itemData":{"id":1095,"type":"article-journal","abstract":"High concentrations of calcitonin-like immunoreactivity have been found in the blood of patients with various extrathyroid diseases. By means of a monoclonal immunoradiometric assay for calcitonin precursors, we have measured serum concentrations of procalcitonin in patients with various bacterial and viral infections. 79 children (newborn to age 12 years) in hospital with suspected infections were investigated prospectively. 19 patients with severe bacterial infections had very high serum concentrations of procalcitonin at diagnosis (range 6-53 ng/mL) in comparison with 21 children found to have no signs of infection (baseline concentrations &lt; 0.1 ng/mL). Serum procalcitonin values decreased rapidly during antibiotic therapy. 11 patients with peripheral bacterial colonisation or local infections without invasive sepsis and 18 (86%) of 21 patients with viral infections had concentrations within or slightly above the normal range (0.1-1.5 ng/mL). Among 9 severely burned patients studied in an intensive care unit, the post-traumatic course of procalcitonin concentrations (range 0.1-120 ng/mL) was closely related to infectious complications and acute septic episodes. Concentrations of mature calcitonin were normal in all subjects, whatever procalcitonin concentrations were found. Concentrations of a substance immunologically identical to procalcitonin are raised during septic conditions. Serum concentrations seem to be correlated with the severity of microbial invasion.","container-title":"Lancet (London, England)","DOI":"10.1016/0140-6736(93)90277-n","ISSN":"0140-6736","issue":"8844","journalAbbreviation":"Lancet","language":"eng","note":"PMID: 8094770\nPMCID: PMC7141580","page":"515-518","source":"PubMed","title":"High serum procalcitonin concentrations in patients with sepsis and infection","volume":"341","author":[{"family":"Assicot","given":"M."},{"family":"Gendrel","given":"D."},{"family":"Carsin","given":"H."},{"family":"Raymond","given":"J."},{"family":"Guilbaud","given":"J."},{"family":"Bohuon","given":"C."}],"issued":{"date-parts":[["1993",2,27]]}}}],"schema":"https://github.com/citation-style-language/schema/raw/master/csl-citation.json"} </w:instrText>
            </w:r>
            <w:r w:rsidR="00B26281" w:rsidRPr="00066A7D">
              <w:rPr>
                <w:rFonts w:ascii="Times New Roman" w:eastAsia="Times New Roman" w:hAnsi="Times New Roman" w:cs="Times New Roman"/>
                <w:bCs/>
                <w:kern w:val="0"/>
                <w:sz w:val="22"/>
                <w:lang w:eastAsia="en-US" w:bidi="ar-SA"/>
              </w:rPr>
              <w:fldChar w:fldCharType="separate"/>
            </w:r>
            <w:r w:rsidR="00B41ACC" w:rsidRPr="00B41ACC">
              <w:rPr>
                <w:rFonts w:ascii="Times New Roman" w:hAnsi="Times New Roman" w:cs="Times New Roman"/>
                <w:sz w:val="22"/>
                <w:vertAlign w:val="superscript"/>
              </w:rPr>
              <w:t>149</w:t>
            </w:r>
            <w:r w:rsidR="00B26281" w:rsidRPr="00066A7D">
              <w:rPr>
                <w:rFonts w:ascii="Times New Roman" w:eastAsia="Times New Roman" w:hAnsi="Times New Roman" w:cs="Times New Roman"/>
                <w:bCs/>
                <w:kern w:val="0"/>
                <w:sz w:val="22"/>
                <w:lang w:eastAsia="en-US" w:bidi="ar-SA"/>
              </w:rPr>
              <w:fldChar w:fldCharType="end"/>
            </w:r>
          </w:p>
        </w:tc>
      </w:tr>
    </w:tbl>
    <w:p w:rsidR="005F270A" w:rsidRDefault="005F270A" w:rsidP="00F861EB">
      <w:pPr>
        <w:pStyle w:val="Standard"/>
        <w:suppressAutoHyphens w:val="0"/>
        <w:spacing w:before="280" w:after="280" w:line="276" w:lineRule="auto"/>
        <w:jc w:val="both"/>
        <w:textAlignment w:val="auto"/>
        <w:rPr>
          <w:rFonts w:ascii="Times New Roman" w:eastAsia="Times New Roman" w:hAnsi="Times New Roman" w:cs="Times New Roman"/>
          <w:bCs/>
          <w:kern w:val="0"/>
          <w:lang w:eastAsia="en-US" w:bidi="ar-SA"/>
        </w:rPr>
      </w:pPr>
    </w:p>
    <w:p w:rsidR="0002019B" w:rsidRDefault="00804E86" w:rsidP="00F861EB">
      <w:pPr>
        <w:pStyle w:val="Standard"/>
        <w:suppressAutoHyphens w:val="0"/>
        <w:spacing w:before="280" w:after="280" w:line="276" w:lineRule="auto"/>
        <w:jc w:val="both"/>
        <w:textAlignment w:val="auto"/>
        <w:rPr>
          <w:rStyle w:val="resultpara4"/>
        </w:rPr>
      </w:pPr>
      <w:r w:rsidRPr="00804E86">
        <w:rPr>
          <w:rFonts w:ascii="Times New Roman" w:eastAsia="Times New Roman" w:hAnsi="Times New Roman" w:cs="Times New Roman"/>
          <w:bCs/>
          <w:kern w:val="0"/>
          <w:lang w:eastAsia="en-US" w:bidi="ar-SA"/>
        </w:rPr>
        <w:t xml:space="preserve">Various cytokines that promote inflammation influence the </w:t>
      </w:r>
      <w:r w:rsidR="00D766E6" w:rsidRPr="00804E86">
        <w:rPr>
          <w:rFonts w:ascii="Times New Roman" w:eastAsia="Times New Roman" w:hAnsi="Times New Roman" w:cs="Times New Roman"/>
          <w:bCs/>
          <w:kern w:val="0"/>
          <w:lang w:eastAsia="en-US" w:bidi="ar-SA"/>
        </w:rPr>
        <w:t>production</w:t>
      </w:r>
      <w:r w:rsidRPr="00804E86">
        <w:rPr>
          <w:rFonts w:ascii="Times New Roman" w:eastAsia="Times New Roman" w:hAnsi="Times New Roman" w:cs="Times New Roman"/>
          <w:bCs/>
          <w:kern w:val="0"/>
          <w:lang w:eastAsia="en-US" w:bidi="ar-SA"/>
        </w:rPr>
        <w:t xml:space="preserve"> of </w:t>
      </w:r>
      <w:r>
        <w:rPr>
          <w:rFonts w:ascii="Times New Roman" w:eastAsia="Times New Roman" w:hAnsi="Times New Roman" w:cs="Times New Roman"/>
          <w:bCs/>
          <w:kern w:val="0"/>
          <w:lang w:eastAsia="en-US" w:bidi="ar-SA"/>
        </w:rPr>
        <w:t>acute-phase</w:t>
      </w:r>
      <w:r w:rsidRPr="00804E86">
        <w:rPr>
          <w:rFonts w:ascii="Times New Roman" w:eastAsia="Times New Roman" w:hAnsi="Times New Roman" w:cs="Times New Roman"/>
          <w:bCs/>
          <w:kern w:val="0"/>
          <w:lang w:eastAsia="en-US" w:bidi="ar-SA"/>
        </w:rPr>
        <w:t xml:space="preserve"> proteins. For instance, </w:t>
      </w:r>
      <w:r w:rsidR="00811202">
        <w:rPr>
          <w:rFonts w:ascii="Times New Roman" w:eastAsia="Times New Roman" w:hAnsi="Times New Roman" w:cs="Times New Roman"/>
          <w:bCs/>
          <w:kern w:val="0"/>
          <w:lang w:eastAsia="en-US" w:bidi="ar-SA"/>
        </w:rPr>
        <w:t>I</w:t>
      </w:r>
      <w:r w:rsidR="00D766E6">
        <w:rPr>
          <w:rFonts w:ascii="Times New Roman" w:eastAsia="Times New Roman" w:hAnsi="Times New Roman" w:cs="Times New Roman"/>
          <w:bCs/>
          <w:kern w:val="0"/>
          <w:lang w:eastAsia="en-US" w:bidi="ar-SA"/>
        </w:rPr>
        <w:t>nterlukin</w:t>
      </w:r>
      <w:r w:rsidR="00811202">
        <w:rPr>
          <w:rFonts w:ascii="Times New Roman" w:eastAsia="Times New Roman" w:hAnsi="Times New Roman" w:cs="Times New Roman"/>
          <w:bCs/>
          <w:kern w:val="0"/>
          <w:lang w:eastAsia="en-US" w:bidi="ar-SA"/>
        </w:rPr>
        <w:t>-6</w:t>
      </w:r>
      <w:r w:rsidRPr="00804E86">
        <w:rPr>
          <w:rFonts w:ascii="Times New Roman" w:eastAsia="Times New Roman" w:hAnsi="Times New Roman" w:cs="Times New Roman"/>
          <w:bCs/>
          <w:kern w:val="0"/>
          <w:lang w:eastAsia="en-US" w:bidi="ar-SA"/>
        </w:rPr>
        <w:t xml:space="preserve"> is stimulated by macrophages, T-cells, endothelial cells, and fibroblasts. It serves as a crucial signaling molecule that instructs the liver to boost the </w:t>
      </w:r>
      <w:r w:rsidR="00D766E6">
        <w:rPr>
          <w:rFonts w:ascii="Times New Roman" w:eastAsia="Times New Roman" w:hAnsi="Times New Roman" w:cs="Times New Roman"/>
          <w:bCs/>
          <w:kern w:val="0"/>
          <w:lang w:eastAsia="en-US" w:bidi="ar-SA"/>
        </w:rPr>
        <w:t>synthesis</w:t>
      </w:r>
      <w:r w:rsidRPr="00804E86">
        <w:rPr>
          <w:rFonts w:ascii="Times New Roman" w:eastAsia="Times New Roman" w:hAnsi="Times New Roman" w:cs="Times New Roman"/>
          <w:bCs/>
          <w:kern w:val="0"/>
          <w:lang w:eastAsia="en-US" w:bidi="ar-SA"/>
        </w:rPr>
        <w:t xml:space="preserve"> of positive acute-phase proteins </w:t>
      </w:r>
      <w:r w:rsidR="00D766E6">
        <w:rPr>
          <w:rFonts w:ascii="Times New Roman" w:eastAsia="Times New Roman" w:hAnsi="Times New Roman" w:cs="Times New Roman"/>
          <w:bCs/>
          <w:kern w:val="0"/>
          <w:lang w:eastAsia="en-US" w:bidi="ar-SA"/>
        </w:rPr>
        <w:t>like C-reactive protein, Serum amyloid A</w:t>
      </w:r>
      <w:r w:rsidRPr="00804E86">
        <w:rPr>
          <w:rFonts w:ascii="Times New Roman" w:eastAsia="Times New Roman" w:hAnsi="Times New Roman" w:cs="Times New Roman"/>
          <w:bCs/>
          <w:kern w:val="0"/>
          <w:lang w:eastAsia="en-US" w:bidi="ar-SA"/>
        </w:rPr>
        <w:t xml:space="preserve">, Fibrinogen, Haptoglobin, </w:t>
      </w:r>
      <w:r>
        <w:rPr>
          <w:rFonts w:ascii="Times New Roman" w:eastAsia="Times New Roman" w:hAnsi="Times New Roman" w:cs="Times New Roman"/>
          <w:bCs/>
          <w:kern w:val="0"/>
          <w:lang w:eastAsia="en-US" w:bidi="ar-SA"/>
        </w:rPr>
        <w:t xml:space="preserve">and </w:t>
      </w:r>
      <w:r w:rsidRPr="00804E86">
        <w:rPr>
          <w:rFonts w:ascii="Times New Roman" w:eastAsia="Times New Roman" w:hAnsi="Times New Roman" w:cs="Times New Roman"/>
          <w:bCs/>
          <w:kern w:val="0"/>
          <w:lang w:eastAsia="en-US" w:bidi="ar-SA"/>
        </w:rPr>
        <w:t>Alpha-1 antitrypsin.</w:t>
      </w:r>
      <w:r>
        <w:rPr>
          <w:rFonts w:ascii="Times New Roman" w:eastAsia="Times New Roman" w:hAnsi="Times New Roman" w:cs="Times New Roman"/>
          <w:bCs/>
          <w:kern w:val="0"/>
          <w:lang w:eastAsia="en-US" w:bidi="ar-SA"/>
        </w:rPr>
        <w:t xml:space="preserve"> Most importantly</w:t>
      </w:r>
      <w:r w:rsidR="00811202">
        <w:rPr>
          <w:rFonts w:ascii="Times New Roman" w:eastAsia="Times New Roman" w:hAnsi="Times New Roman" w:cs="Times New Roman"/>
          <w:bCs/>
          <w:kern w:val="0"/>
          <w:lang w:eastAsia="en-US" w:bidi="ar-SA"/>
        </w:rPr>
        <w:t>, IL</w:t>
      </w:r>
      <w:r>
        <w:rPr>
          <w:rFonts w:ascii="Times New Roman" w:eastAsia="Times New Roman" w:hAnsi="Times New Roman" w:cs="Times New Roman"/>
          <w:bCs/>
          <w:kern w:val="0"/>
          <w:lang w:eastAsia="en-US" w:bidi="ar-SA"/>
        </w:rPr>
        <w:t xml:space="preserve">-6 level rises in various infections (especially in bacterial </w:t>
      </w:r>
      <w:r w:rsidR="00811202">
        <w:rPr>
          <w:rFonts w:ascii="Times New Roman" w:eastAsia="Times New Roman" w:hAnsi="Times New Roman" w:cs="Times New Roman"/>
          <w:bCs/>
          <w:kern w:val="0"/>
          <w:lang w:eastAsia="en-US" w:bidi="ar-SA"/>
        </w:rPr>
        <w:t>infections</w:t>
      </w:r>
      <w:r>
        <w:rPr>
          <w:rFonts w:ascii="Times New Roman" w:eastAsia="Times New Roman" w:hAnsi="Times New Roman" w:cs="Times New Roman"/>
          <w:bCs/>
          <w:kern w:val="0"/>
          <w:lang w:eastAsia="en-US" w:bidi="ar-SA"/>
        </w:rPr>
        <w:t xml:space="preserve">), trauma and autoimmune disorders. High IL-6 was </w:t>
      </w:r>
      <w:r w:rsidR="00811202">
        <w:rPr>
          <w:rFonts w:ascii="Times New Roman" w:eastAsia="Times New Roman" w:hAnsi="Times New Roman" w:cs="Times New Roman"/>
          <w:bCs/>
          <w:kern w:val="0"/>
          <w:lang w:eastAsia="en-US" w:bidi="ar-SA"/>
        </w:rPr>
        <w:t xml:space="preserve">an </w:t>
      </w:r>
      <w:r>
        <w:rPr>
          <w:rFonts w:ascii="Times New Roman" w:eastAsia="Times New Roman" w:hAnsi="Times New Roman" w:cs="Times New Roman"/>
          <w:bCs/>
          <w:kern w:val="0"/>
          <w:lang w:eastAsia="en-US" w:bidi="ar-SA"/>
        </w:rPr>
        <w:t xml:space="preserve">indicator in sepsis, </w:t>
      </w:r>
      <w:r w:rsidR="00811202">
        <w:rPr>
          <w:rFonts w:ascii="Times New Roman" w:eastAsia="Times New Roman" w:hAnsi="Times New Roman" w:cs="Times New Roman"/>
          <w:bCs/>
          <w:kern w:val="0"/>
          <w:lang w:eastAsia="en-US" w:bidi="ar-SA"/>
        </w:rPr>
        <w:t>COVID-19,</w:t>
      </w:r>
      <w:r>
        <w:rPr>
          <w:rFonts w:ascii="Times New Roman" w:eastAsia="Times New Roman" w:hAnsi="Times New Roman" w:cs="Times New Roman"/>
          <w:bCs/>
          <w:kern w:val="0"/>
          <w:lang w:eastAsia="en-US" w:bidi="ar-SA"/>
        </w:rPr>
        <w:t xml:space="preserve"> 19 and autoimmune disorders as rheumatic arthritis. </w:t>
      </w:r>
      <w:r w:rsidR="004A6730">
        <w:rPr>
          <w:rFonts w:ascii="Times New Roman" w:eastAsia="Times New Roman" w:hAnsi="Times New Roman" w:cs="Times New Roman"/>
          <w:bCs/>
          <w:kern w:val="0"/>
          <w:lang w:eastAsia="en-US" w:bidi="ar-SA"/>
        </w:rPr>
        <w:t xml:space="preserve">Similarly, </w:t>
      </w:r>
      <w:r w:rsidR="00811202">
        <w:rPr>
          <w:rFonts w:ascii="Times New Roman" w:eastAsia="Times New Roman" w:hAnsi="Times New Roman" w:cs="Times New Roman"/>
          <w:bCs/>
          <w:kern w:val="0"/>
          <w:lang w:eastAsia="en-US" w:bidi="ar-SA"/>
        </w:rPr>
        <w:t>TNF-α</w:t>
      </w:r>
      <w:r w:rsidR="00FC2DEB">
        <w:rPr>
          <w:rFonts w:ascii="Times New Roman" w:eastAsia="Times New Roman" w:hAnsi="Times New Roman" w:cs="Times New Roman"/>
          <w:bCs/>
          <w:kern w:val="0"/>
          <w:lang w:eastAsia="en-US" w:bidi="ar-SA"/>
        </w:rPr>
        <w:t xml:space="preserve"> involves</w:t>
      </w:r>
      <w:r w:rsidR="004A6730">
        <w:rPr>
          <w:rFonts w:ascii="Times New Roman" w:eastAsia="Times New Roman" w:hAnsi="Times New Roman" w:cs="Times New Roman"/>
          <w:bCs/>
          <w:kern w:val="0"/>
          <w:lang w:eastAsia="en-US" w:bidi="ar-SA"/>
        </w:rPr>
        <w:t xml:space="preserve"> a </w:t>
      </w:r>
      <w:r w:rsidR="00FC2DEB">
        <w:rPr>
          <w:rFonts w:ascii="Times New Roman" w:eastAsia="Times New Roman" w:hAnsi="Times New Roman" w:cs="Times New Roman"/>
          <w:bCs/>
          <w:kern w:val="0"/>
          <w:lang w:eastAsia="en-US" w:bidi="ar-SA"/>
        </w:rPr>
        <w:t>vital</w:t>
      </w:r>
      <w:r w:rsidR="004A6730">
        <w:rPr>
          <w:rFonts w:ascii="Times New Roman" w:eastAsia="Times New Roman" w:hAnsi="Times New Roman" w:cs="Times New Roman"/>
          <w:bCs/>
          <w:kern w:val="0"/>
          <w:lang w:eastAsia="en-US" w:bidi="ar-SA"/>
        </w:rPr>
        <w:t xml:space="preserve"> role in </w:t>
      </w:r>
      <w:r w:rsidR="00811202">
        <w:rPr>
          <w:rFonts w:ascii="Times New Roman" w:eastAsia="Times New Roman" w:hAnsi="Times New Roman" w:cs="Times New Roman"/>
          <w:bCs/>
          <w:kern w:val="0"/>
          <w:lang w:eastAsia="en-US" w:bidi="ar-SA"/>
        </w:rPr>
        <w:t xml:space="preserve">the </w:t>
      </w:r>
      <w:r w:rsidR="004A6730">
        <w:rPr>
          <w:rFonts w:ascii="Times New Roman" w:eastAsia="Times New Roman" w:hAnsi="Times New Roman" w:cs="Times New Roman"/>
          <w:bCs/>
          <w:kern w:val="0"/>
          <w:lang w:eastAsia="en-US" w:bidi="ar-SA"/>
        </w:rPr>
        <w:t xml:space="preserve">induction of </w:t>
      </w:r>
      <w:r w:rsidR="00811202">
        <w:rPr>
          <w:rFonts w:ascii="Times New Roman" w:eastAsia="Times New Roman" w:hAnsi="Times New Roman" w:cs="Times New Roman"/>
          <w:bCs/>
          <w:kern w:val="0"/>
          <w:lang w:eastAsia="en-US" w:bidi="ar-SA"/>
        </w:rPr>
        <w:t>acute-phase</w:t>
      </w:r>
      <w:r w:rsidR="004A6730">
        <w:rPr>
          <w:rFonts w:ascii="Times New Roman" w:eastAsia="Times New Roman" w:hAnsi="Times New Roman" w:cs="Times New Roman"/>
          <w:bCs/>
          <w:kern w:val="0"/>
          <w:lang w:eastAsia="en-US" w:bidi="ar-SA"/>
        </w:rPr>
        <w:t xml:space="preserve"> proteins. The </w:t>
      </w:r>
      <w:r w:rsidR="00811202">
        <w:rPr>
          <w:rFonts w:ascii="Times New Roman" w:eastAsia="Times New Roman" w:hAnsi="Times New Roman" w:cs="Times New Roman"/>
          <w:bCs/>
          <w:kern w:val="0"/>
          <w:lang w:eastAsia="en-US" w:bidi="ar-SA"/>
        </w:rPr>
        <w:t>TNF-α</w:t>
      </w:r>
      <w:r w:rsidR="004A6730">
        <w:rPr>
          <w:rFonts w:ascii="Times New Roman" w:eastAsia="Times New Roman" w:hAnsi="Times New Roman" w:cs="Times New Roman"/>
          <w:bCs/>
          <w:kern w:val="0"/>
          <w:lang w:eastAsia="en-US" w:bidi="ar-SA"/>
        </w:rPr>
        <w:t xml:space="preserve"> is induced by macrophages, monocytes, T-cells and natural killer cells. TNF- </w:t>
      </w:r>
      <w:r w:rsidR="004A6730" w:rsidRPr="0002019B">
        <w:rPr>
          <w:rFonts w:ascii="Times New Roman" w:eastAsia="Times New Roman" w:hAnsi="Times New Roman" w:cs="Times New Roman"/>
          <w:bCs/>
          <w:kern w:val="0"/>
          <w:lang w:eastAsia="en-US" w:bidi="ar-SA"/>
        </w:rPr>
        <w:t>-α</w:t>
      </w:r>
      <w:r w:rsidR="004A6730">
        <w:rPr>
          <w:rFonts w:ascii="Times New Roman" w:eastAsia="Times New Roman" w:hAnsi="Times New Roman" w:cs="Times New Roman"/>
          <w:bCs/>
          <w:kern w:val="0"/>
          <w:lang w:eastAsia="en-US" w:bidi="ar-SA"/>
        </w:rPr>
        <w:t xml:space="preserve"> plays the first </w:t>
      </w:r>
      <w:r w:rsidR="00257BFC">
        <w:rPr>
          <w:rFonts w:ascii="Times New Roman" w:eastAsia="Times New Roman" w:hAnsi="Times New Roman" w:cs="Times New Roman"/>
          <w:bCs/>
          <w:kern w:val="0"/>
          <w:lang w:eastAsia="en-US" w:bidi="ar-SA"/>
        </w:rPr>
        <w:t>cytokine-induced</w:t>
      </w:r>
      <w:r w:rsidR="004A6730">
        <w:rPr>
          <w:rFonts w:ascii="Times New Roman" w:eastAsia="Times New Roman" w:hAnsi="Times New Roman" w:cs="Times New Roman"/>
          <w:bCs/>
          <w:kern w:val="0"/>
          <w:lang w:eastAsia="en-US" w:bidi="ar-SA"/>
        </w:rPr>
        <w:t xml:space="preserve"> and </w:t>
      </w:r>
      <w:r w:rsidR="002D3071">
        <w:rPr>
          <w:rFonts w:ascii="Times New Roman" w:eastAsia="Times New Roman" w:hAnsi="Times New Roman" w:cs="Times New Roman"/>
          <w:bCs/>
          <w:kern w:val="0"/>
          <w:lang w:eastAsia="en-US" w:bidi="ar-SA"/>
        </w:rPr>
        <w:t>involves a</w:t>
      </w:r>
      <w:r w:rsidR="004A6730">
        <w:rPr>
          <w:rFonts w:ascii="Times New Roman" w:eastAsia="Times New Roman" w:hAnsi="Times New Roman" w:cs="Times New Roman"/>
          <w:bCs/>
          <w:kern w:val="0"/>
          <w:lang w:eastAsia="en-US" w:bidi="ar-SA"/>
        </w:rPr>
        <w:t xml:space="preserve"> </w:t>
      </w:r>
      <w:r w:rsidR="002D3071">
        <w:rPr>
          <w:rFonts w:ascii="Times New Roman" w:eastAsia="Times New Roman" w:hAnsi="Times New Roman" w:cs="Times New Roman"/>
          <w:bCs/>
          <w:kern w:val="0"/>
          <w:lang w:eastAsia="en-US" w:bidi="ar-SA"/>
        </w:rPr>
        <w:t>major</w:t>
      </w:r>
      <w:r w:rsidR="004A6730">
        <w:rPr>
          <w:rFonts w:ascii="Times New Roman" w:eastAsia="Times New Roman" w:hAnsi="Times New Roman" w:cs="Times New Roman"/>
          <w:bCs/>
          <w:kern w:val="0"/>
          <w:lang w:eastAsia="en-US" w:bidi="ar-SA"/>
        </w:rPr>
        <w:t xml:space="preserve"> role in infection, </w:t>
      </w:r>
      <w:r w:rsidR="004A6730">
        <w:rPr>
          <w:rFonts w:ascii="Times New Roman" w:eastAsia="Times New Roman" w:hAnsi="Times New Roman" w:cs="Times New Roman"/>
          <w:bCs/>
          <w:kern w:val="0"/>
          <w:lang w:eastAsia="en-US" w:bidi="ar-SA"/>
        </w:rPr>
        <w:lastRenderedPageBreak/>
        <w:t xml:space="preserve">trauma, </w:t>
      </w:r>
      <w:r w:rsidR="00926931">
        <w:rPr>
          <w:rFonts w:ascii="Times New Roman" w:eastAsia="Times New Roman" w:hAnsi="Times New Roman" w:cs="Times New Roman"/>
          <w:bCs/>
          <w:kern w:val="0"/>
          <w:lang w:eastAsia="en-US" w:bidi="ar-SA"/>
        </w:rPr>
        <w:t xml:space="preserve">and </w:t>
      </w:r>
      <w:r w:rsidR="004A6730">
        <w:rPr>
          <w:rFonts w:ascii="Times New Roman" w:eastAsia="Times New Roman" w:hAnsi="Times New Roman" w:cs="Times New Roman"/>
          <w:bCs/>
          <w:kern w:val="0"/>
          <w:lang w:eastAsia="en-US" w:bidi="ar-SA"/>
        </w:rPr>
        <w:t>tissue injury and activates endothelial cells (increase vascular permeability), neutrophils (recruited in the site injury), liver cells (induces CRP, SAA, fibrinogen etc.) and febrile response (acts on hypothalamus).</w:t>
      </w:r>
      <w:r w:rsidR="004A6730" w:rsidRPr="007C2925">
        <w:rPr>
          <w:rFonts w:ascii="Times New Roman" w:eastAsia="Times New Roman" w:hAnsi="Times New Roman" w:cs="Times New Roman"/>
          <w:bCs/>
          <w:kern w:val="0"/>
          <w:lang w:eastAsia="en-US" w:bidi="ar-SA"/>
        </w:rPr>
        <w:t xml:space="preserve"> </w:t>
      </w:r>
      <w:r w:rsidR="00020657">
        <w:rPr>
          <w:rStyle w:val="resultpara0"/>
        </w:rPr>
        <w:t>Elevated TNF-α indicates sepsis</w:t>
      </w:r>
      <w:r w:rsidR="004A6730" w:rsidRPr="007C2925">
        <w:rPr>
          <w:rStyle w:val="resultpara0"/>
        </w:rPr>
        <w:t xml:space="preserve"> can </w:t>
      </w:r>
      <w:r w:rsidR="004A6730" w:rsidRPr="007C2925">
        <w:rPr>
          <w:rStyle w:val="resultpara0"/>
          <w:bCs/>
        </w:rPr>
        <w:t>result in</w:t>
      </w:r>
      <w:r w:rsidR="004A6730" w:rsidRPr="007C2925">
        <w:rPr>
          <w:rStyle w:val="resultpara0"/>
        </w:rPr>
        <w:t xml:space="preserve"> septic shock (</w:t>
      </w:r>
      <w:r w:rsidR="004A6730" w:rsidRPr="007C2925">
        <w:rPr>
          <w:rStyle w:val="resultpara0"/>
          <w:bCs/>
        </w:rPr>
        <w:t>extensive</w:t>
      </w:r>
      <w:r w:rsidR="004A6730" w:rsidRPr="007C2925">
        <w:rPr>
          <w:rStyle w:val="resultpara0"/>
        </w:rPr>
        <w:t xml:space="preserve"> inflammation, </w:t>
      </w:r>
      <w:r w:rsidR="004A6730" w:rsidRPr="007C2925">
        <w:rPr>
          <w:rStyle w:val="resultpara0"/>
          <w:bCs/>
        </w:rPr>
        <w:t>decrease</w:t>
      </w:r>
      <w:r w:rsidR="004A6730" w:rsidRPr="007C2925">
        <w:rPr>
          <w:rStyle w:val="resultpara0"/>
        </w:rPr>
        <w:t xml:space="preserve"> in blood pressure, multi-organ failure).</w:t>
      </w:r>
      <w:r w:rsidR="004A6730" w:rsidRPr="007C2925">
        <w:t xml:space="preserve"> </w:t>
      </w:r>
      <w:r w:rsidR="007C2925" w:rsidRPr="007C2925">
        <w:rPr>
          <w:rStyle w:val="resultpara4"/>
        </w:rPr>
        <w:t xml:space="preserve">TNF-α </w:t>
      </w:r>
      <w:r w:rsidR="004A6730" w:rsidRPr="007C2925">
        <w:br/>
      </w:r>
      <w:r w:rsidR="004A6730" w:rsidRPr="007C2925">
        <w:rPr>
          <w:rStyle w:val="resultpara4"/>
        </w:rPr>
        <w:t>Chroni</w:t>
      </w:r>
      <w:r w:rsidR="007C2925" w:rsidRPr="007C2925">
        <w:rPr>
          <w:rStyle w:val="resultpara4"/>
        </w:rPr>
        <w:t>c Inflammation indicates</w:t>
      </w:r>
      <w:r w:rsidR="004A6730" w:rsidRPr="007C2925">
        <w:rPr>
          <w:rStyle w:val="resultpara4"/>
        </w:rPr>
        <w:t xml:space="preserve"> </w:t>
      </w:r>
      <w:r w:rsidR="007C2925" w:rsidRPr="007C2925">
        <w:rPr>
          <w:rStyle w:val="resultpara4"/>
          <w:bCs/>
        </w:rPr>
        <w:t>i</w:t>
      </w:r>
      <w:r w:rsidR="004A6730" w:rsidRPr="007C2925">
        <w:rPr>
          <w:rStyle w:val="resultpara4"/>
          <w:bCs/>
        </w:rPr>
        <w:t>ncreased</w:t>
      </w:r>
      <w:r w:rsidR="004A6730" w:rsidRPr="007C2925">
        <w:rPr>
          <w:rStyle w:val="resultpara4"/>
        </w:rPr>
        <w:t xml:space="preserve"> TNF-α</w:t>
      </w:r>
      <w:r w:rsidR="00811202">
        <w:rPr>
          <w:rStyle w:val="resultpara4"/>
        </w:rPr>
        <w:t>,</w:t>
      </w:r>
      <w:r w:rsidR="007C2925" w:rsidRPr="007C2925">
        <w:rPr>
          <w:rStyle w:val="resultpara4"/>
        </w:rPr>
        <w:t xml:space="preserve"> and it</w:t>
      </w:r>
      <w:r w:rsidR="004A6730" w:rsidRPr="007C2925">
        <w:rPr>
          <w:rStyle w:val="resultpara4"/>
        </w:rPr>
        <w:t xml:space="preserve"> is </w:t>
      </w:r>
      <w:r w:rsidR="004A6730" w:rsidRPr="007C2925">
        <w:rPr>
          <w:rStyle w:val="resultpara4"/>
          <w:bCs/>
        </w:rPr>
        <w:t>observed</w:t>
      </w:r>
      <w:r w:rsidR="004A6730" w:rsidRPr="007C2925">
        <w:rPr>
          <w:rStyle w:val="resultpara4"/>
        </w:rPr>
        <w:t xml:space="preserve"> in rheumatoid arthritis, IBD, and psoriasis (</w:t>
      </w:r>
      <w:r w:rsidR="004A6730" w:rsidRPr="007C2925">
        <w:rPr>
          <w:rStyle w:val="resultpara4"/>
          <w:bCs/>
        </w:rPr>
        <w:t>this</w:t>
      </w:r>
      <w:r w:rsidR="004A6730" w:rsidRPr="007C2925">
        <w:rPr>
          <w:rStyle w:val="resultpara4"/>
        </w:rPr>
        <w:t xml:space="preserve"> is </w:t>
      </w:r>
      <w:r w:rsidR="004A6730" w:rsidRPr="007C2925">
        <w:rPr>
          <w:rStyle w:val="resultpara4"/>
          <w:bCs/>
        </w:rPr>
        <w:t>the reason</w:t>
      </w:r>
      <w:r w:rsidR="004A6730" w:rsidRPr="007C2925">
        <w:rPr>
          <w:rStyle w:val="resultpara4"/>
        </w:rPr>
        <w:t xml:space="preserve"> anti-TNF therapies </w:t>
      </w:r>
      <w:r w:rsidR="004A6730" w:rsidRPr="007C2925">
        <w:rPr>
          <w:rStyle w:val="resultpara4"/>
          <w:bCs/>
        </w:rPr>
        <w:t>such as</w:t>
      </w:r>
      <w:r w:rsidR="004A6730" w:rsidRPr="007C2925">
        <w:rPr>
          <w:rStyle w:val="resultpara4"/>
        </w:rPr>
        <w:t xml:space="preserve"> infliximab are </w:t>
      </w:r>
      <w:r w:rsidR="004A6730" w:rsidRPr="007C2925">
        <w:rPr>
          <w:rStyle w:val="resultpara4"/>
          <w:bCs/>
        </w:rPr>
        <w:t>utilized for treatment</w:t>
      </w:r>
      <w:r w:rsidR="004A6730" w:rsidRPr="007C2925">
        <w:rPr>
          <w:rStyle w:val="resultpara4"/>
        </w:rPr>
        <w:t>).</w:t>
      </w:r>
      <w:r w:rsidR="004A6730" w:rsidRPr="007C2925">
        <w:t xml:space="preserve"> </w:t>
      </w:r>
      <w:r w:rsidR="007C2925" w:rsidRPr="007C2925">
        <w:rPr>
          <w:rStyle w:val="resultpara8"/>
        </w:rPr>
        <w:t>Cytokine storm is indicated i</w:t>
      </w:r>
      <w:r w:rsidR="004A6730" w:rsidRPr="007C2925">
        <w:rPr>
          <w:rStyle w:val="resultpara8"/>
        </w:rPr>
        <w:t xml:space="preserve">n </w:t>
      </w:r>
      <w:r w:rsidR="004A6730" w:rsidRPr="007C2925">
        <w:rPr>
          <w:rStyle w:val="resultpara8"/>
          <w:bCs/>
        </w:rPr>
        <w:t>critical</w:t>
      </w:r>
      <w:r w:rsidR="004A6730" w:rsidRPr="007C2925">
        <w:rPr>
          <w:rStyle w:val="resultpara8"/>
        </w:rPr>
        <w:t xml:space="preserve"> infections (</w:t>
      </w:r>
      <w:r w:rsidR="004A6730" w:rsidRPr="007C2925">
        <w:rPr>
          <w:rStyle w:val="resultpara8"/>
          <w:bCs/>
        </w:rPr>
        <w:t>such as</w:t>
      </w:r>
      <w:r w:rsidR="004A6730" w:rsidRPr="007C2925">
        <w:rPr>
          <w:rStyle w:val="resultpara8"/>
        </w:rPr>
        <w:t xml:space="preserve"> COVID-19), </w:t>
      </w:r>
      <w:r w:rsidR="00926931">
        <w:rPr>
          <w:rStyle w:val="resultpara8"/>
        </w:rPr>
        <w:t xml:space="preserve">and </w:t>
      </w:r>
      <w:r w:rsidR="004A6730" w:rsidRPr="007C2925">
        <w:rPr>
          <w:rStyle w:val="resultpara8"/>
          <w:bCs/>
        </w:rPr>
        <w:t>unregulated</w:t>
      </w:r>
      <w:r w:rsidR="004A6730" w:rsidRPr="007C2925">
        <w:rPr>
          <w:rStyle w:val="resultpara8"/>
        </w:rPr>
        <w:t xml:space="preserve"> TNF-α release </w:t>
      </w:r>
      <w:r w:rsidR="004A6730" w:rsidRPr="007C2925">
        <w:rPr>
          <w:rStyle w:val="resultpara8"/>
          <w:bCs/>
        </w:rPr>
        <w:t>contributes to</w:t>
      </w:r>
      <w:r w:rsidR="004A6730" w:rsidRPr="007C2925">
        <w:rPr>
          <w:rStyle w:val="resultpara8"/>
        </w:rPr>
        <w:t xml:space="preserve"> </w:t>
      </w:r>
      <w:r w:rsidR="007C2925" w:rsidRPr="007C2925">
        <w:rPr>
          <w:rStyle w:val="resultpara8"/>
        </w:rPr>
        <w:t>hyper-inflammatory</w:t>
      </w:r>
      <w:r w:rsidR="004A6730" w:rsidRPr="007C2925">
        <w:rPr>
          <w:rStyle w:val="resultpara8"/>
        </w:rPr>
        <w:t xml:space="preserve"> </w:t>
      </w:r>
      <w:r w:rsidR="004A6730" w:rsidRPr="007C2925">
        <w:rPr>
          <w:rStyle w:val="resultpara8"/>
          <w:bCs/>
        </w:rPr>
        <w:t>conditions</w:t>
      </w:r>
      <w:r w:rsidR="004A6730" w:rsidRPr="007C2925">
        <w:rPr>
          <w:rStyle w:val="resultpara8"/>
        </w:rPr>
        <w:t>.</w:t>
      </w:r>
      <w:r w:rsidR="007C2925">
        <w:rPr>
          <w:rStyle w:val="resultpara8"/>
        </w:rPr>
        <w:t xml:space="preserve"> </w:t>
      </w:r>
      <w:r w:rsidR="007C2925" w:rsidRPr="007C2925">
        <w:rPr>
          <w:rStyle w:val="resultpara4"/>
        </w:rPr>
        <w:t xml:space="preserve">TNF-α </w:t>
      </w:r>
      <w:r w:rsidR="007C2925">
        <w:rPr>
          <w:rStyle w:val="resultpara4"/>
        </w:rPr>
        <w:t xml:space="preserve">is induced in </w:t>
      </w:r>
      <w:r w:rsidR="00926931">
        <w:rPr>
          <w:rStyle w:val="resultpara4"/>
        </w:rPr>
        <w:t xml:space="preserve">the </w:t>
      </w:r>
      <w:r w:rsidR="007C2925">
        <w:rPr>
          <w:rStyle w:val="resultpara4"/>
        </w:rPr>
        <w:t>early onset of inflammation and triggers acute-phase prote</w:t>
      </w:r>
      <w:r w:rsidR="00596507">
        <w:rPr>
          <w:rStyle w:val="resultpara4"/>
        </w:rPr>
        <w:t>ins indirectly by stimulating Interlukin</w:t>
      </w:r>
      <w:r w:rsidR="007C2925">
        <w:rPr>
          <w:rStyle w:val="resultpara4"/>
        </w:rPr>
        <w:t xml:space="preserve">-6 and </w:t>
      </w:r>
      <w:r w:rsidR="00926931">
        <w:rPr>
          <w:rStyle w:val="resultpara4"/>
        </w:rPr>
        <w:t xml:space="preserve">the </w:t>
      </w:r>
      <w:r w:rsidR="007C2925">
        <w:rPr>
          <w:rStyle w:val="resultpara4"/>
        </w:rPr>
        <w:t xml:space="preserve">liver. </w:t>
      </w:r>
    </w:p>
    <w:p w:rsidR="00D23F82" w:rsidRPr="001C542F" w:rsidRDefault="00596507" w:rsidP="00F861E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Interleukin-1 </w:t>
      </w:r>
      <w:r w:rsidR="005723FC">
        <w:rPr>
          <w:rFonts w:ascii="Times New Roman" w:eastAsia="Times New Roman" w:hAnsi="Times New Roman" w:cs="Times New Roman"/>
          <w:bCs/>
          <w:sz w:val="24"/>
          <w:szCs w:val="24"/>
        </w:rPr>
        <w:t xml:space="preserve">is a </w:t>
      </w:r>
      <w:r>
        <w:rPr>
          <w:rFonts w:ascii="Times New Roman" w:eastAsia="Times New Roman" w:hAnsi="Times New Roman" w:cs="Times New Roman"/>
          <w:bCs/>
          <w:sz w:val="24"/>
          <w:szCs w:val="24"/>
        </w:rPr>
        <w:t xml:space="preserve">type of </w:t>
      </w:r>
      <w:r w:rsidR="005723FC">
        <w:rPr>
          <w:rFonts w:ascii="Times New Roman" w:eastAsia="Times New Roman" w:hAnsi="Times New Roman" w:cs="Times New Roman"/>
          <w:bCs/>
          <w:sz w:val="24"/>
          <w:szCs w:val="24"/>
        </w:rPr>
        <w:t xml:space="preserve">pro-inflammatory cytokine </w:t>
      </w:r>
      <w:r>
        <w:rPr>
          <w:rFonts w:ascii="Times New Roman" w:eastAsia="Times New Roman" w:hAnsi="Times New Roman" w:cs="Times New Roman"/>
          <w:bCs/>
          <w:sz w:val="24"/>
          <w:szCs w:val="24"/>
        </w:rPr>
        <w:t>majorly</w:t>
      </w:r>
      <w:r w:rsidR="005723FC">
        <w:rPr>
          <w:rFonts w:ascii="Times New Roman" w:eastAsia="Times New Roman" w:hAnsi="Times New Roman" w:cs="Times New Roman"/>
          <w:bCs/>
          <w:sz w:val="24"/>
          <w:szCs w:val="24"/>
        </w:rPr>
        <w:t xml:space="preserve"> induced by macrophages, monocytes, dendritic cells, and epithelial cells. There are forms of IL-1: IL-1β, which plays a crucial </w:t>
      </w:r>
      <w:r w:rsidR="00A12E7A">
        <w:rPr>
          <w:rFonts w:ascii="Times New Roman" w:eastAsia="Times New Roman" w:hAnsi="Times New Roman" w:cs="Times New Roman"/>
          <w:bCs/>
          <w:sz w:val="24"/>
          <w:szCs w:val="24"/>
        </w:rPr>
        <w:t>function</w:t>
      </w:r>
      <w:r w:rsidR="005723FC">
        <w:rPr>
          <w:rFonts w:ascii="Times New Roman" w:eastAsia="Times New Roman" w:hAnsi="Times New Roman" w:cs="Times New Roman"/>
          <w:bCs/>
          <w:sz w:val="24"/>
          <w:szCs w:val="24"/>
        </w:rPr>
        <w:t xml:space="preserve"> in inflammation, and IL-1α, which is more involved in tissue injury. It acts directly on the liver to promote the production of acute-phase proteins, working together with IL-6 and TNF-α to enhance the acute inflammatory response and initiate fever by influencing the hypothalamus (pyrogenic effect).</w:t>
      </w:r>
    </w:p>
    <w:p w:rsidR="001C542F" w:rsidRPr="003D5FD0" w:rsidRDefault="003D5FD0" w:rsidP="003D5FD0">
      <w:pPr>
        <w:pStyle w:val="Heading4"/>
        <w:rPr>
          <w:rFonts w:ascii="Times New Roman" w:eastAsia="Times New Roman" w:hAnsi="Times New Roman" w:cs="Times New Roman"/>
          <w:color w:val="auto"/>
        </w:rPr>
      </w:pPr>
      <w:r w:rsidRPr="003D5FD0">
        <w:rPr>
          <w:rFonts w:ascii="Times New Roman" w:eastAsia="Times New Roman" w:hAnsi="Times New Roman" w:cs="Times New Roman"/>
          <w:color w:val="auto"/>
        </w:rPr>
        <w:t xml:space="preserve">2.2.1.1. </w:t>
      </w:r>
      <w:r w:rsidR="001C542F" w:rsidRPr="003D5FD0">
        <w:rPr>
          <w:rFonts w:ascii="Times New Roman" w:eastAsia="Times New Roman" w:hAnsi="Times New Roman" w:cs="Times New Roman"/>
          <w:color w:val="auto"/>
        </w:rPr>
        <w:t xml:space="preserve">Important </w:t>
      </w:r>
      <w:r w:rsidR="00F4385A" w:rsidRPr="003D5FD0">
        <w:rPr>
          <w:rFonts w:ascii="Times New Roman" w:eastAsia="Times New Roman" w:hAnsi="Times New Roman" w:cs="Times New Roman"/>
          <w:color w:val="auto"/>
        </w:rPr>
        <w:t xml:space="preserve">Positive </w:t>
      </w:r>
      <w:r w:rsidR="001C542F" w:rsidRPr="003D5FD0">
        <w:rPr>
          <w:rFonts w:ascii="Times New Roman" w:eastAsia="Times New Roman" w:hAnsi="Times New Roman" w:cs="Times New Roman"/>
          <w:color w:val="auto"/>
        </w:rPr>
        <w:t xml:space="preserve">Acute </w:t>
      </w:r>
      <w:r w:rsidR="0015666F" w:rsidRPr="003D5FD0">
        <w:rPr>
          <w:rFonts w:ascii="Times New Roman" w:eastAsia="Times New Roman" w:hAnsi="Times New Roman" w:cs="Times New Roman"/>
          <w:color w:val="auto"/>
        </w:rPr>
        <w:t>Phase Proteins</w:t>
      </w:r>
    </w:p>
    <w:p w:rsidR="00B03250" w:rsidRDefault="00020657" w:rsidP="00F861EB">
      <w:pPr>
        <w:pStyle w:val="Standard"/>
        <w:suppressAutoHyphens w:val="0"/>
        <w:spacing w:before="280" w:after="280" w:line="276" w:lineRule="auto"/>
        <w:jc w:val="both"/>
        <w:textAlignment w:val="auto"/>
        <w:rPr>
          <w:rFonts w:ascii="Times New Roman" w:eastAsia="Times New Roman" w:hAnsi="Times New Roman" w:cs="Times New Roman"/>
          <w:kern w:val="0"/>
          <w:lang w:eastAsia="en-US" w:bidi="ar-SA"/>
        </w:rPr>
      </w:pPr>
      <w:r w:rsidRPr="003F388C">
        <w:rPr>
          <w:rFonts w:ascii="Times New Roman" w:eastAsia="Times New Roman" w:hAnsi="Times New Roman" w:cs="Times New Roman"/>
          <w:b/>
          <w:bCs/>
          <w:kern w:val="0"/>
          <w:lang w:eastAsia="en-US" w:bidi="ar-SA"/>
        </w:rPr>
        <w:t>C-reactive</w:t>
      </w:r>
      <w:r w:rsidR="00D23F82" w:rsidRPr="003F388C">
        <w:rPr>
          <w:rFonts w:ascii="Times New Roman" w:eastAsia="Times New Roman" w:hAnsi="Times New Roman" w:cs="Times New Roman"/>
          <w:b/>
          <w:bCs/>
          <w:kern w:val="0"/>
          <w:lang w:eastAsia="en-US" w:bidi="ar-SA"/>
        </w:rPr>
        <w:t xml:space="preserve"> protein (CRP):</w:t>
      </w:r>
      <w:r w:rsidR="00D23F82" w:rsidRPr="003F388C">
        <w:rPr>
          <w:rFonts w:ascii="Times New Roman" w:eastAsia="Times New Roman" w:hAnsi="Times New Roman" w:cs="Times New Roman"/>
          <w:kern w:val="0"/>
          <w:lang w:eastAsia="en-US" w:bidi="ar-SA"/>
        </w:rPr>
        <w:t xml:space="preserve"> </w:t>
      </w:r>
      <w:r w:rsidR="00381783">
        <w:rPr>
          <w:rFonts w:ascii="Times New Roman" w:eastAsia="Times New Roman" w:hAnsi="Times New Roman" w:cs="Times New Roman"/>
          <w:kern w:val="0"/>
          <w:lang w:eastAsia="en-US" w:bidi="ar-SA"/>
        </w:rPr>
        <w:t xml:space="preserve"> </w:t>
      </w:r>
      <w:r w:rsidR="005B47CA">
        <w:rPr>
          <w:rFonts w:ascii="Times New Roman" w:eastAsia="Times New Roman" w:hAnsi="Times New Roman" w:cs="Times New Roman"/>
          <w:kern w:val="0"/>
          <w:lang w:eastAsia="en-US" w:bidi="ar-SA"/>
        </w:rPr>
        <w:t>is another</w:t>
      </w:r>
      <w:r w:rsidR="006B3DD8" w:rsidRPr="006B3DD8">
        <w:rPr>
          <w:rFonts w:ascii="Times New Roman" w:eastAsia="Times New Roman" w:hAnsi="Times New Roman" w:cs="Times New Roman"/>
          <w:kern w:val="0"/>
          <w:lang w:eastAsia="en-US" w:bidi="ar-SA"/>
        </w:rPr>
        <w:t xml:space="preserve"> acute-phase protein generated largely </w:t>
      </w:r>
      <w:r w:rsidR="005B47CA">
        <w:rPr>
          <w:rFonts w:ascii="Times New Roman" w:eastAsia="Times New Roman" w:hAnsi="Times New Roman" w:cs="Times New Roman"/>
          <w:kern w:val="0"/>
          <w:lang w:eastAsia="en-US" w:bidi="ar-SA"/>
        </w:rPr>
        <w:t>from the liver</w:t>
      </w:r>
      <w:r w:rsidR="006B3DD8" w:rsidRPr="006B3DD8">
        <w:rPr>
          <w:rFonts w:ascii="Times New Roman" w:eastAsia="Times New Roman" w:hAnsi="Times New Roman" w:cs="Times New Roman"/>
          <w:kern w:val="0"/>
          <w:lang w:eastAsia="en-US" w:bidi="ar-SA"/>
        </w:rPr>
        <w:t>.</w:t>
      </w:r>
      <w:r w:rsidR="006B3DD8">
        <w:rPr>
          <w:rFonts w:ascii="Times New Roman" w:eastAsia="Times New Roman" w:hAnsi="Times New Roman" w:cs="Times New Roman"/>
          <w:kern w:val="0"/>
          <w:lang w:eastAsia="en-US" w:bidi="ar-SA"/>
        </w:rPr>
        <w:t xml:space="preserve"> </w:t>
      </w:r>
      <w:r w:rsidR="00A70C18">
        <w:rPr>
          <w:rFonts w:ascii="Times New Roman" w:eastAsia="Times New Roman" w:hAnsi="Times New Roman" w:cs="Times New Roman"/>
          <w:kern w:val="0"/>
          <w:lang w:eastAsia="en-US" w:bidi="ar-SA"/>
        </w:rPr>
        <w:t>This</w:t>
      </w:r>
      <w:r w:rsidR="005B47CA">
        <w:rPr>
          <w:rFonts w:ascii="Times New Roman" w:eastAsia="Times New Roman" w:hAnsi="Times New Roman" w:cs="Times New Roman"/>
          <w:kern w:val="0"/>
          <w:lang w:eastAsia="en-US" w:bidi="ar-SA"/>
        </w:rPr>
        <w:t xml:space="preserve"> </w:t>
      </w:r>
      <w:r w:rsidR="007746CC">
        <w:rPr>
          <w:rFonts w:ascii="Times New Roman" w:eastAsia="Times New Roman" w:hAnsi="Times New Roman" w:cs="Times New Roman"/>
          <w:kern w:val="0"/>
          <w:lang w:eastAsia="en-US" w:bidi="ar-SA"/>
        </w:rPr>
        <w:t>protein</w:t>
      </w:r>
      <w:r w:rsidR="00381783">
        <w:rPr>
          <w:rFonts w:ascii="Times New Roman" w:eastAsia="Times New Roman" w:hAnsi="Times New Roman" w:cs="Times New Roman"/>
          <w:kern w:val="0"/>
          <w:lang w:eastAsia="en-US" w:bidi="ar-SA"/>
        </w:rPr>
        <w:t xml:space="preserve"> is a positive acute-phase marker </w:t>
      </w:r>
      <w:r w:rsidR="00874FAF">
        <w:rPr>
          <w:rFonts w:ascii="Times New Roman" w:eastAsia="Times New Roman" w:hAnsi="Times New Roman" w:cs="Times New Roman"/>
          <w:kern w:val="0"/>
          <w:lang w:eastAsia="en-US" w:bidi="ar-SA"/>
        </w:rPr>
        <w:t>making</w:t>
      </w:r>
      <w:r w:rsidR="00381783">
        <w:rPr>
          <w:rFonts w:ascii="Times New Roman" w:eastAsia="Times New Roman" w:hAnsi="Times New Roman" w:cs="Times New Roman"/>
          <w:kern w:val="0"/>
          <w:lang w:eastAsia="en-US" w:bidi="ar-SA"/>
        </w:rPr>
        <w:t xml:space="preserve"> it a valuable </w:t>
      </w:r>
      <w:r w:rsidR="00874FAF">
        <w:rPr>
          <w:rFonts w:ascii="Times New Roman" w:eastAsia="Times New Roman" w:hAnsi="Times New Roman" w:cs="Times New Roman"/>
          <w:kern w:val="0"/>
          <w:lang w:eastAsia="en-US" w:bidi="ar-SA"/>
        </w:rPr>
        <w:t>tool</w:t>
      </w:r>
      <w:r w:rsidR="00381783">
        <w:rPr>
          <w:rFonts w:ascii="Times New Roman" w:eastAsia="Times New Roman" w:hAnsi="Times New Roman" w:cs="Times New Roman"/>
          <w:kern w:val="0"/>
          <w:lang w:eastAsia="en-US" w:bidi="ar-SA"/>
        </w:rPr>
        <w:t xml:space="preserve"> for clinical diagnostics</w:t>
      </w:r>
      <w:r w:rsidR="00874FAF">
        <w:rPr>
          <w:rFonts w:ascii="Times New Roman" w:eastAsia="Times New Roman" w:hAnsi="Times New Roman" w:cs="Times New Roman"/>
          <w:kern w:val="0"/>
          <w:lang w:eastAsia="en-US" w:bidi="ar-SA"/>
        </w:rPr>
        <w:t xml:space="preserve">. It rapid and significant rise in inflammation allows healthcare providers to assess various acute infections to chronic inflammatory states. </w:t>
      </w:r>
      <w:r w:rsidR="006B3DD8" w:rsidRPr="006B3DD8">
        <w:rPr>
          <w:rFonts w:ascii="Times New Roman" w:eastAsia="Times New Roman" w:hAnsi="Times New Roman" w:cs="Times New Roman"/>
          <w:kern w:val="0"/>
          <w:lang w:eastAsia="en-US" w:bidi="ar-SA"/>
        </w:rPr>
        <w:t>CRP is a component of the innate immune response. It binds to the surface of dead or dying cells, as well as some bacteria, activating the complement system—a collection of proteins that aid in the removal of pathogens and injured cells.</w:t>
      </w:r>
      <w:r w:rsidR="006B3DD8">
        <w:rPr>
          <w:rFonts w:ascii="Times New Roman" w:eastAsia="Times New Roman" w:hAnsi="Times New Roman" w:cs="Times New Roman"/>
          <w:kern w:val="0"/>
          <w:lang w:eastAsia="en-US" w:bidi="ar-SA"/>
        </w:rPr>
        <w:t xml:space="preserve"> </w:t>
      </w:r>
      <w:r w:rsidR="006B3DD8" w:rsidRPr="006B3DD8">
        <w:rPr>
          <w:rFonts w:ascii="Times New Roman" w:eastAsia="Times New Roman" w:hAnsi="Times New Roman" w:cs="Times New Roman"/>
          <w:kern w:val="0"/>
          <w:lang w:eastAsia="en-US" w:bidi="ar-SA"/>
        </w:rPr>
        <w:t>When there is inflammation in the body, the blood's CRP levels rise. As a result, it is a valuable biomarker for identifying and tracking inflammatory diseases.</w:t>
      </w:r>
      <w:r w:rsidR="006B3DD8">
        <w:rPr>
          <w:rFonts w:ascii="Times New Roman" w:eastAsia="Times New Roman" w:hAnsi="Times New Roman" w:cs="Times New Roman"/>
          <w:kern w:val="0"/>
          <w:lang w:eastAsia="en-US" w:bidi="ar-SA"/>
        </w:rPr>
        <w:t xml:space="preserve"> </w:t>
      </w:r>
      <w:r w:rsidR="006B3DD8" w:rsidRPr="006B3DD8">
        <w:rPr>
          <w:rFonts w:ascii="Times New Roman" w:eastAsia="Times New Roman" w:hAnsi="Times New Roman" w:cs="Times New Roman"/>
          <w:kern w:val="0"/>
          <w:lang w:eastAsia="en-US" w:bidi="ar-SA"/>
        </w:rPr>
        <w:t>Acute infections, chronic inflammatory conditions or even tissue damage may be indicated by elevated CRP levels.</w:t>
      </w:r>
      <w:r w:rsidR="006B3DD8">
        <w:rPr>
          <w:rFonts w:ascii="Times New Roman" w:eastAsia="Times New Roman" w:hAnsi="Times New Roman" w:cs="Times New Roman"/>
          <w:kern w:val="0"/>
          <w:lang w:eastAsia="en-US" w:bidi="ar-SA"/>
        </w:rPr>
        <w:t xml:space="preserve"> </w:t>
      </w:r>
      <w:r w:rsidR="00534C3D">
        <w:rPr>
          <w:rFonts w:ascii="Times New Roman" w:eastAsia="Times New Roman" w:hAnsi="Times New Roman" w:cs="Times New Roman"/>
          <w:kern w:val="0"/>
          <w:lang w:eastAsia="en-US" w:bidi="ar-SA"/>
        </w:rPr>
        <w:t>The d</w:t>
      </w:r>
      <w:r w:rsidR="00811202" w:rsidRPr="00811202">
        <w:rPr>
          <w:rFonts w:ascii="Times New Roman" w:eastAsia="Times New Roman" w:hAnsi="Times New Roman" w:cs="Times New Roman"/>
          <w:kern w:val="0"/>
          <w:lang w:eastAsia="en-US" w:bidi="ar-SA"/>
        </w:rPr>
        <w:t xml:space="preserve">octor often </w:t>
      </w:r>
      <w:r w:rsidR="007D0A5B">
        <w:rPr>
          <w:rFonts w:ascii="Times New Roman" w:eastAsia="Times New Roman" w:hAnsi="Times New Roman" w:cs="Times New Roman"/>
          <w:kern w:val="0"/>
          <w:lang w:eastAsia="en-US" w:bidi="ar-SA"/>
        </w:rPr>
        <w:t>measures</w:t>
      </w:r>
      <w:r w:rsidR="00811202" w:rsidRPr="00811202">
        <w:rPr>
          <w:rFonts w:ascii="Times New Roman" w:eastAsia="Times New Roman" w:hAnsi="Times New Roman" w:cs="Times New Roman"/>
          <w:kern w:val="0"/>
          <w:lang w:eastAsia="en-US" w:bidi="ar-SA"/>
        </w:rPr>
        <w:t xml:space="preserve"> the CRP levels to check how a patient is responding to treatment for inflammatory disorders. High-sensitivity CRP (hs-CRP) assays assess the risk of cardiovascular disease. An increased risk of heart attacks and strokes can be linked to even modest levels of inflammation as measured by hs-CRP 116,133. The following are two regularly used sets of CRP cutoff values: one for assessing cardiovascular risk using high-sensitivity CRP (hs-CRP), and another for measuring acute inflammation (Table 5).</w:t>
      </w:r>
      <w:r w:rsidR="007D0A5B">
        <w:rPr>
          <w:rFonts w:ascii="Times New Roman" w:eastAsia="Times New Roman" w:hAnsi="Times New Roman" w:cs="Times New Roman"/>
          <w:kern w:val="0"/>
          <w:lang w:eastAsia="en-US" w:bidi="ar-SA"/>
        </w:rPr>
        <w:t xml:space="preserve"> </w:t>
      </w:r>
      <w:r w:rsidR="003F388C">
        <w:rPr>
          <w:rFonts w:ascii="Times New Roman" w:eastAsia="Times New Roman" w:hAnsi="Times New Roman" w:cs="Times New Roman"/>
          <w:kern w:val="0"/>
          <w:lang w:eastAsia="en-US" w:bidi="ar-SA"/>
        </w:rPr>
        <w:t>High-sensitivity CRP (hs-CRP) assays assess the risk of cardiovascular disease</w:t>
      </w:r>
      <w:r w:rsidR="006B3DD8" w:rsidRPr="006B3DD8">
        <w:rPr>
          <w:rFonts w:ascii="Times New Roman" w:eastAsia="Times New Roman" w:hAnsi="Times New Roman" w:cs="Times New Roman"/>
          <w:kern w:val="0"/>
          <w:lang w:eastAsia="en-US" w:bidi="ar-SA"/>
        </w:rPr>
        <w:t xml:space="preserve">. An elevated risk of heart </w:t>
      </w:r>
      <w:r w:rsidR="006F6C43">
        <w:rPr>
          <w:rFonts w:ascii="Times New Roman" w:eastAsia="Times New Roman" w:hAnsi="Times New Roman" w:cs="Times New Roman"/>
          <w:kern w:val="0"/>
          <w:lang w:eastAsia="en-US" w:bidi="ar-SA"/>
        </w:rPr>
        <w:t>problems</w:t>
      </w:r>
      <w:r w:rsidR="006B3DD8" w:rsidRPr="006B3DD8">
        <w:rPr>
          <w:rFonts w:ascii="Times New Roman" w:eastAsia="Times New Roman" w:hAnsi="Times New Roman" w:cs="Times New Roman"/>
          <w:kern w:val="0"/>
          <w:lang w:eastAsia="en-US" w:bidi="ar-SA"/>
        </w:rPr>
        <w:t xml:space="preserve"> and strokes can be linked to even modest levels of inflammation as measured by hs-CRP</w:t>
      </w:r>
      <w:r w:rsidR="002D01CA">
        <w:rPr>
          <w:rFonts w:ascii="Times New Roman" w:eastAsia="Times New Roman" w:hAnsi="Times New Roman" w:cs="Times New Roman"/>
          <w:kern w:val="0"/>
          <w:lang w:eastAsia="en-US" w:bidi="ar-SA"/>
        </w:rPr>
        <w:t xml:space="preserve"> </w:t>
      </w:r>
      <w:r w:rsidR="006B3DD8">
        <w:rPr>
          <w:rFonts w:ascii="Times New Roman" w:eastAsia="Times New Roman" w:hAnsi="Times New Roman" w:cs="Times New Roman"/>
          <w:kern w:val="0"/>
          <w:lang w:eastAsia="en-US" w:bidi="ar-SA"/>
        </w:rPr>
        <w:fldChar w:fldCharType="begin"/>
      </w:r>
      <w:r w:rsidR="00B41ACC">
        <w:rPr>
          <w:rFonts w:ascii="Times New Roman" w:eastAsia="Times New Roman" w:hAnsi="Times New Roman" w:cs="Times New Roman"/>
          <w:kern w:val="0"/>
          <w:lang w:eastAsia="en-US" w:bidi="ar-SA"/>
        </w:rPr>
        <w:instrText xml:space="preserve"> ADDIN ZOTERO_ITEM CSL_CITATION {"citationID":"khAriuiz","properties":{"formattedCitation":"\\super 133,150\\nosupersub{}","plainCitation":"133,150","noteIndex":0},"citationItems":[{"id":761,"uris":["http://zotero.org/users/local/BfzbJtgR/items/9ITJQZMA"],"itemData":{"id":761,"type":"article-journal","container-title":"Circulation","DOI":"10.1161/01.cir.0000052939.59093.45","ISSN":"1524-4539","issue":"3","journalAbbreviation":"Circulation","language":"eng","note":"PMID: 12551878","page":"499-511","source":"PubMed","title":"Markers of inflammation and cardiovascular disease: application to clinical and public health practice: A statement for healthcare professionals from the Centers for Disease Control and Prevention and the American Heart Association","title-short":"Markers of inflammation and cardiovascular disease","volume":"107","author":[{"family":"Pearson","given":"Thomas A."},{"family":"Mensah","given":"George A."},{"family":"Alexander","given":"R. Wayne"},{"family":"Anderson","given":"Jeffrey L."},{"family":"Cannon","given":"Richard O."},{"family":"Criqui","given":"Michael"},{"family":"Fadl","given":"Yazid Y."},{"family":"Fortmann","given":"Stephen P."},{"family":"Hong","given":"Yuling"},{"family":"Myers","given":"Gary L."},{"family":"Rifai","given":"Nader"},{"family":"Smith","given":"Sidney C."},{"family":"Taubert","given":"Kathryn"},{"family":"Tracy","given":"Russell P."},{"family":"Vinicor","given":"Frank"},{"literal":"Centers for Disease Control and Prevention"},{"literal":"American Heart Association"}],"issued":{"date-parts":[["2003",1,28]]}}},{"id":657,"uris":["http://zotero.org/users/local/BfzbJtgR/items/9GPIBLHV"],"itemData":{"id":657,"type":"article-journal","container-title":"The Journal of Clinical Investigation","DOI":"10.1172/JCI18921","ISSN":"0021-9738","issue":"12","journalAbbreviation":"J Clin Invest","language":"eng","note":"PMID: 12813013\nPMCID: PMC161431","page":"1805-1812","source":"PubMed","title":"C-reactive protein: a critical update","title-short":"C-reactive protein","volume":"111","author":[{"family":"Pepys","given":"Mark B."},{"family":"Hirschfield","given":"Gideon M."}],"issued":{"date-parts":[["2003",6]]}}}],"schema":"https://github.com/citation-style-language/schema/raw/master/csl-citation.json"} </w:instrText>
      </w:r>
      <w:r w:rsidR="006B3DD8">
        <w:rPr>
          <w:rFonts w:ascii="Times New Roman" w:eastAsia="Times New Roman" w:hAnsi="Times New Roman" w:cs="Times New Roman"/>
          <w:kern w:val="0"/>
          <w:lang w:eastAsia="en-US" w:bidi="ar-SA"/>
        </w:rPr>
        <w:fldChar w:fldCharType="separate"/>
      </w:r>
      <w:r w:rsidR="00B41ACC" w:rsidRPr="00B41ACC">
        <w:rPr>
          <w:rFonts w:ascii="Times New Roman" w:hAnsi="Times New Roman" w:cs="Times New Roman"/>
          <w:vertAlign w:val="superscript"/>
        </w:rPr>
        <w:t>133,150</w:t>
      </w:r>
      <w:r w:rsidR="006B3DD8">
        <w:rPr>
          <w:rFonts w:ascii="Times New Roman" w:eastAsia="Times New Roman" w:hAnsi="Times New Roman" w:cs="Times New Roman"/>
          <w:kern w:val="0"/>
          <w:lang w:eastAsia="en-US" w:bidi="ar-SA"/>
        </w:rPr>
        <w:fldChar w:fldCharType="end"/>
      </w:r>
      <w:r w:rsidR="006B3DD8" w:rsidRPr="006B3DD8">
        <w:rPr>
          <w:rFonts w:ascii="Times New Roman" w:eastAsia="Times New Roman" w:hAnsi="Times New Roman" w:cs="Times New Roman"/>
          <w:kern w:val="0"/>
          <w:lang w:eastAsia="en-US" w:bidi="ar-SA"/>
        </w:rPr>
        <w:t>.</w:t>
      </w:r>
      <w:r w:rsidR="00B03250">
        <w:rPr>
          <w:rFonts w:ascii="Times New Roman" w:eastAsia="Times New Roman" w:hAnsi="Times New Roman" w:cs="Times New Roman"/>
          <w:kern w:val="0"/>
          <w:lang w:eastAsia="en-US" w:bidi="ar-SA"/>
        </w:rPr>
        <w:t xml:space="preserve"> </w:t>
      </w:r>
      <w:r w:rsidR="00B03250" w:rsidRPr="003F5A5B">
        <w:rPr>
          <w:rFonts w:ascii="Times New Roman" w:eastAsia="Times New Roman" w:hAnsi="Times New Roman" w:cs="Times New Roman"/>
          <w:kern w:val="0"/>
          <w:lang w:eastAsia="en-US" w:bidi="ar-SA"/>
        </w:rPr>
        <w:t>The following are two regularly used sets of CRP cutoff values: one for assessing cardiovascular risk using high-sensitivity CRP (hs-CRP), and another for measuring acute inflammation</w:t>
      </w:r>
      <w:r w:rsidR="00170025">
        <w:rPr>
          <w:rFonts w:ascii="Times New Roman" w:eastAsia="Times New Roman" w:hAnsi="Times New Roman" w:cs="Times New Roman"/>
          <w:kern w:val="0"/>
          <w:lang w:eastAsia="en-US" w:bidi="ar-SA"/>
        </w:rPr>
        <w:t xml:space="preserve"> (Table 5)</w:t>
      </w:r>
      <w:r w:rsidR="00B03250" w:rsidRPr="003F5A5B">
        <w:rPr>
          <w:rFonts w:ascii="Times New Roman" w:eastAsia="Times New Roman" w:hAnsi="Times New Roman" w:cs="Times New Roman"/>
          <w:kern w:val="0"/>
          <w:lang w:eastAsia="en-US" w:bidi="ar-SA"/>
        </w:rPr>
        <w:t>.</w:t>
      </w:r>
      <w:r w:rsidR="00B03250">
        <w:rPr>
          <w:rFonts w:ascii="Times New Roman" w:eastAsia="Times New Roman" w:hAnsi="Times New Roman" w:cs="Times New Roman"/>
          <w:kern w:val="0"/>
          <w:lang w:eastAsia="en-US" w:bidi="ar-SA"/>
        </w:rPr>
        <w:t xml:space="preserve"> </w:t>
      </w:r>
    </w:p>
    <w:p w:rsidR="00AA3F80" w:rsidRDefault="00AA3F80" w:rsidP="00F861EB">
      <w:pPr>
        <w:pStyle w:val="Standard"/>
        <w:suppressAutoHyphens w:val="0"/>
        <w:spacing w:before="280" w:after="280" w:line="276" w:lineRule="auto"/>
        <w:jc w:val="both"/>
        <w:textAlignment w:val="auto"/>
        <w:rPr>
          <w:rFonts w:ascii="Times New Roman" w:eastAsia="Times New Roman" w:hAnsi="Times New Roman" w:cs="Times New Roman"/>
          <w:kern w:val="0"/>
          <w:lang w:eastAsia="en-US" w:bidi="ar-SA"/>
        </w:rPr>
      </w:pPr>
    </w:p>
    <w:p w:rsidR="003F5A5B" w:rsidRPr="00B03250" w:rsidRDefault="0056571F" w:rsidP="00F861EB">
      <w:pPr>
        <w:pStyle w:val="Standard"/>
        <w:suppressAutoHyphens w:val="0"/>
        <w:spacing w:before="280" w:after="280" w:line="276" w:lineRule="auto"/>
        <w:jc w:val="both"/>
        <w:textAlignment w:val="auto"/>
        <w:rPr>
          <w:rFonts w:ascii="Times New Roman" w:eastAsia="Times New Roman" w:hAnsi="Times New Roman" w:cs="Times New Roman"/>
          <w:kern w:val="0"/>
          <w:lang w:eastAsia="en-US" w:bidi="ar-SA"/>
        </w:rPr>
      </w:pPr>
      <w:r>
        <w:rPr>
          <w:bCs/>
        </w:rPr>
        <w:lastRenderedPageBreak/>
        <w:t>Table 5</w:t>
      </w:r>
      <w:r w:rsidR="003F5A5B">
        <w:rPr>
          <w:bCs/>
        </w:rPr>
        <w:t>: The level of CRP in high sensitivity (hs-CRP) in cardiovascular risk</w:t>
      </w:r>
      <w:r w:rsidR="00854E2D">
        <w:rPr>
          <w:bCs/>
        </w:rPr>
        <w:t xml:space="preserve"> </w:t>
      </w:r>
      <w:r w:rsidR="00854E2D">
        <w:rPr>
          <w:bCs/>
        </w:rPr>
        <w:fldChar w:fldCharType="begin"/>
      </w:r>
      <w:r w:rsidR="00B41ACC">
        <w:rPr>
          <w:bCs/>
        </w:rPr>
        <w:instrText xml:space="preserve"> ADDIN ZOTERO_ITEM CSL_CITATION {"citationID":"0BIwxT1o","properties":{"formattedCitation":"\\super 150\\nosupersub{}","plainCitation":"150","noteIndex":0},"citationItems":[{"id":761,"uris":["http://zotero.org/users/local/BfzbJtgR/items/9ITJQZMA"],"itemData":{"id":761,"type":"article-journal","container-title":"Circulation","DOI":"10.1161/01.cir.0000052939.59093.45","ISSN":"1524-4539","issue":"3","journalAbbreviation":"Circulation","language":"eng","note":"PMID: 12551878","page":"499-511","source":"PubMed","title":"Markers of inflammation and cardiovascular disease: application to clinical and public health practice: A statement for healthcare professionals from the Centers for Disease Control and Prevention and the American Heart Association","title-short":"Markers of inflammation and cardiovascular disease","volume":"107","author":[{"family":"Pearson","given":"Thomas A."},{"family":"Mensah","given":"George A."},{"family":"Alexander","given":"R. Wayne"},{"family":"Anderson","given":"Jeffrey L."},{"family":"Cannon","given":"Richard O."},{"family":"Criqui","given":"Michael"},{"family":"Fadl","given":"Yazid Y."},{"family":"Fortmann","given":"Stephen P."},{"family":"Hong","given":"Yuling"},{"family":"Myers","given":"Gary L."},{"family":"Rifai","given":"Nader"},{"family":"Smith","given":"Sidney C."},{"family":"Taubert","given":"Kathryn"},{"family":"Tracy","given":"Russell P."},{"family":"Vinicor","given":"Frank"},{"literal":"Centers for Disease Control and Prevention"},{"literal":"American Heart Association"}],"issued":{"date-parts":[["2003",1,28]]}}}],"schema":"https://github.com/citation-style-language/schema/raw/master/csl-citation.json"} </w:instrText>
      </w:r>
      <w:r w:rsidR="00854E2D">
        <w:rPr>
          <w:bCs/>
        </w:rPr>
        <w:fldChar w:fldCharType="separate"/>
      </w:r>
      <w:r w:rsidR="00B41ACC" w:rsidRPr="00B41ACC">
        <w:rPr>
          <w:rFonts w:cs="Times New Roman"/>
          <w:vertAlign w:val="superscript"/>
        </w:rPr>
        <w:t>150</w:t>
      </w:r>
      <w:r w:rsidR="00854E2D">
        <w:rPr>
          <w:bCs/>
        </w:rPr>
        <w:fldChar w:fldCharType="end"/>
      </w:r>
      <w:r w:rsidR="00854E2D">
        <w:rPr>
          <w:bCs/>
        </w:rPr>
        <w:t xml:space="preserve"> and standard acute inflammation </w:t>
      </w:r>
      <w:r w:rsidR="00854E2D">
        <w:rPr>
          <w:bCs/>
        </w:rPr>
        <w:fldChar w:fldCharType="begin"/>
      </w:r>
      <w:r w:rsidR="00B41ACC">
        <w:rPr>
          <w:bCs/>
        </w:rPr>
        <w:instrText xml:space="preserve"> ADDIN ZOTERO_ITEM CSL_CITATION {"citationID":"ORX3NxOl","properties":{"formattedCitation":"\\super 133\\nosupersub{}","plainCitation":"133","noteIndex":0},"citationItems":[{"id":657,"uris":["http://zotero.org/users/local/BfzbJtgR/items/9GPIBLHV"],"itemData":{"id":657,"type":"article-journal","container-title":"The Journal of Clinical Investigation","DOI":"10.1172/JCI18921","ISSN":"0021-9738","issue":"12","journalAbbreviation":"J Clin Invest","language":"eng","note":"PMID: 12813013\nPMCID: PMC161431","page":"1805-1812","source":"PubMed","title":"C-reactive protein: a critical update","title-short":"C-reactive protein","volume":"111","author":[{"family":"Pepys","given":"Mark B."},{"family":"Hirschfield","given":"Gideon M."}],"issued":{"date-parts":[["2003",6]]}}}],"schema":"https://github.com/citation-style-language/schema/raw/master/csl-citation.json"} </w:instrText>
      </w:r>
      <w:r w:rsidR="00854E2D">
        <w:rPr>
          <w:bCs/>
        </w:rPr>
        <w:fldChar w:fldCharType="separate"/>
      </w:r>
      <w:r w:rsidR="00B41ACC" w:rsidRPr="00B41ACC">
        <w:rPr>
          <w:rFonts w:cs="Times New Roman"/>
          <w:vertAlign w:val="superscript"/>
        </w:rPr>
        <w:t>133</w:t>
      </w:r>
      <w:r w:rsidR="00854E2D">
        <w:rPr>
          <w:bCs/>
        </w:rPr>
        <w:fldChar w:fldCharType="end"/>
      </w:r>
      <w:r w:rsidR="006B3DD8">
        <w:rPr>
          <w:bCs/>
        </w:rPr>
        <w:t xml:space="preserve">. </w:t>
      </w:r>
    </w:p>
    <w:tbl>
      <w:tblPr>
        <w:tblStyle w:val="TableGrid"/>
        <w:tblW w:w="0" w:type="auto"/>
        <w:tblInd w:w="400" w:type="dxa"/>
        <w:tblLook w:val="04A0" w:firstRow="1" w:lastRow="0" w:firstColumn="1" w:lastColumn="0" w:noHBand="0" w:noVBand="1"/>
      </w:tblPr>
      <w:tblGrid>
        <w:gridCol w:w="3895"/>
        <w:gridCol w:w="3895"/>
      </w:tblGrid>
      <w:tr w:rsidR="003F5A5B" w:rsidRPr="003F5A5B" w:rsidTr="005A3289">
        <w:trPr>
          <w:trHeight w:val="413"/>
        </w:trPr>
        <w:tc>
          <w:tcPr>
            <w:tcW w:w="3895" w:type="dxa"/>
            <w:shd w:val="clear" w:color="auto" w:fill="E7E6E6" w:themeFill="background2"/>
          </w:tcPr>
          <w:p w:rsidR="003F5A5B" w:rsidRPr="00854E2D" w:rsidRDefault="003F5A5B" w:rsidP="00F861EB">
            <w:pPr>
              <w:pStyle w:val="Standard"/>
              <w:suppressAutoHyphens w:val="0"/>
              <w:spacing w:line="276" w:lineRule="auto"/>
              <w:jc w:val="center"/>
              <w:textAlignment w:val="auto"/>
              <w:rPr>
                <w:rFonts w:ascii="Times New Roman" w:eastAsia="Times New Roman" w:hAnsi="Times New Roman" w:cs="Times New Roman"/>
                <w:b/>
                <w:kern w:val="0"/>
                <w:lang w:eastAsia="en-US" w:bidi="ar-SA"/>
              </w:rPr>
            </w:pPr>
            <w:r w:rsidRPr="00854E2D">
              <w:rPr>
                <w:rFonts w:ascii="Times New Roman" w:eastAsia="Times New Roman" w:hAnsi="Times New Roman" w:cs="Times New Roman"/>
                <w:b/>
                <w:kern w:val="0"/>
                <w:lang w:eastAsia="en-US" w:bidi="ar-SA"/>
              </w:rPr>
              <w:t>CRP level (mg/L)</w:t>
            </w:r>
          </w:p>
        </w:tc>
        <w:tc>
          <w:tcPr>
            <w:tcW w:w="3895" w:type="dxa"/>
            <w:shd w:val="clear" w:color="auto" w:fill="E7E6E6" w:themeFill="background2"/>
          </w:tcPr>
          <w:p w:rsidR="003F5A5B" w:rsidRPr="006B3DD8" w:rsidRDefault="003F5A5B" w:rsidP="00F861EB">
            <w:pPr>
              <w:pStyle w:val="Standard"/>
              <w:suppressAutoHyphens w:val="0"/>
              <w:spacing w:line="276" w:lineRule="auto"/>
              <w:jc w:val="center"/>
              <w:textAlignment w:val="auto"/>
              <w:rPr>
                <w:rFonts w:ascii="Times New Roman" w:eastAsia="Times New Roman" w:hAnsi="Times New Roman" w:cs="Times New Roman"/>
                <w:b/>
                <w:kern w:val="0"/>
                <w:lang w:eastAsia="en-US" w:bidi="ar-SA"/>
              </w:rPr>
            </w:pPr>
            <w:r w:rsidRPr="00854E2D">
              <w:rPr>
                <w:rFonts w:ascii="Times New Roman" w:eastAsia="Times New Roman" w:hAnsi="Times New Roman" w:cs="Times New Roman"/>
                <w:b/>
                <w:kern w:val="0"/>
                <w:lang w:eastAsia="en-US" w:bidi="ar-SA"/>
              </w:rPr>
              <w:t>Risk category- cardiovascular</w:t>
            </w:r>
          </w:p>
        </w:tc>
      </w:tr>
      <w:tr w:rsidR="003F5A5B" w:rsidRPr="003F5A5B" w:rsidTr="005A3289">
        <w:trPr>
          <w:trHeight w:val="305"/>
        </w:trPr>
        <w:tc>
          <w:tcPr>
            <w:tcW w:w="3895" w:type="dxa"/>
          </w:tcPr>
          <w:p w:rsidR="003F5A5B" w:rsidRPr="003F5A5B" w:rsidRDefault="003F5A5B" w:rsidP="00F861EB">
            <w:pPr>
              <w:pStyle w:val="Standard"/>
              <w:suppressAutoHyphens w:val="0"/>
              <w:spacing w:line="276" w:lineRule="auto"/>
              <w:jc w:val="center"/>
              <w:textAlignment w:val="auto"/>
              <w:rPr>
                <w:rFonts w:ascii="Times New Roman" w:eastAsia="Times New Roman" w:hAnsi="Times New Roman" w:cs="Times New Roman"/>
                <w:kern w:val="0"/>
                <w:lang w:eastAsia="en-US" w:bidi="ar-SA"/>
              </w:rPr>
            </w:pPr>
            <w:r w:rsidRPr="003F5A5B">
              <w:rPr>
                <w:rFonts w:ascii="Times New Roman" w:hAnsi="Times New Roman" w:cs="Times New Roman"/>
              </w:rPr>
              <w:t>&lt; 1</w:t>
            </w:r>
          </w:p>
        </w:tc>
        <w:tc>
          <w:tcPr>
            <w:tcW w:w="3895" w:type="dxa"/>
          </w:tcPr>
          <w:p w:rsidR="003F5A5B" w:rsidRPr="003F5A5B" w:rsidRDefault="003F5A5B" w:rsidP="00F861EB">
            <w:pPr>
              <w:pStyle w:val="Standard"/>
              <w:suppressAutoHyphens w:val="0"/>
              <w:spacing w:line="276" w:lineRule="auto"/>
              <w:jc w:val="center"/>
              <w:textAlignment w:val="auto"/>
              <w:rPr>
                <w:rFonts w:ascii="Times New Roman" w:eastAsia="Times New Roman" w:hAnsi="Times New Roman" w:cs="Times New Roman"/>
                <w:kern w:val="0"/>
                <w:lang w:eastAsia="en-US" w:bidi="ar-SA"/>
              </w:rPr>
            </w:pPr>
            <w:r w:rsidRPr="003F5A5B">
              <w:rPr>
                <w:rFonts w:ascii="Times New Roman" w:eastAsia="Times New Roman" w:hAnsi="Times New Roman" w:cs="Times New Roman"/>
                <w:kern w:val="0"/>
                <w:lang w:eastAsia="en-US" w:bidi="ar-SA"/>
              </w:rPr>
              <w:t>Low risk</w:t>
            </w:r>
          </w:p>
        </w:tc>
      </w:tr>
      <w:tr w:rsidR="003F5A5B" w:rsidRPr="003F5A5B" w:rsidTr="005A3289">
        <w:trPr>
          <w:trHeight w:val="350"/>
        </w:trPr>
        <w:tc>
          <w:tcPr>
            <w:tcW w:w="3895" w:type="dxa"/>
          </w:tcPr>
          <w:p w:rsidR="003F5A5B" w:rsidRPr="003F5A5B" w:rsidRDefault="003F5A5B" w:rsidP="00F861EB">
            <w:pPr>
              <w:pStyle w:val="Standard"/>
              <w:suppressAutoHyphens w:val="0"/>
              <w:spacing w:line="276" w:lineRule="auto"/>
              <w:jc w:val="center"/>
              <w:textAlignment w:val="auto"/>
              <w:rPr>
                <w:rFonts w:ascii="Times New Roman" w:eastAsia="Times New Roman" w:hAnsi="Times New Roman" w:cs="Times New Roman"/>
                <w:kern w:val="0"/>
                <w:lang w:eastAsia="en-US" w:bidi="ar-SA"/>
              </w:rPr>
            </w:pPr>
            <w:r w:rsidRPr="003F5A5B">
              <w:rPr>
                <w:rFonts w:ascii="Times New Roman" w:eastAsia="Times New Roman" w:hAnsi="Times New Roman" w:cs="Times New Roman"/>
                <w:kern w:val="0"/>
                <w:lang w:eastAsia="en-US" w:bidi="ar-SA"/>
              </w:rPr>
              <w:t>1-3</w:t>
            </w:r>
          </w:p>
        </w:tc>
        <w:tc>
          <w:tcPr>
            <w:tcW w:w="3895" w:type="dxa"/>
          </w:tcPr>
          <w:p w:rsidR="003F5A5B" w:rsidRPr="003F5A5B" w:rsidRDefault="003F5A5B" w:rsidP="00F861EB">
            <w:pPr>
              <w:pStyle w:val="Standard"/>
              <w:suppressAutoHyphens w:val="0"/>
              <w:spacing w:line="276" w:lineRule="auto"/>
              <w:jc w:val="center"/>
              <w:textAlignment w:val="auto"/>
              <w:rPr>
                <w:rFonts w:ascii="Times New Roman" w:eastAsia="Times New Roman" w:hAnsi="Times New Roman" w:cs="Times New Roman"/>
                <w:kern w:val="0"/>
                <w:lang w:eastAsia="en-US" w:bidi="ar-SA"/>
              </w:rPr>
            </w:pPr>
            <w:r w:rsidRPr="003F5A5B">
              <w:rPr>
                <w:rFonts w:ascii="Times New Roman" w:hAnsi="Times New Roman" w:cs="Times New Roman"/>
              </w:rPr>
              <w:t>Intermediate risk</w:t>
            </w:r>
          </w:p>
        </w:tc>
      </w:tr>
      <w:tr w:rsidR="003F5A5B" w:rsidRPr="003F5A5B" w:rsidTr="005A3289">
        <w:trPr>
          <w:trHeight w:val="215"/>
        </w:trPr>
        <w:tc>
          <w:tcPr>
            <w:tcW w:w="3895" w:type="dxa"/>
          </w:tcPr>
          <w:p w:rsidR="003F5A5B" w:rsidRPr="003F5A5B" w:rsidRDefault="003F5A5B" w:rsidP="00F861EB">
            <w:pPr>
              <w:pStyle w:val="Standard"/>
              <w:suppressAutoHyphens w:val="0"/>
              <w:spacing w:line="276" w:lineRule="auto"/>
              <w:jc w:val="center"/>
              <w:textAlignment w:val="auto"/>
              <w:rPr>
                <w:rFonts w:ascii="Times New Roman" w:eastAsia="Times New Roman" w:hAnsi="Times New Roman" w:cs="Times New Roman"/>
                <w:kern w:val="0"/>
                <w:lang w:eastAsia="en-US" w:bidi="ar-SA"/>
              </w:rPr>
            </w:pPr>
            <w:r w:rsidRPr="003F5A5B">
              <w:rPr>
                <w:rFonts w:ascii="Times New Roman" w:eastAsia="Times New Roman" w:hAnsi="Times New Roman" w:cs="Times New Roman"/>
                <w:kern w:val="0"/>
                <w:lang w:eastAsia="en-US" w:bidi="ar-SA"/>
              </w:rPr>
              <w:t>&gt;3</w:t>
            </w:r>
          </w:p>
        </w:tc>
        <w:tc>
          <w:tcPr>
            <w:tcW w:w="3895" w:type="dxa"/>
          </w:tcPr>
          <w:p w:rsidR="003F5A5B" w:rsidRPr="003F5A5B" w:rsidRDefault="003F5A5B" w:rsidP="00F861EB">
            <w:pPr>
              <w:pStyle w:val="Standard"/>
              <w:suppressAutoHyphens w:val="0"/>
              <w:spacing w:line="276" w:lineRule="auto"/>
              <w:jc w:val="center"/>
              <w:textAlignment w:val="auto"/>
              <w:rPr>
                <w:rFonts w:ascii="Times New Roman" w:eastAsia="Times New Roman" w:hAnsi="Times New Roman" w:cs="Times New Roman"/>
                <w:kern w:val="0"/>
                <w:lang w:eastAsia="en-US" w:bidi="ar-SA"/>
              </w:rPr>
            </w:pPr>
            <w:r w:rsidRPr="003F5A5B">
              <w:rPr>
                <w:rFonts w:ascii="Times New Roman" w:hAnsi="Times New Roman" w:cs="Times New Roman"/>
              </w:rPr>
              <w:t>High risk</w:t>
            </w:r>
          </w:p>
        </w:tc>
      </w:tr>
      <w:tr w:rsidR="00854E2D" w:rsidRPr="003F5A5B" w:rsidTr="005A3289">
        <w:trPr>
          <w:trHeight w:val="350"/>
        </w:trPr>
        <w:tc>
          <w:tcPr>
            <w:tcW w:w="3895" w:type="dxa"/>
            <w:shd w:val="clear" w:color="auto" w:fill="E7E6E6" w:themeFill="background2"/>
          </w:tcPr>
          <w:p w:rsidR="00854E2D" w:rsidRPr="00854E2D" w:rsidRDefault="00854E2D" w:rsidP="00F861EB">
            <w:pPr>
              <w:pStyle w:val="Standard"/>
              <w:suppressAutoHyphens w:val="0"/>
              <w:spacing w:line="276" w:lineRule="auto"/>
              <w:jc w:val="center"/>
              <w:textAlignment w:val="auto"/>
              <w:rPr>
                <w:rFonts w:ascii="Times New Roman" w:eastAsia="Times New Roman" w:hAnsi="Times New Roman" w:cs="Times New Roman"/>
                <w:b/>
                <w:kern w:val="0"/>
                <w:lang w:eastAsia="en-US" w:bidi="ar-SA"/>
              </w:rPr>
            </w:pPr>
            <w:r w:rsidRPr="00854E2D">
              <w:rPr>
                <w:rFonts w:ascii="Times New Roman" w:eastAsia="Times New Roman" w:hAnsi="Times New Roman" w:cs="Times New Roman"/>
                <w:b/>
                <w:kern w:val="0"/>
                <w:lang w:eastAsia="en-US" w:bidi="ar-SA"/>
              </w:rPr>
              <w:t>CRP level (mg/L)</w:t>
            </w:r>
          </w:p>
        </w:tc>
        <w:tc>
          <w:tcPr>
            <w:tcW w:w="3895" w:type="dxa"/>
            <w:shd w:val="clear" w:color="auto" w:fill="E7E6E6" w:themeFill="background2"/>
          </w:tcPr>
          <w:p w:rsidR="00854E2D" w:rsidRPr="00854E2D" w:rsidRDefault="00854E2D" w:rsidP="00F861EB">
            <w:pPr>
              <w:spacing w:line="276" w:lineRule="auto"/>
              <w:rPr>
                <w:b/>
              </w:rPr>
            </w:pPr>
            <w:r>
              <w:rPr>
                <w:b/>
              </w:rPr>
              <w:t xml:space="preserve">  Risk Category- acute inflammation</w:t>
            </w:r>
          </w:p>
        </w:tc>
      </w:tr>
      <w:tr w:rsidR="00854E2D" w:rsidRPr="003F5A5B" w:rsidTr="005A3289">
        <w:trPr>
          <w:trHeight w:val="305"/>
        </w:trPr>
        <w:tc>
          <w:tcPr>
            <w:tcW w:w="3895" w:type="dxa"/>
          </w:tcPr>
          <w:p w:rsidR="00854E2D" w:rsidRPr="003F5A5B" w:rsidRDefault="00854E2D" w:rsidP="00F861EB">
            <w:pPr>
              <w:pStyle w:val="Standard"/>
              <w:suppressAutoHyphens w:val="0"/>
              <w:spacing w:line="276" w:lineRule="auto"/>
              <w:jc w:val="center"/>
              <w:textAlignment w:val="auto"/>
              <w:rPr>
                <w:rFonts w:ascii="Times New Roman" w:eastAsia="Times New Roman" w:hAnsi="Times New Roman" w:cs="Times New Roman"/>
                <w:kern w:val="0"/>
                <w:lang w:eastAsia="en-US" w:bidi="ar-SA"/>
              </w:rPr>
            </w:pPr>
            <w:r w:rsidRPr="003F5A5B">
              <w:rPr>
                <w:rFonts w:ascii="Times New Roman" w:hAnsi="Times New Roman" w:cs="Times New Roman"/>
              </w:rPr>
              <w:t>&lt; 1</w:t>
            </w:r>
            <w:r>
              <w:rPr>
                <w:rFonts w:ascii="Times New Roman" w:hAnsi="Times New Roman" w:cs="Times New Roman"/>
              </w:rPr>
              <w:t>0</w:t>
            </w:r>
          </w:p>
        </w:tc>
        <w:tc>
          <w:tcPr>
            <w:tcW w:w="3895" w:type="dxa"/>
          </w:tcPr>
          <w:p w:rsidR="00854E2D" w:rsidRPr="003F5A5B" w:rsidRDefault="00854E2D" w:rsidP="00F861EB">
            <w:pPr>
              <w:pStyle w:val="Standard"/>
              <w:suppressAutoHyphens w:val="0"/>
              <w:spacing w:line="276" w:lineRule="auto"/>
              <w:jc w:val="center"/>
              <w:textAlignment w:val="auto"/>
              <w:rPr>
                <w:rFonts w:ascii="Times New Roman" w:eastAsia="Times New Roman" w:hAnsi="Times New Roman" w:cs="Times New Roman"/>
                <w:kern w:val="0"/>
                <w:lang w:eastAsia="en-US" w:bidi="ar-SA"/>
              </w:rPr>
            </w:pPr>
            <w:r>
              <w:rPr>
                <w:rFonts w:ascii="Times New Roman" w:eastAsia="Times New Roman" w:hAnsi="Times New Roman" w:cs="Times New Roman"/>
                <w:kern w:val="0"/>
                <w:lang w:eastAsia="en-US" w:bidi="ar-SA"/>
              </w:rPr>
              <w:t>Normal / No significant inflammation</w:t>
            </w:r>
          </w:p>
        </w:tc>
      </w:tr>
      <w:tr w:rsidR="00854E2D" w:rsidRPr="003F5A5B" w:rsidTr="005A3289">
        <w:trPr>
          <w:trHeight w:val="350"/>
        </w:trPr>
        <w:tc>
          <w:tcPr>
            <w:tcW w:w="3895" w:type="dxa"/>
          </w:tcPr>
          <w:p w:rsidR="00854E2D" w:rsidRPr="003F5A5B" w:rsidRDefault="00854E2D" w:rsidP="00F861EB">
            <w:pPr>
              <w:pStyle w:val="Standard"/>
              <w:suppressAutoHyphens w:val="0"/>
              <w:spacing w:line="276" w:lineRule="auto"/>
              <w:jc w:val="center"/>
              <w:textAlignment w:val="auto"/>
              <w:rPr>
                <w:rFonts w:ascii="Times New Roman" w:eastAsia="Times New Roman" w:hAnsi="Times New Roman" w:cs="Times New Roman"/>
                <w:kern w:val="0"/>
                <w:lang w:eastAsia="en-US" w:bidi="ar-SA"/>
              </w:rPr>
            </w:pPr>
            <w:r w:rsidRPr="003F5A5B">
              <w:rPr>
                <w:rFonts w:ascii="Times New Roman" w:eastAsia="Times New Roman" w:hAnsi="Times New Roman" w:cs="Times New Roman"/>
                <w:kern w:val="0"/>
                <w:lang w:eastAsia="en-US" w:bidi="ar-SA"/>
              </w:rPr>
              <w:t>1</w:t>
            </w:r>
            <w:r>
              <w:rPr>
                <w:rFonts w:ascii="Times New Roman" w:eastAsia="Times New Roman" w:hAnsi="Times New Roman" w:cs="Times New Roman"/>
                <w:kern w:val="0"/>
                <w:lang w:eastAsia="en-US" w:bidi="ar-SA"/>
              </w:rPr>
              <w:t>0-40</w:t>
            </w:r>
          </w:p>
        </w:tc>
        <w:tc>
          <w:tcPr>
            <w:tcW w:w="3895" w:type="dxa"/>
          </w:tcPr>
          <w:p w:rsidR="00854E2D" w:rsidRPr="003F5A5B" w:rsidRDefault="00854E2D" w:rsidP="00F861EB">
            <w:pPr>
              <w:pStyle w:val="Standard"/>
              <w:suppressAutoHyphens w:val="0"/>
              <w:spacing w:line="276" w:lineRule="auto"/>
              <w:jc w:val="center"/>
              <w:textAlignment w:val="auto"/>
              <w:rPr>
                <w:rFonts w:ascii="Times New Roman" w:eastAsia="Times New Roman" w:hAnsi="Times New Roman" w:cs="Times New Roman"/>
                <w:kern w:val="0"/>
                <w:lang w:eastAsia="en-US" w:bidi="ar-SA"/>
              </w:rPr>
            </w:pPr>
            <w:r>
              <w:rPr>
                <w:rFonts w:ascii="Times New Roman" w:hAnsi="Times New Roman" w:cs="Times New Roman"/>
              </w:rPr>
              <w:t>Mild inflammation</w:t>
            </w:r>
          </w:p>
        </w:tc>
      </w:tr>
      <w:tr w:rsidR="00854E2D" w:rsidRPr="003F5A5B" w:rsidTr="005A3289">
        <w:trPr>
          <w:trHeight w:val="215"/>
        </w:trPr>
        <w:tc>
          <w:tcPr>
            <w:tcW w:w="3895" w:type="dxa"/>
          </w:tcPr>
          <w:p w:rsidR="00854E2D" w:rsidRPr="003F5A5B" w:rsidRDefault="00854E2D" w:rsidP="00F861EB">
            <w:pPr>
              <w:pStyle w:val="Standard"/>
              <w:suppressAutoHyphens w:val="0"/>
              <w:spacing w:line="276" w:lineRule="auto"/>
              <w:textAlignment w:val="auto"/>
              <w:rPr>
                <w:rFonts w:ascii="Times New Roman" w:eastAsia="Times New Roman" w:hAnsi="Times New Roman" w:cs="Times New Roman"/>
                <w:kern w:val="0"/>
                <w:lang w:eastAsia="en-US" w:bidi="ar-SA"/>
              </w:rPr>
            </w:pPr>
            <w:r>
              <w:rPr>
                <w:rFonts w:ascii="Times New Roman" w:eastAsia="Times New Roman" w:hAnsi="Times New Roman" w:cs="Times New Roman"/>
                <w:kern w:val="0"/>
                <w:lang w:eastAsia="en-US" w:bidi="ar-SA"/>
              </w:rPr>
              <w:t xml:space="preserve">                         40-200</w:t>
            </w:r>
          </w:p>
        </w:tc>
        <w:tc>
          <w:tcPr>
            <w:tcW w:w="3895" w:type="dxa"/>
          </w:tcPr>
          <w:p w:rsidR="00854E2D" w:rsidRPr="003F5A5B" w:rsidRDefault="00854E2D" w:rsidP="00F861EB">
            <w:pPr>
              <w:pStyle w:val="Standard"/>
              <w:suppressAutoHyphens w:val="0"/>
              <w:spacing w:line="276" w:lineRule="auto"/>
              <w:jc w:val="center"/>
              <w:textAlignment w:val="auto"/>
              <w:rPr>
                <w:rFonts w:ascii="Times New Roman" w:eastAsia="Times New Roman" w:hAnsi="Times New Roman" w:cs="Times New Roman"/>
                <w:kern w:val="0"/>
                <w:lang w:eastAsia="en-US" w:bidi="ar-SA"/>
              </w:rPr>
            </w:pPr>
            <w:r>
              <w:rPr>
                <w:rFonts w:ascii="Times New Roman" w:hAnsi="Times New Roman" w:cs="Times New Roman"/>
              </w:rPr>
              <w:t>Moderate inflammation</w:t>
            </w:r>
          </w:p>
        </w:tc>
      </w:tr>
      <w:tr w:rsidR="00854E2D" w:rsidRPr="003F5A5B" w:rsidTr="005A3289">
        <w:trPr>
          <w:trHeight w:val="215"/>
        </w:trPr>
        <w:tc>
          <w:tcPr>
            <w:tcW w:w="3895" w:type="dxa"/>
          </w:tcPr>
          <w:p w:rsidR="00854E2D" w:rsidRPr="003F5A5B" w:rsidRDefault="00854E2D" w:rsidP="00F861EB">
            <w:pPr>
              <w:pStyle w:val="Standard"/>
              <w:suppressAutoHyphens w:val="0"/>
              <w:spacing w:line="276" w:lineRule="auto"/>
              <w:jc w:val="center"/>
              <w:textAlignment w:val="auto"/>
              <w:rPr>
                <w:rFonts w:ascii="Times New Roman" w:eastAsia="Times New Roman" w:hAnsi="Times New Roman" w:cs="Times New Roman"/>
                <w:kern w:val="0"/>
                <w:lang w:eastAsia="en-US" w:bidi="ar-SA"/>
              </w:rPr>
            </w:pPr>
            <w:r>
              <w:t>&gt; 200</w:t>
            </w:r>
          </w:p>
        </w:tc>
        <w:tc>
          <w:tcPr>
            <w:tcW w:w="3895" w:type="dxa"/>
          </w:tcPr>
          <w:p w:rsidR="00854E2D" w:rsidRPr="003F5A5B" w:rsidRDefault="00854E2D" w:rsidP="00F861EB">
            <w:pPr>
              <w:pStyle w:val="Standard"/>
              <w:suppressAutoHyphens w:val="0"/>
              <w:spacing w:line="276" w:lineRule="auto"/>
              <w:jc w:val="center"/>
              <w:textAlignment w:val="auto"/>
              <w:rPr>
                <w:rFonts w:ascii="Times New Roman" w:hAnsi="Times New Roman" w:cs="Times New Roman"/>
              </w:rPr>
            </w:pPr>
            <w:r>
              <w:rPr>
                <w:rFonts w:ascii="Times New Roman" w:hAnsi="Times New Roman" w:cs="Times New Roman"/>
              </w:rPr>
              <w:t xml:space="preserve">Severe inflammation </w:t>
            </w:r>
          </w:p>
        </w:tc>
      </w:tr>
    </w:tbl>
    <w:p w:rsidR="00B03250" w:rsidRPr="00B03250" w:rsidRDefault="00B03250" w:rsidP="00F861EB">
      <w:pPr>
        <w:pStyle w:val="Standard"/>
        <w:suppressAutoHyphens w:val="0"/>
        <w:spacing w:before="280" w:after="280" w:line="276" w:lineRule="auto"/>
        <w:jc w:val="both"/>
        <w:textAlignment w:val="auto"/>
      </w:pPr>
      <w:r w:rsidRPr="00B03250">
        <w:t xml:space="preserve">The latter part of this chapter has covered the specifics of CRP's ability to </w:t>
      </w:r>
      <w:r w:rsidR="006856D4" w:rsidRPr="00B03250">
        <w:t>distinguish</w:t>
      </w:r>
      <w:r w:rsidRPr="00B03250">
        <w:t xml:space="preserve"> between </w:t>
      </w:r>
      <w:r w:rsidR="006856D4" w:rsidRPr="00B03250">
        <w:t xml:space="preserve">viral </w:t>
      </w:r>
      <w:r w:rsidRPr="00B03250">
        <w:t xml:space="preserve">and </w:t>
      </w:r>
      <w:r w:rsidR="006856D4" w:rsidRPr="00B03250">
        <w:t xml:space="preserve">bacterial </w:t>
      </w:r>
      <w:r w:rsidR="003324B4">
        <w:t>infections</w:t>
      </w:r>
      <w:r w:rsidRPr="00B03250">
        <w:t xml:space="preserve"> in host biomarkers.</w:t>
      </w:r>
    </w:p>
    <w:p w:rsidR="001C542F" w:rsidRPr="001C542F" w:rsidRDefault="001C542F" w:rsidP="00F861EB">
      <w:pPr>
        <w:pStyle w:val="Standard"/>
        <w:suppressAutoHyphens w:val="0"/>
        <w:spacing w:before="280" w:after="280" w:line="276" w:lineRule="auto"/>
        <w:jc w:val="both"/>
        <w:textAlignment w:val="auto"/>
        <w:rPr>
          <w:b/>
        </w:rPr>
      </w:pPr>
      <w:r w:rsidRPr="001C542F">
        <w:rPr>
          <w:b/>
        </w:rPr>
        <w:t>Serum Amyloid A (SAA):</w:t>
      </w:r>
    </w:p>
    <w:p w:rsidR="000D1664" w:rsidRDefault="000D1664" w:rsidP="00F861EB">
      <w:pPr>
        <w:pStyle w:val="Standard"/>
        <w:suppressAutoHyphens w:val="0"/>
        <w:spacing w:before="280" w:after="280" w:line="276" w:lineRule="auto"/>
        <w:jc w:val="both"/>
        <w:textAlignment w:val="auto"/>
        <w:rPr>
          <w:rFonts w:ascii="Times New Roman" w:eastAsia="Times New Roman" w:hAnsi="Times New Roman" w:cs="Times New Roman"/>
          <w:kern w:val="0"/>
          <w:lang w:eastAsia="en-US" w:bidi="ar-SA"/>
        </w:rPr>
      </w:pPr>
      <w:r w:rsidRPr="000D1664">
        <w:rPr>
          <w:rFonts w:ascii="Times New Roman" w:eastAsia="Times New Roman" w:hAnsi="Times New Roman" w:cs="Times New Roman"/>
          <w:kern w:val="0"/>
          <w:lang w:eastAsia="en-US" w:bidi="ar-SA"/>
        </w:rPr>
        <w:t xml:space="preserve">The liver produces SAA, a helpful acute-phase protein, mainly </w:t>
      </w:r>
      <w:r w:rsidR="004655FC">
        <w:rPr>
          <w:rFonts w:ascii="Times New Roman" w:eastAsia="Times New Roman" w:hAnsi="Times New Roman" w:cs="Times New Roman"/>
          <w:kern w:val="0"/>
          <w:lang w:eastAsia="en-US" w:bidi="ar-SA"/>
        </w:rPr>
        <w:t>against</w:t>
      </w:r>
      <w:r w:rsidRPr="000D1664">
        <w:rPr>
          <w:rFonts w:ascii="Times New Roman" w:eastAsia="Times New Roman" w:hAnsi="Times New Roman" w:cs="Times New Roman"/>
          <w:kern w:val="0"/>
          <w:lang w:eastAsia="en-US" w:bidi="ar-SA"/>
        </w:rPr>
        <w:t xml:space="preserve"> </w:t>
      </w:r>
      <w:r w:rsidR="004655FC">
        <w:rPr>
          <w:rFonts w:ascii="Times New Roman" w:eastAsia="Times New Roman" w:hAnsi="Times New Roman" w:cs="Times New Roman"/>
          <w:kern w:val="0"/>
          <w:lang w:eastAsia="en-US" w:bidi="ar-SA"/>
        </w:rPr>
        <w:t>inflammation or infection</w:t>
      </w:r>
      <w:r w:rsidRPr="000D1664">
        <w:rPr>
          <w:rFonts w:ascii="Times New Roman" w:eastAsia="Times New Roman" w:hAnsi="Times New Roman" w:cs="Times New Roman"/>
          <w:kern w:val="0"/>
          <w:lang w:eastAsia="en-US" w:bidi="ar-SA"/>
        </w:rPr>
        <w:t xml:space="preserve">. TNF-α, IL-1, and IL-6 enhance its </w:t>
      </w:r>
      <w:r w:rsidR="007C0C2F">
        <w:rPr>
          <w:rFonts w:ascii="Times New Roman" w:eastAsia="Times New Roman" w:hAnsi="Times New Roman" w:cs="Times New Roman"/>
          <w:kern w:val="0"/>
          <w:lang w:eastAsia="en-US" w:bidi="ar-SA"/>
        </w:rPr>
        <w:t>synthesis</w:t>
      </w:r>
      <w:r w:rsidRPr="000D1664">
        <w:rPr>
          <w:rFonts w:ascii="Times New Roman" w:eastAsia="Times New Roman" w:hAnsi="Times New Roman" w:cs="Times New Roman"/>
          <w:kern w:val="0"/>
          <w:lang w:eastAsia="en-US" w:bidi="ar-SA"/>
        </w:rPr>
        <w:t xml:space="preserve">. There are </w:t>
      </w:r>
      <w:r w:rsidR="007C0C2F">
        <w:rPr>
          <w:rFonts w:ascii="Times New Roman" w:eastAsia="Times New Roman" w:hAnsi="Times New Roman" w:cs="Times New Roman"/>
          <w:kern w:val="0"/>
          <w:lang w:eastAsia="en-US" w:bidi="ar-SA"/>
        </w:rPr>
        <w:t xml:space="preserve">around </w:t>
      </w:r>
      <w:r w:rsidRPr="000D1664">
        <w:rPr>
          <w:rFonts w:ascii="Times New Roman" w:eastAsia="Times New Roman" w:hAnsi="Times New Roman" w:cs="Times New Roman"/>
          <w:kern w:val="0"/>
          <w:lang w:eastAsia="en-US" w:bidi="ar-SA"/>
        </w:rPr>
        <w:t xml:space="preserve">four families of SAA: SAA1 and SAA2, the two main acute-phase proteins, drastically increase during inflammation; SAA3, a human </w:t>
      </w:r>
      <w:r w:rsidR="00D71B3C" w:rsidRPr="000D1664">
        <w:rPr>
          <w:rFonts w:ascii="Times New Roman" w:eastAsia="Times New Roman" w:hAnsi="Times New Roman" w:cs="Times New Roman"/>
          <w:kern w:val="0"/>
          <w:lang w:eastAsia="en-US" w:bidi="ar-SA"/>
        </w:rPr>
        <w:t>pseudo gene</w:t>
      </w:r>
      <w:r w:rsidRPr="000D1664">
        <w:rPr>
          <w:rFonts w:ascii="Times New Roman" w:eastAsia="Times New Roman" w:hAnsi="Times New Roman" w:cs="Times New Roman"/>
          <w:kern w:val="0"/>
          <w:lang w:eastAsia="en-US" w:bidi="ar-SA"/>
        </w:rPr>
        <w:t xml:space="preserve">, is non-functional; and SAA4, a constitutive isoform, shows baseline synthesis even when inflammation is not present. </w:t>
      </w:r>
    </w:p>
    <w:p w:rsidR="000D1664" w:rsidRDefault="000D1664" w:rsidP="00F861EB">
      <w:pPr>
        <w:pStyle w:val="Standard"/>
        <w:suppressAutoHyphens w:val="0"/>
        <w:spacing w:before="280" w:after="280" w:line="276" w:lineRule="auto"/>
        <w:jc w:val="both"/>
        <w:textAlignment w:val="auto"/>
        <w:rPr>
          <w:rFonts w:ascii="Times New Roman" w:eastAsia="Times New Roman" w:hAnsi="Times New Roman" w:cs="Times New Roman"/>
          <w:kern w:val="0"/>
          <w:lang w:eastAsia="en-US" w:bidi="ar-SA"/>
        </w:rPr>
      </w:pPr>
      <w:r w:rsidRPr="000D1664">
        <w:rPr>
          <w:rFonts w:ascii="Times New Roman" w:eastAsia="Times New Roman" w:hAnsi="Times New Roman" w:cs="Times New Roman"/>
          <w:kern w:val="0"/>
          <w:lang w:eastAsia="en-US" w:bidi="ar-SA"/>
        </w:rPr>
        <w:t xml:space="preserve">SAA's primary roles include attracting neutrophils, monocytes, and T cells to inflammatory areas, enhancing phagocytosis through </w:t>
      </w:r>
      <w:r w:rsidR="0033080A" w:rsidRPr="000D1664">
        <w:rPr>
          <w:rFonts w:ascii="Times New Roman" w:eastAsia="Times New Roman" w:hAnsi="Times New Roman" w:cs="Times New Roman"/>
          <w:kern w:val="0"/>
          <w:lang w:eastAsia="en-US" w:bidi="ar-SA"/>
        </w:rPr>
        <w:t>opsonisation</w:t>
      </w:r>
      <w:r w:rsidRPr="000D1664">
        <w:rPr>
          <w:rFonts w:ascii="Times New Roman" w:eastAsia="Times New Roman" w:hAnsi="Times New Roman" w:cs="Times New Roman"/>
          <w:kern w:val="0"/>
          <w:lang w:eastAsia="en-US" w:bidi="ar-SA"/>
        </w:rPr>
        <w:t xml:space="preserve">, which helps immune cells identify pathogens, playing a crucial role in reverse cholesterol transport, specifically by removing cholesterol from tissues, controlling inflammation by interacting with the Toll-like receptor (TLR) and intensifying the inflammatory response, and activating matrix metalloproteinase by assisting in tissue </w:t>
      </w:r>
      <w:r w:rsidR="00FE0F3A" w:rsidRPr="000D1664">
        <w:rPr>
          <w:rFonts w:ascii="Times New Roman" w:eastAsia="Times New Roman" w:hAnsi="Times New Roman" w:cs="Times New Roman"/>
          <w:kern w:val="0"/>
          <w:lang w:eastAsia="en-US" w:bidi="ar-SA"/>
        </w:rPr>
        <w:t>remodeling</w:t>
      </w:r>
      <w:r w:rsidRPr="000D1664">
        <w:rPr>
          <w:rFonts w:ascii="Times New Roman" w:eastAsia="Times New Roman" w:hAnsi="Times New Roman" w:cs="Times New Roman"/>
          <w:kern w:val="0"/>
          <w:lang w:eastAsia="en-US" w:bidi="ar-SA"/>
        </w:rPr>
        <w:t xml:space="preserve"> during inflammation. Serum SAA levels are typically very low, less than 3 mg/L. Acute inflammation causes it to increase 1000-fold to over 1000 mg/L in 24 to 48 hours. IL-1, IL-6, and TNF-α stimulate the </w:t>
      </w:r>
      <w:r w:rsidR="007C0C2F">
        <w:rPr>
          <w:rFonts w:ascii="Times New Roman" w:eastAsia="Times New Roman" w:hAnsi="Times New Roman" w:cs="Times New Roman"/>
          <w:kern w:val="0"/>
          <w:lang w:eastAsia="en-US" w:bidi="ar-SA"/>
        </w:rPr>
        <w:t>production</w:t>
      </w:r>
      <w:r w:rsidRPr="000D1664">
        <w:rPr>
          <w:rFonts w:ascii="Times New Roman" w:eastAsia="Times New Roman" w:hAnsi="Times New Roman" w:cs="Times New Roman"/>
          <w:kern w:val="0"/>
          <w:lang w:eastAsia="en-US" w:bidi="ar-SA"/>
        </w:rPr>
        <w:t xml:space="preserve"> of SAA during bacterial and viral infections; tissue damage from burns, trauma, and surgery; </w:t>
      </w:r>
      <w:r w:rsidR="0033080A" w:rsidRPr="006E2B8F">
        <w:rPr>
          <w:rFonts w:ascii="Times New Roman" w:eastAsia="Times New Roman" w:hAnsi="Times New Roman" w:cs="Times New Roman"/>
          <w:kern w:val="0"/>
          <w:lang w:eastAsia="en-US" w:bidi="ar-SA"/>
        </w:rPr>
        <w:t>immune-</w:t>
      </w:r>
      <w:r w:rsidR="00371BD1" w:rsidRPr="006E2B8F">
        <w:rPr>
          <w:rFonts w:ascii="Times New Roman" w:eastAsia="Times New Roman" w:hAnsi="Times New Roman" w:cs="Times New Roman"/>
          <w:kern w:val="0"/>
          <w:lang w:eastAsia="en-US" w:bidi="ar-SA"/>
        </w:rPr>
        <w:t>pathological</w:t>
      </w:r>
      <w:r w:rsidRPr="000D1664">
        <w:rPr>
          <w:rFonts w:ascii="Times New Roman" w:eastAsia="Times New Roman" w:hAnsi="Times New Roman" w:cs="Times New Roman"/>
          <w:kern w:val="0"/>
          <w:lang w:eastAsia="en-US" w:bidi="ar-SA"/>
        </w:rPr>
        <w:t xml:space="preserve"> </w:t>
      </w:r>
      <w:r w:rsidR="00371BD1">
        <w:rPr>
          <w:rFonts w:ascii="Times New Roman" w:eastAsia="Times New Roman" w:hAnsi="Times New Roman" w:cs="Times New Roman"/>
          <w:kern w:val="0"/>
          <w:lang w:eastAsia="en-US" w:bidi="ar-SA"/>
        </w:rPr>
        <w:t>problems</w:t>
      </w:r>
      <w:r>
        <w:rPr>
          <w:rFonts w:ascii="Times New Roman" w:eastAsia="Times New Roman" w:hAnsi="Times New Roman" w:cs="Times New Roman"/>
          <w:kern w:val="0"/>
          <w:lang w:eastAsia="en-US" w:bidi="ar-SA"/>
        </w:rPr>
        <w:t xml:space="preserve"> </w:t>
      </w:r>
      <w:r w:rsidR="00371BD1">
        <w:rPr>
          <w:rFonts w:ascii="Times New Roman" w:eastAsia="Times New Roman" w:hAnsi="Times New Roman" w:cs="Times New Roman"/>
          <w:kern w:val="0"/>
          <w:lang w:eastAsia="en-US" w:bidi="ar-SA"/>
        </w:rPr>
        <w:t>like</w:t>
      </w:r>
      <w:r>
        <w:rPr>
          <w:rFonts w:ascii="Times New Roman" w:eastAsia="Times New Roman" w:hAnsi="Times New Roman" w:cs="Times New Roman"/>
          <w:kern w:val="0"/>
          <w:lang w:eastAsia="en-US" w:bidi="ar-SA"/>
        </w:rPr>
        <w:t xml:space="preserve"> rheumatoid arthritis, </w:t>
      </w:r>
      <w:r w:rsidRPr="000D1664">
        <w:rPr>
          <w:rFonts w:ascii="Times New Roman" w:eastAsia="Times New Roman" w:hAnsi="Times New Roman" w:cs="Times New Roman"/>
          <w:kern w:val="0"/>
          <w:lang w:eastAsia="en-US" w:bidi="ar-SA"/>
        </w:rPr>
        <w:t xml:space="preserve">systemic lupus </w:t>
      </w:r>
      <w:r w:rsidR="00E473E5">
        <w:rPr>
          <w:rFonts w:ascii="Times New Roman" w:eastAsia="Times New Roman" w:hAnsi="Times New Roman" w:cs="Times New Roman"/>
          <w:kern w:val="0"/>
          <w:lang w:eastAsia="en-US" w:bidi="ar-SA"/>
        </w:rPr>
        <w:t>erythematosus</w:t>
      </w:r>
      <w:r w:rsidRPr="000D1664">
        <w:rPr>
          <w:rFonts w:ascii="Times New Roman" w:eastAsia="Times New Roman" w:hAnsi="Times New Roman" w:cs="Times New Roman"/>
          <w:kern w:val="0"/>
          <w:lang w:eastAsia="en-US" w:bidi="ar-SA"/>
        </w:rPr>
        <w:t xml:space="preserve"> (SLE), and cancers.</w:t>
      </w:r>
    </w:p>
    <w:p w:rsidR="00BE6393" w:rsidRDefault="00690236" w:rsidP="000F18DF">
      <w:pPr>
        <w:spacing w:after="0" w:line="276" w:lineRule="auto"/>
        <w:jc w:val="both"/>
        <w:rPr>
          <w:rFonts w:ascii="Times New Roman" w:eastAsia="Times New Roman" w:hAnsi="Times New Roman" w:cs="Times New Roman"/>
          <w:sz w:val="24"/>
          <w:szCs w:val="24"/>
        </w:rPr>
      </w:pPr>
      <w:r w:rsidRPr="00690236">
        <w:rPr>
          <w:rFonts w:ascii="Times New Roman" w:eastAsia="Times New Roman" w:hAnsi="Times New Roman" w:cs="Times New Roman"/>
          <w:sz w:val="24"/>
          <w:szCs w:val="24"/>
        </w:rPr>
        <w:t>The SAA level is continuously high in chronic inflammation. Misfolded SAA builds up as amyloid fibrils in organs (most notably the kidneys, liver, and spleen) in secondary amyloidosis (AA amyloidosis), which is caused by persistently elevated SAA levels. The SAA is seen in inflammatory illnesses</w:t>
      </w:r>
      <w:r w:rsidR="00E473E5">
        <w:rPr>
          <w:rFonts w:ascii="Times New Roman" w:eastAsia="Times New Roman" w:hAnsi="Times New Roman" w:cs="Times New Roman"/>
          <w:sz w:val="24"/>
          <w:szCs w:val="24"/>
        </w:rPr>
        <w:t>,</w:t>
      </w:r>
      <w:r w:rsidRPr="00690236">
        <w:rPr>
          <w:rFonts w:ascii="Times New Roman" w:eastAsia="Times New Roman" w:hAnsi="Times New Roman" w:cs="Times New Roman"/>
          <w:sz w:val="24"/>
          <w:szCs w:val="24"/>
        </w:rPr>
        <w:t xml:space="preserve"> including Crohn's disease and rheumatoid arthritis</w:t>
      </w:r>
      <w:r w:rsidR="00E473E5">
        <w:rPr>
          <w:rFonts w:ascii="Times New Roman" w:eastAsia="Times New Roman" w:hAnsi="Times New Roman" w:cs="Times New Roman"/>
          <w:sz w:val="24"/>
          <w:szCs w:val="24"/>
        </w:rPr>
        <w:t>,</w:t>
      </w:r>
      <w:r w:rsidRPr="00690236">
        <w:rPr>
          <w:rFonts w:ascii="Times New Roman" w:eastAsia="Times New Roman" w:hAnsi="Times New Roman" w:cs="Times New Roman"/>
          <w:sz w:val="24"/>
          <w:szCs w:val="24"/>
        </w:rPr>
        <w:t xml:space="preserve"> as well as persistent infections like tuberculosis. </w:t>
      </w:r>
      <w:r w:rsidR="00E473E5" w:rsidRPr="00E473E5">
        <w:rPr>
          <w:rFonts w:ascii="Times New Roman" w:eastAsia="Times New Roman" w:hAnsi="Times New Roman" w:cs="Times New Roman"/>
          <w:sz w:val="24"/>
          <w:szCs w:val="24"/>
        </w:rPr>
        <w:t xml:space="preserve">Acute bacterial infections resulting in </w:t>
      </w:r>
      <w:r w:rsidR="00E473E5">
        <w:rPr>
          <w:rFonts w:ascii="Times New Roman" w:eastAsia="Times New Roman" w:hAnsi="Times New Roman" w:cs="Times New Roman"/>
          <w:sz w:val="24"/>
          <w:szCs w:val="24"/>
        </w:rPr>
        <w:t xml:space="preserve">a </w:t>
      </w:r>
      <w:r w:rsidR="00E473E5" w:rsidRPr="00E473E5">
        <w:rPr>
          <w:rFonts w:ascii="Times New Roman" w:eastAsia="Times New Roman" w:hAnsi="Times New Roman" w:cs="Times New Roman"/>
          <w:sz w:val="24"/>
          <w:szCs w:val="24"/>
        </w:rPr>
        <w:t xml:space="preserve">significant </w:t>
      </w:r>
      <w:r w:rsidR="00E473E5">
        <w:rPr>
          <w:rFonts w:ascii="Times New Roman" w:eastAsia="Times New Roman" w:hAnsi="Times New Roman" w:cs="Times New Roman"/>
          <w:sz w:val="24"/>
          <w:szCs w:val="24"/>
        </w:rPr>
        <w:t>rise</w:t>
      </w:r>
      <w:r w:rsidR="00E473E5" w:rsidRPr="00E473E5">
        <w:rPr>
          <w:rFonts w:ascii="Times New Roman" w:eastAsia="Times New Roman" w:hAnsi="Times New Roman" w:cs="Times New Roman"/>
          <w:sz w:val="24"/>
          <w:szCs w:val="24"/>
        </w:rPr>
        <w:t xml:space="preserve"> in SAA levels; </w:t>
      </w:r>
      <w:r w:rsidR="00E473E5" w:rsidRPr="00E473E5">
        <w:rPr>
          <w:rFonts w:ascii="Times New Roman" w:eastAsia="Times New Roman" w:hAnsi="Times New Roman" w:cs="Times New Roman"/>
          <w:sz w:val="24"/>
          <w:szCs w:val="24"/>
        </w:rPr>
        <w:lastRenderedPageBreak/>
        <w:t>exacerbations of autoimmune diseases result in very high SAA levels; persistent infections maintain chronically elevated SAA levels; extended exposure to consistently high SAA levels may result in AA amyloidosis; and certain cancer types exhibit moderately high SAA levels</w:t>
      </w:r>
      <w:r w:rsidR="00E473E5">
        <w:rPr>
          <w:rFonts w:ascii="Times New Roman" w:eastAsia="Times New Roman" w:hAnsi="Times New Roman" w:cs="Times New Roman"/>
          <w:sz w:val="24"/>
          <w:szCs w:val="24"/>
        </w:rPr>
        <w:t xml:space="preserve"> </w:t>
      </w:r>
      <w:r w:rsidR="007239EA">
        <w:rPr>
          <w:rFonts w:ascii="Times New Roman" w:eastAsia="Times New Roman" w:hAnsi="Times New Roman" w:cs="Times New Roman"/>
          <w:bCs/>
        </w:rPr>
        <w:fldChar w:fldCharType="begin"/>
      </w:r>
      <w:r w:rsidR="00B41ACC">
        <w:rPr>
          <w:rFonts w:ascii="Times New Roman" w:eastAsia="Times New Roman" w:hAnsi="Times New Roman" w:cs="Times New Roman"/>
          <w:bCs/>
        </w:rPr>
        <w:instrText xml:space="preserve"> ADDIN ZOTERO_ITEM CSL_CITATION {"citationID":"NCkMQLSK","properties":{"formattedCitation":"\\super 141\\nosupersub{}","plainCitation":"141","noteIndex":0},"citationItems":[{"id":1087,"uris":["http://zotero.org/users/local/BfzbJtgR/items/4VYGPYAF"],"itemData":{"id":1087,"type":"article-journal","abstract":"The serum amyloid A (SAA) family comprises a number of differentially expressed apolipoproteins, acute-phase SAAs (A-SAAs) and constitutive SAAs (C-SAAs). A-SAAs are major acute-phase reactants, the in vivo concentrations of which increase by as much as 1000-fold during inflammation. A-SAA mRNAs or proteins have been identified in all vertebrates investigated to date and are highly conserved. In contrast, C-SAAs are induced minimally, if at all, during the acute-phase response and have only been found in human and mouse. Although the liver is the primary site of synthesis of both A-SAA and C-SAA, extrahepatic production has been reported for most family members in most of the mammalian species studied. In vitro, the dramatic induction of A-SAA mRNA in response to pro-inflammatory stimuli is due largely to the synergistic effects of cytokine signaling pathways, principally those of the interleukin-1 and interleukin-6 type cytokines. This induction can be enhanced by glucocorticoids. Studies of the A-SAA promoters in several mammalian species have identified a range of transcription factors that are variously involved in defining both cytokine responsiveness and cell specificity. These include NF-kappaB, C/EBP, YY1, AP-2, SAF and Sp1. A-SAA is also post-transcriptionally regulated. Although the precise role of A-SAA in host defense during inflammation has not been defined, many potential clinically important functions have been proposed for individual SAA family members. These include involvement in lipid metabolism/transport, induction of extracellular-matrix-degrading enzymes, and chemotactic recruitment of inflammatory cells to sites of inflammation. A-SAA is potentially involved in the pathogenesis of several chronic inflammatory diseases: it is the precursor of the amyloid A protein deposited in amyloid A amyloidosis, and it has also been implicated in the pathogenesis of atheroscelerosis and rheumatoid arthritis.","container-title":"European Journal of Biochemistry","DOI":"10.1046/j.1432-1327.1999.00657.x","ISSN":"0014-2956","issue":"2","journalAbbreviation":"Eur J Biochem","language":"eng","note":"PMID: 10504381","page":"501-523","source":"PubMed","title":"Serum amyloid A, the major vertebrate acute-phase reactant","volume":"265","author":[{"family":"Uhlar","given":"C. M."},{"family":"Whitehead","given":"A. S."}],"issued":{"date-parts":[["1999",10]]}}}],"schema":"https://github.com/citation-style-language/schema/raw/master/csl-citation.json"} </w:instrText>
      </w:r>
      <w:r w:rsidR="007239EA">
        <w:rPr>
          <w:rFonts w:ascii="Times New Roman" w:eastAsia="Times New Roman" w:hAnsi="Times New Roman" w:cs="Times New Roman"/>
          <w:bCs/>
        </w:rPr>
        <w:fldChar w:fldCharType="separate"/>
      </w:r>
      <w:r w:rsidR="00B41ACC" w:rsidRPr="00B41ACC">
        <w:rPr>
          <w:rFonts w:ascii="Times New Roman" w:hAnsi="Times New Roman" w:cs="Times New Roman"/>
          <w:szCs w:val="24"/>
          <w:vertAlign w:val="superscript"/>
        </w:rPr>
        <w:t>141</w:t>
      </w:r>
      <w:r w:rsidR="007239EA">
        <w:rPr>
          <w:rFonts w:ascii="Times New Roman" w:eastAsia="Times New Roman" w:hAnsi="Times New Roman" w:cs="Times New Roman"/>
          <w:bCs/>
        </w:rPr>
        <w:fldChar w:fldCharType="end"/>
      </w:r>
      <w:r w:rsidRPr="00690236">
        <w:rPr>
          <w:rFonts w:ascii="Times New Roman" w:eastAsia="Times New Roman" w:hAnsi="Times New Roman" w:cs="Times New Roman"/>
          <w:sz w:val="24"/>
          <w:szCs w:val="24"/>
        </w:rPr>
        <w:t>.</w:t>
      </w:r>
    </w:p>
    <w:p w:rsidR="00302B5D" w:rsidRPr="00BE6393" w:rsidRDefault="00302B5D" w:rsidP="000F18DF">
      <w:pPr>
        <w:spacing w:after="0" w:line="276" w:lineRule="auto"/>
        <w:jc w:val="both"/>
        <w:rPr>
          <w:rFonts w:ascii="Times New Roman" w:eastAsia="Times New Roman" w:hAnsi="Times New Roman" w:cs="Times New Roman"/>
          <w:sz w:val="24"/>
          <w:szCs w:val="24"/>
        </w:rPr>
      </w:pPr>
    </w:p>
    <w:p w:rsidR="002A06CD" w:rsidRPr="000F18DF" w:rsidRDefault="00020657" w:rsidP="000F18DF">
      <w:pPr>
        <w:jc w:val="both"/>
        <w:rPr>
          <w:rFonts w:ascii="Times New Roman" w:eastAsia="Times New Roman" w:hAnsi="Times New Roman" w:cs="Times New Roman"/>
          <w:sz w:val="24"/>
          <w:szCs w:val="24"/>
        </w:rPr>
      </w:pPr>
      <w:r w:rsidRPr="000F18DF">
        <w:rPr>
          <w:rStyle w:val="resultpara0"/>
          <w:rFonts w:ascii="Times New Roman" w:hAnsi="Times New Roman" w:cs="Times New Roman"/>
          <w:b/>
          <w:sz w:val="24"/>
          <w:szCs w:val="24"/>
        </w:rPr>
        <w:t>Fibrinogen</w:t>
      </w:r>
      <w:r w:rsidR="00B06241" w:rsidRPr="000F18DF">
        <w:rPr>
          <w:rStyle w:val="resultpara0"/>
          <w:rFonts w:ascii="Times New Roman" w:hAnsi="Times New Roman" w:cs="Times New Roman"/>
          <w:b/>
          <w:sz w:val="24"/>
          <w:szCs w:val="24"/>
        </w:rPr>
        <w:t xml:space="preserve">: </w:t>
      </w:r>
      <w:r w:rsidR="007506F9" w:rsidRPr="000F18DF">
        <w:rPr>
          <w:rFonts w:ascii="Times New Roman" w:hAnsi="Times New Roman" w:cs="Times New Roman"/>
          <w:sz w:val="24"/>
          <w:szCs w:val="24"/>
        </w:rPr>
        <w:t xml:space="preserve">Fibrinogen, </w:t>
      </w:r>
      <w:r w:rsidR="007506F9" w:rsidRPr="000F18DF">
        <w:rPr>
          <w:rFonts w:ascii="Times New Roman" w:hAnsi="Times New Roman" w:cs="Times New Roman"/>
          <w:bCs/>
          <w:sz w:val="24"/>
          <w:szCs w:val="24"/>
        </w:rPr>
        <w:t>known</w:t>
      </w:r>
      <w:r w:rsidR="007506F9" w:rsidRPr="000F18DF">
        <w:rPr>
          <w:rFonts w:ascii="Times New Roman" w:hAnsi="Times New Roman" w:cs="Times New Roman"/>
          <w:sz w:val="24"/>
          <w:szCs w:val="24"/>
        </w:rPr>
        <w:t xml:space="preserve"> as Factor I in the coagulation cascade, is a ~340 kDa glycoprotein </w:t>
      </w:r>
      <w:r w:rsidR="007506F9" w:rsidRPr="000F18DF">
        <w:rPr>
          <w:rFonts w:ascii="Times New Roman" w:hAnsi="Times New Roman" w:cs="Times New Roman"/>
          <w:bCs/>
          <w:sz w:val="24"/>
          <w:szCs w:val="24"/>
        </w:rPr>
        <w:t>synthesized</w:t>
      </w:r>
      <w:r w:rsidR="007506F9" w:rsidRPr="000F18DF">
        <w:rPr>
          <w:rFonts w:ascii="Times New Roman" w:hAnsi="Times New Roman" w:cs="Times New Roman"/>
          <w:sz w:val="24"/>
          <w:szCs w:val="24"/>
        </w:rPr>
        <w:t xml:space="preserve"> in the liver. The </w:t>
      </w:r>
      <w:r w:rsidR="007506F9" w:rsidRPr="000F18DF">
        <w:rPr>
          <w:rFonts w:ascii="Times New Roman" w:hAnsi="Times New Roman" w:cs="Times New Roman"/>
          <w:bCs/>
          <w:sz w:val="24"/>
          <w:szCs w:val="24"/>
        </w:rPr>
        <w:t>usual</w:t>
      </w:r>
      <w:r w:rsidR="007506F9" w:rsidRPr="000F18DF">
        <w:rPr>
          <w:rFonts w:ascii="Times New Roman" w:hAnsi="Times New Roman" w:cs="Times New Roman"/>
          <w:sz w:val="24"/>
          <w:szCs w:val="24"/>
        </w:rPr>
        <w:t xml:space="preserve"> range of fibrinogen is </w:t>
      </w:r>
      <w:r w:rsidR="007506F9" w:rsidRPr="000F18DF">
        <w:rPr>
          <w:rFonts w:ascii="Times New Roman" w:hAnsi="Times New Roman" w:cs="Times New Roman"/>
          <w:bCs/>
          <w:sz w:val="24"/>
          <w:szCs w:val="24"/>
        </w:rPr>
        <w:t>around</w:t>
      </w:r>
      <w:r w:rsidR="007506F9" w:rsidRPr="000F18DF">
        <w:rPr>
          <w:rFonts w:ascii="Times New Roman" w:hAnsi="Times New Roman" w:cs="Times New Roman"/>
          <w:sz w:val="24"/>
          <w:szCs w:val="24"/>
        </w:rPr>
        <w:t xml:space="preserve"> 2-4 g/L in plasma. The half-life of fibrinogen </w:t>
      </w:r>
      <w:r w:rsidR="007506F9" w:rsidRPr="000F18DF">
        <w:rPr>
          <w:rFonts w:ascii="Times New Roman" w:hAnsi="Times New Roman" w:cs="Times New Roman"/>
          <w:bCs/>
          <w:sz w:val="24"/>
          <w:szCs w:val="24"/>
        </w:rPr>
        <w:t xml:space="preserve">is </w:t>
      </w:r>
      <w:r w:rsidR="00302B5D">
        <w:rPr>
          <w:rFonts w:ascii="Times New Roman" w:hAnsi="Times New Roman" w:cs="Times New Roman"/>
          <w:bCs/>
          <w:sz w:val="24"/>
          <w:szCs w:val="24"/>
        </w:rPr>
        <w:t>nearly</w:t>
      </w:r>
      <w:r w:rsidR="007506F9" w:rsidRPr="000F18DF">
        <w:rPr>
          <w:rFonts w:ascii="Times New Roman" w:hAnsi="Times New Roman" w:cs="Times New Roman"/>
          <w:sz w:val="24"/>
          <w:szCs w:val="24"/>
        </w:rPr>
        <w:t xml:space="preserve"> 3-5 days. Fibrinogen is a vital acute-phase protein that significantly rises during acute inflammation, tissue injury, infections, and chronic inflammatory conditions. It acts as a precursor for clot formation, establishes a framework for wound healing and cell movement, and affects leukocyte adherence and cytokine release. Elevated fibrinogen levels enhance red blood cell aggregation, leading to an increased erythrocyte sedimentation rate (ESR), which is recognized as a common indicator of inflammation. The fibrin network also restricts the physical dissemination of pathogens at infection locations. Fibrinogen is controlled by IL-6, IL-1β, and TNF-α. The level of fibrinogen quickly rises within 24-48 hours during acute infections. It remains consistently high during </w:t>
      </w:r>
      <w:r w:rsidR="009C452D">
        <w:rPr>
          <w:rFonts w:ascii="Times New Roman" w:hAnsi="Times New Roman" w:cs="Times New Roman"/>
          <w:sz w:val="24"/>
          <w:szCs w:val="24"/>
        </w:rPr>
        <w:t>chronic inflammatory conditions</w:t>
      </w:r>
      <w:r w:rsidR="007506F9" w:rsidRPr="000F18DF">
        <w:rPr>
          <w:rFonts w:ascii="Times New Roman" w:hAnsi="Times New Roman" w:cs="Times New Roman"/>
          <w:sz w:val="24"/>
          <w:szCs w:val="24"/>
        </w:rPr>
        <w:t xml:space="preserve">. </w:t>
      </w:r>
      <w:r w:rsidR="000F18DF" w:rsidRPr="000F18DF">
        <w:rPr>
          <w:rFonts w:ascii="Times New Roman" w:eastAsia="Times New Roman" w:hAnsi="Times New Roman" w:cs="Times New Roman"/>
          <w:bCs/>
          <w:sz w:val="24"/>
          <w:szCs w:val="24"/>
        </w:rPr>
        <w:t>Thrombosis</w:t>
      </w:r>
      <w:r w:rsidR="000F18DF" w:rsidRPr="000F18DF">
        <w:rPr>
          <w:rFonts w:ascii="Times New Roman" w:eastAsia="Times New Roman" w:hAnsi="Times New Roman" w:cs="Times New Roman"/>
          <w:sz w:val="24"/>
          <w:szCs w:val="24"/>
        </w:rPr>
        <w:t>, atherosclerosis</w:t>
      </w:r>
      <w:r w:rsidR="000F18DF" w:rsidRPr="000F18DF">
        <w:rPr>
          <w:rFonts w:ascii="Times New Roman" w:eastAsia="Times New Roman" w:hAnsi="Times New Roman" w:cs="Times New Roman"/>
          <w:bCs/>
          <w:sz w:val="24"/>
          <w:szCs w:val="24"/>
        </w:rPr>
        <w:t xml:space="preserve">, </w:t>
      </w:r>
      <w:r w:rsidR="000F18DF" w:rsidRPr="000F18DF">
        <w:rPr>
          <w:rFonts w:ascii="Times New Roman" w:eastAsia="Times New Roman" w:hAnsi="Times New Roman" w:cs="Times New Roman"/>
          <w:sz w:val="24"/>
          <w:szCs w:val="24"/>
        </w:rPr>
        <w:t xml:space="preserve">and venous thromboembolism (VTE) </w:t>
      </w:r>
      <w:r w:rsidR="000F18DF" w:rsidRPr="000F18DF">
        <w:rPr>
          <w:rFonts w:ascii="Times New Roman" w:eastAsia="Times New Roman" w:hAnsi="Times New Roman" w:cs="Times New Roman"/>
          <w:bCs/>
          <w:sz w:val="24"/>
          <w:szCs w:val="24"/>
        </w:rPr>
        <w:t>are cardiovascular diseases that are more likely to occur when fibrinogen levels are high</w:t>
      </w:r>
      <w:r w:rsidR="000F18DF" w:rsidRPr="000F18DF">
        <w:rPr>
          <w:rFonts w:ascii="Times New Roman" w:eastAsia="Times New Roman" w:hAnsi="Times New Roman" w:cs="Times New Roman"/>
          <w:sz w:val="24"/>
          <w:szCs w:val="24"/>
        </w:rPr>
        <w:t xml:space="preserve">. It </w:t>
      </w:r>
      <w:r w:rsidR="000F18DF" w:rsidRPr="000F18DF">
        <w:rPr>
          <w:rFonts w:ascii="Times New Roman" w:eastAsia="Times New Roman" w:hAnsi="Times New Roman" w:cs="Times New Roman"/>
          <w:bCs/>
          <w:sz w:val="24"/>
          <w:szCs w:val="24"/>
        </w:rPr>
        <w:t>mainly rises</w:t>
      </w:r>
      <w:r w:rsidR="000F18DF" w:rsidRPr="000F18DF">
        <w:rPr>
          <w:rFonts w:ascii="Times New Roman" w:eastAsia="Times New Roman" w:hAnsi="Times New Roman" w:cs="Times New Roman"/>
          <w:sz w:val="24"/>
          <w:szCs w:val="24"/>
        </w:rPr>
        <w:t xml:space="preserve"> in sepsis</w:t>
      </w:r>
      <w:r w:rsidR="000F18DF" w:rsidRPr="000F18DF">
        <w:rPr>
          <w:rFonts w:ascii="Times New Roman" w:eastAsia="Times New Roman" w:hAnsi="Times New Roman" w:cs="Times New Roman"/>
          <w:bCs/>
          <w:sz w:val="24"/>
          <w:szCs w:val="24"/>
        </w:rPr>
        <w:t xml:space="preserve">, </w:t>
      </w:r>
      <w:r w:rsidR="000F18DF" w:rsidRPr="000F18DF">
        <w:rPr>
          <w:rFonts w:ascii="Times New Roman" w:eastAsia="Times New Roman" w:hAnsi="Times New Roman" w:cs="Times New Roman"/>
          <w:sz w:val="24"/>
          <w:szCs w:val="24"/>
        </w:rPr>
        <w:t xml:space="preserve">but </w:t>
      </w:r>
      <w:r w:rsidR="000F18DF" w:rsidRPr="000F18DF">
        <w:rPr>
          <w:rFonts w:ascii="Times New Roman" w:eastAsia="Times New Roman" w:hAnsi="Times New Roman" w:cs="Times New Roman"/>
          <w:bCs/>
          <w:sz w:val="24"/>
          <w:szCs w:val="24"/>
        </w:rPr>
        <w:t xml:space="preserve">due to consumption, it </w:t>
      </w:r>
      <w:r w:rsidR="000F18DF" w:rsidRPr="000F18DF">
        <w:rPr>
          <w:rFonts w:ascii="Times New Roman" w:eastAsia="Times New Roman" w:hAnsi="Times New Roman" w:cs="Times New Roman"/>
          <w:sz w:val="24"/>
          <w:szCs w:val="24"/>
        </w:rPr>
        <w:t xml:space="preserve">may </w:t>
      </w:r>
      <w:r w:rsidR="000F18DF" w:rsidRPr="000F18DF">
        <w:rPr>
          <w:rFonts w:ascii="Times New Roman" w:eastAsia="Times New Roman" w:hAnsi="Times New Roman" w:cs="Times New Roman"/>
          <w:bCs/>
          <w:sz w:val="24"/>
          <w:szCs w:val="24"/>
        </w:rPr>
        <w:t>decrease</w:t>
      </w:r>
      <w:r w:rsidR="000F18DF" w:rsidRPr="000F18DF">
        <w:rPr>
          <w:rFonts w:ascii="Times New Roman" w:eastAsia="Times New Roman" w:hAnsi="Times New Roman" w:cs="Times New Roman"/>
          <w:sz w:val="24"/>
          <w:szCs w:val="24"/>
        </w:rPr>
        <w:t xml:space="preserve"> in the later </w:t>
      </w:r>
      <w:r w:rsidR="000F18DF" w:rsidRPr="000F18DF">
        <w:rPr>
          <w:rFonts w:ascii="Times New Roman" w:eastAsia="Times New Roman" w:hAnsi="Times New Roman" w:cs="Times New Roman"/>
          <w:bCs/>
          <w:sz w:val="24"/>
          <w:szCs w:val="24"/>
        </w:rPr>
        <w:t>phases</w:t>
      </w:r>
      <w:r w:rsidR="000F18DF" w:rsidRPr="000F18DF">
        <w:rPr>
          <w:rFonts w:ascii="Times New Roman" w:eastAsia="Times New Roman" w:hAnsi="Times New Roman" w:cs="Times New Roman"/>
          <w:sz w:val="24"/>
          <w:szCs w:val="24"/>
        </w:rPr>
        <w:t xml:space="preserve"> of DIC. </w:t>
      </w:r>
      <w:r w:rsidR="000F18DF" w:rsidRPr="000F18DF">
        <w:rPr>
          <w:rFonts w:ascii="Times New Roman" w:eastAsia="Times New Roman" w:hAnsi="Times New Roman" w:cs="Times New Roman"/>
          <w:bCs/>
          <w:sz w:val="24"/>
          <w:szCs w:val="24"/>
        </w:rPr>
        <w:t>Low</w:t>
      </w:r>
      <w:r w:rsidR="000F18DF" w:rsidRPr="000F18DF">
        <w:rPr>
          <w:rFonts w:ascii="Times New Roman" w:eastAsia="Times New Roman" w:hAnsi="Times New Roman" w:cs="Times New Roman"/>
          <w:sz w:val="24"/>
          <w:szCs w:val="24"/>
        </w:rPr>
        <w:t xml:space="preserve"> fibrinogen levels </w:t>
      </w:r>
      <w:r w:rsidR="000F18DF" w:rsidRPr="000F18DF">
        <w:rPr>
          <w:rFonts w:ascii="Times New Roman" w:eastAsia="Times New Roman" w:hAnsi="Times New Roman" w:cs="Times New Roman"/>
          <w:bCs/>
          <w:sz w:val="24"/>
          <w:szCs w:val="24"/>
        </w:rPr>
        <w:t>also indicate serious</w:t>
      </w:r>
      <w:r w:rsidR="000F18DF" w:rsidRPr="000F18DF">
        <w:rPr>
          <w:rFonts w:ascii="Times New Roman" w:eastAsia="Times New Roman" w:hAnsi="Times New Roman" w:cs="Times New Roman"/>
          <w:sz w:val="24"/>
          <w:szCs w:val="24"/>
        </w:rPr>
        <w:t xml:space="preserve"> hepatic dysfunction </w:t>
      </w:r>
      <w:r w:rsidR="000F18DF" w:rsidRPr="000F18DF">
        <w:rPr>
          <w:rFonts w:ascii="Times New Roman" w:eastAsia="Times New Roman" w:hAnsi="Times New Roman" w:cs="Times New Roman"/>
          <w:bCs/>
          <w:sz w:val="24"/>
          <w:szCs w:val="24"/>
        </w:rPr>
        <w:t>caused by defective</w:t>
      </w:r>
      <w:r w:rsidR="000F18DF" w:rsidRPr="000F18DF">
        <w:rPr>
          <w:rFonts w:ascii="Times New Roman" w:eastAsia="Times New Roman" w:hAnsi="Times New Roman" w:cs="Times New Roman"/>
          <w:sz w:val="24"/>
          <w:szCs w:val="24"/>
        </w:rPr>
        <w:t xml:space="preserve"> synthesis. </w:t>
      </w:r>
      <w:r w:rsidR="006E2666" w:rsidRPr="000F18DF">
        <w:rPr>
          <w:rFonts w:ascii="Times New Roman" w:hAnsi="Times New Roman" w:cs="Times New Roman"/>
          <w:sz w:val="24"/>
          <w:szCs w:val="24"/>
        </w:rPr>
        <w:t xml:space="preserve">As an </w:t>
      </w:r>
      <w:r w:rsidR="000F18DF" w:rsidRPr="000F18DF">
        <w:rPr>
          <w:rFonts w:ascii="Times New Roman" w:hAnsi="Times New Roman" w:cs="Times New Roman"/>
          <w:sz w:val="24"/>
          <w:szCs w:val="24"/>
        </w:rPr>
        <w:t>acute-phase</w:t>
      </w:r>
      <w:r w:rsidR="006E2666" w:rsidRPr="000F18DF">
        <w:rPr>
          <w:rFonts w:ascii="Times New Roman" w:hAnsi="Times New Roman" w:cs="Times New Roman"/>
          <w:sz w:val="24"/>
          <w:szCs w:val="24"/>
        </w:rPr>
        <w:t xml:space="preserve"> reactant, fibrinogen increases during systemic inflammation. Being a component of the coagulation system, it has an essential function in thrombus development, and excessive fibrinogen adds to pro-thrombotic conditions observed in chronic inflammation (e.g. metabolic syndrome)</w:t>
      </w:r>
      <w:r w:rsidR="007239EA" w:rsidRPr="000F18DF">
        <w:rPr>
          <w:rFonts w:ascii="Times New Roman" w:hAnsi="Times New Roman" w:cs="Times New Roman"/>
          <w:sz w:val="24"/>
          <w:szCs w:val="24"/>
        </w:rPr>
        <w:t xml:space="preserve"> </w:t>
      </w:r>
      <w:r w:rsidR="007239EA" w:rsidRPr="000F18DF">
        <w:rPr>
          <w:rFonts w:ascii="Times New Roman" w:eastAsia="Times New Roman" w:hAnsi="Times New Roman" w:cs="Times New Roman"/>
          <w:bCs/>
          <w:sz w:val="24"/>
          <w:szCs w:val="24"/>
        </w:rPr>
        <w:fldChar w:fldCharType="begin"/>
      </w:r>
      <w:r w:rsidR="00B41ACC">
        <w:rPr>
          <w:rFonts w:ascii="Times New Roman" w:eastAsia="Times New Roman" w:hAnsi="Times New Roman" w:cs="Times New Roman"/>
          <w:bCs/>
          <w:sz w:val="24"/>
          <w:szCs w:val="24"/>
        </w:rPr>
        <w:instrText xml:space="preserve"> ADDIN ZOTERO_ITEM CSL_CITATION {"citationID":"0Kya3HtJ","properties":{"formattedCitation":"\\super 140\\nosupersub{}","plainCitation":"140","noteIndex":0},"citationItems":[{"id":1086,"uris":["http://zotero.org/users/local/BfzbJtgR/items/N5HE4EPS"],"itemData":{"id":1086,"type":"article-journal","container-title":"Journal of Thrombosis and Haemostasis","DOI":"10.1016/j.jtha.2023.08.014","ISSN":"15387836","issue":"11","journalAbbreviation":"Journal of Thrombosis and Haemostasis","language":"en","page":"3005-3015","source":"DOI.org (Crossref)","title":"Fibrinogen and fibrin: synthesis, structure, and function in health and disease","title-short":"Fibrinogen and fibrin","volume":"21","author":[{"family":"Wolberg","given":"Alisa S."}],"issued":{"date-parts":[["2023",11]]}}}],"schema":"https://github.com/citation-style-language/schema/raw/master/csl-citation.json"} </w:instrText>
      </w:r>
      <w:r w:rsidR="007239EA" w:rsidRPr="000F18DF">
        <w:rPr>
          <w:rFonts w:ascii="Times New Roman" w:eastAsia="Times New Roman" w:hAnsi="Times New Roman" w:cs="Times New Roman"/>
          <w:bCs/>
          <w:sz w:val="24"/>
          <w:szCs w:val="24"/>
        </w:rPr>
        <w:fldChar w:fldCharType="separate"/>
      </w:r>
      <w:r w:rsidR="00B41ACC" w:rsidRPr="00B41ACC">
        <w:rPr>
          <w:rFonts w:ascii="Times New Roman" w:hAnsi="Times New Roman" w:cs="Times New Roman"/>
          <w:sz w:val="24"/>
          <w:szCs w:val="24"/>
          <w:vertAlign w:val="superscript"/>
        </w:rPr>
        <w:t>140</w:t>
      </w:r>
      <w:r w:rsidR="007239EA" w:rsidRPr="000F18DF">
        <w:rPr>
          <w:rFonts w:ascii="Times New Roman" w:eastAsia="Times New Roman" w:hAnsi="Times New Roman" w:cs="Times New Roman"/>
          <w:bCs/>
          <w:sz w:val="24"/>
          <w:szCs w:val="24"/>
        </w:rPr>
        <w:fldChar w:fldCharType="end"/>
      </w:r>
      <w:r w:rsidR="006E2666" w:rsidRPr="000F18DF">
        <w:rPr>
          <w:rFonts w:ascii="Times New Roman" w:hAnsi="Times New Roman" w:cs="Times New Roman"/>
          <w:sz w:val="24"/>
          <w:szCs w:val="24"/>
        </w:rPr>
        <w:t xml:space="preserve">. </w:t>
      </w:r>
    </w:p>
    <w:p w:rsidR="00C930EE" w:rsidRPr="00B06241" w:rsidRDefault="0085164B" w:rsidP="00F861EB">
      <w:pPr>
        <w:pStyle w:val="Standard"/>
        <w:suppressAutoHyphens w:val="0"/>
        <w:spacing w:before="280" w:after="280" w:line="276" w:lineRule="auto"/>
        <w:jc w:val="both"/>
        <w:textAlignment w:val="auto"/>
        <w:rPr>
          <w:rStyle w:val="resultpara0"/>
          <w:b/>
        </w:rPr>
      </w:pPr>
      <w:r w:rsidRPr="0085164B">
        <w:rPr>
          <w:b/>
        </w:rPr>
        <w:t>Haptoglobin</w:t>
      </w:r>
      <w:r w:rsidR="00B06241">
        <w:rPr>
          <w:b/>
        </w:rPr>
        <w:t xml:space="preserve">: </w:t>
      </w:r>
      <w:r w:rsidR="007D264E">
        <w:rPr>
          <w:rStyle w:val="match"/>
        </w:rPr>
        <w:t xml:space="preserve">Haptoglobin </w:t>
      </w:r>
      <w:r w:rsidR="004B0BDD">
        <w:rPr>
          <w:rStyle w:val="match"/>
        </w:rPr>
        <w:t>is also generated during a</w:t>
      </w:r>
      <w:r>
        <w:rPr>
          <w:rStyle w:val="match"/>
        </w:rPr>
        <w:t xml:space="preserve"> certain extra-hepatic tissues, including the skin and lungs. The standard ra</w:t>
      </w:r>
      <w:r w:rsidR="00EA2558">
        <w:rPr>
          <w:rStyle w:val="match"/>
        </w:rPr>
        <w:t>nge in adults is: 30-200 m</w:t>
      </w:r>
      <w:r w:rsidR="00CE28E6">
        <w:rPr>
          <w:rStyle w:val="match"/>
        </w:rPr>
        <w:t>g/dL.</w:t>
      </w:r>
      <w:r w:rsidR="00EA2558">
        <w:rPr>
          <w:rStyle w:val="match"/>
        </w:rPr>
        <w:t xml:space="preserve"> However, </w:t>
      </w:r>
      <w:r>
        <w:rPr>
          <w:rStyle w:val="match"/>
        </w:rPr>
        <w:t>it varies slightly depend</w:t>
      </w:r>
      <w:r w:rsidR="00EA2558">
        <w:rPr>
          <w:rStyle w:val="match"/>
        </w:rPr>
        <w:t>ing on the population and assay</w:t>
      </w:r>
      <w:r>
        <w:rPr>
          <w:rStyle w:val="match"/>
        </w:rPr>
        <w:t>. The half-life is approximately 5 days (though it is significantly shorter when bound to hemoglo</w:t>
      </w:r>
      <w:r w:rsidR="002A1764">
        <w:rPr>
          <w:rStyle w:val="match"/>
        </w:rPr>
        <w:t xml:space="preserve">bin, about 20 minutes). It is composed from </w:t>
      </w:r>
      <w:r>
        <w:rPr>
          <w:rStyle w:val="match"/>
        </w:rPr>
        <w:t xml:space="preserve">glycoprotein </w:t>
      </w:r>
      <w:r w:rsidR="002A1764">
        <w:rPr>
          <w:rStyle w:val="match"/>
        </w:rPr>
        <w:t>as</w:t>
      </w:r>
      <w:r>
        <w:rPr>
          <w:rStyle w:val="match"/>
        </w:rPr>
        <w:t xml:space="preserve"> α and β chains, creating Hp1-1, Hp2-1, or Hp2-2 phenotypes, which are determined by genetically. </w:t>
      </w:r>
      <w:r w:rsidR="00CE28E6" w:rsidRPr="00CE28E6">
        <w:rPr>
          <w:rStyle w:val="resultpara0"/>
        </w:rPr>
        <w:t xml:space="preserve">Haptoglobin is </w:t>
      </w:r>
      <w:r w:rsidR="00CE28E6" w:rsidRPr="00CE28E6">
        <w:rPr>
          <w:rStyle w:val="resultpara0"/>
          <w:bCs/>
        </w:rPr>
        <w:t>significantly increased</w:t>
      </w:r>
      <w:r w:rsidR="00CE28E6" w:rsidRPr="00CE28E6">
        <w:rPr>
          <w:rStyle w:val="resultpara0"/>
        </w:rPr>
        <w:t xml:space="preserve"> during inflammation, infection, and tissue </w:t>
      </w:r>
      <w:r w:rsidR="00CE28E6" w:rsidRPr="00CE28E6">
        <w:rPr>
          <w:rStyle w:val="resultpara0"/>
          <w:bCs/>
        </w:rPr>
        <w:t>damage</w:t>
      </w:r>
      <w:r w:rsidR="00CE28E6" w:rsidRPr="00CE28E6">
        <w:rPr>
          <w:rStyle w:val="resultpara0"/>
        </w:rPr>
        <w:t>.</w:t>
      </w:r>
      <w:r w:rsidR="00CE28E6" w:rsidRPr="00CE28E6">
        <w:t xml:space="preserve"> </w:t>
      </w:r>
      <w:r w:rsidR="000342DD">
        <w:rPr>
          <w:rStyle w:val="resultpara2"/>
        </w:rPr>
        <w:t>It’s</w:t>
      </w:r>
      <w:r w:rsidR="009F23EE">
        <w:rPr>
          <w:rStyle w:val="resultpara2"/>
        </w:rPr>
        <w:t xml:space="preserve"> most distinctive and essential function is to bind free hemoglobin (Hb) </w:t>
      </w:r>
      <w:r w:rsidR="00CE28E6" w:rsidRPr="00CE28E6">
        <w:rPr>
          <w:rStyle w:val="resultpara2"/>
        </w:rPr>
        <w:t>released during intravascular hemolysis.</w:t>
      </w:r>
      <w:r w:rsidR="00CE28E6">
        <w:rPr>
          <w:rStyle w:val="resultpara2"/>
        </w:rPr>
        <w:t xml:space="preserve"> It is a </w:t>
      </w:r>
      <w:r w:rsidR="007F4E24">
        <w:rPr>
          <w:rStyle w:val="resultpara2"/>
        </w:rPr>
        <w:t>hemoglobin</w:t>
      </w:r>
      <w:r w:rsidR="00CE28E6" w:rsidRPr="00CE28E6">
        <w:rPr>
          <w:rStyle w:val="resultpara2"/>
        </w:rPr>
        <w:t xml:space="preserve"> </w:t>
      </w:r>
      <w:r w:rsidR="00CE28E6">
        <w:rPr>
          <w:rStyle w:val="resultpara2"/>
        </w:rPr>
        <w:t xml:space="preserve">scavenger that </w:t>
      </w:r>
      <w:r w:rsidR="00CE28E6">
        <w:t xml:space="preserve">binds free Hb, forming stable </w:t>
      </w:r>
      <w:r w:rsidR="00CE28E6" w:rsidRPr="00CE28E6">
        <w:rPr>
          <w:rStyle w:val="Strong"/>
          <w:b w:val="0"/>
        </w:rPr>
        <w:t>Hp-Hb complexes</w:t>
      </w:r>
      <w:r w:rsidR="000F18DF">
        <w:rPr>
          <w:b/>
        </w:rPr>
        <w:t>.</w:t>
      </w:r>
      <w:r w:rsidR="00CE28E6">
        <w:rPr>
          <w:b/>
        </w:rPr>
        <w:t xml:space="preserve"> </w:t>
      </w:r>
      <w:r w:rsidR="000342DD">
        <w:t>Free</w:t>
      </w:r>
      <w:r w:rsidR="00CE28E6">
        <w:t xml:space="preserve"> Hb is a potent oxidant, causing tissue injury as Hp neutralizes this. Moreover, Hp-Hb complexes are removed through CD163 receptors on macrophages, facilitating the efficient recycling of iron. </w:t>
      </w:r>
      <w:r w:rsidR="00CE28E6" w:rsidRPr="00CE28E6">
        <w:t xml:space="preserve">Haptoglobin prevents Hb-mediated free radical generation, it protects tissues from </w:t>
      </w:r>
      <w:r w:rsidR="00CE28E6" w:rsidRPr="00CE28E6">
        <w:rPr>
          <w:rStyle w:val="Strong"/>
          <w:b w:val="0"/>
        </w:rPr>
        <w:t>oxidative stress</w:t>
      </w:r>
      <w:r w:rsidR="00CE28E6" w:rsidRPr="00CE28E6">
        <w:rPr>
          <w:b/>
        </w:rPr>
        <w:t>.</w:t>
      </w:r>
      <w:r w:rsidR="00CE28E6">
        <w:rPr>
          <w:b/>
        </w:rPr>
        <w:t xml:space="preserve"> </w:t>
      </w:r>
      <w:r w:rsidR="00CE28E6" w:rsidRPr="00CE28E6">
        <w:t xml:space="preserve">In addition, it </w:t>
      </w:r>
      <w:r w:rsidR="00A22587">
        <w:t xml:space="preserve">crucial </w:t>
      </w:r>
      <w:r w:rsidR="00CE28E6" w:rsidRPr="00CE28E6">
        <w:t xml:space="preserve">role in immune modulation during infection. </w:t>
      </w:r>
      <w:r w:rsidR="0066043E">
        <w:t>Haptoglobin</w:t>
      </w:r>
      <w:r w:rsidR="00CE28E6">
        <w:t xml:space="preserve"> is driven by cytokines such as IL-6, IL -1</w:t>
      </w:r>
      <w:r w:rsidR="00CE28E6" w:rsidRPr="00CE28E6">
        <w:rPr>
          <w:rFonts w:ascii="Times New Roman" w:eastAsia="Times New Roman" w:hAnsi="Times New Roman" w:cs="Times New Roman"/>
        </w:rPr>
        <w:t>β</w:t>
      </w:r>
      <w:r w:rsidR="00CE28E6">
        <w:rPr>
          <w:rFonts w:ascii="Times New Roman" w:eastAsia="Times New Roman" w:hAnsi="Times New Roman" w:cs="Times New Roman"/>
        </w:rPr>
        <w:t xml:space="preserve"> and TNF- </w:t>
      </w:r>
      <w:r w:rsidR="00CE28E6" w:rsidRPr="00CE28E6">
        <w:rPr>
          <w:rFonts w:ascii="Times New Roman" w:eastAsia="Times New Roman" w:hAnsi="Times New Roman" w:cs="Times New Roman"/>
          <w:kern w:val="0"/>
          <w:lang w:eastAsia="en-US" w:bidi="ar-SA"/>
        </w:rPr>
        <w:t>α</w:t>
      </w:r>
      <w:r w:rsidR="00CE28E6">
        <w:rPr>
          <w:rFonts w:ascii="Times New Roman" w:eastAsia="Times New Roman" w:hAnsi="Times New Roman" w:cs="Times New Roman"/>
          <w:kern w:val="0"/>
          <w:lang w:eastAsia="en-US" w:bidi="ar-SA"/>
        </w:rPr>
        <w:t xml:space="preserve">. </w:t>
      </w:r>
      <w:r w:rsidR="00A7494E" w:rsidRPr="00A7494E">
        <w:rPr>
          <w:rFonts w:ascii="Times New Roman" w:eastAsia="Times New Roman" w:hAnsi="Times New Roman" w:cs="Times New Roman"/>
          <w:kern w:val="0"/>
          <w:lang w:eastAsia="en-US" w:bidi="ar-SA"/>
        </w:rPr>
        <w:t xml:space="preserve">It is </w:t>
      </w:r>
      <w:r w:rsidR="00A7494E" w:rsidRPr="00A7494E">
        <w:rPr>
          <w:rFonts w:ascii="Times New Roman" w:eastAsia="Times New Roman" w:hAnsi="Times New Roman" w:cs="Times New Roman"/>
          <w:bCs/>
          <w:kern w:val="0"/>
          <w:lang w:eastAsia="en-US" w:bidi="ar-SA"/>
        </w:rPr>
        <w:t>observed</w:t>
      </w:r>
      <w:r w:rsidR="00A7494E" w:rsidRPr="00A7494E">
        <w:rPr>
          <w:rFonts w:ascii="Times New Roman" w:eastAsia="Times New Roman" w:hAnsi="Times New Roman" w:cs="Times New Roman"/>
          <w:kern w:val="0"/>
          <w:lang w:eastAsia="en-US" w:bidi="ar-SA"/>
        </w:rPr>
        <w:t xml:space="preserve"> to </w:t>
      </w:r>
      <w:r w:rsidR="00A7494E" w:rsidRPr="00A7494E">
        <w:rPr>
          <w:rFonts w:ascii="Times New Roman" w:eastAsia="Times New Roman" w:hAnsi="Times New Roman" w:cs="Times New Roman"/>
          <w:bCs/>
          <w:kern w:val="0"/>
          <w:lang w:eastAsia="en-US" w:bidi="ar-SA"/>
        </w:rPr>
        <w:t>rise</w:t>
      </w:r>
      <w:r w:rsidR="00A7494E">
        <w:rPr>
          <w:rFonts w:ascii="Times New Roman" w:eastAsia="Times New Roman" w:hAnsi="Times New Roman" w:cs="Times New Roman"/>
          <w:kern w:val="0"/>
          <w:lang w:eastAsia="en-US" w:bidi="ar-SA"/>
        </w:rPr>
        <w:t xml:space="preserve"> significantly as positive APP</w:t>
      </w:r>
      <w:r w:rsidR="00A7494E" w:rsidRPr="00A7494E">
        <w:rPr>
          <w:rFonts w:ascii="Times New Roman" w:eastAsia="Times New Roman" w:hAnsi="Times New Roman" w:cs="Times New Roman"/>
          <w:kern w:val="0"/>
          <w:lang w:eastAsia="en-US" w:bidi="ar-SA"/>
        </w:rPr>
        <w:t xml:space="preserve"> </w:t>
      </w:r>
      <w:r w:rsidR="00A7494E" w:rsidRPr="00A7494E">
        <w:rPr>
          <w:rFonts w:ascii="Times New Roman" w:eastAsia="Times New Roman" w:hAnsi="Times New Roman" w:cs="Times New Roman"/>
          <w:bCs/>
          <w:kern w:val="0"/>
          <w:lang w:eastAsia="en-US" w:bidi="ar-SA"/>
        </w:rPr>
        <w:t>during</w:t>
      </w:r>
      <w:r w:rsidR="00A7494E" w:rsidRPr="00A7494E">
        <w:rPr>
          <w:rFonts w:ascii="Times New Roman" w:eastAsia="Times New Roman" w:hAnsi="Times New Roman" w:cs="Times New Roman"/>
          <w:kern w:val="0"/>
          <w:lang w:eastAsia="en-US" w:bidi="ar-SA"/>
        </w:rPr>
        <w:t xml:space="preserve"> acute infection. </w:t>
      </w:r>
      <w:r w:rsidR="00A7494E" w:rsidRPr="00A7494E">
        <w:rPr>
          <w:rFonts w:ascii="Times New Roman" w:eastAsia="Times New Roman" w:hAnsi="Times New Roman" w:cs="Times New Roman"/>
          <w:bCs/>
          <w:kern w:val="0"/>
          <w:lang w:eastAsia="en-US" w:bidi="ar-SA"/>
        </w:rPr>
        <w:t>Nevertheless</w:t>
      </w:r>
      <w:r w:rsidR="00A7494E" w:rsidRPr="00A7494E">
        <w:rPr>
          <w:rFonts w:ascii="Times New Roman" w:eastAsia="Times New Roman" w:hAnsi="Times New Roman" w:cs="Times New Roman"/>
          <w:kern w:val="0"/>
          <w:lang w:eastAsia="en-US" w:bidi="ar-SA"/>
        </w:rPr>
        <w:t xml:space="preserve">, it </w:t>
      </w:r>
      <w:r w:rsidR="00A7494E" w:rsidRPr="00A7494E">
        <w:rPr>
          <w:rFonts w:ascii="Times New Roman" w:eastAsia="Times New Roman" w:hAnsi="Times New Roman" w:cs="Times New Roman"/>
          <w:bCs/>
          <w:kern w:val="0"/>
          <w:lang w:eastAsia="en-US" w:bidi="ar-SA"/>
        </w:rPr>
        <w:t>diminishes quickly</w:t>
      </w:r>
      <w:r w:rsidR="00A7494E" w:rsidRPr="00A7494E">
        <w:rPr>
          <w:rFonts w:ascii="Times New Roman" w:eastAsia="Times New Roman" w:hAnsi="Times New Roman" w:cs="Times New Roman"/>
          <w:kern w:val="0"/>
          <w:lang w:eastAsia="en-US" w:bidi="ar-SA"/>
        </w:rPr>
        <w:t xml:space="preserve"> as it </w:t>
      </w:r>
      <w:r w:rsidR="00A7494E" w:rsidRPr="00A7494E">
        <w:rPr>
          <w:rFonts w:ascii="Times New Roman" w:eastAsia="Times New Roman" w:hAnsi="Times New Roman" w:cs="Times New Roman"/>
          <w:bCs/>
          <w:kern w:val="0"/>
          <w:lang w:eastAsia="en-US" w:bidi="ar-SA"/>
        </w:rPr>
        <w:t>attaches to</w:t>
      </w:r>
      <w:r w:rsidR="00A7494E" w:rsidRPr="00A7494E">
        <w:rPr>
          <w:rFonts w:ascii="Times New Roman" w:eastAsia="Times New Roman" w:hAnsi="Times New Roman" w:cs="Times New Roman"/>
          <w:kern w:val="0"/>
          <w:lang w:eastAsia="en-US" w:bidi="ar-SA"/>
        </w:rPr>
        <w:t xml:space="preserve"> free Hb </w:t>
      </w:r>
      <w:r w:rsidR="00A7494E" w:rsidRPr="00A7494E">
        <w:rPr>
          <w:rFonts w:ascii="Times New Roman" w:eastAsia="Times New Roman" w:hAnsi="Times New Roman" w:cs="Times New Roman"/>
          <w:bCs/>
          <w:kern w:val="0"/>
          <w:lang w:eastAsia="en-US" w:bidi="ar-SA"/>
        </w:rPr>
        <w:t>because</w:t>
      </w:r>
      <w:r w:rsidR="00A7494E" w:rsidRPr="00A7494E">
        <w:rPr>
          <w:rFonts w:ascii="Times New Roman" w:eastAsia="Times New Roman" w:hAnsi="Times New Roman" w:cs="Times New Roman"/>
          <w:kern w:val="0"/>
          <w:lang w:eastAsia="en-US" w:bidi="ar-SA"/>
        </w:rPr>
        <w:t xml:space="preserve"> severe hemolysis can </w:t>
      </w:r>
      <w:r w:rsidR="00A7494E" w:rsidRPr="00A7494E">
        <w:rPr>
          <w:rFonts w:ascii="Times New Roman" w:eastAsia="Times New Roman" w:hAnsi="Times New Roman" w:cs="Times New Roman"/>
          <w:bCs/>
          <w:kern w:val="0"/>
          <w:lang w:eastAsia="en-US" w:bidi="ar-SA"/>
        </w:rPr>
        <w:t>lead to</w:t>
      </w:r>
      <w:r w:rsidR="00051DE1">
        <w:rPr>
          <w:rFonts w:ascii="Times New Roman" w:eastAsia="Times New Roman" w:hAnsi="Times New Roman" w:cs="Times New Roman"/>
          <w:kern w:val="0"/>
          <w:lang w:eastAsia="en-US" w:bidi="ar-SA"/>
        </w:rPr>
        <w:t xml:space="preserve"> undetectable Hb</w:t>
      </w:r>
      <w:r w:rsidR="00A7494E" w:rsidRPr="00A7494E">
        <w:rPr>
          <w:rFonts w:ascii="Times New Roman" w:eastAsia="Times New Roman" w:hAnsi="Times New Roman" w:cs="Times New Roman"/>
          <w:kern w:val="0"/>
          <w:lang w:eastAsia="en-US" w:bidi="ar-SA"/>
        </w:rPr>
        <w:t xml:space="preserve"> in intravascular </w:t>
      </w:r>
      <w:r w:rsidR="00A7494E" w:rsidRPr="00A7494E">
        <w:rPr>
          <w:rFonts w:ascii="Times New Roman" w:eastAsia="Times New Roman" w:hAnsi="Times New Roman" w:cs="Times New Roman"/>
          <w:bCs/>
          <w:kern w:val="0"/>
          <w:lang w:eastAsia="en-US" w:bidi="ar-SA"/>
        </w:rPr>
        <w:t>hemolysis</w:t>
      </w:r>
      <w:r w:rsidR="00A7494E" w:rsidRPr="00A7494E">
        <w:rPr>
          <w:rFonts w:ascii="Times New Roman" w:eastAsia="Times New Roman" w:hAnsi="Times New Roman" w:cs="Times New Roman"/>
          <w:kern w:val="0"/>
          <w:lang w:eastAsia="en-US" w:bidi="ar-SA"/>
        </w:rPr>
        <w:t xml:space="preserve"> (e.g., hemolytic </w:t>
      </w:r>
      <w:r w:rsidR="007F4E24">
        <w:rPr>
          <w:rFonts w:ascii="Times New Roman" w:eastAsia="Times New Roman" w:hAnsi="Times New Roman" w:cs="Times New Roman"/>
          <w:kern w:val="0"/>
          <w:lang w:eastAsia="en-US" w:bidi="ar-SA"/>
        </w:rPr>
        <w:t>anemia</w:t>
      </w:r>
      <w:r w:rsidR="00A7494E" w:rsidRPr="00A7494E">
        <w:rPr>
          <w:rFonts w:ascii="Times New Roman" w:eastAsia="Times New Roman" w:hAnsi="Times New Roman" w:cs="Times New Roman"/>
          <w:kern w:val="0"/>
          <w:lang w:eastAsia="en-US" w:bidi="ar-SA"/>
        </w:rPr>
        <w:t xml:space="preserve">). In </w:t>
      </w:r>
      <w:r w:rsidR="00A7494E" w:rsidRPr="00A7494E">
        <w:rPr>
          <w:rFonts w:ascii="Times New Roman" w:eastAsia="Times New Roman" w:hAnsi="Times New Roman" w:cs="Times New Roman"/>
          <w:bCs/>
          <w:kern w:val="0"/>
          <w:lang w:eastAsia="en-US" w:bidi="ar-SA"/>
        </w:rPr>
        <w:t xml:space="preserve">cases of </w:t>
      </w:r>
      <w:r w:rsidR="00A7494E" w:rsidRPr="00A7494E">
        <w:rPr>
          <w:rFonts w:ascii="Times New Roman" w:eastAsia="Times New Roman" w:hAnsi="Times New Roman" w:cs="Times New Roman"/>
          <w:kern w:val="0"/>
          <w:lang w:eastAsia="en-US" w:bidi="ar-SA"/>
        </w:rPr>
        <w:t>extravascular hemolysis</w:t>
      </w:r>
      <w:r w:rsidR="00A7494E" w:rsidRPr="00A7494E">
        <w:rPr>
          <w:rFonts w:ascii="Times New Roman" w:eastAsia="Times New Roman" w:hAnsi="Times New Roman" w:cs="Times New Roman"/>
          <w:bCs/>
          <w:kern w:val="0"/>
          <w:lang w:eastAsia="en-US" w:bidi="ar-SA"/>
        </w:rPr>
        <w:t>, it is typically</w:t>
      </w:r>
      <w:r w:rsidR="00A7494E" w:rsidRPr="00A7494E">
        <w:rPr>
          <w:rFonts w:ascii="Times New Roman" w:eastAsia="Times New Roman" w:hAnsi="Times New Roman" w:cs="Times New Roman"/>
          <w:kern w:val="0"/>
          <w:lang w:eastAsia="en-US" w:bidi="ar-SA"/>
        </w:rPr>
        <w:t xml:space="preserve"> normal since Hb is </w:t>
      </w:r>
      <w:r w:rsidR="00A7494E" w:rsidRPr="00A7494E">
        <w:rPr>
          <w:rFonts w:ascii="Times New Roman" w:eastAsia="Times New Roman" w:hAnsi="Times New Roman" w:cs="Times New Roman"/>
          <w:bCs/>
          <w:kern w:val="0"/>
          <w:lang w:eastAsia="en-US" w:bidi="ar-SA"/>
        </w:rPr>
        <w:t>removed</w:t>
      </w:r>
      <w:r w:rsidR="00A7494E" w:rsidRPr="00A7494E">
        <w:rPr>
          <w:rFonts w:ascii="Times New Roman" w:eastAsia="Times New Roman" w:hAnsi="Times New Roman" w:cs="Times New Roman"/>
          <w:kern w:val="0"/>
          <w:lang w:eastAsia="en-US" w:bidi="ar-SA"/>
        </w:rPr>
        <w:t xml:space="preserve"> by the spleen</w:t>
      </w:r>
      <w:r w:rsidR="00A7494E" w:rsidRPr="00A7494E">
        <w:rPr>
          <w:rFonts w:ascii="Times New Roman" w:eastAsia="Times New Roman" w:hAnsi="Times New Roman" w:cs="Times New Roman"/>
          <w:bCs/>
          <w:kern w:val="0"/>
          <w:lang w:eastAsia="en-US" w:bidi="ar-SA"/>
        </w:rPr>
        <w:t xml:space="preserve"> and</w:t>
      </w:r>
      <w:r w:rsidR="00A7494E" w:rsidRPr="00A7494E">
        <w:rPr>
          <w:rFonts w:ascii="Times New Roman" w:eastAsia="Times New Roman" w:hAnsi="Times New Roman" w:cs="Times New Roman"/>
          <w:kern w:val="0"/>
          <w:lang w:eastAsia="en-US" w:bidi="ar-SA"/>
        </w:rPr>
        <w:t xml:space="preserve"> not </w:t>
      </w:r>
      <w:r w:rsidR="00A7494E" w:rsidRPr="00A7494E">
        <w:rPr>
          <w:rFonts w:ascii="Times New Roman" w:eastAsia="Times New Roman" w:hAnsi="Times New Roman" w:cs="Times New Roman"/>
          <w:bCs/>
          <w:kern w:val="0"/>
          <w:lang w:eastAsia="en-US" w:bidi="ar-SA"/>
        </w:rPr>
        <w:t>found</w:t>
      </w:r>
      <w:r w:rsidR="00A7494E" w:rsidRPr="00A7494E">
        <w:rPr>
          <w:rFonts w:ascii="Times New Roman" w:eastAsia="Times New Roman" w:hAnsi="Times New Roman" w:cs="Times New Roman"/>
          <w:kern w:val="0"/>
          <w:lang w:eastAsia="en-US" w:bidi="ar-SA"/>
        </w:rPr>
        <w:t xml:space="preserve"> in </w:t>
      </w:r>
      <w:r w:rsidR="00A7494E" w:rsidRPr="00A7494E">
        <w:rPr>
          <w:rFonts w:ascii="Times New Roman" w:eastAsia="Times New Roman" w:hAnsi="Times New Roman" w:cs="Times New Roman"/>
          <w:bCs/>
          <w:kern w:val="0"/>
          <w:lang w:eastAsia="en-US" w:bidi="ar-SA"/>
        </w:rPr>
        <w:t xml:space="preserve">the </w:t>
      </w:r>
      <w:r w:rsidR="00A7494E" w:rsidRPr="00A7494E">
        <w:rPr>
          <w:rFonts w:ascii="Times New Roman" w:eastAsia="Times New Roman" w:hAnsi="Times New Roman" w:cs="Times New Roman"/>
          <w:kern w:val="0"/>
          <w:lang w:eastAsia="en-US" w:bidi="ar-SA"/>
        </w:rPr>
        <w:t xml:space="preserve">plasma. It is </w:t>
      </w:r>
      <w:r w:rsidR="00A7494E" w:rsidRPr="00A7494E">
        <w:rPr>
          <w:rFonts w:ascii="Times New Roman" w:eastAsia="Times New Roman" w:hAnsi="Times New Roman" w:cs="Times New Roman"/>
          <w:bCs/>
          <w:kern w:val="0"/>
          <w:lang w:eastAsia="en-US" w:bidi="ar-SA"/>
        </w:rPr>
        <w:t>noted that there is</w:t>
      </w:r>
      <w:r w:rsidR="00A7494E" w:rsidRPr="00A7494E">
        <w:rPr>
          <w:rFonts w:ascii="Times New Roman" w:eastAsia="Times New Roman" w:hAnsi="Times New Roman" w:cs="Times New Roman"/>
          <w:kern w:val="0"/>
          <w:lang w:eastAsia="en-US" w:bidi="ar-SA"/>
        </w:rPr>
        <w:t xml:space="preserve"> a </w:t>
      </w:r>
      <w:r w:rsidR="00A7494E" w:rsidRPr="00A7494E">
        <w:rPr>
          <w:rFonts w:ascii="Times New Roman" w:eastAsia="Times New Roman" w:hAnsi="Times New Roman" w:cs="Times New Roman"/>
          <w:bCs/>
          <w:kern w:val="0"/>
          <w:lang w:eastAsia="en-US" w:bidi="ar-SA"/>
        </w:rPr>
        <w:t>decrease</w:t>
      </w:r>
      <w:r w:rsidR="00A7494E" w:rsidRPr="00A7494E">
        <w:rPr>
          <w:rFonts w:ascii="Times New Roman" w:eastAsia="Times New Roman" w:hAnsi="Times New Roman" w:cs="Times New Roman"/>
          <w:kern w:val="0"/>
          <w:lang w:eastAsia="en-US" w:bidi="ar-SA"/>
        </w:rPr>
        <w:t xml:space="preserve"> in severe liver dysfunction due to </w:t>
      </w:r>
      <w:r w:rsidR="00A7494E" w:rsidRPr="00A7494E">
        <w:rPr>
          <w:rFonts w:ascii="Times New Roman" w:eastAsia="Times New Roman" w:hAnsi="Times New Roman" w:cs="Times New Roman"/>
          <w:bCs/>
          <w:kern w:val="0"/>
          <w:lang w:eastAsia="en-US" w:bidi="ar-SA"/>
        </w:rPr>
        <w:t>decreased</w:t>
      </w:r>
      <w:r w:rsidR="00A7494E" w:rsidRPr="00A7494E">
        <w:rPr>
          <w:rFonts w:ascii="Times New Roman" w:eastAsia="Times New Roman" w:hAnsi="Times New Roman" w:cs="Times New Roman"/>
          <w:kern w:val="0"/>
          <w:lang w:eastAsia="en-US" w:bidi="ar-SA"/>
        </w:rPr>
        <w:t xml:space="preserve"> synthesis. Haptoglobin is </w:t>
      </w:r>
      <w:r w:rsidR="00A7494E" w:rsidRPr="00A7494E">
        <w:rPr>
          <w:rFonts w:ascii="Times New Roman" w:eastAsia="Times New Roman" w:hAnsi="Times New Roman" w:cs="Times New Roman"/>
          <w:bCs/>
          <w:kern w:val="0"/>
          <w:lang w:eastAsia="en-US" w:bidi="ar-SA"/>
        </w:rPr>
        <w:t>identified to be in</w:t>
      </w:r>
      <w:r w:rsidR="00A7494E" w:rsidRPr="00A7494E">
        <w:rPr>
          <w:rFonts w:ascii="Times New Roman" w:eastAsia="Times New Roman" w:hAnsi="Times New Roman" w:cs="Times New Roman"/>
          <w:kern w:val="0"/>
          <w:lang w:eastAsia="en-US" w:bidi="ar-SA"/>
        </w:rPr>
        <w:t xml:space="preserve"> low concentration in urine in nephrotic syndrome. </w:t>
      </w:r>
      <w:r w:rsidR="00A7494E" w:rsidRPr="00A7494E">
        <w:rPr>
          <w:rFonts w:ascii="Times New Roman" w:eastAsia="Times New Roman" w:hAnsi="Times New Roman" w:cs="Times New Roman"/>
          <w:bCs/>
          <w:kern w:val="0"/>
          <w:lang w:eastAsia="en-US" w:bidi="ar-SA"/>
        </w:rPr>
        <w:t>However</w:t>
      </w:r>
      <w:r w:rsidR="00A7494E" w:rsidRPr="00A7494E">
        <w:rPr>
          <w:rFonts w:ascii="Times New Roman" w:eastAsia="Times New Roman" w:hAnsi="Times New Roman" w:cs="Times New Roman"/>
          <w:kern w:val="0"/>
          <w:lang w:eastAsia="en-US" w:bidi="ar-SA"/>
        </w:rPr>
        <w:t xml:space="preserve">, it </w:t>
      </w:r>
      <w:r w:rsidR="00A7494E" w:rsidRPr="00A7494E">
        <w:rPr>
          <w:rFonts w:ascii="Times New Roman" w:eastAsia="Times New Roman" w:hAnsi="Times New Roman" w:cs="Times New Roman"/>
          <w:bCs/>
          <w:kern w:val="0"/>
          <w:lang w:eastAsia="en-US" w:bidi="ar-SA"/>
        </w:rPr>
        <w:t>remains consistently</w:t>
      </w:r>
      <w:r w:rsidR="00A7494E" w:rsidRPr="00A7494E">
        <w:rPr>
          <w:rFonts w:ascii="Times New Roman" w:eastAsia="Times New Roman" w:hAnsi="Times New Roman" w:cs="Times New Roman"/>
          <w:kern w:val="0"/>
          <w:lang w:eastAsia="en-US" w:bidi="ar-SA"/>
        </w:rPr>
        <w:t xml:space="preserve"> elevated in </w:t>
      </w:r>
      <w:r w:rsidR="00A7494E" w:rsidRPr="00A7494E">
        <w:rPr>
          <w:rFonts w:ascii="Times New Roman" w:eastAsia="Times New Roman" w:hAnsi="Times New Roman" w:cs="Times New Roman"/>
          <w:kern w:val="0"/>
          <w:lang w:eastAsia="en-US" w:bidi="ar-SA"/>
        </w:rPr>
        <w:lastRenderedPageBreak/>
        <w:t xml:space="preserve">rheumatoid arthritis, IBD, </w:t>
      </w:r>
      <w:r w:rsidR="00A7494E" w:rsidRPr="00A7494E">
        <w:rPr>
          <w:rFonts w:ascii="Times New Roman" w:eastAsia="Times New Roman" w:hAnsi="Times New Roman" w:cs="Times New Roman"/>
          <w:bCs/>
          <w:kern w:val="0"/>
          <w:lang w:eastAsia="en-US" w:bidi="ar-SA"/>
        </w:rPr>
        <w:t>and similar conditions</w:t>
      </w:r>
      <w:r w:rsidR="00A7494E" w:rsidRPr="00A7494E">
        <w:rPr>
          <w:rFonts w:ascii="Times New Roman" w:eastAsia="Times New Roman" w:hAnsi="Times New Roman" w:cs="Times New Roman"/>
          <w:kern w:val="0"/>
          <w:lang w:eastAsia="en-US" w:bidi="ar-SA"/>
        </w:rPr>
        <w:t>.</w:t>
      </w:r>
      <w:r w:rsidR="00DC02A2">
        <w:rPr>
          <w:rFonts w:ascii="Times New Roman" w:eastAsia="Times New Roman" w:hAnsi="Times New Roman" w:cs="Times New Roman"/>
          <w:kern w:val="0"/>
          <w:lang w:eastAsia="en-US" w:bidi="ar-SA"/>
        </w:rPr>
        <w:t xml:space="preserve"> </w:t>
      </w:r>
      <w:r w:rsidR="00DC02A2" w:rsidRPr="00DC02A2">
        <w:rPr>
          <w:rStyle w:val="resultpara0"/>
        </w:rPr>
        <w:t xml:space="preserve">Low </w:t>
      </w:r>
      <w:r w:rsidR="00DC02A2" w:rsidRPr="00DC02A2">
        <w:rPr>
          <w:rStyle w:val="resultpara0"/>
          <w:bCs/>
        </w:rPr>
        <w:t>levels</w:t>
      </w:r>
      <w:r w:rsidR="00DC02A2" w:rsidRPr="00DC02A2">
        <w:rPr>
          <w:rStyle w:val="resultpara0"/>
        </w:rPr>
        <w:t xml:space="preserve"> of </w:t>
      </w:r>
      <w:r w:rsidR="00DC02A2" w:rsidRPr="00DC02A2">
        <w:rPr>
          <w:rStyle w:val="resultpara0"/>
          <w:bCs/>
        </w:rPr>
        <w:t>Haptoglobin indicate</w:t>
      </w:r>
      <w:r w:rsidR="0094374C">
        <w:rPr>
          <w:rStyle w:val="resultpara0"/>
        </w:rPr>
        <w:t xml:space="preserve"> hemolysis in </w:t>
      </w:r>
      <w:r w:rsidR="00DC02A2" w:rsidRPr="00DC02A2">
        <w:rPr>
          <w:rStyle w:val="resultpara0"/>
          <w:bCs/>
        </w:rPr>
        <w:t>particularly</w:t>
      </w:r>
      <w:r w:rsidR="0094374C">
        <w:rPr>
          <w:rStyle w:val="resultpara0"/>
        </w:rPr>
        <w:t xml:space="preserve"> intravascular</w:t>
      </w:r>
      <w:r w:rsidR="00DC02A2" w:rsidRPr="00DC02A2">
        <w:rPr>
          <w:rStyle w:val="resultpara0"/>
        </w:rPr>
        <w:t>.</w:t>
      </w:r>
      <w:r w:rsidR="00DC02A2" w:rsidRPr="00DC02A2">
        <w:t xml:space="preserve"> </w:t>
      </w:r>
      <w:r w:rsidR="00DC02A2" w:rsidRPr="00DC02A2">
        <w:rPr>
          <w:rStyle w:val="resultpara2"/>
        </w:rPr>
        <w:t xml:space="preserve">It </w:t>
      </w:r>
      <w:r w:rsidR="00DC02A2" w:rsidRPr="00DC02A2">
        <w:rPr>
          <w:rStyle w:val="resultpara2"/>
          <w:bCs/>
        </w:rPr>
        <w:t>may</w:t>
      </w:r>
      <w:r w:rsidR="00DC02A2" w:rsidRPr="00DC02A2">
        <w:rPr>
          <w:rStyle w:val="resultpara2"/>
        </w:rPr>
        <w:t xml:space="preserve"> also </w:t>
      </w:r>
      <w:r w:rsidR="00DC02A2" w:rsidRPr="00DC02A2">
        <w:rPr>
          <w:rStyle w:val="resultpara2"/>
          <w:bCs/>
        </w:rPr>
        <w:t>decrease</w:t>
      </w:r>
      <w:r w:rsidR="00DC02A2" w:rsidRPr="00DC02A2">
        <w:rPr>
          <w:rStyle w:val="resultpara2"/>
        </w:rPr>
        <w:t xml:space="preserve"> in </w:t>
      </w:r>
      <w:r w:rsidR="00DC02A2" w:rsidRPr="00DC02A2">
        <w:rPr>
          <w:rStyle w:val="resultpara2"/>
          <w:bCs/>
        </w:rPr>
        <w:t xml:space="preserve">cases of </w:t>
      </w:r>
      <w:r w:rsidR="00DC02A2" w:rsidRPr="00DC02A2">
        <w:rPr>
          <w:rStyle w:val="resultpara2"/>
        </w:rPr>
        <w:t>severe liver disease or nephrotic syndrome</w:t>
      </w:r>
      <w:r w:rsidR="00DC02A2" w:rsidRPr="007F06DE">
        <w:rPr>
          <w:rStyle w:val="resultpara2"/>
        </w:rPr>
        <w:t xml:space="preserve">. </w:t>
      </w:r>
      <w:r w:rsidR="00091195">
        <w:rPr>
          <w:rStyle w:val="resultpara0"/>
          <w:bCs/>
        </w:rPr>
        <w:t>Conversely</w:t>
      </w:r>
      <w:r w:rsidR="007F06DE" w:rsidRPr="007F06DE">
        <w:rPr>
          <w:rStyle w:val="resultpara0"/>
        </w:rPr>
        <w:t xml:space="preserve">, </w:t>
      </w:r>
      <w:r w:rsidR="0006705A">
        <w:rPr>
          <w:rStyle w:val="resultpara0"/>
        </w:rPr>
        <w:t xml:space="preserve">an </w:t>
      </w:r>
      <w:r w:rsidR="0006705A">
        <w:rPr>
          <w:rStyle w:val="resultpara0"/>
          <w:bCs/>
        </w:rPr>
        <w:t xml:space="preserve">elevated </w:t>
      </w:r>
      <w:r w:rsidR="007F06DE" w:rsidRPr="007F06DE">
        <w:rPr>
          <w:rStyle w:val="resultpara0"/>
        </w:rPr>
        <w:t xml:space="preserve">level of </w:t>
      </w:r>
      <w:r w:rsidR="007F06DE" w:rsidRPr="007F06DE">
        <w:rPr>
          <w:rStyle w:val="resultpara0"/>
          <w:bCs/>
        </w:rPr>
        <w:t>Haptoglobin signifies</w:t>
      </w:r>
      <w:r w:rsidR="007F06DE" w:rsidRPr="007F06DE">
        <w:rPr>
          <w:rStyle w:val="resultpara0"/>
        </w:rPr>
        <w:t xml:space="preserve"> acute inflammation, infection, or </w:t>
      </w:r>
      <w:r w:rsidR="007F06DE" w:rsidRPr="007F06DE">
        <w:rPr>
          <w:rStyle w:val="resultpara0"/>
          <w:bCs/>
        </w:rPr>
        <w:t xml:space="preserve">a </w:t>
      </w:r>
      <w:r w:rsidR="007F06DE" w:rsidRPr="007F06DE">
        <w:rPr>
          <w:rStyle w:val="resultpara0"/>
        </w:rPr>
        <w:t>chronic inflammatory disease</w:t>
      </w:r>
      <w:r w:rsidR="007239EA">
        <w:rPr>
          <w:rStyle w:val="resultpara0"/>
        </w:rPr>
        <w:t xml:space="preserve"> </w:t>
      </w:r>
      <w:r w:rsidR="007239EA">
        <w:rPr>
          <w:rFonts w:ascii="Times New Roman" w:eastAsia="Times New Roman" w:hAnsi="Times New Roman" w:cs="Times New Roman"/>
          <w:bCs/>
          <w:kern w:val="0"/>
          <w:lang w:eastAsia="en-US" w:bidi="ar-SA"/>
        </w:rPr>
        <w:fldChar w:fldCharType="begin"/>
      </w:r>
      <w:r w:rsidR="00B41ACC">
        <w:rPr>
          <w:rFonts w:ascii="Times New Roman" w:eastAsia="Times New Roman" w:hAnsi="Times New Roman" w:cs="Times New Roman"/>
          <w:bCs/>
          <w:kern w:val="0"/>
          <w:lang w:eastAsia="en-US" w:bidi="ar-SA"/>
        </w:rPr>
        <w:instrText xml:space="preserve"> ADDIN ZOTERO_ITEM CSL_CITATION {"citationID":"vIU7JQly","properties":{"formattedCitation":"\\super 148\\nosupersub{}","plainCitation":"148","noteIndex":0},"citationItems":[{"id":1093,"uris":["http://zotero.org/users/local/BfzbJtgR/items/P4B6UHN8"],"itemData":{"id":1093,"type":"article-journal","abstract":"Haptoglobin, an \"acute phase\" protein, has different functions, which display genetic polymorphism. The complex of haptoglobin with haemoglobin is metabolized in the heptic reticuloendothelial system. Biosynthesis of haptoglobin occurs not only in the liver, but also in adipose tissue and in lung; providing antioxidant and antimicrobial activity. Changes in the measured concentrations of haptoglobin in serum may help to assess the disease status of patients with inflammations, infections, malignancy etc. (increases) as well as in haemolytic conditions (decreases). Haptoglobin plays a role in stimulation of angiogenesis and has highly potent cholesterolcrystallization-promoting activity. Probably the most important biological function of haptoglobin consists in the host defence responses to infection and inflammation, acting as a natural antagonist for receptor-ligand activation of the immune system.","container-title":"European Journal of Clinical Chemistry and Clinical Biochemistry: Journal of the Forum of European Clinical Chemistry Societies","ISSN":"0939-4974","issue":"9","journalAbbreviation":"Eur J Clin Chem Clin Biochem","language":"eng","note":"PMID: 9352226","page":"647-654","source":"PubMed","title":"Biological functions of haptoglobin--new pieces to an old puzzle","volume":"35","author":[{"family":"Dobryszycka","given":"W."}],"issued":{"date-parts":[["1997",9]]}}}],"schema":"https://github.com/citation-style-language/schema/raw/master/csl-citation.json"} </w:instrText>
      </w:r>
      <w:r w:rsidR="007239EA">
        <w:rPr>
          <w:rFonts w:ascii="Times New Roman" w:eastAsia="Times New Roman" w:hAnsi="Times New Roman" w:cs="Times New Roman"/>
          <w:bCs/>
          <w:kern w:val="0"/>
          <w:lang w:eastAsia="en-US" w:bidi="ar-SA"/>
        </w:rPr>
        <w:fldChar w:fldCharType="separate"/>
      </w:r>
      <w:r w:rsidR="00B41ACC" w:rsidRPr="00B41ACC">
        <w:rPr>
          <w:rFonts w:ascii="Times New Roman" w:hAnsi="Times New Roman" w:cs="Times New Roman"/>
          <w:vertAlign w:val="superscript"/>
        </w:rPr>
        <w:t>148</w:t>
      </w:r>
      <w:r w:rsidR="007239EA">
        <w:rPr>
          <w:rFonts w:ascii="Times New Roman" w:eastAsia="Times New Roman" w:hAnsi="Times New Roman" w:cs="Times New Roman"/>
          <w:bCs/>
          <w:kern w:val="0"/>
          <w:lang w:eastAsia="en-US" w:bidi="ar-SA"/>
        </w:rPr>
        <w:fldChar w:fldCharType="end"/>
      </w:r>
      <w:r w:rsidR="007F06DE" w:rsidRPr="007F06DE">
        <w:rPr>
          <w:rStyle w:val="resultpara0"/>
        </w:rPr>
        <w:t>.</w:t>
      </w:r>
    </w:p>
    <w:p w:rsidR="0097108C" w:rsidRPr="00C32B81" w:rsidRDefault="00933683" w:rsidP="00F861EB">
      <w:pPr>
        <w:pStyle w:val="Standard"/>
        <w:suppressAutoHyphens w:val="0"/>
        <w:spacing w:before="280" w:after="280" w:line="276" w:lineRule="auto"/>
        <w:jc w:val="both"/>
        <w:textAlignment w:val="auto"/>
        <w:rPr>
          <w:shd w:val="clear" w:color="auto" w:fill="FFFFFF"/>
        </w:rPr>
      </w:pPr>
      <w:r w:rsidRPr="00933683">
        <w:rPr>
          <w:rStyle w:val="resultpara0"/>
          <w:b/>
        </w:rPr>
        <w:t>Procalcitonin</w:t>
      </w:r>
      <w:r w:rsidR="00B06241">
        <w:rPr>
          <w:rStyle w:val="resultpara0"/>
          <w:b/>
        </w:rPr>
        <w:t xml:space="preserve"> (PCT): </w:t>
      </w:r>
      <w:r w:rsidR="00B4151F" w:rsidRPr="00B4151F">
        <w:rPr>
          <w:rStyle w:val="resultpara0"/>
        </w:rPr>
        <w:t xml:space="preserve">Procalcitonin is </w:t>
      </w:r>
      <w:r w:rsidR="00B4151F" w:rsidRPr="00B4151F">
        <w:rPr>
          <w:rStyle w:val="resultpara0"/>
          <w:bCs/>
        </w:rPr>
        <w:t>a</w:t>
      </w:r>
      <w:r w:rsidR="00436536">
        <w:rPr>
          <w:rStyle w:val="resultpara0"/>
          <w:bCs/>
        </w:rPr>
        <w:t>n</w:t>
      </w:r>
      <w:r w:rsidR="00B4151F" w:rsidRPr="00B4151F">
        <w:rPr>
          <w:rStyle w:val="resultpara0"/>
          <w:bCs/>
        </w:rPr>
        <w:t xml:space="preserve"> </w:t>
      </w:r>
      <w:r w:rsidR="00B4151F" w:rsidRPr="00B4151F">
        <w:rPr>
          <w:rStyle w:val="resultpara0"/>
        </w:rPr>
        <w:t>acute phase</w:t>
      </w:r>
      <w:r w:rsidR="00436536">
        <w:rPr>
          <w:rStyle w:val="resultpara0"/>
        </w:rPr>
        <w:t xml:space="preserve"> protein</w:t>
      </w:r>
      <w:r w:rsidR="004E4D56">
        <w:rPr>
          <w:rStyle w:val="resultpara0"/>
        </w:rPr>
        <w:t xml:space="preserve"> and </w:t>
      </w:r>
      <w:r w:rsidR="00B4151F" w:rsidRPr="00B4151F">
        <w:rPr>
          <w:rStyle w:val="resultpara0"/>
          <w:bCs/>
        </w:rPr>
        <w:t>precursor to hormones</w:t>
      </w:r>
      <w:r w:rsidR="00B4151F" w:rsidRPr="00B4151F">
        <w:rPr>
          <w:rStyle w:val="resultpara0"/>
        </w:rPr>
        <w:t>.</w:t>
      </w:r>
      <w:r w:rsidR="00B4151F" w:rsidRPr="00B4151F">
        <w:t xml:space="preserve"> </w:t>
      </w:r>
      <w:r w:rsidR="00B4151F" w:rsidRPr="00B4151F">
        <w:rPr>
          <w:rStyle w:val="resultpara2"/>
          <w:bCs/>
        </w:rPr>
        <w:t>Under typical circumstances, it</w:t>
      </w:r>
      <w:r w:rsidR="00B4151F" w:rsidRPr="00B4151F">
        <w:rPr>
          <w:rStyle w:val="resultpara2"/>
        </w:rPr>
        <w:t xml:space="preserve"> is </w:t>
      </w:r>
      <w:r w:rsidR="00B4151F" w:rsidRPr="00B4151F">
        <w:rPr>
          <w:rStyle w:val="resultpara2"/>
          <w:bCs/>
        </w:rPr>
        <w:t>mainly synthesized</w:t>
      </w:r>
      <w:r w:rsidR="00B4151F" w:rsidRPr="00B4151F">
        <w:rPr>
          <w:rStyle w:val="resultpara2"/>
        </w:rPr>
        <w:t xml:space="preserve"> by the thyroid gland as a precursor to calcitonin.</w:t>
      </w:r>
      <w:r w:rsidR="00B4151F" w:rsidRPr="00B4151F">
        <w:t xml:space="preserve"> </w:t>
      </w:r>
      <w:r w:rsidR="00B4151F" w:rsidRPr="00B4151F">
        <w:rPr>
          <w:rStyle w:val="resultpara4"/>
          <w:bCs/>
        </w:rPr>
        <w:t>During</w:t>
      </w:r>
      <w:r w:rsidR="00B4151F" w:rsidRPr="00B4151F">
        <w:rPr>
          <w:rStyle w:val="resultpara4"/>
        </w:rPr>
        <w:t xml:space="preserve"> systemic bacterial infections and sepsis, PCT is </w:t>
      </w:r>
      <w:r w:rsidR="00B4151F" w:rsidRPr="00B4151F">
        <w:rPr>
          <w:rStyle w:val="resultpara4"/>
          <w:bCs/>
        </w:rPr>
        <w:t>significantly generated</w:t>
      </w:r>
      <w:r w:rsidR="001C1CDA">
        <w:rPr>
          <w:rStyle w:val="resultpara4"/>
        </w:rPr>
        <w:t xml:space="preserve"> by parenchymal tissues </w:t>
      </w:r>
      <w:r w:rsidR="00B4151F" w:rsidRPr="00B4151F">
        <w:rPr>
          <w:rStyle w:val="resultpara4"/>
          <w:bCs/>
        </w:rPr>
        <w:t xml:space="preserve">such as </w:t>
      </w:r>
      <w:r w:rsidR="00B4151F" w:rsidRPr="00B4151F">
        <w:rPr>
          <w:rStyle w:val="resultpara4"/>
        </w:rPr>
        <w:t>lungs, liver, intestines, etc.</w:t>
      </w:r>
      <w:r w:rsidR="00B4151F" w:rsidRPr="00B4151F">
        <w:rPr>
          <w:rStyle w:val="resultpara6"/>
        </w:rPr>
        <w:t xml:space="preserve">, </w:t>
      </w:r>
      <w:r w:rsidR="00B4151F" w:rsidRPr="00B4151F">
        <w:rPr>
          <w:rStyle w:val="resultpara6"/>
          <w:bCs/>
        </w:rPr>
        <w:t>establishing its importance as</w:t>
      </w:r>
      <w:r w:rsidR="00B4151F" w:rsidRPr="00B4151F">
        <w:rPr>
          <w:rStyle w:val="resultpara6"/>
        </w:rPr>
        <w:t xml:space="preserve"> a </w:t>
      </w:r>
      <w:r w:rsidR="00B4151F" w:rsidRPr="00B4151F">
        <w:rPr>
          <w:rStyle w:val="resultpara6"/>
          <w:bCs/>
        </w:rPr>
        <w:t>primary</w:t>
      </w:r>
      <w:r w:rsidR="00B4151F" w:rsidRPr="00B4151F">
        <w:rPr>
          <w:rStyle w:val="resultpara6"/>
        </w:rPr>
        <w:t xml:space="preserve"> biomarker </w:t>
      </w:r>
      <w:r w:rsidR="00B4151F" w:rsidRPr="00B4151F">
        <w:rPr>
          <w:rStyle w:val="resultpara6"/>
          <w:bCs/>
        </w:rPr>
        <w:t>for</w:t>
      </w:r>
      <w:r w:rsidR="00B4151F" w:rsidRPr="00B4151F">
        <w:rPr>
          <w:rStyle w:val="resultpara6"/>
        </w:rPr>
        <w:t xml:space="preserve"> bacterial infection.</w:t>
      </w:r>
      <w:r w:rsidR="00B4151F" w:rsidRPr="00B4151F">
        <w:t xml:space="preserve"> </w:t>
      </w:r>
      <w:r w:rsidR="00B4151F" w:rsidRPr="00B4151F">
        <w:rPr>
          <w:rStyle w:val="resultpara8"/>
        </w:rPr>
        <w:t xml:space="preserve">The </w:t>
      </w:r>
      <w:r w:rsidR="00B4151F" w:rsidRPr="00B4151F">
        <w:rPr>
          <w:rStyle w:val="resultpara8"/>
          <w:bCs/>
        </w:rPr>
        <w:t>standard</w:t>
      </w:r>
      <w:r w:rsidR="00B4151F" w:rsidRPr="00B4151F">
        <w:rPr>
          <w:rStyle w:val="resultpara8"/>
        </w:rPr>
        <w:t xml:space="preserve"> range is</w:t>
      </w:r>
      <w:r w:rsidR="00B4151F">
        <w:rPr>
          <w:rStyle w:val="resultpara8"/>
        </w:rPr>
        <w:t xml:space="preserve"> </w:t>
      </w:r>
      <w:r w:rsidR="000249A5">
        <w:rPr>
          <w:rStyle w:val="resultpara8"/>
        </w:rPr>
        <w:t xml:space="preserve">less than </w:t>
      </w:r>
      <w:r w:rsidR="00B4151F">
        <w:t xml:space="preserve">0.05 ng/mL in healthy individuals with a </w:t>
      </w:r>
      <w:r w:rsidR="0097108C">
        <w:t>24-hour</w:t>
      </w:r>
      <w:r w:rsidR="00AE41B8">
        <w:t xml:space="preserve"> half-life of </w:t>
      </w:r>
      <w:r w:rsidR="00D060AF">
        <w:t>PCT</w:t>
      </w:r>
      <w:r w:rsidR="00B4151F">
        <w:t>.</w:t>
      </w:r>
      <w:r w:rsidR="009314B4">
        <w:t xml:space="preserve"> </w:t>
      </w:r>
      <w:r w:rsidR="001C1CDA" w:rsidRPr="001C1CDA">
        <w:t xml:space="preserve">Interestingly, </w:t>
      </w:r>
      <w:r w:rsidR="001C1CDA" w:rsidRPr="001C1CDA">
        <w:rPr>
          <w:rFonts w:ascii="Times New Roman" w:eastAsia="Times New Roman" w:hAnsi="Times New Roman" w:cs="Times New Roman"/>
        </w:rPr>
        <w:t xml:space="preserve">PCT is highly specific for </w:t>
      </w:r>
      <w:r w:rsidR="001C1CDA" w:rsidRPr="001C1CDA">
        <w:rPr>
          <w:rFonts w:ascii="Times New Roman" w:eastAsia="Times New Roman" w:hAnsi="Times New Roman" w:cs="Times New Roman"/>
          <w:bCs/>
        </w:rPr>
        <w:t>bacterial infections</w:t>
      </w:r>
      <w:r w:rsidR="001C1CDA" w:rsidRPr="001C1CDA">
        <w:rPr>
          <w:rFonts w:ascii="Times New Roman" w:eastAsia="Times New Roman" w:hAnsi="Times New Roman" w:cs="Times New Roman"/>
        </w:rPr>
        <w:t xml:space="preserve">. </w:t>
      </w:r>
      <w:r w:rsidR="001C1CDA" w:rsidRPr="001C1CDA">
        <w:rPr>
          <w:rFonts w:ascii="Times New Roman" w:eastAsia="Times New Roman" w:hAnsi="Times New Roman" w:cs="Times New Roman"/>
          <w:kern w:val="0"/>
          <w:lang w:eastAsia="en-US" w:bidi="ar-SA"/>
        </w:rPr>
        <w:t xml:space="preserve">In </w:t>
      </w:r>
      <w:r w:rsidR="001C1CDA" w:rsidRPr="001C1CDA">
        <w:rPr>
          <w:rFonts w:ascii="Times New Roman" w:eastAsia="Times New Roman" w:hAnsi="Times New Roman" w:cs="Times New Roman"/>
          <w:bCs/>
          <w:kern w:val="0"/>
          <w:lang w:eastAsia="en-US" w:bidi="ar-SA"/>
        </w:rPr>
        <w:t>viral infections</w:t>
      </w:r>
      <w:r w:rsidR="001C1CDA" w:rsidRPr="001C1CDA">
        <w:rPr>
          <w:rFonts w:ascii="Times New Roman" w:eastAsia="Times New Roman" w:hAnsi="Times New Roman" w:cs="Times New Roman"/>
          <w:kern w:val="0"/>
          <w:lang w:eastAsia="en-US" w:bidi="ar-SA"/>
        </w:rPr>
        <w:t xml:space="preserve">, PCT levels usually </w:t>
      </w:r>
      <w:r w:rsidR="001C1CDA" w:rsidRPr="001C1CDA">
        <w:rPr>
          <w:rFonts w:ascii="Times New Roman" w:eastAsia="Times New Roman" w:hAnsi="Times New Roman" w:cs="Times New Roman"/>
          <w:bCs/>
          <w:kern w:val="0"/>
          <w:lang w:eastAsia="en-US" w:bidi="ar-SA"/>
        </w:rPr>
        <w:t>remain low</w:t>
      </w:r>
      <w:r w:rsidR="001C1CDA" w:rsidRPr="001C1CDA">
        <w:rPr>
          <w:rFonts w:ascii="Times New Roman" w:eastAsia="Times New Roman" w:hAnsi="Times New Roman" w:cs="Times New Roman"/>
          <w:kern w:val="0"/>
          <w:lang w:eastAsia="en-US" w:bidi="ar-SA"/>
        </w:rPr>
        <w:t>, which helps differentiate between bacterial vs. viral infections.</w:t>
      </w:r>
      <w:r w:rsidR="001C1CDA">
        <w:rPr>
          <w:rFonts w:ascii="Times New Roman" w:eastAsia="Times New Roman" w:hAnsi="Times New Roman" w:cs="Times New Roman"/>
          <w:kern w:val="0"/>
          <w:lang w:eastAsia="en-US" w:bidi="ar-SA"/>
        </w:rPr>
        <w:t xml:space="preserve"> PCT is </w:t>
      </w:r>
      <w:r w:rsidR="00FC1525">
        <w:t>induced</w:t>
      </w:r>
      <w:r w:rsidR="001C1CDA">
        <w:t xml:space="preserve"> systemically in </w:t>
      </w:r>
      <w:r w:rsidR="008A2AEF">
        <w:t>reaction to bacterial toxins and</w:t>
      </w:r>
      <w:r w:rsidR="001C1CDA">
        <w:t xml:space="preserve"> cytokines</w:t>
      </w:r>
      <w:r w:rsidR="00891B8F">
        <w:t>,</w:t>
      </w:r>
      <w:r w:rsidR="001C1CDA">
        <w:t xml:space="preserve"> especially </w:t>
      </w:r>
      <w:r w:rsidR="0097108C">
        <w:t>Interleukin-1β</w:t>
      </w:r>
      <w:r w:rsidR="008A2AEF">
        <w:t xml:space="preserve"> 1β, Interleukin-6, </w:t>
      </w:r>
      <w:r w:rsidR="0097108C">
        <w:t xml:space="preserve">and </w:t>
      </w:r>
      <w:r w:rsidR="008A2AEF">
        <w:t>Tumour necrosis factor-α</w:t>
      </w:r>
      <w:r w:rsidR="0097108C">
        <w:t>,</w:t>
      </w:r>
      <w:r w:rsidR="001C1CDA">
        <w:t xml:space="preserve"> and it is a marker for bacterial infections.</w:t>
      </w:r>
      <w:r w:rsidR="00891B8F">
        <w:t xml:space="preserve"> It promotes inflammation in bacterial infection by interacting with immune cells. It is normally converted to calcitonin in the thyroid as this pathway is suppressed during systemic inflammation</w:t>
      </w:r>
      <w:r w:rsidR="0097108C">
        <w:t>,</w:t>
      </w:r>
      <w:r w:rsidR="00851617">
        <w:t xml:space="preserve"> </w:t>
      </w:r>
      <w:r w:rsidR="00851617">
        <w:rPr>
          <w:rFonts w:ascii="Times New Roman" w:eastAsia="Times New Roman" w:hAnsi="Times New Roman" w:cs="Times New Roman"/>
          <w:bCs/>
          <w:kern w:val="0"/>
          <w:lang w:eastAsia="en-US" w:bidi="ar-SA"/>
        </w:rPr>
        <w:t xml:space="preserve">Sepsis </w:t>
      </w:r>
      <w:r w:rsidR="00851617">
        <w:rPr>
          <w:rFonts w:ascii="Times New Roman" w:eastAsia="Times New Roman" w:hAnsi="Times New Roman" w:cs="Times New Roman"/>
          <w:bCs/>
          <w:kern w:val="0"/>
          <w:lang w:eastAsia="en-US" w:bidi="ar-SA"/>
        </w:rPr>
        <w:fldChar w:fldCharType="begin"/>
      </w:r>
      <w:r w:rsidR="00B41ACC">
        <w:rPr>
          <w:rFonts w:ascii="Times New Roman" w:eastAsia="Times New Roman" w:hAnsi="Times New Roman" w:cs="Times New Roman"/>
          <w:bCs/>
          <w:kern w:val="0"/>
          <w:lang w:eastAsia="en-US" w:bidi="ar-SA"/>
        </w:rPr>
        <w:instrText xml:space="preserve"> ADDIN ZOTERO_ITEM CSL_CITATION {"citationID":"3z0PEhZ5","properties":{"formattedCitation":"\\super 149,151\\nosupersub{}","plainCitation":"149,151","noteIndex":0},"citationItems":[{"id":1095,"uris":["http://zotero.org/users/local/BfzbJtgR/items/LF42TVUE"],"itemData":{"id":1095,"type":"article-journal","abstract":"High concentrations of calcitonin-like immunoreactivity have been found in the blood of patients with various extrathyroid diseases. By means of a monoclonal immunoradiometric assay for calcitonin precursors, we have measured serum concentrations of procalcitonin in patients with various bacterial and viral infections. 79 children (newborn to age 12 years) in hospital with suspected infections were investigated prospectively. 19 patients with severe bacterial infections had very high serum concentrations of procalcitonin at diagnosis (range 6-53 ng/mL) in comparison with 21 children found to have no signs of infection (baseline concentrations &lt; 0.1 ng/mL). Serum procalcitonin values decreased rapidly during antibiotic therapy. 11 patients with peripheral bacterial colonisation or local infections without invasive sepsis and 18 (86%) of 21 patients with viral infections had concentrations within or slightly above the normal range (0.1-1.5 ng/mL). Among 9 severely burned patients studied in an intensive care unit, the post-traumatic course of procalcitonin concentrations (range 0.1-120 ng/mL) was closely related to infectious complications and acute septic episodes. Concentrations of mature calcitonin were normal in all subjects, whatever procalcitonin concentrations were found. Concentrations of a substance immunologically identical to procalcitonin are raised during septic conditions. Serum concentrations seem to be correlated with the severity of microbial invasion.","container-title":"Lancet (London, England)","DOI":"10.1016/0140-6736(93)90277-n","ISSN":"0140-6736","issue":"8844","journalAbbreviation":"Lancet","language":"eng","note":"PMID: 8094770\nPMCID: PMC7141580","page":"515-518","source":"PubMed","title":"High serum procalcitonin concentrations in patients with sepsis and infection","volume":"341","author":[{"family":"Assicot","given":"M."},{"family":"Gendrel","given":"D."},{"family":"Carsin","given":"H."},{"family":"Raymond","given":"J."},{"family":"Guilbaud","given":"J."},{"family":"Bohuon","given":"C."}],"issued":{"date-parts":[["1993",2,27]]}}},{"id":1121,"uris":["http://zotero.org/users/local/BfzbJtgR/items/U7YKG4BI"],"itemData":{"id":1121,"type":"article-journal","abstract":"OBJECTIVE: Procalcitonin concentration increases in bacterial infections but remains low in viral infections and inflammatory diseases. The change is rapid and the molecule is stable making it a potentially useful marker for distinguishing between bacterial and viral infections.\nPATIENTS AND METHODS: Procalcitonin (PCT) was determined with an immunoluminometric assay on plasma collected at admission in 436 infants and children hospitalized for bacterial or viral infection. It was compared with C reactive protein, interleukin-6 and interferon-alpha measured on the same sample.\nRESULTS: PCT was 41.3 +/- 77.4 micrograms/l in children with septicemia or bacterial meningitis (n = 53), 0.39 +/- 0.57 microgram/l in children with viral infection (n = 274) and 3.9 +/- 5.9 micrograms/l in children with a localized bacterial infection who had a negative blood culture (n = 109). PCT was &gt; 1 microgram/l in 126 children with a localized or systemic bacterial infection (sensitivity 78%). PCT was &lt; 1 microgram/l in 258 children with a viral infection (specificity 94%). For differenciation between viral and bacterial infections, CRP value &gt; or = 20 mg/l, IL-6 &gt; 100 pg/ml and interferon-alpha &gt; 0 Ul/ml have 85, 48 and 76% sensitivity and 73, 85 and 92% specificity respectively.\nCONCLUSIONS: In this study, a PCT value of 1 microgram/l or greater had better specificity, sensitivity and predictive value than CRP, IL-6 and interferon-alpha in children for distinguishing between viral and bacterial infections. PCT may be useful in pediatric emergency room for making decision about antibiotic treatments.","container-title":"Presse Medicale (Paris, France: 1983)","ISSN":"0755-4982","issue":"3","journalAbbreviation":"Presse Med","language":"fre","note":"PMID: 10686961","page":"128-134","source":"PubMed","title":"[Procalcitonin in pediatric emergencies: comparison with C-reactive protein, interleukin-6 and interferon alpha in the differentiation between bacterial and viral infections]","title-short":"[Procalcitonin in pediatric emergencies","volume":"29","author":[{"family":"Lorrot","given":"M."},{"family":"Moulin","given":"F."},{"family":"Coste","given":"J."},{"family":"Ravilly","given":"S."},{"family":"Guérin","given":"S."},{"family":"Lebon","given":"P."},{"family":"Lacombe","given":"C."},{"family":"Raymond","given":"J."},{"family":"Bohuon","given":"C."},{"family":"Gendrel","given":"D."}],"issued":{"date-parts":[["2000",1,29]]}}}],"schema":"https://github.com/citation-style-language/schema/raw/master/csl-citation.json"} </w:instrText>
      </w:r>
      <w:r w:rsidR="00851617">
        <w:rPr>
          <w:rFonts w:ascii="Times New Roman" w:eastAsia="Times New Roman" w:hAnsi="Times New Roman" w:cs="Times New Roman"/>
          <w:bCs/>
          <w:kern w:val="0"/>
          <w:lang w:eastAsia="en-US" w:bidi="ar-SA"/>
        </w:rPr>
        <w:fldChar w:fldCharType="separate"/>
      </w:r>
      <w:r w:rsidR="00B41ACC" w:rsidRPr="00B41ACC">
        <w:rPr>
          <w:rFonts w:ascii="Times New Roman" w:hAnsi="Times New Roman" w:cs="Times New Roman"/>
          <w:vertAlign w:val="superscript"/>
        </w:rPr>
        <w:t>149,151</w:t>
      </w:r>
      <w:r w:rsidR="00851617">
        <w:rPr>
          <w:rFonts w:ascii="Times New Roman" w:eastAsia="Times New Roman" w:hAnsi="Times New Roman" w:cs="Times New Roman"/>
          <w:bCs/>
          <w:kern w:val="0"/>
          <w:lang w:eastAsia="en-US" w:bidi="ar-SA"/>
        </w:rPr>
        <w:fldChar w:fldCharType="end"/>
      </w:r>
      <w:r w:rsidR="00891B8F">
        <w:t>.</w:t>
      </w:r>
      <w:r w:rsidR="00794D48">
        <w:t xml:space="preserve"> However, it is contradictory as it acts as an immune modulator</w:t>
      </w:r>
      <w:r w:rsidR="0097108C">
        <w:t>,</w:t>
      </w:r>
      <w:r w:rsidR="00794D48">
        <w:t xml:space="preserve"> and it may act </w:t>
      </w:r>
      <w:r w:rsidR="00794D48" w:rsidRPr="00794D48">
        <w:t>to</w:t>
      </w:r>
      <w:r w:rsidR="00794D48" w:rsidRPr="00794D48">
        <w:rPr>
          <w:b/>
        </w:rPr>
        <w:t xml:space="preserve"> </w:t>
      </w:r>
      <w:r w:rsidR="00794D48" w:rsidRPr="00794D48">
        <w:rPr>
          <w:rStyle w:val="Strong"/>
          <w:b w:val="0"/>
        </w:rPr>
        <w:t>limit excessive immune responses</w:t>
      </w:r>
      <w:r w:rsidR="00794D48" w:rsidRPr="00794D48">
        <w:t xml:space="preserve"> during s</w:t>
      </w:r>
      <w:r w:rsidR="00794D48">
        <w:t>evere infections</w:t>
      </w:r>
      <w:r w:rsidR="00794D48" w:rsidRPr="00794D48">
        <w:t>.</w:t>
      </w:r>
      <w:r w:rsidR="00794D48">
        <w:t xml:space="preserve"> </w:t>
      </w:r>
      <w:r w:rsidR="000A1439" w:rsidRPr="00825CC6">
        <w:rPr>
          <w:rStyle w:val="resultpara0"/>
        </w:rPr>
        <w:t xml:space="preserve">PCT </w:t>
      </w:r>
      <w:r w:rsidR="000A1439" w:rsidRPr="00825CC6">
        <w:rPr>
          <w:rStyle w:val="resultpara0"/>
          <w:bCs/>
        </w:rPr>
        <w:t>levels are observed</w:t>
      </w:r>
      <w:r w:rsidR="000A1439" w:rsidRPr="00825CC6">
        <w:rPr>
          <w:rStyle w:val="resultpara0"/>
        </w:rPr>
        <w:t xml:space="preserve"> to </w:t>
      </w:r>
      <w:r w:rsidR="000A1439" w:rsidRPr="00825CC6">
        <w:rPr>
          <w:rStyle w:val="resultpara0"/>
          <w:bCs/>
        </w:rPr>
        <w:t>show</w:t>
      </w:r>
      <w:r w:rsidR="000A1439" w:rsidRPr="00825CC6">
        <w:rPr>
          <w:rStyle w:val="resultpara0"/>
        </w:rPr>
        <w:t xml:space="preserve"> a </w:t>
      </w:r>
      <w:r w:rsidR="000A1439" w:rsidRPr="00825CC6">
        <w:rPr>
          <w:rStyle w:val="resultpara0"/>
          <w:bCs/>
        </w:rPr>
        <w:t>significant rise</w:t>
      </w:r>
      <w:r w:rsidR="000A1439" w:rsidRPr="00825CC6">
        <w:rPr>
          <w:rStyle w:val="resultpara0"/>
        </w:rPr>
        <w:t xml:space="preserve"> (</w:t>
      </w:r>
      <w:r w:rsidR="000A1439" w:rsidRPr="00825CC6">
        <w:rPr>
          <w:rStyle w:val="resultpara0"/>
          <w:bCs/>
        </w:rPr>
        <w:t>frequently</w:t>
      </w:r>
      <w:r w:rsidR="000A1439" w:rsidRPr="00825CC6">
        <w:rPr>
          <w:rStyle w:val="resultpara0"/>
        </w:rPr>
        <w:t xml:space="preserve"> &gt;2 ng/mL in sepsis) </w:t>
      </w:r>
      <w:r w:rsidR="000A1439" w:rsidRPr="00825CC6">
        <w:rPr>
          <w:rStyle w:val="resultpara0"/>
          <w:bCs/>
        </w:rPr>
        <w:t>during</w:t>
      </w:r>
      <w:r w:rsidR="000A1439" w:rsidRPr="00825CC6">
        <w:rPr>
          <w:rStyle w:val="resultpara0"/>
        </w:rPr>
        <w:t xml:space="preserve"> bacterial </w:t>
      </w:r>
      <w:r w:rsidR="000A1439" w:rsidRPr="00825CC6">
        <w:rPr>
          <w:rStyle w:val="resultpara0"/>
          <w:bCs/>
        </w:rPr>
        <w:t>infections</w:t>
      </w:r>
      <w:r w:rsidR="000A1439" w:rsidRPr="00825CC6">
        <w:rPr>
          <w:rStyle w:val="resultpara0"/>
        </w:rPr>
        <w:t xml:space="preserve"> and sepsis.</w:t>
      </w:r>
      <w:r w:rsidR="000A1439" w:rsidRPr="00825CC6">
        <w:t xml:space="preserve"> </w:t>
      </w:r>
      <w:r w:rsidR="000A1439" w:rsidRPr="00825CC6">
        <w:rPr>
          <w:rStyle w:val="resultpara2"/>
        </w:rPr>
        <w:t xml:space="preserve">In </w:t>
      </w:r>
      <w:r w:rsidR="000A1439" w:rsidRPr="00825CC6">
        <w:rPr>
          <w:rStyle w:val="resultpara2"/>
          <w:bCs/>
        </w:rPr>
        <w:t>the scenario</w:t>
      </w:r>
      <w:r w:rsidR="000A1439" w:rsidRPr="00825CC6">
        <w:rPr>
          <w:rStyle w:val="resultpara2"/>
        </w:rPr>
        <w:t xml:space="preserve"> of </w:t>
      </w:r>
      <w:r w:rsidR="000A1439" w:rsidRPr="00825CC6">
        <w:rPr>
          <w:rStyle w:val="resultpara2"/>
          <w:bCs/>
        </w:rPr>
        <w:t xml:space="preserve">a </w:t>
      </w:r>
      <w:r w:rsidR="000A1439" w:rsidRPr="00825CC6">
        <w:rPr>
          <w:rStyle w:val="resultpara2"/>
        </w:rPr>
        <w:t xml:space="preserve">viral infection, the PCT </w:t>
      </w:r>
      <w:r w:rsidR="000A1439" w:rsidRPr="00825CC6">
        <w:rPr>
          <w:rStyle w:val="resultpara2"/>
          <w:bCs/>
        </w:rPr>
        <w:t>levels show little</w:t>
      </w:r>
      <w:r w:rsidR="000A1439" w:rsidRPr="00825CC6">
        <w:rPr>
          <w:rStyle w:val="resultpara2"/>
        </w:rPr>
        <w:t xml:space="preserve"> or no </w:t>
      </w:r>
      <w:r w:rsidR="000A1439" w:rsidRPr="00825CC6">
        <w:rPr>
          <w:rStyle w:val="resultpara2"/>
          <w:bCs/>
        </w:rPr>
        <w:t>elevation</w:t>
      </w:r>
      <w:r w:rsidR="000A1439" w:rsidRPr="00825CC6">
        <w:rPr>
          <w:rStyle w:val="resultpara2"/>
        </w:rPr>
        <w:t xml:space="preserve"> (</w:t>
      </w:r>
      <w:r w:rsidR="000A1439" w:rsidRPr="00825CC6">
        <w:rPr>
          <w:rStyle w:val="resultpara2"/>
          <w:bCs/>
        </w:rPr>
        <w:t>staying at</w:t>
      </w:r>
      <w:r w:rsidR="000A1439" w:rsidRPr="00825CC6">
        <w:rPr>
          <w:rStyle w:val="resultpara2"/>
        </w:rPr>
        <w:t xml:space="preserve"> 2</w:t>
      </w:r>
      <w:r w:rsidR="000A1439" w:rsidRPr="00825CC6">
        <w:t xml:space="preserve"> </w:t>
      </w:r>
      <w:r w:rsidR="000A1439" w:rsidRPr="00825CC6">
        <w:rPr>
          <w:rStyle w:val="resultpara4"/>
        </w:rPr>
        <w:t>0 ng/</w:t>
      </w:r>
      <w:r w:rsidR="000A1439" w:rsidRPr="00825CC6">
        <w:rPr>
          <w:rStyle w:val="resultpara4"/>
          <w:bCs/>
        </w:rPr>
        <w:t>mL)</w:t>
      </w:r>
      <w:r w:rsidR="000A1439" w:rsidRPr="00825CC6">
        <w:rPr>
          <w:rStyle w:val="resultpara4"/>
        </w:rPr>
        <w:t xml:space="preserve">, </w:t>
      </w:r>
      <w:r w:rsidR="000A1439" w:rsidRPr="00825CC6">
        <w:rPr>
          <w:rStyle w:val="resultpara4"/>
          <w:bCs/>
        </w:rPr>
        <w:t>with extremely</w:t>
      </w:r>
      <w:r w:rsidR="000A1439" w:rsidRPr="00825CC6">
        <w:rPr>
          <w:rStyle w:val="resultpara4"/>
        </w:rPr>
        <w:t xml:space="preserve"> high </w:t>
      </w:r>
      <w:r w:rsidR="000A1439" w:rsidRPr="00825CC6">
        <w:rPr>
          <w:rStyle w:val="resultpara4"/>
          <w:bCs/>
        </w:rPr>
        <w:t xml:space="preserve">levels </w:t>
      </w:r>
      <w:r w:rsidR="000A1439" w:rsidRPr="00825CC6">
        <w:rPr>
          <w:rStyle w:val="resultpara4"/>
        </w:rPr>
        <w:t xml:space="preserve">in </w:t>
      </w:r>
      <w:r w:rsidR="000A1439" w:rsidRPr="00825CC6">
        <w:rPr>
          <w:rStyle w:val="resultpara4"/>
          <w:bCs/>
        </w:rPr>
        <w:t xml:space="preserve">cases of </w:t>
      </w:r>
      <w:r w:rsidR="0097108C">
        <w:rPr>
          <w:rStyle w:val="resultpara4"/>
        </w:rPr>
        <w:t>critical</w:t>
      </w:r>
      <w:r w:rsidR="000A1439" w:rsidRPr="00825CC6">
        <w:rPr>
          <w:rStyle w:val="resultpara4"/>
        </w:rPr>
        <w:t xml:space="preserve"> </w:t>
      </w:r>
      <w:r w:rsidR="00703F4A">
        <w:rPr>
          <w:rStyle w:val="resultpara4"/>
        </w:rPr>
        <w:t xml:space="preserve">bacterial </w:t>
      </w:r>
      <w:r w:rsidR="000A1439" w:rsidRPr="00825CC6">
        <w:rPr>
          <w:rStyle w:val="resultpara4"/>
        </w:rPr>
        <w:t xml:space="preserve">sepsis </w:t>
      </w:r>
      <w:r w:rsidR="000A1439" w:rsidRPr="00825CC6">
        <w:rPr>
          <w:rStyle w:val="resultpara4"/>
          <w:bCs/>
        </w:rPr>
        <w:t xml:space="preserve">exceeding </w:t>
      </w:r>
      <w:r w:rsidR="000A1439" w:rsidRPr="00825CC6">
        <w:rPr>
          <w:rStyle w:val="resultpara4"/>
        </w:rPr>
        <w:t>10 ng/</w:t>
      </w:r>
      <w:r w:rsidR="000A1439" w:rsidRPr="00825CC6">
        <w:rPr>
          <w:rStyle w:val="resultpara4"/>
          <w:bCs/>
        </w:rPr>
        <w:t>mL</w:t>
      </w:r>
      <w:r w:rsidR="000A1439" w:rsidRPr="00825CC6">
        <w:rPr>
          <w:rStyle w:val="resultpara4"/>
        </w:rPr>
        <w:t xml:space="preserve">. </w:t>
      </w:r>
      <w:r w:rsidR="000A1439" w:rsidRPr="00825CC6">
        <w:rPr>
          <w:rStyle w:val="resultpara0"/>
        </w:rPr>
        <w:t xml:space="preserve">Also, it is </w:t>
      </w:r>
      <w:r w:rsidR="000A1439" w:rsidRPr="00825CC6">
        <w:rPr>
          <w:rStyle w:val="resultpara0"/>
          <w:bCs/>
        </w:rPr>
        <w:t>observed</w:t>
      </w:r>
      <w:r w:rsidR="000A1439" w:rsidRPr="00825CC6">
        <w:rPr>
          <w:rStyle w:val="resultpara0"/>
        </w:rPr>
        <w:t xml:space="preserve"> that PCT level was </w:t>
      </w:r>
      <w:r w:rsidR="000A1439" w:rsidRPr="00825CC6">
        <w:rPr>
          <w:rStyle w:val="resultpara0"/>
          <w:bCs/>
        </w:rPr>
        <w:t>somewhat elevated</w:t>
      </w:r>
      <w:r w:rsidR="000A1439" w:rsidRPr="00825CC6">
        <w:rPr>
          <w:rStyle w:val="resultpara0"/>
        </w:rPr>
        <w:t xml:space="preserve"> in trauma, surgery, and severe burns, but </w:t>
      </w:r>
      <w:r w:rsidR="000A1439" w:rsidRPr="00825CC6">
        <w:rPr>
          <w:rStyle w:val="resultpara0"/>
          <w:bCs/>
        </w:rPr>
        <w:t xml:space="preserve">generally remains </w:t>
      </w:r>
      <w:r w:rsidR="000A1439" w:rsidRPr="00825CC6">
        <w:t xml:space="preserve">&lt;2 ng/mL. </w:t>
      </w:r>
      <w:r w:rsidR="000A1439" w:rsidRPr="00825CC6">
        <w:rPr>
          <w:rStyle w:val="resultpara0"/>
        </w:rPr>
        <w:t xml:space="preserve">The diagnostic </w:t>
      </w:r>
      <w:r w:rsidR="000A1439" w:rsidRPr="00825CC6">
        <w:rPr>
          <w:rStyle w:val="resultpara0"/>
          <w:bCs/>
        </w:rPr>
        <w:t>threshold</w:t>
      </w:r>
      <w:r w:rsidR="00A751E4">
        <w:rPr>
          <w:rStyle w:val="resultpara0"/>
        </w:rPr>
        <w:t xml:space="preserve"> of </w:t>
      </w:r>
      <w:r w:rsidR="000A1439" w:rsidRPr="00825CC6">
        <w:rPr>
          <w:rStyle w:val="resultpara0"/>
        </w:rPr>
        <w:t xml:space="preserve">PCT is </w:t>
      </w:r>
      <w:r w:rsidR="000A1439" w:rsidRPr="00825CC6">
        <w:rPr>
          <w:rStyle w:val="resultpara0"/>
          <w:bCs/>
        </w:rPr>
        <w:t>regarded</w:t>
      </w:r>
      <w:r w:rsidR="000A1439" w:rsidRPr="00825CC6">
        <w:rPr>
          <w:rStyle w:val="resultpara0"/>
        </w:rPr>
        <w:t xml:space="preserve"> as in </w:t>
      </w:r>
      <w:r w:rsidR="000A1439" w:rsidRPr="00825CC6">
        <w:rPr>
          <w:rStyle w:val="resultpara0"/>
          <w:bCs/>
        </w:rPr>
        <w:t>standard</w:t>
      </w:r>
      <w:r w:rsidR="000A1439" w:rsidRPr="00825CC6">
        <w:rPr>
          <w:rStyle w:val="resultpara0"/>
        </w:rPr>
        <w:t xml:space="preserve"> infection or </w:t>
      </w:r>
      <w:r w:rsidR="000A1439" w:rsidRPr="00825CC6">
        <w:rPr>
          <w:rStyle w:val="resultpara0"/>
          <w:bCs/>
        </w:rPr>
        <w:t>absence of</w:t>
      </w:r>
      <w:r w:rsidR="000A1439" w:rsidRPr="00825CC6">
        <w:rPr>
          <w:rStyle w:val="resultpara0"/>
        </w:rPr>
        <w:t xml:space="preserve"> infection as</w:t>
      </w:r>
      <w:r w:rsidR="000A1439" w:rsidRPr="00825CC6">
        <w:t xml:space="preserve"> &lt;0.05 ng/ml. </w:t>
      </w:r>
      <w:r w:rsidR="00574E1E">
        <w:rPr>
          <w:rStyle w:val="resultpara0"/>
        </w:rPr>
        <w:t>The diagnostic cut-off of</w:t>
      </w:r>
      <w:r w:rsidR="000A1439" w:rsidRPr="00825CC6">
        <w:rPr>
          <w:rStyle w:val="resultpara0"/>
        </w:rPr>
        <w:t xml:space="preserve"> low-risk bacterial infection </w:t>
      </w:r>
      <w:r w:rsidR="000A1439" w:rsidRPr="00825CC6">
        <w:rPr>
          <w:rStyle w:val="resultpara0"/>
          <w:bCs/>
        </w:rPr>
        <w:t xml:space="preserve">is defined </w:t>
      </w:r>
      <w:r w:rsidR="000A1439" w:rsidRPr="00825CC6">
        <w:rPr>
          <w:rStyle w:val="resultpara0"/>
        </w:rPr>
        <w:t>as 0.</w:t>
      </w:r>
      <w:r w:rsidR="000A1439" w:rsidRPr="00825CC6">
        <w:t xml:space="preserve"> </w:t>
      </w:r>
      <w:r w:rsidR="000A1439" w:rsidRPr="00825CC6">
        <w:rPr>
          <w:rStyle w:val="resultpara2"/>
        </w:rPr>
        <w:t>05 - 0.</w:t>
      </w:r>
      <w:r w:rsidR="000A1439" w:rsidRPr="00825CC6">
        <w:t xml:space="preserve"> </w:t>
      </w:r>
      <w:r w:rsidR="000A1439" w:rsidRPr="00825CC6">
        <w:rPr>
          <w:rStyle w:val="resultpara4"/>
        </w:rPr>
        <w:t xml:space="preserve">5 ng/ml, </w:t>
      </w:r>
      <w:r w:rsidR="000A1439" w:rsidRPr="00825CC6">
        <w:rPr>
          <w:rStyle w:val="resultpara4"/>
          <w:bCs/>
        </w:rPr>
        <w:t xml:space="preserve">while a </w:t>
      </w:r>
      <w:r w:rsidR="00CB52CB">
        <w:rPr>
          <w:rStyle w:val="resultpara4"/>
        </w:rPr>
        <w:t>possible bacterial infection</w:t>
      </w:r>
      <w:r w:rsidR="0097108C">
        <w:rPr>
          <w:rStyle w:val="resultpara4"/>
        </w:rPr>
        <w:t>,</w:t>
      </w:r>
      <w:r w:rsidR="00CB52CB">
        <w:rPr>
          <w:rStyle w:val="resultpara4"/>
        </w:rPr>
        <w:t xml:space="preserve"> as </w:t>
      </w:r>
      <w:r w:rsidR="000A1439" w:rsidRPr="00825CC6">
        <w:rPr>
          <w:rStyle w:val="resultpara4"/>
        </w:rPr>
        <w:t>local or mild systemic</w:t>
      </w:r>
      <w:r w:rsidR="0097108C">
        <w:rPr>
          <w:rStyle w:val="resultpara4"/>
        </w:rPr>
        <w:t>,</w:t>
      </w:r>
      <w:r w:rsidR="000A1439" w:rsidRPr="00825CC6">
        <w:rPr>
          <w:rStyle w:val="resultpara4"/>
          <w:bCs/>
        </w:rPr>
        <w:t xml:space="preserve"> is considered to be</w:t>
      </w:r>
      <w:r w:rsidR="000A1439" w:rsidRPr="00825CC6">
        <w:rPr>
          <w:rStyle w:val="resultpara4"/>
        </w:rPr>
        <w:t xml:space="preserve"> 0.</w:t>
      </w:r>
      <w:r w:rsidR="000A1439" w:rsidRPr="00825CC6">
        <w:t xml:space="preserve"> </w:t>
      </w:r>
      <w:r w:rsidR="000A1439" w:rsidRPr="00825CC6">
        <w:rPr>
          <w:rStyle w:val="resultpara6"/>
        </w:rPr>
        <w:t>5 - 2.</w:t>
      </w:r>
      <w:r w:rsidR="000A1439" w:rsidRPr="00825CC6">
        <w:t xml:space="preserve"> </w:t>
      </w:r>
      <w:r w:rsidR="000A1439" w:rsidRPr="00825CC6">
        <w:rPr>
          <w:rStyle w:val="resultpara8"/>
        </w:rPr>
        <w:t>0 ng/ml</w:t>
      </w:r>
      <w:r w:rsidR="000A1439" w:rsidRPr="00825CC6">
        <w:rPr>
          <w:rStyle w:val="resultpara8"/>
          <w:bCs/>
        </w:rPr>
        <w:t>.</w:t>
      </w:r>
      <w:r w:rsidR="00870691">
        <w:rPr>
          <w:rStyle w:val="resultpara8"/>
          <w:bCs/>
        </w:rPr>
        <w:t xml:space="preserve"> In the case of autoimmune disorders rarely cause PCT </w:t>
      </w:r>
      <w:r w:rsidR="0097108C">
        <w:rPr>
          <w:rStyle w:val="resultpara8"/>
          <w:bCs/>
        </w:rPr>
        <w:t>rarely rises,</w:t>
      </w:r>
      <w:r w:rsidR="00870691">
        <w:rPr>
          <w:rStyle w:val="resultpara8"/>
          <w:bCs/>
        </w:rPr>
        <w:t xml:space="preserve"> and in the case of fungal infections</w:t>
      </w:r>
      <w:r w:rsidR="0097108C">
        <w:rPr>
          <w:rStyle w:val="resultpara8"/>
          <w:bCs/>
        </w:rPr>
        <w:t>,</w:t>
      </w:r>
      <w:r w:rsidR="00870691">
        <w:rPr>
          <w:rStyle w:val="resultpara8"/>
          <w:bCs/>
        </w:rPr>
        <w:t xml:space="preserve"> PCT may rise</w:t>
      </w:r>
      <w:r w:rsidR="0097108C">
        <w:rPr>
          <w:rStyle w:val="resultpara8"/>
          <w:bCs/>
        </w:rPr>
        <w:t>,</w:t>
      </w:r>
      <w:r w:rsidR="00870691">
        <w:rPr>
          <w:rStyle w:val="resultpara8"/>
          <w:bCs/>
        </w:rPr>
        <w:t xml:space="preserve"> but it is lower than </w:t>
      </w:r>
      <w:r w:rsidR="0097108C">
        <w:rPr>
          <w:rStyle w:val="resultpara8"/>
          <w:bCs/>
        </w:rPr>
        <w:t xml:space="preserve">in </w:t>
      </w:r>
      <w:r w:rsidR="00870691">
        <w:rPr>
          <w:rStyle w:val="resultpara8"/>
          <w:bCs/>
        </w:rPr>
        <w:t xml:space="preserve">bacterial infections. </w:t>
      </w:r>
      <w:r w:rsidR="00870691" w:rsidRPr="00870691">
        <w:rPr>
          <w:rStyle w:val="resultpara0"/>
        </w:rPr>
        <w:t xml:space="preserve">For </w:t>
      </w:r>
      <w:r w:rsidR="00870691" w:rsidRPr="00870691">
        <w:rPr>
          <w:rStyle w:val="resultpara0"/>
          <w:bCs/>
        </w:rPr>
        <w:t>instance</w:t>
      </w:r>
      <w:r w:rsidR="00870691" w:rsidRPr="00870691">
        <w:rPr>
          <w:rStyle w:val="resultpara0"/>
        </w:rPr>
        <w:t xml:space="preserve">, a patient </w:t>
      </w:r>
      <w:r w:rsidR="00870691" w:rsidRPr="00870691">
        <w:rPr>
          <w:rStyle w:val="resultpara0"/>
          <w:bCs/>
        </w:rPr>
        <w:t>arrives</w:t>
      </w:r>
      <w:r w:rsidR="00870691" w:rsidRPr="00870691">
        <w:rPr>
          <w:rStyle w:val="resultpara0"/>
        </w:rPr>
        <w:t xml:space="preserve"> with fever, tachycardia, and hypotension, PCT = 8.</w:t>
      </w:r>
      <w:r w:rsidR="00870691" w:rsidRPr="00870691">
        <w:t xml:space="preserve"> </w:t>
      </w:r>
      <w:r w:rsidR="00870691" w:rsidRPr="00870691">
        <w:rPr>
          <w:rStyle w:val="resultpara2"/>
        </w:rPr>
        <w:t>5 ng/mL.</w:t>
      </w:r>
      <w:r w:rsidR="00870691" w:rsidRPr="00870691">
        <w:t xml:space="preserve"> </w:t>
      </w:r>
      <w:r w:rsidR="00870691" w:rsidRPr="00870691">
        <w:rPr>
          <w:rStyle w:val="resultpara4"/>
        </w:rPr>
        <w:t xml:space="preserve">This </w:t>
      </w:r>
      <w:r w:rsidR="00870691" w:rsidRPr="00870691">
        <w:rPr>
          <w:rStyle w:val="resultpara4"/>
          <w:bCs/>
        </w:rPr>
        <w:t>provides strong evidence for</w:t>
      </w:r>
      <w:r w:rsidR="00870691" w:rsidRPr="00870691">
        <w:rPr>
          <w:rStyle w:val="resultpara4"/>
        </w:rPr>
        <w:t xml:space="preserve"> severe bacterial sepsis </w:t>
      </w:r>
      <w:r w:rsidR="00870691" w:rsidRPr="00870691">
        <w:rPr>
          <w:rStyle w:val="resultpara4"/>
          <w:bCs/>
        </w:rPr>
        <w:t>instead of</w:t>
      </w:r>
      <w:r w:rsidR="00870691" w:rsidRPr="00870691">
        <w:rPr>
          <w:rStyle w:val="resultpara4"/>
        </w:rPr>
        <w:t xml:space="preserve"> viral </w:t>
      </w:r>
      <w:r w:rsidR="00870691" w:rsidRPr="00870691">
        <w:rPr>
          <w:rStyle w:val="resultpara4"/>
          <w:bCs/>
        </w:rPr>
        <w:t>infections</w:t>
      </w:r>
      <w:r w:rsidR="00870691" w:rsidRPr="00870691">
        <w:rPr>
          <w:rStyle w:val="resultpara4"/>
        </w:rPr>
        <w:t xml:space="preserve"> or non-infectious </w:t>
      </w:r>
      <w:r w:rsidR="00870691" w:rsidRPr="00870691">
        <w:rPr>
          <w:rStyle w:val="resultpara4"/>
          <w:bCs/>
        </w:rPr>
        <w:t>reasons</w:t>
      </w:r>
      <w:r w:rsidR="00870691" w:rsidRPr="00870691">
        <w:rPr>
          <w:rStyle w:val="resultpara4"/>
        </w:rPr>
        <w:t>.</w:t>
      </w:r>
      <w:r w:rsidR="00870691">
        <w:rPr>
          <w:rStyle w:val="resultpara4"/>
        </w:rPr>
        <w:t xml:space="preserve"> </w:t>
      </w:r>
      <w:r w:rsidR="00BF5FBE">
        <w:rPr>
          <w:shd w:val="clear" w:color="auto" w:fill="FFFFFF"/>
        </w:rPr>
        <w:t xml:space="preserve"> </w:t>
      </w:r>
      <w:r w:rsidR="00683629" w:rsidRPr="00C32B81">
        <w:rPr>
          <w:rStyle w:val="resultpara4"/>
          <w:bCs/>
        </w:rPr>
        <w:t xml:space="preserve">The final part of this chapter has addressed the details of PCT's </w:t>
      </w:r>
      <w:r w:rsidR="00C32B81" w:rsidRPr="00C32B81">
        <w:rPr>
          <w:rStyle w:val="resultpara4"/>
          <w:bCs/>
        </w:rPr>
        <w:t>capability</w:t>
      </w:r>
      <w:r w:rsidR="00683629" w:rsidRPr="00C32B81">
        <w:rPr>
          <w:rStyle w:val="resultpara4"/>
          <w:bCs/>
        </w:rPr>
        <w:t xml:space="preserve"> to </w:t>
      </w:r>
      <w:r w:rsidR="00C32B81" w:rsidRPr="00C32B81">
        <w:rPr>
          <w:rStyle w:val="resultpara4"/>
          <w:bCs/>
        </w:rPr>
        <w:t>distinguish</w:t>
      </w:r>
      <w:r w:rsidR="00683629" w:rsidRPr="00C32B81">
        <w:rPr>
          <w:rStyle w:val="resultpara4"/>
          <w:bCs/>
        </w:rPr>
        <w:t xml:space="preserve"> </w:t>
      </w:r>
      <w:r w:rsidR="00C32B81" w:rsidRPr="00C32B81">
        <w:rPr>
          <w:rStyle w:val="resultpara4"/>
          <w:bCs/>
        </w:rPr>
        <w:t>among</w:t>
      </w:r>
      <w:r w:rsidR="00683629" w:rsidRPr="00C32B81">
        <w:rPr>
          <w:rStyle w:val="resultpara4"/>
          <w:bCs/>
        </w:rPr>
        <w:t xml:space="preserve"> bacterial and viral infections as host</w:t>
      </w:r>
      <w:r w:rsidR="00683629">
        <w:rPr>
          <w:shd w:val="clear" w:color="auto" w:fill="FFFFFF"/>
        </w:rPr>
        <w:t xml:space="preserve"> biomarker</w:t>
      </w:r>
      <w:r w:rsidR="00683629">
        <w:fldChar w:fldCharType="begin"/>
      </w:r>
      <w:r w:rsidR="00B41ACC">
        <w:instrText xml:space="preserve"> ADDIN ZOTERO_ITEM CSL_CITATION {"citationID":"xS86D5Cd","properties":{"formattedCitation":"\\super 152\\uc0\\u8211{}154\\nosupersub{}","plainCitation":"152–154","noteIndex":0},"citationItems":[{"id":1120,"uris":["http://zotero.org/users/local/BfzbJtgR/items/L947H4X5"],"itemData":{"id":1120,"type":"article-journal","abstract":"Abstract\n            \n              Background\n              Procalcitonin (PCT) was first described in the early 1960s as a precursor of calcitonin that is synthesized mainly in the thyroid and lung tissues. It is an immediate biosynthetic product in response to bacterial toxins and the pro-inflammatory cytokines, which in turn makes it a distinctive biomarker for bacterial infections. The present analysis deals with the study on the biochemical characteristics, production pathways, and clinical uses of PCT as a diagnostic tool.\n            \n            \n              Methods\n              During March and June 2024, a cross-sectional study was performed, among 357 patients with the proper characteristics who were admitted to the hospital and got their PCT levels, there were those who had respiratory, cardiac, gastrointestinal, and systemic infections. The exclusion criteria were the hospital stay of less than 24 h and a few noninfectious diseases.\n            \n            \n              Results\n              The higher PCT levels (&gt; 0.5 ng/mL) reliably informed about the presence of bacterial infections like pneumonia, endocarditis, urinary tract infections, and sepsis. PCT levels demonstrated trivial increase in viral as well as fungal infections. The study ratified the significant relationship between PCT levels and the severity of bacterial infections, thus backing its usefulness in the diagnosis and treatment control.\n            \n            \n              Conclusion\n              Procalcitonin is increasingly emerging as a trustworthy biomarker for bacterial infections, thus helping in the early diagnosis, guiding targeted antibiotic therapy, and reducing inappropriate antibiotic use. Its high specificity for bacterial etiology has largely contributed to the success and potency of antibiotic stewardship programs.","container-title":"Future Journal of Pharmaceutical Sciences","DOI":"10.1186/s43094-025-00773-y","ISSN":"2314-7253","issue":"1","journalAbbreviation":"Futur J Pharm Sci","language":"en","page":"29","source":"DOI.org (Crossref)","title":"A short-term cross-sectional retrospective study on procalcitonin as a diagnostic aid for various infectious diseases","volume":"11","author":[{"family":"Khanna","given":"D Kiran"},{"family":"Jayalakshmi","given":"K M Divya"},{"family":"Arun","given":"D"},{"family":"Jayavardhini","given":"S"},{"family":"Karthikaa","given":"S Hemanth"},{"family":"Sumetha","given":"S"},{"family":"Thiyagarajan","given":"Karthik"}],"issued":{"date-parts":[["2025",3,3]]}}},{"id":1117,"uris":["http://zotero.org/users/local/BfzbJtgR/items/W8JLFSW5"],"itemData":{"id":1117,"type":"article-journal","abstract":"BACKGROUND: Serum procalcitonin (PCT) levels differ in patients with bacterial or fungal infections and are significantly elevated in patients with Gram-negative bacteremia. We evaluated the diagnostic accuracy of different inflammatory markers to discriminate sepsis caused by different pathogens.\nMATERIALS AND METHODS: We included 328 episodes of bacteremia from 292 patients with sepsis and 31 patients with suspected sepsis in this study. Medical records of patients who had bacteremia caused by Gram-negative bacteria (Gram-negative), Gram-positive bacteria (Gram-positive) or fungi were reviewed, and information about PCT and other inflammatory markers was recorded. The diagnostic performance of inflammatory markers was calculated via receiver operating characteristic (ROC) curves.\nRESULTS: Serum PCT levels in Gram-negative, Gram-positive, and fungal sepsis were 7.47 (interquartile range [IQR]: 1.09-41.26) ng/mL, 0.48 (IQR: 0.15-2.16) ng/mL, and 0.60 (IQR: 0.14-2.06) ng/mL, respectively (P &lt; 0.001). ROC analysis revealed an optimal cut-off value of 2.44 ng/mL for PCT in discriminating Gram-negative sepsis from Gram-positive sepsis, which yielded a sensitivity of 68.4% and a specificity of 77.1%. An optimal cut-off value of 3.11 ng/mL for PCT in discriminating Gram-negative sepsis from fungal sepsis, led to a sensitivity of 63.9% and specificity of 93.3%. Neither PCT nor other inflammatory markers could be used to distinguish between Gram-positive and fungal sepsis.\nCONCLUSION: Serum PCT levels were significantly higher in patients with Gram-negative sepsis than in those with Gram-positive or fungal sepsis. PCT is a potential sensitive biomarker for distinguishing Gram-negative sepsis from Gram-positive and fungal sepsis.","container-title":"Journal of Research in Medical Sciences: The Official Journal of Isfahan University of Medical Sciences","DOI":"10.4103/1735-1995.183996","ISSN":"1735-1995","journalAbbreviation":"J Res Med Sci","language":"eng","note":"PMID: 27904585\nPMCID: PMC5122113","page":"39","source":"PubMed","title":"Serum procalcitonin levels distinguish Gram-negative bacterial sepsis from Gram-positive bacterial and fungal sepsis","volume":"21","author":[{"family":"Li","given":"Shuhua"},{"family":"Rong","given":"Hengmo"},{"family":"Guo","given":"Qinliang"},{"family":"Chen","given":"Yifei"},{"family":"Zhang","given":"Guqing"},{"family":"Yang","given":"Jiong"}],"issued":{"date-parts":[["2016"]]}}},{"id":1115,"uris":["http://zotero.org/users/local/BfzbJtgR/items/W6D4CK34"],"itemData":{"id":1115,"type":"article-journal","abstract":"Procalcitonin (PCT) levels increase in patients with systemic infections; the highest levels have been found in sepsis. This study tested whether plasma procalcitonin level was related to sepsis, CRP, burn size, inhalation injury or mortality in severely burned patients over the entire clinical course. In 27 patients with 51 (20-91)% TBSA, PCT was measured three times weekly from admission over the entire course of stay in a single ICU. Daily scoring by the \"Baltimore Sepsis Scale\" was performed. The patients were assigned to three groups depending on the clinical course and outcome: A = no septic complications, B = septic complications-survivors, C = septic complications non-survivors. PCT levels were elevated slightly at admission (mean 2.1 ng/ml) except in three patients who suffered electrical burns (mean 15.7 ng/ml). PCT peak levels correlated well with the Scoring values (r = 0.84) while CRP did not (r = 0.64). Peak PCT levels were significantly higher (p &lt; 0.005) in septic patients (B and C) who averaged 49.8+/-76.9 ng/ml, than in non-septic patients (A) who averaged peak levels of 2.3+/-3.7 ng/ml. The highest PCT levels were found immediately before death (86.8+/-97 ng/ml). Seven patients had an inhalation injury 3rd degree. In these patients at 24 h postburn, there was no relationship between PCT levels and inhalation injury but during the later days postburn there were significant differences in PCT levels in patients with versus without inhalation injury. All patients with inhalation injury 3rd degree developed septic complications. There was no positive correlation between the PCT-admission-levels and the TBSA, but there was a positive correlation between the TBSA and the mean peak PCT levels during the later days postburn (r = 0.73; p &lt; 0.05). The cut-off value of 3 ng/ ml we found reliable to indicate severe bacterial or fungal infection. PCT values over 10 ng/ml increasing over the following days were found only in life-threatening situations due to systemic infections. The individual course of PCT in one patient is more important than absolute values. PCT presented in this study as a useful diagnostic parameter in severely burned patients.","container-title":"Burns: Journal of the International Society for Burn Injuries","DOI":"10.1016/s0305-4179(98)00109-0","ISSN":"0305-4179","issue":"8","journalAbbreviation":"Burns","language":"eng","note":"PMID: 9915676","page":"745-750","source":"PubMed","title":"Procalcitonin--a sepsis parameter in severe burn injuries","volume":"24","author":[{"family":"Heimburg","given":"D.","non-dropping-particle":"von"},{"family":"Stieghorst","given":"W."},{"family":"Khorram-Sefat","given":"R."},{"family":"Pallua","given":"N."}],"issued":{"date-parts":[["1998",12]]}}}],"schema":"https://github.com/citation-style-language/schema/raw/master/csl-citation.json"} </w:instrText>
      </w:r>
      <w:r w:rsidR="00683629">
        <w:fldChar w:fldCharType="separate"/>
      </w:r>
      <w:r w:rsidR="00B41ACC" w:rsidRPr="00B41ACC">
        <w:rPr>
          <w:rFonts w:cs="Times New Roman"/>
          <w:vertAlign w:val="superscript"/>
        </w:rPr>
        <w:t>152–154</w:t>
      </w:r>
      <w:r w:rsidR="00683629">
        <w:fldChar w:fldCharType="end"/>
      </w:r>
      <w:r w:rsidR="00683629">
        <w:t>.</w:t>
      </w:r>
      <w:r w:rsidR="00683629">
        <w:rPr>
          <w:shd w:val="clear" w:color="auto" w:fill="FFFFFF"/>
        </w:rPr>
        <w:br/>
      </w:r>
    </w:p>
    <w:p w:rsidR="00C011F4" w:rsidRPr="00683629" w:rsidRDefault="00951D14" w:rsidP="00F861EB">
      <w:pPr>
        <w:pStyle w:val="Standard"/>
        <w:suppressAutoHyphens w:val="0"/>
        <w:spacing w:before="280" w:after="280" w:line="276" w:lineRule="auto"/>
        <w:jc w:val="both"/>
        <w:textAlignment w:val="auto"/>
        <w:rPr>
          <w:rStyle w:val="resultpara4"/>
        </w:rPr>
      </w:pPr>
      <w:r w:rsidRPr="00951D14">
        <w:rPr>
          <w:b/>
        </w:rPr>
        <w:t>Alpha-1 Antitrypsin (AAT)</w:t>
      </w:r>
      <w:r w:rsidR="00B06241">
        <w:rPr>
          <w:b/>
        </w:rPr>
        <w:t xml:space="preserve">: </w:t>
      </w:r>
      <w:r w:rsidR="00EC0557">
        <w:t xml:space="preserve">AAT is produced by </w:t>
      </w:r>
      <w:r w:rsidR="00C64FC2">
        <w:t>the</w:t>
      </w:r>
      <w:r w:rsidR="00EC0557">
        <w:t xml:space="preserve"> </w:t>
      </w:r>
      <w:r w:rsidRPr="00951D14">
        <w:rPr>
          <w:rStyle w:val="Strong"/>
          <w:b w:val="0"/>
        </w:rPr>
        <w:t>liver</w:t>
      </w:r>
      <w:r w:rsidRPr="00951D14">
        <w:rPr>
          <w:b/>
        </w:rPr>
        <w:t>,</w:t>
      </w:r>
      <w:r w:rsidR="00C64FC2">
        <w:t xml:space="preserve"> including </w:t>
      </w:r>
      <w:r w:rsidRPr="00951D14">
        <w:rPr>
          <w:rStyle w:val="Strong"/>
          <w:b w:val="0"/>
        </w:rPr>
        <w:t xml:space="preserve">monocytes, </w:t>
      </w:r>
      <w:r w:rsidR="00EC0557" w:rsidRPr="00951D14">
        <w:rPr>
          <w:rStyle w:val="Strong"/>
          <w:b w:val="0"/>
        </w:rPr>
        <w:t>macrophages</w:t>
      </w:r>
      <w:r w:rsidR="00EC0557">
        <w:rPr>
          <w:rStyle w:val="Strong"/>
          <w:b w:val="0"/>
        </w:rPr>
        <w:t xml:space="preserve"> </w:t>
      </w:r>
      <w:r w:rsidRPr="00951D14">
        <w:rPr>
          <w:rStyle w:val="Strong"/>
          <w:b w:val="0"/>
        </w:rPr>
        <w:t>and lung epithelial cells</w:t>
      </w:r>
      <w:r w:rsidRPr="00951D14">
        <w:rPr>
          <w:b/>
        </w:rPr>
        <w:t>.</w:t>
      </w:r>
      <w:r>
        <w:rPr>
          <w:b/>
        </w:rPr>
        <w:t xml:space="preserve"> </w:t>
      </w:r>
      <w:r w:rsidR="00C011F4">
        <w:t>AAT's</w:t>
      </w:r>
      <w:r w:rsidRPr="00951D14">
        <w:t xml:space="preserve"> normal range is</w:t>
      </w:r>
      <w:r w:rsidRPr="00951D14">
        <w:rPr>
          <w:b/>
        </w:rPr>
        <w:t xml:space="preserve"> ~</w:t>
      </w:r>
      <w:r w:rsidRPr="00951D14">
        <w:rPr>
          <w:rStyle w:val="Strong"/>
          <w:b w:val="0"/>
        </w:rPr>
        <w:t>100-200 mg/dL</w:t>
      </w:r>
      <w:r w:rsidRPr="00951D14">
        <w:t xml:space="preserve"> </w:t>
      </w:r>
      <w:r w:rsidR="00C64FC2">
        <w:t xml:space="preserve">at a </w:t>
      </w:r>
      <w:r>
        <w:t xml:space="preserve">half-life of 4-5 days. </w:t>
      </w:r>
      <w:r w:rsidRPr="00951D14">
        <w:rPr>
          <w:rStyle w:val="resultpara0"/>
        </w:rPr>
        <w:t xml:space="preserve">AAT is </w:t>
      </w:r>
      <w:r w:rsidRPr="00951D14">
        <w:rPr>
          <w:rStyle w:val="resultpara0"/>
          <w:bCs/>
        </w:rPr>
        <w:t>increased</w:t>
      </w:r>
      <w:r w:rsidRPr="00951D14">
        <w:rPr>
          <w:rStyle w:val="resultpara0"/>
        </w:rPr>
        <w:t xml:space="preserve"> during </w:t>
      </w:r>
      <w:r w:rsidRPr="00951D14">
        <w:rPr>
          <w:rStyle w:val="resultpara0"/>
          <w:bCs/>
        </w:rPr>
        <w:t xml:space="preserve">times of </w:t>
      </w:r>
      <w:r w:rsidRPr="00951D14">
        <w:rPr>
          <w:rStyle w:val="resultpara0"/>
        </w:rPr>
        <w:t xml:space="preserve">inflammation, infection, and tissue </w:t>
      </w:r>
      <w:r w:rsidRPr="00951D14">
        <w:rPr>
          <w:rStyle w:val="resultpara0"/>
          <w:bCs/>
        </w:rPr>
        <w:t>damage</w:t>
      </w:r>
      <w:r w:rsidRPr="00951D14">
        <w:rPr>
          <w:rStyle w:val="resultpara0"/>
        </w:rPr>
        <w:t>.</w:t>
      </w:r>
      <w:r w:rsidRPr="00951D14">
        <w:t xml:space="preserve"> </w:t>
      </w:r>
      <w:r w:rsidRPr="00951D14">
        <w:rPr>
          <w:rStyle w:val="resultpara2"/>
        </w:rPr>
        <w:t xml:space="preserve">Its </w:t>
      </w:r>
      <w:r w:rsidRPr="00951D14">
        <w:rPr>
          <w:rStyle w:val="resultpara2"/>
          <w:bCs/>
        </w:rPr>
        <w:t>main function</w:t>
      </w:r>
      <w:r w:rsidRPr="00951D14">
        <w:rPr>
          <w:rStyle w:val="resultpara2"/>
        </w:rPr>
        <w:t xml:space="preserve"> is to </w:t>
      </w:r>
      <w:r w:rsidRPr="00951D14">
        <w:rPr>
          <w:rStyle w:val="resultpara2"/>
          <w:bCs/>
        </w:rPr>
        <w:t>block</w:t>
      </w:r>
      <w:r w:rsidRPr="00951D14">
        <w:rPr>
          <w:rStyle w:val="resultpara2"/>
        </w:rPr>
        <w:t xml:space="preserve"> proteases, </w:t>
      </w:r>
      <w:r w:rsidRPr="00951D14">
        <w:rPr>
          <w:rStyle w:val="resultpara2"/>
          <w:bCs/>
        </w:rPr>
        <w:t>particularly</w:t>
      </w:r>
      <w:r w:rsidRPr="00951D14">
        <w:rPr>
          <w:rStyle w:val="resultpara2"/>
        </w:rPr>
        <w:t xml:space="preserve"> neutrophil elastase, which is released </w:t>
      </w:r>
      <w:r w:rsidRPr="00951D14">
        <w:rPr>
          <w:rStyle w:val="resultpara2"/>
          <w:bCs/>
        </w:rPr>
        <w:t>in response to</w:t>
      </w:r>
      <w:r w:rsidRPr="00951D14">
        <w:rPr>
          <w:rStyle w:val="resultpara2"/>
        </w:rPr>
        <w:t xml:space="preserve"> inflammation and tissue </w:t>
      </w:r>
      <w:r w:rsidRPr="00951D14">
        <w:rPr>
          <w:rStyle w:val="resultpara2"/>
          <w:bCs/>
        </w:rPr>
        <w:t>damage</w:t>
      </w:r>
      <w:r w:rsidRPr="00951D14">
        <w:rPr>
          <w:rStyle w:val="resultpara2"/>
        </w:rPr>
        <w:t>.</w:t>
      </w:r>
      <w:r w:rsidRPr="00951D14">
        <w:t xml:space="preserve"> </w:t>
      </w:r>
      <w:r w:rsidRPr="00951D14">
        <w:rPr>
          <w:rStyle w:val="resultpara4"/>
        </w:rPr>
        <w:t xml:space="preserve">This </w:t>
      </w:r>
      <w:r w:rsidRPr="00951D14">
        <w:rPr>
          <w:rStyle w:val="resultpara4"/>
          <w:bCs/>
        </w:rPr>
        <w:t>serves to safeguard</w:t>
      </w:r>
      <w:r w:rsidR="00A82866">
        <w:rPr>
          <w:rStyle w:val="resultpara4"/>
        </w:rPr>
        <w:t xml:space="preserve"> </w:t>
      </w:r>
      <w:r w:rsidR="007239EA">
        <w:rPr>
          <w:rStyle w:val="resultpara4"/>
        </w:rPr>
        <w:t>lung</w:t>
      </w:r>
      <w:r w:rsidR="00A82866">
        <w:rPr>
          <w:rStyle w:val="resultpara4"/>
        </w:rPr>
        <w:t xml:space="preserve"> </w:t>
      </w:r>
      <w:r w:rsidR="007D49B1">
        <w:rPr>
          <w:rStyle w:val="resultpara4"/>
        </w:rPr>
        <w:t xml:space="preserve">tissues </w:t>
      </w:r>
      <w:r w:rsidRPr="00951D14">
        <w:rPr>
          <w:rStyle w:val="resultpara4"/>
        </w:rPr>
        <w:t xml:space="preserve">from excessive proteolytic </w:t>
      </w:r>
      <w:r w:rsidRPr="00951D14">
        <w:rPr>
          <w:rStyle w:val="resultpara4"/>
          <w:bCs/>
        </w:rPr>
        <w:t>harm</w:t>
      </w:r>
      <w:r w:rsidRPr="00951D14">
        <w:rPr>
          <w:rStyle w:val="resultpara4"/>
        </w:rPr>
        <w:t>.</w:t>
      </w:r>
      <w:r>
        <w:rPr>
          <w:rStyle w:val="resultpara4"/>
        </w:rPr>
        <w:t xml:space="preserve"> </w:t>
      </w:r>
      <w:r w:rsidRPr="00951D14">
        <w:t xml:space="preserve">The </w:t>
      </w:r>
      <w:r w:rsidRPr="00951D14">
        <w:rPr>
          <w:bCs/>
        </w:rPr>
        <w:t>primary function</w:t>
      </w:r>
      <w:r w:rsidRPr="00951D14">
        <w:t xml:space="preserve"> of AAT </w:t>
      </w:r>
      <w:r w:rsidRPr="00951D14">
        <w:rPr>
          <w:bCs/>
        </w:rPr>
        <w:t>involves the</w:t>
      </w:r>
      <w:r w:rsidR="00C64FC2">
        <w:t xml:space="preserve"> </w:t>
      </w:r>
      <w:r w:rsidR="0019356F">
        <w:t>hindrance</w:t>
      </w:r>
      <w:r w:rsidRPr="00951D14">
        <w:t xml:space="preserve"> of neutrophil elastase, trypsin, and other serine proteases</w:t>
      </w:r>
      <w:r w:rsidR="0019356F">
        <w:rPr>
          <w:bCs/>
        </w:rPr>
        <w:t>. AAT</w:t>
      </w:r>
      <w:r w:rsidRPr="00951D14">
        <w:rPr>
          <w:bCs/>
        </w:rPr>
        <w:t xml:space="preserve"> prevents the</w:t>
      </w:r>
      <w:r w:rsidRPr="00951D14">
        <w:t xml:space="preserve"> excessive </w:t>
      </w:r>
      <w:r w:rsidRPr="00951D14">
        <w:rPr>
          <w:bCs/>
        </w:rPr>
        <w:t>degradation</w:t>
      </w:r>
      <w:r w:rsidRPr="00951D14">
        <w:t xml:space="preserve"> of extracellular matrix during inflammation</w:t>
      </w:r>
      <w:r w:rsidRPr="00951D14">
        <w:rPr>
          <w:bCs/>
        </w:rPr>
        <w:t>, particularly</w:t>
      </w:r>
      <w:r w:rsidRPr="00951D14">
        <w:t xml:space="preserve"> in </w:t>
      </w:r>
      <w:r w:rsidRPr="00951D14">
        <w:rPr>
          <w:bCs/>
        </w:rPr>
        <w:t xml:space="preserve">the </w:t>
      </w:r>
      <w:r w:rsidRPr="00951D14">
        <w:t xml:space="preserve">lungs, </w:t>
      </w:r>
      <w:r w:rsidRPr="00951D14">
        <w:rPr>
          <w:bCs/>
        </w:rPr>
        <w:t xml:space="preserve">where </w:t>
      </w:r>
      <w:r w:rsidRPr="00951D14">
        <w:t xml:space="preserve">it </w:t>
      </w:r>
      <w:r w:rsidRPr="00951D14">
        <w:rPr>
          <w:bCs/>
        </w:rPr>
        <w:t>serves</w:t>
      </w:r>
      <w:r w:rsidRPr="00951D14">
        <w:t xml:space="preserve"> an anti-inflammatory </w:t>
      </w:r>
      <w:r w:rsidRPr="00951D14">
        <w:rPr>
          <w:bCs/>
        </w:rPr>
        <w:t>function by decreasing</w:t>
      </w:r>
      <w:r w:rsidRPr="00951D14">
        <w:t xml:space="preserve"> tissue </w:t>
      </w:r>
      <w:r w:rsidRPr="00951D14">
        <w:rPr>
          <w:bCs/>
        </w:rPr>
        <w:t>damage induced</w:t>
      </w:r>
      <w:r w:rsidRPr="00951D14">
        <w:t xml:space="preserve"> </w:t>
      </w:r>
      <w:r w:rsidRPr="00951D14">
        <w:lastRenderedPageBreak/>
        <w:t>by excessive immune activation</w:t>
      </w:r>
      <w:r w:rsidRPr="00951D14">
        <w:rPr>
          <w:bCs/>
        </w:rPr>
        <w:t>. Additionally,</w:t>
      </w:r>
      <w:r w:rsidRPr="00951D14">
        <w:t xml:space="preserve"> it </w:t>
      </w:r>
      <w:r w:rsidRPr="00951D14">
        <w:rPr>
          <w:bCs/>
        </w:rPr>
        <w:t>has been observed</w:t>
      </w:r>
      <w:r w:rsidRPr="00951D14">
        <w:t xml:space="preserve"> to </w:t>
      </w:r>
      <w:r w:rsidR="0019356F">
        <w:rPr>
          <w:bCs/>
        </w:rPr>
        <w:t>increase</w:t>
      </w:r>
      <w:r w:rsidRPr="00951D14">
        <w:t xml:space="preserve"> during infections, trauma, </w:t>
      </w:r>
      <w:r w:rsidRPr="00951D14">
        <w:rPr>
          <w:bCs/>
        </w:rPr>
        <w:t>malignancies</w:t>
      </w:r>
      <w:r w:rsidRPr="00951D14">
        <w:t xml:space="preserve">, and autoimmune </w:t>
      </w:r>
      <w:r w:rsidRPr="00951D14">
        <w:rPr>
          <w:bCs/>
        </w:rPr>
        <w:t>disorders</w:t>
      </w:r>
      <w:r w:rsidRPr="00951D14">
        <w:t>.</w:t>
      </w:r>
      <w:r w:rsidR="003C2CE9">
        <w:t xml:space="preserve"> Most importantly, </w:t>
      </w:r>
      <w:r w:rsidR="003C2CE9">
        <w:rPr>
          <w:rStyle w:val="resultpara0"/>
        </w:rPr>
        <w:t>i</w:t>
      </w:r>
      <w:r w:rsidR="003C2CE9" w:rsidRPr="003C2CE9">
        <w:rPr>
          <w:rStyle w:val="resultpara0"/>
        </w:rPr>
        <w:t xml:space="preserve">t is </w:t>
      </w:r>
      <w:r w:rsidR="003C2CE9" w:rsidRPr="003C2CE9">
        <w:rPr>
          <w:rStyle w:val="resultpara0"/>
          <w:bCs/>
        </w:rPr>
        <w:t>revealed</w:t>
      </w:r>
      <w:r w:rsidR="0019356F">
        <w:rPr>
          <w:rStyle w:val="resultpara0"/>
        </w:rPr>
        <w:t xml:space="preserve"> to</w:t>
      </w:r>
      <w:r w:rsidR="003C2CE9" w:rsidRPr="003C2CE9">
        <w:rPr>
          <w:rStyle w:val="resultpara0"/>
        </w:rPr>
        <w:t xml:space="preserve"> </w:t>
      </w:r>
      <w:r w:rsidR="0019356F">
        <w:rPr>
          <w:rStyle w:val="resultpara0"/>
        </w:rPr>
        <w:t xml:space="preserve">be </w:t>
      </w:r>
      <w:r w:rsidR="0019356F" w:rsidRPr="003C2CE9">
        <w:rPr>
          <w:rStyle w:val="resultpara0"/>
        </w:rPr>
        <w:t>discreetly</w:t>
      </w:r>
      <w:r w:rsidR="003C2CE9" w:rsidRPr="003C2CE9">
        <w:rPr>
          <w:rStyle w:val="resultpara0"/>
        </w:rPr>
        <w:t xml:space="preserve"> </w:t>
      </w:r>
      <w:r w:rsidR="0019356F">
        <w:rPr>
          <w:rStyle w:val="resultpara0"/>
          <w:bCs/>
        </w:rPr>
        <w:t>raised</w:t>
      </w:r>
      <w:r w:rsidR="003C2CE9" w:rsidRPr="003C2CE9">
        <w:rPr>
          <w:rStyle w:val="resultpara0"/>
        </w:rPr>
        <w:t xml:space="preserve"> in </w:t>
      </w:r>
      <w:r w:rsidR="0019356F" w:rsidRPr="003C2CE9">
        <w:rPr>
          <w:rStyle w:val="resultpara0"/>
          <w:bCs/>
        </w:rPr>
        <w:t>infections</w:t>
      </w:r>
      <w:r w:rsidR="0019356F">
        <w:rPr>
          <w:rStyle w:val="resultpara0"/>
          <w:bCs/>
        </w:rPr>
        <w:t xml:space="preserve"> with </w:t>
      </w:r>
      <w:r w:rsidR="0019356F">
        <w:rPr>
          <w:rStyle w:val="resultpara0"/>
        </w:rPr>
        <w:t>bacteria or viruses</w:t>
      </w:r>
      <w:r w:rsidR="003C2CE9" w:rsidRPr="003C2CE9">
        <w:rPr>
          <w:rStyle w:val="resultpara0"/>
        </w:rPr>
        <w:t>.</w:t>
      </w:r>
      <w:r w:rsidR="003C2CE9" w:rsidRPr="003C2CE9">
        <w:t xml:space="preserve"> </w:t>
      </w:r>
      <w:r w:rsidR="003C2CE9">
        <w:t xml:space="preserve">Moreover, </w:t>
      </w:r>
      <w:r w:rsidR="003C2CE9">
        <w:rPr>
          <w:rStyle w:val="resultpara2"/>
        </w:rPr>
        <w:t>i</w:t>
      </w:r>
      <w:r w:rsidR="003C2CE9" w:rsidRPr="003C2CE9">
        <w:rPr>
          <w:rStyle w:val="resultpara2"/>
        </w:rPr>
        <w:t xml:space="preserve">t is </w:t>
      </w:r>
      <w:r w:rsidR="003C2CE9" w:rsidRPr="003C2CE9">
        <w:rPr>
          <w:rStyle w:val="resultpara2"/>
          <w:bCs/>
        </w:rPr>
        <w:t>noted</w:t>
      </w:r>
      <w:r w:rsidR="003C2CE9" w:rsidRPr="003C2CE9">
        <w:rPr>
          <w:rStyle w:val="resultpara2"/>
        </w:rPr>
        <w:t xml:space="preserve"> to prevent tissue </w:t>
      </w:r>
      <w:r w:rsidR="003C2CE9" w:rsidRPr="003C2CE9">
        <w:rPr>
          <w:rStyle w:val="resultpara2"/>
          <w:bCs/>
        </w:rPr>
        <w:t>damage</w:t>
      </w:r>
      <w:r w:rsidR="00C64FC2">
        <w:rPr>
          <w:rStyle w:val="resultpara2"/>
          <w:bCs/>
        </w:rPr>
        <w:t>,</w:t>
      </w:r>
      <w:r w:rsidR="003C2CE9" w:rsidRPr="003C2CE9">
        <w:rPr>
          <w:rStyle w:val="resultpara2"/>
        </w:rPr>
        <w:t xml:space="preserve"> such as trauma and </w:t>
      </w:r>
      <w:r w:rsidR="003C2CE9" w:rsidRPr="003C2CE9">
        <w:rPr>
          <w:rStyle w:val="resultpara2"/>
          <w:bCs/>
        </w:rPr>
        <w:t>burns</w:t>
      </w:r>
      <w:r w:rsidR="00543BD2">
        <w:rPr>
          <w:rStyle w:val="resultpara2"/>
          <w:bCs/>
        </w:rPr>
        <w:t>,</w:t>
      </w:r>
      <w:r w:rsidR="003C2CE9" w:rsidRPr="003C2CE9">
        <w:rPr>
          <w:rStyle w:val="resultpara2"/>
        </w:rPr>
        <w:t xml:space="preserve"> as its level </w:t>
      </w:r>
      <w:r w:rsidR="003C2CE9" w:rsidRPr="003C2CE9">
        <w:rPr>
          <w:rStyle w:val="resultpara2"/>
          <w:bCs/>
        </w:rPr>
        <w:t>rises</w:t>
      </w:r>
      <w:r w:rsidR="003C2CE9" w:rsidRPr="003C2CE9">
        <w:rPr>
          <w:rStyle w:val="resultpara2"/>
        </w:rPr>
        <w:t xml:space="preserve"> to </w:t>
      </w:r>
      <w:r w:rsidR="003C2CE9" w:rsidRPr="003C2CE9">
        <w:rPr>
          <w:rStyle w:val="resultpara2"/>
          <w:bCs/>
        </w:rPr>
        <w:t>protect against</w:t>
      </w:r>
      <w:r w:rsidR="003C2CE9" w:rsidRPr="003C2CE9">
        <w:rPr>
          <w:rStyle w:val="resultpara2"/>
        </w:rPr>
        <w:t xml:space="preserve"> </w:t>
      </w:r>
      <w:r w:rsidR="00C64FC2">
        <w:rPr>
          <w:rStyle w:val="resultpara2"/>
        </w:rPr>
        <w:t>proteases</w:t>
      </w:r>
      <w:r w:rsidR="003C2CE9" w:rsidRPr="003C2CE9">
        <w:rPr>
          <w:rStyle w:val="resultpara2"/>
        </w:rPr>
        <w:t>.</w:t>
      </w:r>
      <w:r w:rsidR="003C2CE9" w:rsidRPr="003C2CE9">
        <w:t xml:space="preserve"> </w:t>
      </w:r>
      <w:r w:rsidR="003C2CE9">
        <w:rPr>
          <w:rStyle w:val="resultpara4"/>
        </w:rPr>
        <w:t xml:space="preserve"> A</w:t>
      </w:r>
      <w:r w:rsidR="003C2CE9" w:rsidRPr="003C2CE9">
        <w:rPr>
          <w:rStyle w:val="resultpara4"/>
        </w:rPr>
        <w:t>lso</w:t>
      </w:r>
      <w:r w:rsidR="003C2CE9">
        <w:rPr>
          <w:rStyle w:val="resultpara4"/>
        </w:rPr>
        <w:t>, it is</w:t>
      </w:r>
      <w:r w:rsidR="003C2CE9" w:rsidRPr="003C2CE9">
        <w:rPr>
          <w:rStyle w:val="resultpara4"/>
        </w:rPr>
        <w:t xml:space="preserve"> </w:t>
      </w:r>
      <w:r w:rsidR="003C2CE9" w:rsidRPr="003C2CE9">
        <w:rPr>
          <w:rStyle w:val="resultpara4"/>
          <w:bCs/>
        </w:rPr>
        <w:t>stated</w:t>
      </w:r>
      <w:r w:rsidR="003C2CE9" w:rsidRPr="003C2CE9">
        <w:rPr>
          <w:rStyle w:val="resultpara4"/>
        </w:rPr>
        <w:t xml:space="preserve"> to be </w:t>
      </w:r>
      <w:r w:rsidR="003C2CE9" w:rsidRPr="003C2CE9">
        <w:rPr>
          <w:rStyle w:val="resultpara4"/>
          <w:bCs/>
        </w:rPr>
        <w:t xml:space="preserve">consistently </w:t>
      </w:r>
      <w:r w:rsidR="0019356F" w:rsidRPr="003C2CE9">
        <w:rPr>
          <w:rStyle w:val="resultpara4"/>
          <w:bCs/>
        </w:rPr>
        <w:t>augmented</w:t>
      </w:r>
      <w:r w:rsidR="003C2CE9" w:rsidRPr="003C2CE9">
        <w:rPr>
          <w:rStyle w:val="resultpara4"/>
        </w:rPr>
        <w:t xml:space="preserve"> in chronic inflammation</w:t>
      </w:r>
      <w:r w:rsidR="0019356F">
        <w:rPr>
          <w:rStyle w:val="resultpara4"/>
        </w:rPr>
        <w:t>,</w:t>
      </w:r>
      <w:r w:rsidR="003C2CE9" w:rsidRPr="003C2CE9">
        <w:rPr>
          <w:rStyle w:val="resultpara4"/>
        </w:rPr>
        <w:t xml:space="preserve"> </w:t>
      </w:r>
      <w:r w:rsidR="003C2CE9" w:rsidRPr="003C2CE9">
        <w:rPr>
          <w:rStyle w:val="resultpara4"/>
          <w:bCs/>
        </w:rPr>
        <w:t xml:space="preserve">such </w:t>
      </w:r>
      <w:r w:rsidR="003C2CE9" w:rsidRPr="003C2CE9">
        <w:rPr>
          <w:rStyle w:val="resultpara4"/>
        </w:rPr>
        <w:t>as</w:t>
      </w:r>
      <w:r w:rsidR="0019356F">
        <w:rPr>
          <w:rStyle w:val="resultpara4"/>
        </w:rPr>
        <w:t xml:space="preserve"> </w:t>
      </w:r>
      <w:r w:rsidR="00543BD2">
        <w:rPr>
          <w:rStyle w:val="resultpara4"/>
        </w:rPr>
        <w:t>inflammatory</w:t>
      </w:r>
      <w:r w:rsidR="0019356F">
        <w:rPr>
          <w:rStyle w:val="resultpara4"/>
        </w:rPr>
        <w:t xml:space="preserve"> bowel disease and rheumatoid arthritis</w:t>
      </w:r>
      <w:r w:rsidR="003C2CE9" w:rsidRPr="003C2CE9">
        <w:rPr>
          <w:rStyle w:val="resultpara4"/>
        </w:rPr>
        <w:t>.</w:t>
      </w:r>
      <w:r w:rsidR="003C380C">
        <w:rPr>
          <w:rStyle w:val="resultpara4"/>
        </w:rPr>
        <w:t xml:space="preserve"> </w:t>
      </w:r>
    </w:p>
    <w:p w:rsidR="00337809" w:rsidRPr="00451ED3" w:rsidRDefault="00677AC4" w:rsidP="00F861EB">
      <w:pPr>
        <w:pStyle w:val="Standard"/>
        <w:suppressAutoHyphens w:val="0"/>
        <w:spacing w:before="280" w:after="280" w:line="276" w:lineRule="auto"/>
        <w:jc w:val="both"/>
        <w:textAlignment w:val="auto"/>
        <w:rPr>
          <w:bCs/>
        </w:rPr>
      </w:pPr>
      <w:r w:rsidRPr="00677AC4">
        <w:rPr>
          <w:rStyle w:val="resultpara0"/>
        </w:rPr>
        <w:t xml:space="preserve">There </w:t>
      </w:r>
      <w:r w:rsidRPr="00677AC4">
        <w:rPr>
          <w:rStyle w:val="resultpara0"/>
          <w:bCs/>
        </w:rPr>
        <w:t>exists</w:t>
      </w:r>
      <w:r w:rsidR="005D6715">
        <w:rPr>
          <w:rStyle w:val="resultpara0"/>
        </w:rPr>
        <w:t xml:space="preserve"> a genetic array</w:t>
      </w:r>
      <w:r w:rsidRPr="00677AC4">
        <w:rPr>
          <w:rStyle w:val="resultpara0"/>
        </w:rPr>
        <w:t xml:space="preserve"> in the AAT gene </w:t>
      </w:r>
      <w:r w:rsidRPr="00677AC4">
        <w:rPr>
          <w:rStyle w:val="resultpara0"/>
          <w:bCs/>
        </w:rPr>
        <w:t>located on</w:t>
      </w:r>
      <w:r w:rsidRPr="00677AC4">
        <w:rPr>
          <w:rStyle w:val="resultpara0"/>
        </w:rPr>
        <w:t xml:space="preserve"> chromosome 14 </w:t>
      </w:r>
      <w:r w:rsidRPr="00677AC4">
        <w:rPr>
          <w:rStyle w:val="resultpara0"/>
          <w:bCs/>
        </w:rPr>
        <w:t>referred to</w:t>
      </w:r>
      <w:r w:rsidRPr="00677AC4">
        <w:rPr>
          <w:rStyle w:val="resultpara0"/>
        </w:rPr>
        <w:t xml:space="preserve"> as the SERPINA1 gene polymorphism.</w:t>
      </w:r>
      <w:r w:rsidRPr="00677AC4">
        <w:t xml:space="preserve"> </w:t>
      </w:r>
      <w:r w:rsidRPr="00677AC4">
        <w:rPr>
          <w:rStyle w:val="resultpara2"/>
        </w:rPr>
        <w:t xml:space="preserve">The </w:t>
      </w:r>
      <w:r w:rsidRPr="00677AC4">
        <w:rPr>
          <w:rStyle w:val="resultpara2"/>
          <w:bCs/>
        </w:rPr>
        <w:t>standard</w:t>
      </w:r>
      <w:r w:rsidRPr="00677AC4">
        <w:rPr>
          <w:rStyle w:val="resultpara2"/>
        </w:rPr>
        <w:t xml:space="preserve"> allele is PiM</w:t>
      </w:r>
      <w:r w:rsidRPr="00677AC4">
        <w:rPr>
          <w:rStyle w:val="resultpara2"/>
          <w:bCs/>
        </w:rPr>
        <w:t>, while there are</w:t>
      </w:r>
      <w:r w:rsidRPr="00677AC4">
        <w:rPr>
          <w:rStyle w:val="resultpara2"/>
        </w:rPr>
        <w:t xml:space="preserve"> two deficient alleles - PiZ </w:t>
      </w:r>
      <w:r w:rsidRPr="00677AC4">
        <w:rPr>
          <w:rStyle w:val="resultpara2"/>
          <w:bCs/>
        </w:rPr>
        <w:t>regarded</w:t>
      </w:r>
      <w:r w:rsidRPr="00677AC4">
        <w:rPr>
          <w:rStyle w:val="resultpara2"/>
        </w:rPr>
        <w:t xml:space="preserve"> as </w:t>
      </w:r>
      <w:r w:rsidRPr="00677AC4">
        <w:rPr>
          <w:rStyle w:val="resultpara2"/>
          <w:bCs/>
        </w:rPr>
        <w:t xml:space="preserve">the </w:t>
      </w:r>
      <w:r w:rsidRPr="00677AC4">
        <w:rPr>
          <w:rStyle w:val="resultpara2"/>
        </w:rPr>
        <w:t>most severe deficiency and PiS</w:t>
      </w:r>
      <w:r w:rsidR="000266C2">
        <w:rPr>
          <w:rStyle w:val="resultpara2"/>
        </w:rPr>
        <w:t>,</w:t>
      </w:r>
      <w:r w:rsidRPr="00677AC4">
        <w:rPr>
          <w:rStyle w:val="resultpara2"/>
        </w:rPr>
        <w:t xml:space="preserve"> </w:t>
      </w:r>
      <w:r w:rsidRPr="00677AC4">
        <w:rPr>
          <w:rStyle w:val="resultpara2"/>
          <w:bCs/>
        </w:rPr>
        <w:t xml:space="preserve">classified </w:t>
      </w:r>
      <w:r w:rsidRPr="00677AC4">
        <w:rPr>
          <w:rStyle w:val="resultpara2"/>
        </w:rPr>
        <w:t>as the milder deficiency.</w:t>
      </w:r>
      <w:r w:rsidRPr="00677AC4">
        <w:t xml:space="preserve"> </w:t>
      </w:r>
      <w:r w:rsidRPr="00677AC4">
        <w:rPr>
          <w:rStyle w:val="resultpara4"/>
        </w:rPr>
        <w:t xml:space="preserve">PiMM (Normal) </w:t>
      </w:r>
      <w:r w:rsidRPr="00677AC4">
        <w:rPr>
          <w:rStyle w:val="resultpara4"/>
          <w:bCs/>
        </w:rPr>
        <w:t>indicates</w:t>
      </w:r>
      <w:r w:rsidRPr="00677AC4">
        <w:rPr>
          <w:rStyle w:val="resultpara4"/>
        </w:rPr>
        <w:t xml:space="preserve"> a normal serum AAT level </w:t>
      </w:r>
      <w:r w:rsidRPr="00677AC4">
        <w:rPr>
          <w:rStyle w:val="resultpara4"/>
          <w:bCs/>
        </w:rPr>
        <w:t>along with</w:t>
      </w:r>
      <w:r w:rsidRPr="00677AC4">
        <w:rPr>
          <w:rStyle w:val="resultpara4"/>
        </w:rPr>
        <w:t xml:space="preserve"> a low disease </w:t>
      </w:r>
      <w:r w:rsidRPr="00677AC4">
        <w:rPr>
          <w:rStyle w:val="resultpara4"/>
          <w:bCs/>
        </w:rPr>
        <w:t>risk</w:t>
      </w:r>
      <w:r w:rsidRPr="00677AC4">
        <w:rPr>
          <w:rStyle w:val="resultpara4"/>
        </w:rPr>
        <w:t>.</w:t>
      </w:r>
      <w:r w:rsidRPr="00677AC4">
        <w:t xml:space="preserve"> </w:t>
      </w:r>
      <w:r w:rsidRPr="00677AC4">
        <w:rPr>
          <w:rStyle w:val="resultpara6"/>
          <w:bCs/>
        </w:rPr>
        <w:t>Moreover</w:t>
      </w:r>
      <w:r w:rsidRPr="00677AC4">
        <w:rPr>
          <w:rStyle w:val="resultpara6"/>
        </w:rPr>
        <w:t xml:space="preserve">, PiMZ (Carrier) </w:t>
      </w:r>
      <w:r w:rsidRPr="00677AC4">
        <w:rPr>
          <w:rStyle w:val="resultpara6"/>
          <w:bCs/>
        </w:rPr>
        <w:t>signifies</w:t>
      </w:r>
      <w:r w:rsidRPr="00677AC4">
        <w:rPr>
          <w:rStyle w:val="resultpara6"/>
        </w:rPr>
        <w:t xml:space="preserve"> a mildly low AAT level and is </w:t>
      </w:r>
      <w:r w:rsidRPr="00677AC4">
        <w:rPr>
          <w:rStyle w:val="resultpara6"/>
          <w:bCs/>
        </w:rPr>
        <w:t>associated with</w:t>
      </w:r>
      <w:r w:rsidRPr="00677AC4">
        <w:rPr>
          <w:rStyle w:val="resultpara6"/>
        </w:rPr>
        <w:t xml:space="preserve"> a slightly </w:t>
      </w:r>
      <w:r w:rsidRPr="00677AC4">
        <w:rPr>
          <w:rStyle w:val="resultpara6"/>
          <w:bCs/>
        </w:rPr>
        <w:t>increased</w:t>
      </w:r>
      <w:r w:rsidRPr="00677AC4">
        <w:rPr>
          <w:rStyle w:val="resultpara6"/>
        </w:rPr>
        <w:t xml:space="preserve"> risk of COPD </w:t>
      </w:r>
      <w:r w:rsidRPr="00677AC4">
        <w:rPr>
          <w:rStyle w:val="resultpara6"/>
          <w:bCs/>
        </w:rPr>
        <w:t>among</w:t>
      </w:r>
      <w:r w:rsidRPr="00677AC4">
        <w:rPr>
          <w:rStyle w:val="resultpara6"/>
        </w:rPr>
        <w:t xml:space="preserve"> smokers. </w:t>
      </w:r>
      <w:r w:rsidR="003C380C" w:rsidRPr="00677AC4">
        <w:t xml:space="preserve">On the other hand, </w:t>
      </w:r>
      <w:r w:rsidRPr="00677AC4">
        <w:rPr>
          <w:rStyle w:val="resultpara0"/>
        </w:rPr>
        <w:t>PiZZ</w:t>
      </w:r>
      <w:r w:rsidR="000266C2">
        <w:rPr>
          <w:rStyle w:val="resultpara0"/>
        </w:rPr>
        <w:t>,</w:t>
      </w:r>
      <w:r w:rsidRPr="00677AC4">
        <w:rPr>
          <w:rStyle w:val="resultpara0"/>
        </w:rPr>
        <w:t xml:space="preserve"> a </w:t>
      </w:r>
      <w:r w:rsidR="001B084D">
        <w:rPr>
          <w:rStyle w:val="resultpara0"/>
        </w:rPr>
        <w:t>Severe d</w:t>
      </w:r>
      <w:r w:rsidRPr="00677AC4">
        <w:rPr>
          <w:rStyle w:val="resultpara0"/>
        </w:rPr>
        <w:t>eficiency</w:t>
      </w:r>
      <w:r w:rsidR="000266C2">
        <w:rPr>
          <w:rStyle w:val="resultpara0"/>
        </w:rPr>
        <w:t>,</w:t>
      </w:r>
      <w:r w:rsidR="003C380C" w:rsidRPr="00677AC4">
        <w:rPr>
          <w:rStyle w:val="resultpara0"/>
        </w:rPr>
        <w:t xml:space="preserve"> was </w:t>
      </w:r>
      <w:r w:rsidR="003C380C" w:rsidRPr="00677AC4">
        <w:rPr>
          <w:rStyle w:val="resultpara0"/>
          <w:bCs/>
        </w:rPr>
        <w:t>observed</w:t>
      </w:r>
      <w:r w:rsidR="003C380C" w:rsidRPr="00677AC4">
        <w:rPr>
          <w:rStyle w:val="resultpara0"/>
        </w:rPr>
        <w:t xml:space="preserve"> to be </w:t>
      </w:r>
      <w:r w:rsidRPr="00677AC4">
        <w:rPr>
          <w:rStyle w:val="resultpara0"/>
          <w:bCs/>
        </w:rPr>
        <w:t>remarkably</w:t>
      </w:r>
      <w:r w:rsidR="003C380C" w:rsidRPr="00677AC4">
        <w:rPr>
          <w:rStyle w:val="resultpara0"/>
        </w:rPr>
        <w:t xml:space="preserve"> low </w:t>
      </w:r>
      <w:r w:rsidR="003C380C" w:rsidRPr="00677AC4">
        <w:t>(&lt;50 mg/dL) AAT in serum associated with a high risk of early</w:t>
      </w:r>
      <w:r w:rsidRPr="00677AC4">
        <w:t xml:space="preserve"> emphysema and liver cirrhosis as </w:t>
      </w:r>
      <w:r w:rsidR="003C380C" w:rsidRPr="00677AC4">
        <w:t>AAT</w:t>
      </w:r>
      <w:r w:rsidRPr="00677AC4">
        <w:t xml:space="preserve"> polymer buildup in hepatocytes</w:t>
      </w:r>
      <w:r w:rsidR="003C380C" w:rsidRPr="00677AC4">
        <w:t>.</w:t>
      </w:r>
      <w:r w:rsidR="000D28CA">
        <w:t xml:space="preserve"> In clinical settings, </w:t>
      </w:r>
      <w:r w:rsidR="009972F5">
        <w:t>s</w:t>
      </w:r>
      <w:r w:rsidR="000D28CA">
        <w:t xml:space="preserve">erum AAT </w:t>
      </w:r>
      <w:r w:rsidR="000266C2">
        <w:t>indicates</w:t>
      </w:r>
      <w:r w:rsidR="000D28CA">
        <w:t xml:space="preserve"> further screening for deficiency and monitorin</w:t>
      </w:r>
      <w:r w:rsidR="0066043E">
        <w:t xml:space="preserve">g of </w:t>
      </w:r>
      <w:r w:rsidR="000266C2">
        <w:t xml:space="preserve">the </w:t>
      </w:r>
      <w:r w:rsidR="0066043E">
        <w:t>acute phase response. The p</w:t>
      </w:r>
      <w:r w:rsidR="000D28CA">
        <w:t xml:space="preserve">henotyping test with isoelectric focusing determines the </w:t>
      </w:r>
      <w:r w:rsidR="000D28CA" w:rsidRPr="000D28CA">
        <w:rPr>
          <w:rStyle w:val="Strong"/>
          <w:b w:val="0"/>
        </w:rPr>
        <w:t>AAT variant</w:t>
      </w:r>
      <w:r w:rsidR="000D28CA">
        <w:t xml:space="preserve"> (Pi type).  However, genotyping detection of SERPINA1 mutation analysis </w:t>
      </w:r>
      <w:r w:rsidR="000266C2">
        <w:t xml:space="preserve">is </w:t>
      </w:r>
      <w:r w:rsidR="000D28CA">
        <w:t xml:space="preserve">marked as a hereditary deficiency.  </w:t>
      </w:r>
      <w:r w:rsidR="00154045">
        <w:t>Importantly, a</w:t>
      </w:r>
      <w:r w:rsidR="000D28CA">
        <w:t xml:space="preserve"> liver biopsy is considered in suspected liver disease due to AAT accumulation (PAS+ globules).  </w:t>
      </w:r>
      <w:r w:rsidR="0052449A">
        <w:t>In general, serum AAT level is increased in inflammation. However, a deficiency of AAT indicates lung and liver disease risk.</w:t>
      </w:r>
    </w:p>
    <w:p w:rsidR="00EA422B" w:rsidRPr="003D5FD0" w:rsidRDefault="003D5FD0" w:rsidP="003D5FD0">
      <w:pPr>
        <w:pStyle w:val="Heading3"/>
        <w:rPr>
          <w:rFonts w:ascii="Times New Roman" w:hAnsi="Times New Roman" w:cs="Times New Roman"/>
          <w:color w:val="auto"/>
          <w:sz w:val="24"/>
        </w:rPr>
      </w:pPr>
      <w:bookmarkStart w:id="11" w:name="_Toc193802122"/>
      <w:r w:rsidRPr="003D5FD0">
        <w:rPr>
          <w:rFonts w:ascii="Times New Roman" w:hAnsi="Times New Roman" w:cs="Times New Roman"/>
          <w:color w:val="auto"/>
          <w:sz w:val="24"/>
        </w:rPr>
        <w:t xml:space="preserve">2.2.2. </w:t>
      </w:r>
      <w:r w:rsidR="00337809" w:rsidRPr="003D5FD0">
        <w:rPr>
          <w:rFonts w:ascii="Times New Roman" w:hAnsi="Times New Roman" w:cs="Times New Roman"/>
          <w:color w:val="auto"/>
          <w:sz w:val="24"/>
        </w:rPr>
        <w:t>Negative acute phase proteins</w:t>
      </w:r>
      <w:bookmarkEnd w:id="11"/>
    </w:p>
    <w:p w:rsidR="00EA422B" w:rsidRPr="00EA422B" w:rsidRDefault="00EA422B" w:rsidP="00F861EB">
      <w:pPr>
        <w:pStyle w:val="Standard"/>
        <w:spacing w:before="280" w:after="280" w:line="276" w:lineRule="auto"/>
        <w:jc w:val="both"/>
      </w:pPr>
      <w:r w:rsidRPr="00EA422B">
        <w:t xml:space="preserve">A group of negative </w:t>
      </w:r>
      <w:r w:rsidR="000266C2">
        <w:t>acute-phase</w:t>
      </w:r>
      <w:r w:rsidRPr="00EA422B">
        <w:t xml:space="preserve"> proteins experience a drop in concentration in response to tissue damage, infection, or inflammation. Positive acute phase proteins, on the other hand, rise under these conditions. </w:t>
      </w:r>
      <w:r w:rsidR="00683629">
        <w:rPr>
          <w:shd w:val="clear" w:color="auto" w:fill="FFFFFF"/>
        </w:rPr>
        <w:t xml:space="preserve">It is believed that the positive </w:t>
      </w:r>
      <w:r w:rsidR="000266C2">
        <w:rPr>
          <w:shd w:val="clear" w:color="auto" w:fill="FFFFFF"/>
        </w:rPr>
        <w:t>acute-phase</w:t>
      </w:r>
      <w:r w:rsidR="00683629">
        <w:rPr>
          <w:shd w:val="clear" w:color="auto" w:fill="FFFFFF"/>
        </w:rPr>
        <w:t xml:space="preserve"> proteins are found to be raised in these conditions</w:t>
      </w:r>
      <w:r w:rsidR="000266C2">
        <w:rPr>
          <w:shd w:val="clear" w:color="auto" w:fill="FFFFFF"/>
        </w:rPr>
        <w:t>,</w:t>
      </w:r>
      <w:r w:rsidR="00683629">
        <w:rPr>
          <w:shd w:val="clear" w:color="auto" w:fill="FFFFFF"/>
        </w:rPr>
        <w:t xml:space="preserve"> and lowering these negative acute-phase proteins aids in rerouting amino acids and metabolic resources to produce positive acute-phase proteins, which are critical for tissue repair and the immune response</w:t>
      </w:r>
      <w:r>
        <w:fldChar w:fldCharType="begin"/>
      </w:r>
      <w:r w:rsidR="00B41ACC">
        <w:instrText xml:space="preserve"> ADDIN ZOTERO_ITEM CSL_CITATION {"citationID":"pE0wDKIR","properties":{"formattedCitation":"\\super 155\\nosupersub{}","plainCitation":"155","noteIndex":0},"citationItems":[{"id":675,"uris":["http://zotero.org/users/local/BfzbJtgR/items/H3F65L78"],"itemData":{"id":675,"type":"article-journal","abstract":"The acute phase response is a complex systemic early-defense system activated by trauma, infection, stress, neoplasia, and inflammation. Although nonspecific, it serves as a core of the innate immune response involving physical and molecular barriers and responses that serve to prevent infection, clear potential pathogens, initiate inflammatory processes, and contribute to resolution and the healing process. Acute phase proteins, an integral part of the acute phase response, have been a focus of many applications in human diagnostic medicine and recently have been identified in common animal species. Potential applications to diagnosis, prognosis, assessment of animal health, and laboratory animal welfare are readily apparent.","container-title":"Comparative Medicine","ISSN":"2769-819X","issue":"6","journalAbbreviation":"Comp Med","language":"eng","note":"PMID: 20034426\nPMCID: PMC2798837","page":"517-526","source":"PubMed","title":"Acute phase response in animals: a review","title-short":"Acute phase response in animals","volume":"59","author":[{"family":"Cray","given":"Carolyn"},{"family":"Zaias","given":"Julia"},{"family":"Altman","given":"Norman H."}],"issued":{"date-parts":[["2009",12]]}}}],"schema":"https://github.com/citation-style-language/schema/raw/master/csl-citation.json"} </w:instrText>
      </w:r>
      <w:r>
        <w:fldChar w:fldCharType="separate"/>
      </w:r>
      <w:r w:rsidR="00B41ACC" w:rsidRPr="00B41ACC">
        <w:rPr>
          <w:rFonts w:cs="Times New Roman"/>
          <w:vertAlign w:val="superscript"/>
        </w:rPr>
        <w:t>155</w:t>
      </w:r>
      <w:r>
        <w:fldChar w:fldCharType="end"/>
      </w:r>
      <w:r w:rsidRPr="00EA422B">
        <w:t xml:space="preserve">. </w:t>
      </w:r>
    </w:p>
    <w:p w:rsidR="0038311F" w:rsidRDefault="00B76C11" w:rsidP="00B76C11">
      <w:pPr>
        <w:spacing w:line="276" w:lineRule="auto"/>
        <w:jc w:val="both"/>
      </w:pPr>
      <w:r>
        <w:t xml:space="preserve">During extreme inflammation, the liver's synthetic emphasis changes to create good acute phase proteins like haptoglobin, fibrinogen and C-reactive protein (CRP)—they directly support wound healing, coagulation and host protection </w:t>
      </w:r>
      <w:r w:rsidR="0038311F">
        <w:fldChar w:fldCharType="begin"/>
      </w:r>
      <w:r w:rsidR="00B41ACC">
        <w:instrText xml:space="preserve"> ADDIN ZOTERO_ITEM CSL_CITATION {"citationID":"kxknyjC6","properties":{"formattedCitation":"\\super 138\\nosupersub{}","plainCitation":"138","noteIndex":0},"citationItems":[{"id":672,"uris":["http://zotero.org/users/local/BfzbJtgR/items/L35ZV5NJ"],"itemData":{"id":672,"type":"article-journal","container-title":"New England Journal of Medicine","DOI":"10.1056/NEJM199902113400607","ISSN":"0028-4793, 1533-4406","issue":"6","journalAbbreviation":"N Engl J Med","language":"en","page":"448-454","source":"DOI.org (Crossref)","title":"Acute-Phase Proteins and Other Systemic Responses to Inflammation","volume":"340","editor":[{"family":"Epstein","given":"Franklin H."}],"author":[{"family":"Gabay","given":"Cem"},{"family":"Kushner","given":"Irving"}],"issued":{"date-parts":[["1999",2,11]]}}}],"schema":"https://github.com/citation-style-language/schema/raw/master/csl-citation.json"} </w:instrText>
      </w:r>
      <w:r w:rsidR="0038311F">
        <w:fldChar w:fldCharType="separate"/>
      </w:r>
      <w:r w:rsidR="00B41ACC" w:rsidRPr="00B41ACC">
        <w:rPr>
          <w:rFonts w:ascii="Calibri" w:hAnsi="Calibri" w:cs="Calibri"/>
          <w:szCs w:val="24"/>
          <w:vertAlign w:val="superscript"/>
        </w:rPr>
        <w:t>138</w:t>
      </w:r>
      <w:r w:rsidR="0038311F">
        <w:fldChar w:fldCharType="end"/>
      </w:r>
      <w:r w:rsidR="0038311F" w:rsidRPr="0038311F">
        <w:t xml:space="preserve">. </w:t>
      </w:r>
      <w:r>
        <w:t xml:space="preserve">The quick phase response supports tissue regeneration, infection control, and prevention of further damage as part of the body's natural immune system defense mechanism </w:t>
      </w:r>
      <w:r w:rsidR="0038311F">
        <w:fldChar w:fldCharType="begin"/>
      </w:r>
      <w:r w:rsidR="00B41ACC">
        <w:instrText xml:space="preserve"> ADDIN ZOTERO_ITEM CSL_CITATION {"citationID":"FIoDb97i","properties":{"formattedCitation":"\\super 155\\nosupersub{}","plainCitation":"155","noteIndex":0},"citationItems":[{"id":675,"uris":["http://zotero.org/users/local/BfzbJtgR/items/H3F65L78"],"itemData":{"id":675,"type":"article-journal","abstract":"The acute phase response is a complex systemic early-defense system activated by trauma, infection, stress, neoplasia, and inflammation. Although nonspecific, it serves as a core of the innate immune response involving physical and molecular barriers and responses that serve to prevent infection, clear potential pathogens, initiate inflammatory processes, and contribute to resolution and the healing process. Acute phase proteins, an integral part of the acute phase response, have been a focus of many applications in human diagnostic medicine and recently have been identified in common animal species. Potential applications to diagnosis, prognosis, assessment of animal health, and laboratory animal welfare are readily apparent.","container-title":"Comparative Medicine","ISSN":"2769-819X","issue":"6","journalAbbreviation":"Comp Med","language":"eng","note":"PMID: 20034426\nPMCID: PMC2798837","page":"517-526","source":"PubMed","title":"Acute phase response in animals: a review","title-short":"Acute phase response in animals","volume":"59","author":[{"family":"Cray","given":"Carolyn"},{"family":"Zaias","given":"Julia"},{"family":"Altman","given":"Norman H."}],"issued":{"date-parts":[["2009",12]]}}}],"schema":"https://github.com/citation-style-language/schema/raw/master/csl-citation.json"} </w:instrText>
      </w:r>
      <w:r w:rsidR="0038311F">
        <w:fldChar w:fldCharType="separate"/>
      </w:r>
      <w:r w:rsidR="00B41ACC" w:rsidRPr="00B41ACC">
        <w:rPr>
          <w:rFonts w:ascii="Calibri" w:hAnsi="Calibri" w:cs="Calibri"/>
          <w:szCs w:val="24"/>
          <w:vertAlign w:val="superscript"/>
        </w:rPr>
        <w:t>155</w:t>
      </w:r>
      <w:r w:rsidR="0038311F">
        <w:fldChar w:fldCharType="end"/>
      </w:r>
      <w:r w:rsidR="0038311F" w:rsidRPr="0038311F">
        <w:t xml:space="preserve">. The body </w:t>
      </w:r>
      <w:r w:rsidR="0038311F">
        <w:t>down-regulates</w:t>
      </w:r>
      <w:r w:rsidR="0038311F" w:rsidRPr="0038311F">
        <w:t xml:space="preserve"> negative </w:t>
      </w:r>
      <w:r w:rsidR="0038311F">
        <w:t>acute-phase</w:t>
      </w:r>
      <w:r w:rsidR="0038311F" w:rsidRPr="0038311F">
        <w:t xml:space="preserve"> proteins, such as albumin, transferrin, and transthyretin, </w:t>
      </w:r>
      <w:r w:rsidR="0038311F">
        <w:t>to</w:t>
      </w:r>
      <w:r w:rsidR="0038311F" w:rsidRPr="0038311F">
        <w:t xml:space="preserve"> preserve metabolic resources and give priority to the synthesis of these protective proteins. </w:t>
      </w:r>
      <w:r>
        <w:t xml:space="preserve">(Gabay and Kushner 1999; Cray et al. 2009). When these unfavourable acute phase proteins are lowered since they help to guide metabolic substrates and amino acids toward good acute phase proteins production, the body's ability to produce a successful inflammatory and immune response is enhanced </w:t>
      </w:r>
      <w:r w:rsidR="0038311F">
        <w:fldChar w:fldCharType="begin"/>
      </w:r>
      <w:r w:rsidR="00B41ACC">
        <w:instrText xml:space="preserve"> ADDIN ZOTERO_ITEM CSL_CITATION {"citationID":"QFwS9BJG","properties":{"formattedCitation":"\\super 138\\nosupersub{}","plainCitation":"138","noteIndex":0},"citationItems":[{"id":672,"uris":["http://zotero.org/users/local/BfzbJtgR/items/L35ZV5NJ"],"itemData":{"id":672,"type":"article-journal","container-title":"New England Journal of Medicine","DOI":"10.1056/NEJM199902113400607","ISSN":"0028-4793, 1533-4406","issue":"6","journalAbbreviation":"N Engl J Med","language":"en","page":"448-454","source":"DOI.org (Crossref)","title":"Acute-Phase Proteins and Other Systemic Responses to Inflammation","volume":"340","editor":[{"family":"Epstein","given":"Franklin H."}],"author":[{"family":"Gabay","given":"Cem"},{"family":"Kushner","given":"Irving"}],"issued":{"date-parts":[["1999",2,11]]}}}],"schema":"https://github.com/citation-style-language/schema/raw/master/csl-citation.json"} </w:instrText>
      </w:r>
      <w:r w:rsidR="0038311F">
        <w:fldChar w:fldCharType="separate"/>
      </w:r>
      <w:r w:rsidR="00B41ACC" w:rsidRPr="00B41ACC">
        <w:rPr>
          <w:rFonts w:ascii="Calibri" w:hAnsi="Calibri" w:cs="Calibri"/>
          <w:szCs w:val="24"/>
          <w:vertAlign w:val="superscript"/>
        </w:rPr>
        <w:t>138</w:t>
      </w:r>
      <w:r w:rsidR="0038311F">
        <w:fldChar w:fldCharType="end"/>
      </w:r>
      <w:r>
        <w:t xml:space="preserve"> (</w:t>
      </w:r>
      <w:r w:rsidR="00CC3624">
        <w:t>Table 5)</w:t>
      </w:r>
      <w:r w:rsidR="0038311F" w:rsidRPr="0038311F">
        <w:t>.</w:t>
      </w:r>
    </w:p>
    <w:p w:rsidR="00733210" w:rsidRDefault="00733210" w:rsidP="00B76C11">
      <w:pPr>
        <w:spacing w:line="276" w:lineRule="auto"/>
        <w:jc w:val="both"/>
      </w:pPr>
    </w:p>
    <w:p w:rsidR="00733210" w:rsidRDefault="00733210" w:rsidP="00B76C11">
      <w:pPr>
        <w:spacing w:line="276" w:lineRule="auto"/>
        <w:jc w:val="both"/>
      </w:pPr>
    </w:p>
    <w:p w:rsidR="00630E2F" w:rsidRDefault="00CC3624" w:rsidP="00F861EB">
      <w:pPr>
        <w:pStyle w:val="Standard"/>
        <w:suppressAutoHyphens w:val="0"/>
        <w:spacing w:before="280" w:after="280" w:line="276" w:lineRule="auto"/>
        <w:jc w:val="both"/>
        <w:textAlignment w:val="auto"/>
        <w:rPr>
          <w:bCs/>
        </w:rPr>
      </w:pPr>
      <w:r>
        <w:t>Table 5</w:t>
      </w:r>
      <w:r w:rsidR="00630E2F">
        <w:t xml:space="preserve">: </w:t>
      </w:r>
      <w:r w:rsidR="00630E2F">
        <w:rPr>
          <w:bCs/>
        </w:rPr>
        <w:t xml:space="preserve">The important negative acute phase proteins as inflammatory </w:t>
      </w:r>
      <w:r w:rsidR="00EE2F87">
        <w:rPr>
          <w:bCs/>
        </w:rPr>
        <w:t xml:space="preserve">biomarkers </w:t>
      </w:r>
      <w:r w:rsidR="00EE2F87">
        <w:fldChar w:fldCharType="begin"/>
      </w:r>
      <w:r w:rsidR="00B41ACC">
        <w:instrText xml:space="preserve"> ADDIN ZOTERO_ITEM CSL_CITATION {"citationID":"mRXBmi8o","properties":{"formattedCitation":"\\super 155\\nosupersub{}","plainCitation":"155","noteIndex":0},"citationItems":[{"id":675,"uris":["http://zotero.org/users/local/BfzbJtgR/items/H3F65L78"],"itemData":{"id":675,"type":"article-journal","abstract":"The acute phase response is a complex systemic early-defense system activated by trauma, infection, stress, neoplasia, and inflammation. Although nonspecific, it serves as a core of the innate immune response involving physical and molecular barriers and responses that serve to prevent infection, clear potential pathogens, initiate inflammatory processes, and contribute to resolution and the healing process. Acute phase proteins, an integral part of the acute phase response, have been a focus of many applications in human diagnostic medicine and recently have been identified in common animal species. Potential applications to diagnosis, prognosis, assessment of animal health, and laboratory animal welfare are readily apparent.","container-title":"Comparative Medicine","ISSN":"2769-819X","issue":"6","journalAbbreviation":"Comp Med","language":"eng","note":"PMID: 20034426\nPMCID: PMC2798837","page":"517-526","source":"PubMed","title":"Acute phase response in animals: a review","title-short":"Acute phase response in animals","volume":"59","author":[{"family":"Cray","given":"Carolyn"},{"family":"Zaias","given":"Julia"},{"family":"Altman","given":"Norman H."}],"issued":{"date-parts":[["2009",12]]}}}],"schema":"https://github.com/citation-style-language/schema/raw/master/csl-citation.json"} </w:instrText>
      </w:r>
      <w:r w:rsidR="00EE2F87">
        <w:fldChar w:fldCharType="separate"/>
      </w:r>
      <w:r w:rsidR="00B41ACC" w:rsidRPr="00B41ACC">
        <w:rPr>
          <w:rFonts w:cs="Times New Roman"/>
          <w:vertAlign w:val="superscript"/>
        </w:rPr>
        <w:t>155</w:t>
      </w:r>
      <w:r w:rsidR="00EE2F87">
        <w:fldChar w:fldCharType="end"/>
      </w:r>
      <w:r w:rsidR="00630E2F">
        <w:rPr>
          <w:bCs/>
        </w:rPr>
        <w:t xml:space="preserve">. </w:t>
      </w:r>
    </w:p>
    <w:tbl>
      <w:tblPr>
        <w:tblStyle w:val="TableGrid"/>
        <w:tblW w:w="0" w:type="auto"/>
        <w:tblLook w:val="04A0" w:firstRow="1" w:lastRow="0" w:firstColumn="1" w:lastColumn="0" w:noHBand="0" w:noVBand="1"/>
      </w:tblPr>
      <w:tblGrid>
        <w:gridCol w:w="4675"/>
        <w:gridCol w:w="4675"/>
      </w:tblGrid>
      <w:tr w:rsidR="00630E2F" w:rsidRPr="00DC6A97" w:rsidTr="00DC6A97">
        <w:trPr>
          <w:trHeight w:val="287"/>
        </w:trPr>
        <w:tc>
          <w:tcPr>
            <w:tcW w:w="4675" w:type="dxa"/>
          </w:tcPr>
          <w:p w:rsidR="00630E2F" w:rsidRPr="00DC6A97" w:rsidRDefault="00630E2F" w:rsidP="00DC6A97">
            <w:pPr>
              <w:pStyle w:val="Standard"/>
              <w:suppressAutoHyphens w:val="0"/>
              <w:jc w:val="center"/>
              <w:textAlignment w:val="auto"/>
              <w:rPr>
                <w:rFonts w:ascii="Times New Roman" w:eastAsia="Times New Roman" w:hAnsi="Times New Roman" w:cs="Times New Roman"/>
                <w:b/>
                <w:bCs/>
                <w:kern w:val="0"/>
                <w:lang w:eastAsia="en-US" w:bidi="ar-SA"/>
              </w:rPr>
            </w:pPr>
            <w:r w:rsidRPr="00DC6A97">
              <w:rPr>
                <w:rFonts w:ascii="Times New Roman" w:eastAsia="Times New Roman" w:hAnsi="Times New Roman" w:cs="Times New Roman"/>
                <w:b/>
                <w:bCs/>
                <w:kern w:val="0"/>
                <w:lang w:eastAsia="en-US" w:bidi="ar-SA"/>
              </w:rPr>
              <w:t>Negative acute phase proteins</w:t>
            </w:r>
          </w:p>
        </w:tc>
        <w:tc>
          <w:tcPr>
            <w:tcW w:w="4675" w:type="dxa"/>
          </w:tcPr>
          <w:p w:rsidR="00630E2F" w:rsidRPr="00DC6A97" w:rsidRDefault="00630E2F" w:rsidP="00DC6A97">
            <w:pPr>
              <w:pStyle w:val="Standard"/>
              <w:suppressAutoHyphens w:val="0"/>
              <w:jc w:val="center"/>
              <w:textAlignment w:val="auto"/>
              <w:rPr>
                <w:rFonts w:ascii="Times New Roman" w:eastAsia="Times New Roman" w:hAnsi="Times New Roman" w:cs="Times New Roman"/>
                <w:b/>
                <w:bCs/>
                <w:kern w:val="0"/>
                <w:lang w:eastAsia="en-US" w:bidi="ar-SA"/>
              </w:rPr>
            </w:pPr>
            <w:r w:rsidRPr="00DC6A97">
              <w:rPr>
                <w:rFonts w:ascii="Times New Roman" w:eastAsia="Times New Roman" w:hAnsi="Times New Roman" w:cs="Times New Roman"/>
                <w:b/>
                <w:bCs/>
                <w:kern w:val="0"/>
                <w:lang w:eastAsia="en-US" w:bidi="ar-SA"/>
              </w:rPr>
              <w:t>Roles</w:t>
            </w:r>
          </w:p>
        </w:tc>
      </w:tr>
      <w:tr w:rsidR="00630E2F" w:rsidRPr="00DC6A97" w:rsidTr="00DC6A97">
        <w:trPr>
          <w:trHeight w:val="305"/>
        </w:trPr>
        <w:tc>
          <w:tcPr>
            <w:tcW w:w="4675" w:type="dxa"/>
          </w:tcPr>
          <w:p w:rsidR="00630E2F" w:rsidRPr="00DC6A97" w:rsidRDefault="00630E2F" w:rsidP="00DC6A97">
            <w:pPr>
              <w:pStyle w:val="Standard"/>
              <w:suppressAutoHyphens w:val="0"/>
              <w:jc w:val="center"/>
              <w:textAlignment w:val="auto"/>
              <w:rPr>
                <w:rFonts w:ascii="Times New Roman" w:eastAsia="Times New Roman" w:hAnsi="Times New Roman" w:cs="Times New Roman"/>
                <w:bCs/>
                <w:kern w:val="0"/>
                <w:lang w:eastAsia="en-US" w:bidi="ar-SA"/>
              </w:rPr>
            </w:pPr>
            <w:r w:rsidRPr="00DC6A97">
              <w:rPr>
                <w:rFonts w:ascii="Times New Roman" w:eastAsia="Times New Roman" w:hAnsi="Times New Roman" w:cs="Times New Roman"/>
                <w:bCs/>
                <w:kern w:val="0"/>
                <w:lang w:eastAsia="en-US" w:bidi="ar-SA"/>
              </w:rPr>
              <w:t>Transferrin</w:t>
            </w:r>
          </w:p>
        </w:tc>
        <w:tc>
          <w:tcPr>
            <w:tcW w:w="4675" w:type="dxa"/>
          </w:tcPr>
          <w:p w:rsidR="00630E2F" w:rsidRPr="00DC6A97" w:rsidRDefault="00630E2F" w:rsidP="00DC6A97">
            <w:pPr>
              <w:pStyle w:val="Standard"/>
              <w:suppressAutoHyphens w:val="0"/>
              <w:jc w:val="center"/>
              <w:textAlignment w:val="auto"/>
              <w:rPr>
                <w:rFonts w:ascii="Times New Roman" w:eastAsia="Times New Roman" w:hAnsi="Times New Roman" w:cs="Times New Roman"/>
                <w:bCs/>
                <w:kern w:val="0"/>
                <w:lang w:eastAsia="en-US" w:bidi="ar-SA"/>
              </w:rPr>
            </w:pPr>
            <w:r w:rsidRPr="00DC6A97">
              <w:rPr>
                <w:rFonts w:ascii="Times New Roman" w:eastAsia="Times New Roman" w:hAnsi="Times New Roman" w:cs="Times New Roman"/>
                <w:bCs/>
                <w:kern w:val="0"/>
                <w:lang w:eastAsia="en-US" w:bidi="ar-SA"/>
              </w:rPr>
              <w:t>Iron carriage in blood</w:t>
            </w:r>
          </w:p>
        </w:tc>
      </w:tr>
      <w:tr w:rsidR="00630E2F" w:rsidRPr="00DC6A97" w:rsidTr="00DC6A97">
        <w:trPr>
          <w:trHeight w:val="530"/>
        </w:trPr>
        <w:tc>
          <w:tcPr>
            <w:tcW w:w="4675" w:type="dxa"/>
          </w:tcPr>
          <w:p w:rsidR="00630E2F" w:rsidRPr="00DC6A97" w:rsidRDefault="00630E2F" w:rsidP="00DC6A97">
            <w:pPr>
              <w:pStyle w:val="Standard"/>
              <w:suppressAutoHyphens w:val="0"/>
              <w:jc w:val="center"/>
              <w:textAlignment w:val="auto"/>
              <w:rPr>
                <w:rFonts w:ascii="Times New Roman" w:eastAsia="Times New Roman" w:hAnsi="Times New Roman" w:cs="Times New Roman"/>
                <w:bCs/>
                <w:kern w:val="0"/>
                <w:lang w:eastAsia="en-US" w:bidi="ar-SA"/>
              </w:rPr>
            </w:pPr>
            <w:r w:rsidRPr="00DC6A97">
              <w:rPr>
                <w:rFonts w:ascii="Times New Roman" w:hAnsi="Times New Roman" w:cs="Times New Roman"/>
              </w:rPr>
              <w:t>Transthyretin (Prealbumin)</w:t>
            </w:r>
          </w:p>
        </w:tc>
        <w:tc>
          <w:tcPr>
            <w:tcW w:w="4675" w:type="dxa"/>
          </w:tcPr>
          <w:p w:rsidR="00630E2F" w:rsidRPr="00DC6A97" w:rsidRDefault="00630E2F" w:rsidP="00DC6A97">
            <w:pPr>
              <w:pStyle w:val="Standard"/>
              <w:suppressAutoHyphens w:val="0"/>
              <w:jc w:val="center"/>
              <w:textAlignment w:val="auto"/>
              <w:rPr>
                <w:rFonts w:ascii="Times New Roman" w:eastAsia="Times New Roman" w:hAnsi="Times New Roman" w:cs="Times New Roman"/>
                <w:bCs/>
                <w:kern w:val="0"/>
                <w:lang w:eastAsia="en-US" w:bidi="ar-SA"/>
              </w:rPr>
            </w:pPr>
            <w:r w:rsidRPr="00DC6A97">
              <w:rPr>
                <w:rFonts w:ascii="Times New Roman" w:eastAsia="Times New Roman" w:hAnsi="Times New Roman" w:cs="Times New Roman"/>
                <w:bCs/>
                <w:kern w:val="0"/>
                <w:lang w:eastAsia="en-US" w:bidi="ar-SA"/>
              </w:rPr>
              <w:t>Supply thyroxin (T4) and retinol (A4)</w:t>
            </w:r>
          </w:p>
        </w:tc>
      </w:tr>
      <w:tr w:rsidR="00630E2F" w:rsidRPr="00DC6A97" w:rsidTr="00DC6A97">
        <w:trPr>
          <w:trHeight w:val="503"/>
        </w:trPr>
        <w:tc>
          <w:tcPr>
            <w:tcW w:w="4675" w:type="dxa"/>
          </w:tcPr>
          <w:p w:rsidR="00630E2F" w:rsidRPr="00DC6A97" w:rsidRDefault="00630E2F" w:rsidP="00DC6A97">
            <w:pPr>
              <w:pStyle w:val="Standard"/>
              <w:suppressAutoHyphens w:val="0"/>
              <w:jc w:val="center"/>
              <w:textAlignment w:val="auto"/>
              <w:rPr>
                <w:rFonts w:ascii="Times New Roman" w:eastAsia="Times New Roman" w:hAnsi="Times New Roman" w:cs="Times New Roman"/>
                <w:bCs/>
                <w:kern w:val="0"/>
                <w:lang w:eastAsia="en-US" w:bidi="ar-SA"/>
              </w:rPr>
            </w:pPr>
            <w:r w:rsidRPr="00DC6A97">
              <w:rPr>
                <w:rFonts w:ascii="Times New Roman" w:eastAsia="Times New Roman" w:hAnsi="Times New Roman" w:cs="Times New Roman"/>
                <w:bCs/>
                <w:kern w:val="0"/>
                <w:lang w:eastAsia="en-US" w:bidi="ar-SA"/>
              </w:rPr>
              <w:t>Albumin</w:t>
            </w:r>
          </w:p>
        </w:tc>
        <w:tc>
          <w:tcPr>
            <w:tcW w:w="4675" w:type="dxa"/>
          </w:tcPr>
          <w:p w:rsidR="00630E2F" w:rsidRPr="00DC6A97" w:rsidRDefault="00630E2F" w:rsidP="00DC6A97">
            <w:pPr>
              <w:pStyle w:val="Standard"/>
              <w:suppressAutoHyphens w:val="0"/>
              <w:jc w:val="center"/>
              <w:textAlignment w:val="auto"/>
              <w:rPr>
                <w:rFonts w:ascii="Times New Roman" w:eastAsia="Times New Roman" w:hAnsi="Times New Roman" w:cs="Times New Roman"/>
                <w:bCs/>
                <w:kern w:val="0"/>
                <w:lang w:eastAsia="en-US" w:bidi="ar-SA"/>
              </w:rPr>
            </w:pPr>
            <w:r w:rsidRPr="00DC6A97">
              <w:rPr>
                <w:rFonts w:ascii="Times New Roman" w:eastAsia="Times New Roman" w:hAnsi="Times New Roman" w:cs="Times New Roman"/>
                <w:bCs/>
                <w:kern w:val="0"/>
                <w:lang w:eastAsia="en-US" w:bidi="ar-SA"/>
              </w:rPr>
              <w:t>Regulation of oncotic environment and carriage of fatty acids, hormones and drugs</w:t>
            </w:r>
          </w:p>
        </w:tc>
      </w:tr>
      <w:tr w:rsidR="00630E2F" w:rsidRPr="00DC6A97" w:rsidTr="00DC6A97">
        <w:trPr>
          <w:trHeight w:val="575"/>
        </w:trPr>
        <w:tc>
          <w:tcPr>
            <w:tcW w:w="4675" w:type="dxa"/>
          </w:tcPr>
          <w:p w:rsidR="00630E2F" w:rsidRPr="00DC6A97" w:rsidRDefault="00630E2F" w:rsidP="00DC6A97">
            <w:pPr>
              <w:pStyle w:val="Standard"/>
              <w:suppressAutoHyphens w:val="0"/>
              <w:jc w:val="center"/>
              <w:textAlignment w:val="auto"/>
              <w:rPr>
                <w:rFonts w:ascii="Times New Roman" w:eastAsia="Times New Roman" w:hAnsi="Times New Roman" w:cs="Times New Roman"/>
                <w:bCs/>
                <w:kern w:val="0"/>
                <w:lang w:eastAsia="en-US" w:bidi="ar-SA"/>
              </w:rPr>
            </w:pPr>
            <w:r w:rsidRPr="00DC6A97">
              <w:rPr>
                <w:rFonts w:ascii="Times New Roman" w:eastAsia="Times New Roman" w:hAnsi="Times New Roman" w:cs="Times New Roman"/>
                <w:bCs/>
                <w:kern w:val="0"/>
                <w:lang w:eastAsia="en-US" w:bidi="ar-SA"/>
              </w:rPr>
              <w:t>Retinol binding proteins</w:t>
            </w:r>
          </w:p>
        </w:tc>
        <w:tc>
          <w:tcPr>
            <w:tcW w:w="4675" w:type="dxa"/>
          </w:tcPr>
          <w:p w:rsidR="00630E2F" w:rsidRPr="00DC6A97" w:rsidRDefault="00630E2F" w:rsidP="00DC6A97">
            <w:pPr>
              <w:pStyle w:val="Standard"/>
              <w:suppressAutoHyphens w:val="0"/>
              <w:jc w:val="center"/>
              <w:textAlignment w:val="auto"/>
              <w:rPr>
                <w:rFonts w:ascii="Times New Roman" w:eastAsia="Times New Roman" w:hAnsi="Times New Roman" w:cs="Times New Roman"/>
                <w:bCs/>
                <w:kern w:val="0"/>
                <w:lang w:eastAsia="en-US" w:bidi="ar-SA"/>
              </w:rPr>
            </w:pPr>
            <w:r w:rsidRPr="00DC6A97">
              <w:rPr>
                <w:rFonts w:ascii="Times New Roman" w:eastAsia="Times New Roman" w:hAnsi="Times New Roman" w:cs="Times New Roman"/>
                <w:bCs/>
                <w:kern w:val="0"/>
                <w:lang w:eastAsia="en-US" w:bidi="ar-SA"/>
              </w:rPr>
              <w:t>Vitamin A carrier</w:t>
            </w:r>
          </w:p>
        </w:tc>
      </w:tr>
      <w:tr w:rsidR="00630E2F" w:rsidRPr="00DC6A97" w:rsidTr="00DC6A97">
        <w:trPr>
          <w:trHeight w:val="485"/>
        </w:trPr>
        <w:tc>
          <w:tcPr>
            <w:tcW w:w="4675" w:type="dxa"/>
          </w:tcPr>
          <w:p w:rsidR="00630E2F" w:rsidRPr="00DC6A97" w:rsidRDefault="00E75725" w:rsidP="00DC6A97">
            <w:pPr>
              <w:pStyle w:val="Standard"/>
              <w:suppressAutoHyphens w:val="0"/>
              <w:jc w:val="center"/>
              <w:textAlignment w:val="auto"/>
              <w:rPr>
                <w:rFonts w:ascii="Times New Roman" w:eastAsia="Times New Roman" w:hAnsi="Times New Roman" w:cs="Times New Roman"/>
                <w:bCs/>
                <w:kern w:val="0"/>
                <w:lang w:eastAsia="en-US" w:bidi="ar-SA"/>
              </w:rPr>
            </w:pPr>
            <w:r w:rsidRPr="00DC6A97">
              <w:rPr>
                <w:rFonts w:ascii="Times New Roman" w:eastAsia="Times New Roman" w:hAnsi="Times New Roman" w:cs="Times New Roman"/>
                <w:bCs/>
                <w:kern w:val="0"/>
                <w:lang w:eastAsia="en-US" w:bidi="ar-SA"/>
              </w:rPr>
              <w:t>Anti-thrombin</w:t>
            </w:r>
          </w:p>
        </w:tc>
        <w:tc>
          <w:tcPr>
            <w:tcW w:w="4675" w:type="dxa"/>
          </w:tcPr>
          <w:p w:rsidR="00630E2F" w:rsidRPr="00DC6A97" w:rsidRDefault="00630E2F" w:rsidP="00DC6A97">
            <w:pPr>
              <w:pStyle w:val="Standard"/>
              <w:suppressAutoHyphens w:val="0"/>
              <w:jc w:val="center"/>
              <w:textAlignment w:val="auto"/>
              <w:rPr>
                <w:rFonts w:ascii="Times New Roman" w:eastAsia="Times New Roman" w:hAnsi="Times New Roman" w:cs="Times New Roman"/>
                <w:bCs/>
                <w:kern w:val="0"/>
                <w:lang w:eastAsia="en-US" w:bidi="ar-SA"/>
              </w:rPr>
            </w:pPr>
            <w:r w:rsidRPr="00DC6A97">
              <w:rPr>
                <w:rFonts w:ascii="Times New Roman" w:eastAsia="Times New Roman" w:hAnsi="Times New Roman" w:cs="Times New Roman"/>
                <w:bCs/>
                <w:kern w:val="0"/>
                <w:lang w:eastAsia="en-US" w:bidi="ar-SA"/>
              </w:rPr>
              <w:t>Control blood coagulation by preventing thrombin</w:t>
            </w:r>
          </w:p>
        </w:tc>
      </w:tr>
    </w:tbl>
    <w:p w:rsidR="003853AD" w:rsidRDefault="003853AD" w:rsidP="00F861EB">
      <w:pPr>
        <w:pStyle w:val="Standard"/>
        <w:suppressAutoHyphens w:val="0"/>
        <w:spacing w:before="280" w:after="280" w:line="276" w:lineRule="auto"/>
        <w:jc w:val="both"/>
        <w:textAlignment w:val="auto"/>
      </w:pPr>
      <w:r w:rsidRPr="003853AD">
        <w:t xml:space="preserve">The most prevalent plasma protein, albumin, is a negative acute phase protein, which means that inflammation, infection, trauma, or chronic sickness </w:t>
      </w:r>
      <w:r>
        <w:t>causes</w:t>
      </w:r>
      <w:r w:rsidRPr="003853AD">
        <w:t xml:space="preserve"> its concentration to </w:t>
      </w:r>
      <w:r>
        <w:t xml:space="preserve">drop </w:t>
      </w:r>
      <w:r>
        <w:fldChar w:fldCharType="begin"/>
      </w:r>
      <w:r w:rsidR="00B41ACC">
        <w:instrText xml:space="preserve"> ADDIN ZOTERO_ITEM CSL_CITATION {"citationID":"PGAficeJ","properties":{"formattedCitation":"\\super 138\\nosupersub{}","plainCitation":"138","noteIndex":0},"citationItems":[{"id":672,"uris":["http://zotero.org/users/local/BfzbJtgR/items/L35ZV5NJ"],"itemData":{"id":672,"type":"article-journal","container-title":"New England Journal of Medicine","DOI":"10.1056/NEJM199902113400607","ISSN":"0028-4793, 1533-4406","issue":"6","journalAbbreviation":"N Engl J Med","language":"en","page":"448-454","source":"DOI.org (Crossref)","title":"Acute-Phase Proteins and Other Systemic Responses to Inflammation","volume":"340","editor":[{"family":"Epstein","given":"Franklin H."}],"author":[{"family":"Gabay","given":"Cem"},{"family":"Kushner","given":"Irving"}],"issued":{"date-parts":[["1999",2,11]]}}}],"schema":"https://github.com/citation-style-language/schema/raw/master/csl-citation.json"} </w:instrText>
      </w:r>
      <w:r>
        <w:fldChar w:fldCharType="separate"/>
      </w:r>
      <w:r w:rsidR="00B41ACC" w:rsidRPr="00B41ACC">
        <w:rPr>
          <w:rFonts w:cs="Times New Roman"/>
          <w:vertAlign w:val="superscript"/>
        </w:rPr>
        <w:t>138</w:t>
      </w:r>
      <w:r>
        <w:fldChar w:fldCharType="end"/>
      </w:r>
      <w:r w:rsidRPr="003853AD">
        <w:t>. Conditions including sepsis, burns, major surgery, cancer, and chronic inflammatory disorders like rheumatoid arthritis and inflammatory bowel disease are frequently associated with this hypo</w:t>
      </w:r>
      <w:r w:rsidR="009427BC">
        <w:t>-</w:t>
      </w:r>
      <w:r w:rsidRPr="003853AD">
        <w:t xml:space="preserve">albuminemia </w:t>
      </w:r>
      <w:r>
        <w:fldChar w:fldCharType="begin"/>
      </w:r>
      <w:r w:rsidR="00B41ACC">
        <w:instrText xml:space="preserve"> ADDIN ZOTERO_ITEM CSL_CITATION {"citationID":"Ng6qRwJ5","properties":{"formattedCitation":"\\super 156\\nosupersub{}","plainCitation":"156","noteIndex":0},"citationItems":[{"id":677,"uris":["http://zotero.org/users/local/BfzbJtgR/items/YDJF56BD"],"itemData":{"id":677,"type":"article-journal","abstract":"ABSTRACT\n            Hypoalbuminemia is the result of the combined effects of inflammation and inadequate protein and caloric intake in patients with chronic disease such as chronic renal failure. Inflammation and malnutrition both reduce albumin concentration by decreasing its rate of synthesis, while inflammation alone is associated with a greater fractional catabolic rate (FCR) and, when extreme, increased transfer of albumin out of the vascular compartment. A vicious cascade of events ensues in which inflammation induces anorexia and reduces the effective use of dietary protein and energy intake and augments catabolism of the key somatic protein, albumin. Hypoalbuminemia is a powerful predictor of mortality in patients with chronic renal failure, and the major cause of death in this population is due to cardiovascular events. Inflammation is associated with vascular disease and likely causes injury to the vascular endothelium, and hypoalbuminemia as two separate expressions of the inflammatory process. Albumin has a myriad of important physiologic effects that are essential for normal health. However, simply administering albumin to critically ill patients with hypoalbuminemia has not been shown to improve survival or reduce morbidity. Thus the inference from these clinical studies suggests that the cause of hypoalbuminemia, rather than low albumin levels specifically, is responsible for morbidity and mortality.","container-title":"Seminars in Dialysis","DOI":"10.1111/j.0894-0959.2004.17603.x","ISSN":"0894-0959, 1525-139X","issue":"6","journalAbbreviation":"Seminars in Dialysis","language":"en","license":"http://onlinelibrary.wiley.com/termsAndConditions#vor","page":"432-437","source":"DOI.org (Crossref)","title":"POOR NUTRITIONAL STATUS AND INFLAMMATION: Serum Albumin: Relationship to Inflammation and Nutrition","title-short":"POOR NUTRITIONAL STATUS AND INFLAMMATION","volume":"17","author":[{"family":"Don","given":"Burl R."},{"family":"Kaysen","given":"George"}],"issued":{"date-parts":[["2004",11]]}}}],"schema":"https://github.com/citation-style-language/schema/raw/master/csl-citation.json"} </w:instrText>
      </w:r>
      <w:r>
        <w:fldChar w:fldCharType="separate"/>
      </w:r>
      <w:r w:rsidR="00B41ACC" w:rsidRPr="00B41ACC">
        <w:rPr>
          <w:rFonts w:cs="Times New Roman"/>
          <w:vertAlign w:val="superscript"/>
        </w:rPr>
        <w:t>156</w:t>
      </w:r>
      <w:r>
        <w:fldChar w:fldCharType="end"/>
      </w:r>
      <w:r w:rsidRPr="003853AD">
        <w:t xml:space="preserve">. </w:t>
      </w:r>
      <w:r w:rsidR="00B76C11">
        <w:t xml:space="preserve">The decrease in albumin levels is evidence of a shift in liver protein synthesis since the liver first makes positive acute phase proteins that are directly related to immune defense, coagulation, and wound healing: C-reactive protein (CRP), fibrinogen, and haptoglobin </w:t>
      </w:r>
      <w:r>
        <w:fldChar w:fldCharType="begin"/>
      </w:r>
      <w:r w:rsidR="00B41ACC">
        <w:instrText xml:space="preserve"> ADDIN ZOTERO_ITEM CSL_CITATION {"citationID":"fb5h07kE","properties":{"formattedCitation":"\\super 138\\nosupersub{}","plainCitation":"138","noteIndex":0},"citationItems":[{"id":672,"uris":["http://zotero.org/users/local/BfzbJtgR/items/L35ZV5NJ"],"itemData":{"id":672,"type":"article-journal","container-title":"New England Journal of Medicine","DOI":"10.1056/NEJM199902113400607","ISSN":"0028-4793, 1533-4406","issue":"6","journalAbbreviation":"N Engl J Med","language":"en","page":"448-454","source":"DOI.org (Crossref)","title":"Acute-Phase Proteins and Other Systemic Responses to Inflammation","volume":"340","editor":[{"family":"Epstein","given":"Franklin H."}],"author":[{"family":"Gabay","given":"Cem"},{"family":"Kushner","given":"Irving"}],"issued":{"date-parts":[["1999",2,11]]}}}],"schema":"https://github.com/citation-style-language/schema/raw/master/csl-citation.json"} </w:instrText>
      </w:r>
      <w:r>
        <w:fldChar w:fldCharType="separate"/>
      </w:r>
      <w:r w:rsidR="00B41ACC" w:rsidRPr="00B41ACC">
        <w:rPr>
          <w:rFonts w:cs="Times New Roman"/>
          <w:vertAlign w:val="superscript"/>
        </w:rPr>
        <w:t>138</w:t>
      </w:r>
      <w:r>
        <w:fldChar w:fldCharType="end"/>
      </w:r>
      <w:r w:rsidRPr="003853AD">
        <w:t xml:space="preserve">. Low albumin is a non-specific but clinically relevant sign of systemic sickness because it is not only a measure of inflammation but also depends on nutritional condition </w:t>
      </w:r>
      <w:r>
        <w:fldChar w:fldCharType="begin"/>
      </w:r>
      <w:r w:rsidR="00B41ACC">
        <w:instrText xml:space="preserve"> ADDIN ZOTERO_ITEM CSL_CITATION {"citationID":"jjTHbOfs","properties":{"formattedCitation":"\\super 156\\nosupersub{}","plainCitation":"156","noteIndex":0},"citationItems":[{"id":677,"uris":["http://zotero.org/users/local/BfzbJtgR/items/YDJF56BD"],"itemData":{"id":677,"type":"article-journal","abstract":"ABSTRACT\n            Hypoalbuminemia is the result of the combined effects of inflammation and inadequate protein and caloric intake in patients with chronic disease such as chronic renal failure. Inflammation and malnutrition both reduce albumin concentration by decreasing its rate of synthesis, while inflammation alone is associated with a greater fractional catabolic rate (FCR) and, when extreme, increased transfer of albumin out of the vascular compartment. A vicious cascade of events ensues in which inflammation induces anorexia and reduces the effective use of dietary protein and energy intake and augments catabolism of the key somatic protein, albumin. Hypoalbuminemia is a powerful predictor of mortality in patients with chronic renal failure, and the major cause of death in this population is due to cardiovascular events. Inflammation is associated with vascular disease and likely causes injury to the vascular endothelium, and hypoalbuminemia as two separate expressions of the inflammatory process. Albumin has a myriad of important physiologic effects that are essential for normal health. However, simply administering albumin to critically ill patients with hypoalbuminemia has not been shown to improve survival or reduce morbidity. Thus the inference from these clinical studies suggests that the cause of hypoalbuminemia, rather than low albumin levels specifically, is responsible for morbidity and mortality.","container-title":"Seminars in Dialysis","DOI":"10.1111/j.0894-0959.2004.17603.x","ISSN":"0894-0959, 1525-139X","issue":"6","journalAbbreviation":"Seminars in Dialysis","language":"en","license":"http://onlinelibrary.wiley.com/termsAndConditions#vor","page":"432-437","source":"DOI.org (Crossref)","title":"POOR NUTRITIONAL STATUS AND INFLAMMATION: Serum Albumin: Relationship to Inflammation and Nutrition","title-short":"POOR NUTRITIONAL STATUS AND INFLAMMATION","volume":"17","author":[{"family":"Don","given":"Burl R."},{"family":"Kaysen","given":"George"}],"issued":{"date-parts":[["2004",11]]}}}],"schema":"https://github.com/citation-style-language/schema/raw/master/csl-citation.json"} </w:instrText>
      </w:r>
      <w:r>
        <w:fldChar w:fldCharType="separate"/>
      </w:r>
      <w:r w:rsidR="00B41ACC" w:rsidRPr="00B41ACC">
        <w:rPr>
          <w:rFonts w:cs="Times New Roman"/>
          <w:vertAlign w:val="superscript"/>
        </w:rPr>
        <w:t>156</w:t>
      </w:r>
      <w:r>
        <w:fldChar w:fldCharType="end"/>
      </w:r>
      <w:r w:rsidRPr="003853AD">
        <w:t>. Serum albumin is frequently employed as part of prognostic scoring systems because of its high predictive value in hospitalized patients, particularly in critical care, cancer, and chronic illness</w:t>
      </w:r>
      <w:r>
        <w:t xml:space="preserve"> management </w:t>
      </w:r>
      <w:r>
        <w:fldChar w:fldCharType="begin"/>
      </w:r>
      <w:r w:rsidR="00B41ACC">
        <w:instrText xml:space="preserve"> ADDIN ZOTERO_ITEM CSL_CITATION {"citationID":"YiESSOWj","properties":{"formattedCitation":"\\super 156\\nosupersub{}","plainCitation":"156","noteIndex":0},"citationItems":[{"id":677,"uris":["http://zotero.org/users/local/BfzbJtgR/items/YDJF56BD"],"itemData":{"id":677,"type":"article-journal","abstract":"ABSTRACT\n            Hypoalbuminemia is the result of the combined effects of inflammation and inadequate protein and caloric intake in patients with chronic disease such as chronic renal failure. Inflammation and malnutrition both reduce albumin concentration by decreasing its rate of synthesis, while inflammation alone is associated with a greater fractional catabolic rate (FCR) and, when extreme, increased transfer of albumin out of the vascular compartment. A vicious cascade of events ensues in which inflammation induces anorexia and reduces the effective use of dietary protein and energy intake and augments catabolism of the key somatic protein, albumin. Hypoalbuminemia is a powerful predictor of mortality in patients with chronic renal failure, and the major cause of death in this population is due to cardiovascular events. Inflammation is associated with vascular disease and likely causes injury to the vascular endothelium, and hypoalbuminemia as two separate expressions of the inflammatory process. Albumin has a myriad of important physiologic effects that are essential for normal health. However, simply administering albumin to critically ill patients with hypoalbuminemia has not been shown to improve survival or reduce morbidity. Thus the inference from these clinical studies suggests that the cause of hypoalbuminemia, rather than low albumin levels specifically, is responsible for morbidity and mortality.","container-title":"Seminars in Dialysis","DOI":"10.1111/j.0894-0959.2004.17603.x","ISSN":"0894-0959, 1525-139X","issue":"6","journalAbbreviation":"Seminars in Dialysis","language":"en","license":"http://onlinelibrary.wiley.com/termsAndConditions#vor","page":"432-437","source":"DOI.org (Crossref)","title":"POOR NUTRITIONAL STATUS AND INFLAMMATION: Serum Albumin: Relationship to Inflammation and Nutrition","title-short":"POOR NUTRITIONAL STATUS AND INFLAMMATION","volume":"17","author":[{"family":"Don","given":"Burl R."},{"family":"Kaysen","given":"George"}],"issued":{"date-parts":[["2004",11]]}}}],"schema":"https://github.com/citation-style-language/schema/raw/master/csl-citation.json"} </w:instrText>
      </w:r>
      <w:r>
        <w:fldChar w:fldCharType="separate"/>
      </w:r>
      <w:r w:rsidR="00B41ACC" w:rsidRPr="00B41ACC">
        <w:rPr>
          <w:rFonts w:cs="Times New Roman"/>
          <w:vertAlign w:val="superscript"/>
        </w:rPr>
        <w:t>156</w:t>
      </w:r>
      <w:r>
        <w:fldChar w:fldCharType="end"/>
      </w:r>
      <w:r w:rsidRPr="003853AD">
        <w:t>.</w:t>
      </w:r>
    </w:p>
    <w:p w:rsidR="003853AD" w:rsidRDefault="0015347A" w:rsidP="00F861EB">
      <w:pPr>
        <w:pStyle w:val="Standard"/>
        <w:suppressAutoHyphens w:val="0"/>
        <w:spacing w:before="280" w:after="280" w:line="276" w:lineRule="auto"/>
        <w:jc w:val="both"/>
        <w:textAlignment w:val="auto"/>
      </w:pPr>
      <w:r>
        <w:t>Being a negative acute phase protein transferrin</w:t>
      </w:r>
      <w:r w:rsidR="003853AD" w:rsidRPr="003853AD">
        <w:t xml:space="preserve">, both acute and chronic inflammation, infection, trauma, and cancer cause a decrease </w:t>
      </w:r>
      <w:r>
        <w:t>of transferrin</w:t>
      </w:r>
      <w:r w:rsidRPr="003853AD">
        <w:t xml:space="preserve"> in</w:t>
      </w:r>
      <w:r w:rsidR="003853AD" w:rsidRPr="003853AD">
        <w:t xml:space="preserve"> its plas</w:t>
      </w:r>
      <w:r w:rsidR="00026E33">
        <w:t xml:space="preserve">ma levels </w:t>
      </w:r>
      <w:r w:rsidR="00026E33">
        <w:fldChar w:fldCharType="begin"/>
      </w:r>
      <w:r w:rsidR="00B41ACC">
        <w:instrText xml:space="preserve"> ADDIN ZOTERO_ITEM CSL_CITATION {"citationID":"S4ghhHuj","properties":{"formattedCitation":"\\super 138\\nosupersub{}","plainCitation":"138","noteIndex":0},"citationItems":[{"id":672,"uris":["http://zotero.org/users/local/BfzbJtgR/items/L35ZV5NJ"],"itemData":{"id":672,"type":"article-journal","container-title":"New England Journal of Medicine","DOI":"10.1056/NEJM199902113400607","ISSN":"0028-4793, 1533-4406","issue":"6","journalAbbreviation":"N Engl J Med","language":"en","page":"448-454","source":"DOI.org (Crossref)","title":"Acute-Phase Proteins and Other Systemic Responses to Inflammation","volume":"340","editor":[{"family":"Epstein","given":"Franklin H."}],"author":[{"family":"Gabay","given":"Cem"},{"family":"Kushner","given":"Irving"}],"issued":{"date-parts":[["1999",2,11]]}}}],"schema":"https://github.com/citation-style-language/schema/raw/master/csl-citation.json"} </w:instrText>
      </w:r>
      <w:r w:rsidR="00026E33">
        <w:fldChar w:fldCharType="separate"/>
      </w:r>
      <w:r w:rsidR="00B41ACC" w:rsidRPr="00B41ACC">
        <w:rPr>
          <w:rFonts w:cs="Times New Roman"/>
          <w:vertAlign w:val="superscript"/>
        </w:rPr>
        <w:t>138</w:t>
      </w:r>
      <w:r w:rsidR="00026E33">
        <w:fldChar w:fldCharType="end"/>
      </w:r>
      <w:r w:rsidR="00026E33">
        <w:t xml:space="preserve">. </w:t>
      </w:r>
      <w:r>
        <w:t>The main role</w:t>
      </w:r>
      <w:r w:rsidR="003853AD" w:rsidRPr="003853AD">
        <w:t xml:space="preserve"> of transferrin is to </w:t>
      </w:r>
      <w:r>
        <w:t>transport</w:t>
      </w:r>
      <w:r w:rsidR="003853AD" w:rsidRPr="003853AD">
        <w:t xml:space="preserve"> iron through the bloodstream and control its distribution to various tissues, particularly those involved in erythropoiesis </w:t>
      </w:r>
      <w:r w:rsidR="00026E33">
        <w:fldChar w:fldCharType="begin"/>
      </w:r>
      <w:r w:rsidR="00B41ACC">
        <w:instrText xml:space="preserve"> ADDIN ZOTERO_ITEM CSL_CITATION {"citationID":"ZbwEYjSy","properties":{"formattedCitation":"\\super 157\\nosupersub{}","plainCitation":"157","noteIndex":0},"citationItems":[{"id":678,"uris":["http://zotero.org/users/local/BfzbJtgR/items/4V7NNGKX"],"itemData":{"id":678,"type":"article-journal","abstract":"During the last decade, there have been remarkable advances in the understanding of iron homeostasis and its disorders. This review summarizes our presentation at the International Workshop on Iron Storage Disease in Black Rhinos that was held in Orlando, Florida, USA, from 23 to 26 February 2011, and it is directed to veterinarians and nutritional experts who treat rhinoceroses. This review summarizes the current knowledge in humans and mice regarding the physiology and molecular basis of iron overload, and it explores how it can be applied to the problem of iron overload in captive rhino populations.","container-title":"Journal of Zoo and Wildlife Medicine: Official Publication of the American Association of Zoo Veterinarians","DOI":"10.1638/2011-0158.1","ISSN":"1042-7260","issue":"3 Suppl","journalAbbreviation":"J Zoo Wildl Med","language":"eng","note":"PMID: 23156702","page":"S19-26","source":"PubMed","title":"Iron homeostasis and its disorders in mice and men: potential lessons for rhinos","title-short":"Iron homeostasis and its disorders in mice and men","volume":"43","author":[{"family":"Ganz","given":"Tomas"},{"family":"Nemeth","given":"Elizabeta"}],"issued":{"date-parts":[["2012",9]]}}}],"schema":"https://github.com/citation-style-language/schema/raw/master/csl-citation.json"} </w:instrText>
      </w:r>
      <w:r w:rsidR="00026E33">
        <w:fldChar w:fldCharType="separate"/>
      </w:r>
      <w:r w:rsidR="00B41ACC" w:rsidRPr="00B41ACC">
        <w:rPr>
          <w:rFonts w:cs="Times New Roman"/>
          <w:vertAlign w:val="superscript"/>
        </w:rPr>
        <w:t>157</w:t>
      </w:r>
      <w:r w:rsidR="00026E33">
        <w:fldChar w:fldCharType="end"/>
      </w:r>
      <w:r w:rsidR="003853AD" w:rsidRPr="003853AD">
        <w:t xml:space="preserve">. The liver lowers transferrin production during the acute phase response, which is believed to restrict the amount of iron available to invasive pathogens and support the body's nutritional immunity strategy </w:t>
      </w:r>
      <w:r w:rsidR="00026E33">
        <w:fldChar w:fldCharType="begin"/>
      </w:r>
      <w:r w:rsidR="00B41ACC">
        <w:instrText xml:space="preserve"> ADDIN ZOTERO_ITEM CSL_CITATION {"citationID":"TMr7AlPZ","properties":{"formattedCitation":"\\super 138\\nosupersub{}","plainCitation":"138","noteIndex":0},"citationItems":[{"id":672,"uris":["http://zotero.org/users/local/BfzbJtgR/items/L35ZV5NJ"],"itemData":{"id":672,"type":"article-journal","container-title":"New England Journal of Medicine","DOI":"10.1056/NEJM199902113400607","ISSN":"0028-4793, 1533-4406","issue":"6","journalAbbreviation":"N Engl J Med","language":"en","page":"448-454","source":"DOI.org (Crossref)","title":"Acute-Phase Proteins and Other Systemic Responses to Inflammation","volume":"340","editor":[{"family":"Epstein","given":"Franklin H."}],"author":[{"family":"Gabay","given":"Cem"},{"family":"Kushner","given":"Irving"}],"issued":{"date-parts":[["1999",2,11]]}}}],"schema":"https://github.com/citation-style-language/schema/raw/master/csl-citation.json"} </w:instrText>
      </w:r>
      <w:r w:rsidR="00026E33">
        <w:fldChar w:fldCharType="separate"/>
      </w:r>
      <w:r w:rsidR="00B41ACC" w:rsidRPr="00B41ACC">
        <w:rPr>
          <w:rFonts w:cs="Times New Roman"/>
          <w:vertAlign w:val="superscript"/>
        </w:rPr>
        <w:t>138</w:t>
      </w:r>
      <w:r w:rsidR="00026E33">
        <w:fldChar w:fldCharType="end"/>
      </w:r>
      <w:r w:rsidR="003853AD" w:rsidRPr="003853AD">
        <w:t xml:space="preserve">. Although total body iron reserves may be normal or even elevated, this decrease in </w:t>
      </w:r>
      <w:r w:rsidR="00026E33">
        <w:t xml:space="preserve">the </w:t>
      </w:r>
      <w:r w:rsidR="003853AD" w:rsidRPr="003853AD">
        <w:t xml:space="preserve">transferrin is a characteristic of </w:t>
      </w:r>
      <w:r w:rsidR="00026E33">
        <w:t>anemia</w:t>
      </w:r>
      <w:r w:rsidR="003853AD" w:rsidRPr="003853AD">
        <w:t xml:space="preserve"> of inflammation, also known as anemia of chronic illness, in which iron is sequestered in tissues and iron transport is impeded </w:t>
      </w:r>
      <w:r w:rsidR="00026E33">
        <w:fldChar w:fldCharType="begin"/>
      </w:r>
      <w:r w:rsidR="00B41ACC">
        <w:instrText xml:space="preserve"> ADDIN ZOTERO_ITEM CSL_CITATION {"citationID":"Q7kT7lHe","properties":{"formattedCitation":"\\super 158\\nosupersub{}","plainCitation":"158","noteIndex":0},"citationItems":[{"id":680,"uris":["http://zotero.org/users/local/BfzbJtgR/items/LFC64JVV"],"itemData":{"id":680,"type":"article-journal","container-title":"The New England Journal of Medicine","DOI":"10.1056/NEJMra041809","ISSN":"1533-4406","issue":"10","journalAbbreviation":"N Engl J Med","language":"eng","note":"PMID: 15758012","page":"1011-1023","source":"PubMed","title":"Anemia of chronic disease","volume":"352","author":[{"family":"Weiss","given":"Guenter"},{"family":"Goodnough","given":"Lawrence T."}],"issued":{"date-parts":[["2005",3,10]]}}}],"schema":"https://github.com/citation-style-language/schema/raw/master/csl-citation.json"} </w:instrText>
      </w:r>
      <w:r w:rsidR="00026E33">
        <w:fldChar w:fldCharType="separate"/>
      </w:r>
      <w:r w:rsidR="00B41ACC" w:rsidRPr="00B41ACC">
        <w:rPr>
          <w:rFonts w:cs="Times New Roman"/>
          <w:vertAlign w:val="superscript"/>
        </w:rPr>
        <w:t>158</w:t>
      </w:r>
      <w:r w:rsidR="00026E33">
        <w:fldChar w:fldCharType="end"/>
      </w:r>
      <w:r w:rsidR="003853AD" w:rsidRPr="003853AD">
        <w:t xml:space="preserve">. </w:t>
      </w:r>
      <w:r w:rsidR="00026E33" w:rsidRPr="00026E33">
        <w:t xml:space="preserve">Although transferrin is a measure of nutritional status, inflammation also has a significant impact on its levels, making it difficult to interpret in patients who are severely ill or have chronic inflammation </w:t>
      </w:r>
      <w:r w:rsidR="00026E33">
        <w:fldChar w:fldCharType="begin"/>
      </w:r>
      <w:r w:rsidR="00B41ACC">
        <w:instrText xml:space="preserve"> ADDIN ZOTERO_ITEM CSL_CITATION {"citationID":"5Wwj1hTk","properties":{"formattedCitation":"\\super 156\\nosupersub{}","plainCitation":"156","noteIndex":0},"citationItems":[{"id":677,"uris":["http://zotero.org/users/local/BfzbJtgR/items/YDJF56BD"],"itemData":{"id":677,"type":"article-journal","abstract":"ABSTRACT\n            Hypoalbuminemia is the result of the combined effects of inflammation and inadequate protein and caloric intake in patients with chronic disease such as chronic renal failure. Inflammation and malnutrition both reduce albumin concentration by decreasing its rate of synthesis, while inflammation alone is associated with a greater fractional catabolic rate (FCR) and, when extreme, increased transfer of albumin out of the vascular compartment. A vicious cascade of events ensues in which inflammation induces anorexia and reduces the effective use of dietary protein and energy intake and augments catabolism of the key somatic protein, albumin. Hypoalbuminemia is a powerful predictor of mortality in patients with chronic renal failure, and the major cause of death in this population is due to cardiovascular events. Inflammation is associated with vascular disease and likely causes injury to the vascular endothelium, and hypoalbuminemia as two separate expressions of the inflammatory process. Albumin has a myriad of important physiologic effects that are essential for normal health. However, simply administering albumin to critically ill patients with hypoalbuminemia has not been shown to improve survival or reduce morbidity. Thus the inference from these clinical studies suggests that the cause of hypoalbuminemia, rather than low albumin levels specifically, is responsible for morbidity and mortality.","container-title":"Seminars in Dialysis","DOI":"10.1111/j.0894-0959.2004.17603.x","ISSN":"0894-0959, 1525-139X","issue":"6","journalAbbreviation":"Seminars in Dialysis","language":"en","license":"http://onlinelibrary.wiley.com/termsAndConditions#vor","page":"432-437","source":"DOI.org (Crossref)","title":"POOR NUTRITIONAL STATUS AND INFLAMMATION: Serum Albumin: Relationship to Inflammation and Nutrition","title-short":"POOR NUTRITIONAL STATUS AND INFLAMMATION","volume":"17","author":[{"family":"Don","given":"Burl R."},{"family":"Kaysen","given":"George"}],"issued":{"date-parts":[["2004",11]]}}}],"schema":"https://github.com/citation-style-language/schema/raw/master/csl-citation.json"} </w:instrText>
      </w:r>
      <w:r w:rsidR="00026E33">
        <w:fldChar w:fldCharType="separate"/>
      </w:r>
      <w:r w:rsidR="00B41ACC" w:rsidRPr="00B41ACC">
        <w:rPr>
          <w:rFonts w:cs="Times New Roman"/>
          <w:vertAlign w:val="superscript"/>
        </w:rPr>
        <w:t>156</w:t>
      </w:r>
      <w:r w:rsidR="00026E33">
        <w:fldChar w:fldCharType="end"/>
      </w:r>
      <w:r w:rsidR="00026E33" w:rsidRPr="00026E33">
        <w:t xml:space="preserve">. As a result, transferrin serves as a biomarker of both nutritional evaluation and inflammatory response, together with other </w:t>
      </w:r>
      <w:r w:rsidR="000266C2">
        <w:t>acute-phase</w:t>
      </w:r>
      <w:r w:rsidR="00026E33" w:rsidRPr="00026E33">
        <w:t xml:space="preserve"> proteins and iron indicators </w:t>
      </w:r>
      <w:r w:rsidR="00026E33">
        <w:fldChar w:fldCharType="begin"/>
      </w:r>
      <w:r w:rsidR="00B41ACC">
        <w:instrText xml:space="preserve"> ADDIN ZOTERO_ITEM CSL_CITATION {"citationID":"vIkFMshk","properties":{"formattedCitation":"\\super 157\\nosupersub{}","plainCitation":"157","noteIndex":0},"citationItems":[{"id":678,"uris":["http://zotero.org/users/local/BfzbJtgR/items/4V7NNGKX"],"itemData":{"id":678,"type":"article-journal","abstract":"During the last decade, there have been remarkable advances in the understanding of iron homeostasis and its disorders. This review summarizes our presentation at the International Workshop on Iron Storage Disease in Black Rhinos that was held in Orlando, Florida, USA, from 23 to 26 February 2011, and it is directed to veterinarians and nutritional experts who treat rhinoceroses. This review summarizes the current knowledge in humans and mice regarding the physiology and molecular basis of iron overload, and it explores how it can be applied to the problem of iron overload in captive rhino populations.","container-title":"Journal of Zoo and Wildlife Medicine: Official Publication of the American Association of Zoo Veterinarians","DOI":"10.1638/2011-0158.1","ISSN":"1042-7260","issue":"3 Suppl","journalAbbreviation":"J Zoo Wildl Med","language":"eng","note":"PMID: 23156702","page":"S19-26","source":"PubMed","title":"Iron homeostasis and its disorders in mice and men: potential lessons for rhinos","title-short":"Iron homeostasis and its disorders in mice and men","volume":"43","author":[{"family":"Ganz","given":"Tomas"},{"family":"Nemeth","given":"Elizabeta"}],"issued":{"date-parts":[["2012",9]]}}}],"schema":"https://github.com/citation-style-language/schema/raw/master/csl-citation.json"} </w:instrText>
      </w:r>
      <w:r w:rsidR="00026E33">
        <w:fldChar w:fldCharType="separate"/>
      </w:r>
      <w:r w:rsidR="00B41ACC" w:rsidRPr="00B41ACC">
        <w:rPr>
          <w:rFonts w:cs="Times New Roman"/>
          <w:vertAlign w:val="superscript"/>
        </w:rPr>
        <w:t>157</w:t>
      </w:r>
      <w:r w:rsidR="00026E33">
        <w:fldChar w:fldCharType="end"/>
      </w:r>
      <w:r w:rsidR="00026E33" w:rsidRPr="00026E33">
        <w:t>.</w:t>
      </w:r>
    </w:p>
    <w:p w:rsidR="003D5FD0" w:rsidRPr="00B06241" w:rsidRDefault="00725801" w:rsidP="00170588">
      <w:pPr>
        <w:pStyle w:val="Standard"/>
        <w:suppressAutoHyphens w:val="0"/>
        <w:spacing w:before="280" w:after="280" w:line="276" w:lineRule="auto"/>
        <w:jc w:val="both"/>
        <w:textAlignment w:val="auto"/>
      </w:pPr>
      <w:r w:rsidRPr="00725801">
        <w:lastRenderedPageBreak/>
        <w:t xml:space="preserve">Previously referred to as prealbumin, transthyretin (TTR) is a negative acute phase protein whose concentration falls with chronic sickness, infection, inflammation, and trauma </w:t>
      </w:r>
      <w:r w:rsidR="00605C79">
        <w:fldChar w:fldCharType="begin"/>
      </w:r>
      <w:r w:rsidR="00B41ACC">
        <w:instrText xml:space="preserve"> ADDIN ZOTERO_ITEM CSL_CITATION {"citationID":"AhZKEVb7","properties":{"formattedCitation":"\\super 159\\nosupersub{}","plainCitation":"159","noteIndex":0},"citationItems":[{"id":682,"uris":["http://zotero.org/users/local/BfzbJtgR/items/4SC5HXE5"],"itemData":{"id":682,"type":"article-journal","abstract":"The name \"transthyretin\" reflects the dual physiological roles of this tetrameric unglycosylated plasma protein. TTR is one of three specific carrier proteins involved in the transport of both thyroid hormones and of retinol through the mediation of RBP. TTR is a product of the visceral compartment, and its hepatic synthesis is exquisititely sensitive to both the adequacy and levels of protein and energy intakes--hence the proposal of TTR as a nutritional marker. To date, 38 TTR variants have been described, most of which are associated with variable degrees of cardiac and/or neural tissue amyloid deposits. All known variants arise from a single AA substitution due to single point mutation in the coding region of the TTR gene. Under acute stress conditions, the synthesis of TTR, RBP, and CBG is abruptly depressed by a cytokine-directed orchestration of new metabolic priorities, with a redistribution of organ and tissue protein pools. It is proposed that TTR, RBP, and CBG behave as acute-booster reactants (ABRs), actively participating in the cascade of metabolic events characterizing the stress reaction along pathways best explained by the free hormone/vitamin hypothesis. The latter is governed by the law of mass action--the spontaneous dissociation and instant uptake by hepatocytes of the ligands freed from their specific carrier proteins, which creates a transient hyperthyroid, hyperretinoid, and hypercortisolic climate. This response generally does not exceed four or five days because the initial impact of injury normally subsides, but it may last longer if complications occur. The magnitude and adequacy of the stress responses depend on the preceding nutritional status as assessed by TTR plasma levels and are proportionate to the severity of insult. Clinical, animal, and molecular studies concur to demonstrate the dualistic stimulatory or inhibitory effects triggered by the ligands, whose unmetabolized fractions are excreted in the urinary output. Thyroid hormones and retinoids appear to control the early maturation processes and the synthesis of primary transcripts, whereas cortisol preferentially modulates the secondary responses and confers a protective effect on healthy tissues. During acute stress, the evolutionary patterns of visceral proteins and inflammatory markers exhibit compulsory mirror images. However, they change in independent ways under more chronic circumstances. A relatively simple biochemical micromethod based on the simultaneous measurement of plasma TTR, albumin, CRP, and orosomucoid aggregated into a PINI is proposed for the early recognition and follow-up of both nutritional and inflammatory facets of the disease spectrum.","container-title":"Annual Review of Nutrition","DOI":"10.1146/annurev.nu.14.070194.002431","ISSN":"0199-9885","journalAbbreviation":"Annu Rev Nutr","language":"eng","note":"PMID: 7946531","page":"495-533","source":"PubMed","title":"Transthyretin (prealbumin) in health and disease: nutritional implications","title-short":"Transthyretin (prealbumin) in health and disease","volume":"14","author":[{"family":"Ingenbleek","given":"Y."},{"family":"Young","given":"V."}],"issued":{"date-parts":[["1994"]]}}}],"schema":"https://github.com/citation-style-language/schema/raw/master/csl-citation.json"} </w:instrText>
      </w:r>
      <w:r w:rsidR="00605C79">
        <w:fldChar w:fldCharType="separate"/>
      </w:r>
      <w:r w:rsidR="00B41ACC" w:rsidRPr="00B41ACC">
        <w:rPr>
          <w:rFonts w:cs="Times New Roman"/>
          <w:vertAlign w:val="superscript"/>
        </w:rPr>
        <w:t>159</w:t>
      </w:r>
      <w:r w:rsidR="00605C79">
        <w:fldChar w:fldCharType="end"/>
      </w:r>
      <w:r w:rsidRPr="00725801">
        <w:t xml:space="preserve">. According to Ritchie et al. (1999), transthyretin is essential for the movement of retinol-binding protein (RBP), which transports vitamin A, and </w:t>
      </w:r>
      <w:r w:rsidR="00605C79" w:rsidRPr="00725801">
        <w:t>thyroxin</w:t>
      </w:r>
      <w:r w:rsidRPr="00725801">
        <w:t xml:space="preserve"> (T4)</w:t>
      </w:r>
      <w:r w:rsidR="00605C79">
        <w:fldChar w:fldCharType="begin"/>
      </w:r>
      <w:r w:rsidR="00B41ACC">
        <w:instrText xml:space="preserve"> ADDIN ZOTERO_ITEM CSL_CITATION {"citationID":"YaMSdCWw","properties":{"formattedCitation":"\\super 160\\nosupersub{}","plainCitation":"160","noteIndex":0},"citationItems":[{"id":684,"uris":["http://zotero.org/users/local/BfzbJtgR/items/P33UA6QB"],"itemData":{"id":684,"type":"article-journal","abstract":"Inflammation is associated with diverse clinical conditions accompanied by characteristic changes in serum levels of the acute-phase proteins that can be used to stage the inflammatory process and evaluate the impact of treatment. Some acute-phase proteins increase during inflammation, while others, such as albumin, transferrin, and transthyretin, decrease. The current study reports reference ranges for serum levels of albumin, transferrin, and transthyretin based on a cohort of over 124,000 Caucasian individuals from northern New England, tested in our laboratory between 1986 and 1998. Measurements were standardized against CRM 470 (RPPHS) and analyzed using a previously validated statistical approach. Individuals with laboratory evidence of inflammation (C-reactive protein of 10 mg/L or higher) were excluded. The levels of all three analytes varied by age, generally rising until the second or third decade of life and then decreasing thereafter. Albumin and transthyretin levels were higher during midlife among males as compared to females; the maximum being at 25 years for albumin (5%) and 35 years for transthyretin (16%). In contrast, above the age of 10 years, transferrin levels were increasingly higher among females (7% at 20 years). When values were expressed as multiples of the age- and gender-specific median levels, the resulting distributions fitted a log-Gaussian distribution. When patient data are normalized in this manner, the distribution parameters can be used to assign a corresponding centile to an individual's measurement simplifying interpretation. The ultimate interpretation of an individual's measurement relies upon the clinical setting.","container-title":"Journal of Clinical Laboratory Analysis","DOI":"10.1002/(sici)1098-2825(1999)13:6&lt;273::aid-jcla4&gt;3.0.co;2-x","ISSN":"0887-8013","issue":"6","journalAbbreviation":"J Clin Lab Anal","language":"eng","note":"PMID: 10633294\nPMCID: PMC6808097","page":"273-279","source":"PubMed","title":"Reference distributions for the negative acute-phase serum proteins, albumin, transferrin and transthyretin: a practical, simple and clinically relevant approach in a large cohort","title-short":"Reference distributions for the negative acute-phase serum proteins, albumin, transferrin and transthyretin","volume":"13","author":[{"family":"Ritchie","given":"R. F."},{"family":"Palomaki","given":"G. E."},{"family":"Neveux","given":"L. M."},{"family":"Navolotskaia","given":"O."},{"family":"Ledue","given":"T. B."},{"family":"Craig","given":"W. Y."}],"issued":{"date-parts":[["1999"]]}}}],"schema":"https://github.com/citation-style-language/schema/raw/master/csl-citation.json"} </w:instrText>
      </w:r>
      <w:r w:rsidR="00605C79">
        <w:fldChar w:fldCharType="separate"/>
      </w:r>
      <w:r w:rsidR="00B41ACC" w:rsidRPr="00B41ACC">
        <w:rPr>
          <w:rFonts w:cs="Times New Roman"/>
          <w:vertAlign w:val="superscript"/>
        </w:rPr>
        <w:t>160</w:t>
      </w:r>
      <w:r w:rsidR="00605C79">
        <w:fldChar w:fldCharType="end"/>
      </w:r>
      <w:r w:rsidRPr="00725801">
        <w:t xml:space="preserve">. Transthyretin is a sensitive indicator of protein-energy deficiency due to its quick half-life and high rate of synthesis </w:t>
      </w:r>
      <w:r w:rsidR="00605C79">
        <w:fldChar w:fldCharType="begin"/>
      </w:r>
      <w:r w:rsidR="00B41ACC">
        <w:instrText xml:space="preserve"> ADDIN ZOTERO_ITEM CSL_CITATION {"citationID":"FMsebMQx","properties":{"formattedCitation":"\\super 159\\nosupersub{}","plainCitation":"159","noteIndex":0},"citationItems":[{"id":682,"uris":["http://zotero.org/users/local/BfzbJtgR/items/4SC5HXE5"],"itemData":{"id":682,"type":"article-journal","abstract":"The name \"transthyretin\" reflects the dual physiological roles of this tetrameric unglycosylated plasma protein. TTR is one of three specific carrier proteins involved in the transport of both thyroid hormones and of retinol through the mediation of RBP. TTR is a product of the visceral compartment, and its hepatic synthesis is exquisititely sensitive to both the adequacy and levels of protein and energy intakes--hence the proposal of TTR as a nutritional marker. To date, 38 TTR variants have been described, most of which are associated with variable degrees of cardiac and/or neural tissue amyloid deposits. All known variants arise from a single AA substitution due to single point mutation in the coding region of the TTR gene. Under acute stress conditions, the synthesis of TTR, RBP, and CBG is abruptly depressed by a cytokine-directed orchestration of new metabolic priorities, with a redistribution of organ and tissue protein pools. It is proposed that TTR, RBP, and CBG behave as acute-booster reactants (ABRs), actively participating in the cascade of metabolic events characterizing the stress reaction along pathways best explained by the free hormone/vitamin hypothesis. The latter is governed by the law of mass action--the spontaneous dissociation and instant uptake by hepatocytes of the ligands freed from their specific carrier proteins, which creates a transient hyperthyroid, hyperretinoid, and hypercortisolic climate. This response generally does not exceed four or five days because the initial impact of injury normally subsides, but it may last longer if complications occur. The magnitude and adequacy of the stress responses depend on the preceding nutritional status as assessed by TTR plasma levels and are proportionate to the severity of insult. Clinical, animal, and molecular studies concur to demonstrate the dualistic stimulatory or inhibitory effects triggered by the ligands, whose unmetabolized fractions are excreted in the urinary output. Thyroid hormones and retinoids appear to control the early maturation processes and the synthesis of primary transcripts, whereas cortisol preferentially modulates the secondary responses and confers a protective effect on healthy tissues. During acute stress, the evolutionary patterns of visceral proteins and inflammatory markers exhibit compulsory mirror images. However, they change in independent ways under more chronic circumstances. A relatively simple biochemical micromethod based on the simultaneous measurement of plasma TTR, albumin, CRP, and orosomucoid aggregated into a PINI is proposed for the early recognition and follow-up of both nutritional and inflammatory facets of the disease spectrum.","container-title":"Annual Review of Nutrition","DOI":"10.1146/annurev.nu.14.070194.002431","ISSN":"0199-9885","journalAbbreviation":"Annu Rev Nutr","language":"eng","note":"PMID: 7946531","page":"495-533","source":"PubMed","title":"Transthyretin (prealbumin) in health and disease: nutritional implications","title-short":"Transthyretin (prealbumin) in health and disease","volume":"14","author":[{"family":"Ingenbleek","given":"Y."},{"family":"Young","given":"V."}],"issued":{"date-parts":[["1994"]]}}}],"schema":"https://github.com/citation-style-language/schema/raw/master/csl-citation.json"} </w:instrText>
      </w:r>
      <w:r w:rsidR="00605C79">
        <w:fldChar w:fldCharType="separate"/>
      </w:r>
      <w:r w:rsidR="00B41ACC" w:rsidRPr="00B41ACC">
        <w:rPr>
          <w:rFonts w:cs="Times New Roman"/>
          <w:vertAlign w:val="superscript"/>
        </w:rPr>
        <w:t>159</w:t>
      </w:r>
      <w:r w:rsidR="00605C79">
        <w:fldChar w:fldCharType="end"/>
      </w:r>
      <w:r w:rsidRPr="00725801">
        <w:t xml:space="preserve">. However, as the liver switches from producing proteins involved in nutrient transport to those directly related to host defense and tissue repair, like C-reactive protein and fibrinogen, its levels are greatly impacted by inflammation, making it a component of the negative acute phase response </w:t>
      </w:r>
      <w:r w:rsidR="00605C79" w:rsidRPr="00026E33">
        <w:t>(Gabay and Kushner, 1999a</w:t>
      </w:r>
      <w:r w:rsidR="00605C79">
        <w:t>)</w:t>
      </w:r>
      <w:r w:rsidRPr="00725801">
        <w:t>.</w:t>
      </w:r>
      <w:r w:rsidR="00605C79">
        <w:t xml:space="preserve"> </w:t>
      </w:r>
      <w:r w:rsidR="00605C79" w:rsidRPr="00605C79">
        <w:t>In individuals with acute or chronic inflammatory disorders, this inflammation-driven suppression lessens its value as a</w:t>
      </w:r>
      <w:r w:rsidR="00605C79">
        <w:t xml:space="preserve"> stand-alone nutritional marker</w:t>
      </w:r>
      <w:r w:rsidR="00EC7F57">
        <w:t xml:space="preserve"> </w:t>
      </w:r>
      <w:r w:rsidR="00605C79">
        <w:fldChar w:fldCharType="begin"/>
      </w:r>
      <w:r w:rsidR="00B41ACC">
        <w:instrText xml:space="preserve"> ADDIN ZOTERO_ITEM CSL_CITATION {"citationID":"4IpH87n4","properties":{"formattedCitation":"\\super 156\\nosupersub{}","plainCitation":"156","noteIndex":0},"citationItems":[{"id":677,"uris":["http://zotero.org/users/local/BfzbJtgR/items/YDJF56BD"],"itemData":{"id":677,"type":"article-journal","abstract":"ABSTRACT\n            Hypoalbuminemia is the result of the combined effects of inflammation and inadequate protein and caloric intake in patients with chronic disease such as chronic renal failure. Inflammation and malnutrition both reduce albumin concentration by decreasing its rate of synthesis, while inflammation alone is associated with a greater fractional catabolic rate (FCR) and, when extreme, increased transfer of albumin out of the vascular compartment. A vicious cascade of events ensues in which inflammation induces anorexia and reduces the effective use of dietary protein and energy intake and augments catabolism of the key somatic protein, albumin. Hypoalbuminemia is a powerful predictor of mortality in patients with chronic renal failure, and the major cause of death in this population is due to cardiovascular events. Inflammation is associated with vascular disease and likely causes injury to the vascular endothelium, and hypoalbuminemia as two separate expressions of the inflammatory process. Albumin has a myriad of important physiologic effects that are essential for normal health. However, simply administering albumin to critically ill patients with hypoalbuminemia has not been shown to improve survival or reduce morbidity. Thus the inference from these clinical studies suggests that the cause of hypoalbuminemia, rather than low albumin levels specifically, is responsible for morbidity and mortality.","container-title":"Seminars in Dialysis","DOI":"10.1111/j.0894-0959.2004.17603.x","ISSN":"0894-0959, 1525-139X","issue":"6","journalAbbreviation":"Seminars in Dialysis","language":"en","license":"http://onlinelibrary.wiley.com/termsAndConditions#vor","page":"432-437","source":"DOI.org (Crossref)","title":"POOR NUTRITIONAL STATUS AND INFLAMMATION: Serum Albumin: Relationship to Inflammation and Nutrition","title-short":"POOR NUTRITIONAL STATUS AND INFLAMMATION","volume":"17","author":[{"family":"Don","given":"Burl R."},{"family":"Kaysen","given":"George"}],"issued":{"date-parts":[["2004",11]]}}}],"schema":"https://github.com/citation-style-language/schema/raw/master/csl-citation.json"} </w:instrText>
      </w:r>
      <w:r w:rsidR="00605C79">
        <w:fldChar w:fldCharType="separate"/>
      </w:r>
      <w:r w:rsidR="00B41ACC" w:rsidRPr="00B41ACC">
        <w:rPr>
          <w:rFonts w:cs="Times New Roman"/>
          <w:vertAlign w:val="superscript"/>
        </w:rPr>
        <w:t>156</w:t>
      </w:r>
      <w:r w:rsidR="00605C79">
        <w:fldChar w:fldCharType="end"/>
      </w:r>
      <w:r w:rsidR="00605C79" w:rsidRPr="00605C79">
        <w:t xml:space="preserve">. To differentiate between inflammatory </w:t>
      </w:r>
      <w:r w:rsidR="00297A9B">
        <w:t>downregulation</w:t>
      </w:r>
      <w:r w:rsidR="00605C79" w:rsidRPr="00605C79">
        <w:t xml:space="preserve"> and nutritional insufficiency, contemporaneous inflammatory indicators like CRP must frequently be taken into account when interpreting transthyretin levels in clinical practice </w:t>
      </w:r>
      <w:r w:rsidR="00605C79">
        <w:fldChar w:fldCharType="begin"/>
      </w:r>
      <w:r w:rsidR="00B41ACC">
        <w:instrText xml:space="preserve"> ADDIN ZOTERO_ITEM CSL_CITATION {"citationID":"0BTyyYwn","properties":{"formattedCitation":"\\super 159\\nosupersub{}","plainCitation":"159","noteIndex":0},"citationItems":[{"id":682,"uris":["http://zotero.org/users/local/BfzbJtgR/items/4SC5HXE5"],"itemData":{"id":682,"type":"article-journal","abstract":"The name \"transthyretin\" reflects the dual physiological roles of this tetrameric unglycosylated plasma protein. TTR is one of three specific carrier proteins involved in the transport of both thyroid hormones and of retinol through the mediation of RBP. TTR is a product of the visceral compartment, and its hepatic synthesis is exquisititely sensitive to both the adequacy and levels of protein and energy intakes--hence the proposal of TTR as a nutritional marker. To date, 38 TTR variants have been described, most of which are associated with variable degrees of cardiac and/or neural tissue amyloid deposits. All known variants arise from a single AA substitution due to single point mutation in the coding region of the TTR gene. Under acute stress conditions, the synthesis of TTR, RBP, and CBG is abruptly depressed by a cytokine-directed orchestration of new metabolic priorities, with a redistribution of organ and tissue protein pools. It is proposed that TTR, RBP, and CBG behave as acute-booster reactants (ABRs), actively participating in the cascade of metabolic events characterizing the stress reaction along pathways best explained by the free hormone/vitamin hypothesis. The latter is governed by the law of mass action--the spontaneous dissociation and instant uptake by hepatocytes of the ligands freed from their specific carrier proteins, which creates a transient hyperthyroid, hyperretinoid, and hypercortisolic climate. This response generally does not exceed four or five days because the initial impact of injury normally subsides, but it may last longer if complications occur. The magnitude and adequacy of the stress responses depend on the preceding nutritional status as assessed by TTR plasma levels and are proportionate to the severity of insult. Clinical, animal, and molecular studies concur to demonstrate the dualistic stimulatory or inhibitory effects triggered by the ligands, whose unmetabolized fractions are excreted in the urinary output. Thyroid hormones and retinoids appear to control the early maturation processes and the synthesis of primary transcripts, whereas cortisol preferentially modulates the secondary responses and confers a protective effect on healthy tissues. During acute stress, the evolutionary patterns of visceral proteins and inflammatory markers exhibit compulsory mirror images. However, they change in independent ways under more chronic circumstances. A relatively simple biochemical micromethod based on the simultaneous measurement of plasma TTR, albumin, CRP, and orosomucoid aggregated into a PINI is proposed for the early recognition and follow-up of both nutritional and inflammatory facets of the disease spectrum.","container-title":"Annual Review of Nutrition","DOI":"10.1146/annurev.nu.14.070194.002431","ISSN":"0199-9885","journalAbbreviation":"Annu Rev Nutr","language":"eng","note":"PMID: 7946531","page":"495-533","source":"PubMed","title":"Transthyretin (prealbumin) in health and disease: nutritional implications","title-short":"Transthyretin (prealbumin) in health and disease","volume":"14","author":[{"family":"Ingenbleek","given":"Y."},{"family":"Young","given":"V."}],"issued":{"date-parts":[["1994"]]}}}],"schema":"https://github.com/citation-style-language/schema/raw/master/csl-citation.json"} </w:instrText>
      </w:r>
      <w:r w:rsidR="00605C79">
        <w:fldChar w:fldCharType="separate"/>
      </w:r>
      <w:r w:rsidR="00B41ACC" w:rsidRPr="00B41ACC">
        <w:rPr>
          <w:rFonts w:cs="Times New Roman"/>
          <w:vertAlign w:val="superscript"/>
        </w:rPr>
        <w:t>159</w:t>
      </w:r>
      <w:r w:rsidR="00605C79">
        <w:fldChar w:fldCharType="end"/>
      </w:r>
      <w:r w:rsidR="00605C79" w:rsidRPr="00725801">
        <w:t>.</w:t>
      </w:r>
    </w:p>
    <w:p w:rsidR="007E45E2" w:rsidRPr="007E45E2" w:rsidRDefault="007E45E2" w:rsidP="007E45E2">
      <w:pPr>
        <w:pStyle w:val="Heading1"/>
        <w:rPr>
          <w:rFonts w:ascii="Times New Roman" w:hAnsi="Times New Roman" w:cs="Times New Roman"/>
          <w:b/>
          <w:color w:val="auto"/>
          <w:sz w:val="28"/>
        </w:rPr>
      </w:pPr>
      <w:bookmarkStart w:id="12" w:name="_Toc193802123"/>
      <w:r w:rsidRPr="007E45E2">
        <w:rPr>
          <w:rFonts w:ascii="Times New Roman" w:hAnsi="Times New Roman" w:cs="Times New Roman"/>
          <w:b/>
          <w:color w:val="auto"/>
          <w:sz w:val="28"/>
        </w:rPr>
        <w:t>Antigenic biomarkers</w:t>
      </w:r>
      <w:bookmarkEnd w:id="12"/>
    </w:p>
    <w:p w:rsidR="00170588" w:rsidRDefault="00E210F2" w:rsidP="008C4B70">
      <w:pPr>
        <w:pStyle w:val="Standard"/>
        <w:suppressAutoHyphens w:val="0"/>
        <w:spacing w:line="276" w:lineRule="auto"/>
        <w:jc w:val="both"/>
        <w:textAlignment w:val="auto"/>
        <w:rPr>
          <w:b/>
        </w:rPr>
      </w:pPr>
      <w:r w:rsidRPr="00170588">
        <w:rPr>
          <w:b/>
        </w:rPr>
        <w:t>Prostate Cancer Biomarke</w:t>
      </w:r>
      <w:r w:rsidR="00E56F27" w:rsidRPr="00170588">
        <w:rPr>
          <w:b/>
        </w:rPr>
        <w:t>r</w:t>
      </w:r>
      <w:r w:rsidRPr="00170588">
        <w:rPr>
          <w:b/>
        </w:rPr>
        <w:t>-</w:t>
      </w:r>
      <w:r w:rsidR="007B5AE4" w:rsidRPr="00170588">
        <w:rPr>
          <w:b/>
        </w:rPr>
        <w:t xml:space="preserve"> </w:t>
      </w:r>
    </w:p>
    <w:p w:rsidR="007D0333" w:rsidRDefault="00E210F2" w:rsidP="008C4B70">
      <w:pPr>
        <w:pStyle w:val="Standard"/>
        <w:suppressAutoHyphens w:val="0"/>
        <w:spacing w:line="276" w:lineRule="auto"/>
        <w:jc w:val="both"/>
        <w:textAlignment w:val="auto"/>
      </w:pPr>
      <w:r w:rsidRPr="00091287">
        <w:t xml:space="preserve">One well-known biomarker that is mostly utilized for prostate cancer screening, diagnosis, and surveillance is prostate-specific antigen (PSA). </w:t>
      </w:r>
      <w:r w:rsidRPr="00A11020">
        <w:t>Both healthy and malignant prostate epithelial cells release the protein known as PSA. The KLK3 gene encodes PSA, a member of the serine protease KLK family of protein-cleaving enzymes found in a healthy prostate.</w:t>
      </w:r>
      <w:r>
        <w:t xml:space="preserve"> </w:t>
      </w:r>
      <w:r w:rsidRPr="00091287">
        <w:t>Prostate cancer, benign prostatic hyperplasia (BPH), or inflammation of the prostate (</w:t>
      </w:r>
      <w:r>
        <w:t>prostatitis</w:t>
      </w:r>
      <w:r w:rsidRPr="00091287">
        <w:t>) can all be indicated by elevated blood levels of PSA, a protein generated by the prostate gland.</w:t>
      </w:r>
      <w:r>
        <w:t xml:space="preserve"> The screening tool is a blood test that is frequently used to evaluate PSA levels to screen for prostate cancer. It is not conclusive, though, as </w:t>
      </w:r>
      <w:r w:rsidR="007D0333">
        <w:t>other illnesses</w:t>
      </w:r>
      <w:r w:rsidR="000266C2">
        <w:t>,</w:t>
      </w:r>
      <w:r w:rsidR="007D0333">
        <w:t xml:space="preserve"> including prostatitis or BPH can also cause elevated PSA levels</w:t>
      </w:r>
      <w:r>
        <w:t>. Diagnostic markers to confirm prostate cancer, and other diagnostic procedures</w:t>
      </w:r>
      <w:r w:rsidR="000266C2">
        <w:t>,</w:t>
      </w:r>
      <w:r>
        <w:t xml:space="preserve"> including biopsies may be carried out if PSA levels are elevated</w:t>
      </w:r>
      <w:r w:rsidR="00120488">
        <w:t xml:space="preserve">. PSA </w:t>
      </w:r>
      <w:r w:rsidR="005E67BE">
        <w:t xml:space="preserve">is </w:t>
      </w:r>
      <w:r w:rsidR="00120488">
        <w:t>a monitoring tool because increased PSA levels can signal recurrence</w:t>
      </w:r>
      <w:r w:rsidR="000266C2">
        <w:t>.</w:t>
      </w:r>
      <w:r w:rsidR="00120488">
        <w:t xml:space="preserve"> PSA is also used to track the progression of prostate cancer, particularly following therapies like radiation or surgery </w:t>
      </w:r>
      <w:r>
        <w:fldChar w:fldCharType="begin"/>
      </w:r>
      <w:r w:rsidR="00B41ACC">
        <w:instrText xml:space="preserve"> ADDIN ZOTERO_ITEM CSL_CITATION {"citationID":"iSi6oT9f","properties":{"formattedCitation":"\\super 161\\nosupersub{}","plainCitation":"161","noteIndex":0},"citationItems":[{"id":1081,"uris":["http://zotero.org/users/local/BfzbJtgR/items/BDPE22C7"],"itemData":{"id":1081,"type":"article-journal","abstract":"INTRODUCTION: The prostatic urethral Lift (PUL) procedure offers a novel treatment for men with lower urinary tract obstructive symptoms (LUTS) secondary to benign prostatic hyperplasia (BPH). Most patients who seek LUTS/BPH treatment choose the intervention that offers the expectations of a significant improvement in quality of life and the least chance of short or long term morbidity. We report the results of a prospective, non-randomized study designed to further characterize the perioperative subject experience with the PUL procedure.\nMATERIALS AND METHODS: The PUL procedure employs permanent implants to mechanically pull the prostatic lateral lobes apart. Subjects were ≥ 50 years old with International Prostate Symptom Score (IPSS) ≥ 12, peak flow rate ≤ 12 mL, and prostate volume between 30 cc and 80 cc. Subject experience through 1 month was characterized by validated instruments designed to assess quality of recovery, work productivity, activity impairment, symptom response, quality of life, flow rate and sexual function.\nRESULTS: Fifty-one subjects were treated without any serious adverse events. No case was abandoned or postponed due to subject discomfort. By 1 month, 86% of subjects achieved high quality recovery as measured by a score of ≥ 80 on the Quality of Recovery Visual Analog Scale. Ninety percent of subjects reported improvement in their condition and 75% of subjects would recommend the procedure to a friend. Symptom response, flow rate improvement, and sexual function preservation were comparable to published studies.\nCONCLUSIONS: The PUL procedure was tolerated under local anesthesia, rarely required postoperative catheterization, and offered rapid LUTS relief with minimal associated morbidity. The study further allows urologists to advise patients regarding post-procedural expectations and side effects, inclusive of symptomatic benefit.","container-title":"The Canadian Journal of Urology","ISSN":"1195-9479","issue":"1","journalAbbreviation":"Can J Urol","language":"eng","note":"PMID: 24529008","page":"7094-7101","source":"PubMed","title":"Prospective multi-center study elucidating patient experience after prostatic urethral lift","volume":"21","author":[{"family":"Shore","given":"Neal"},{"family":"Freedman","given":"Sheldon"},{"family":"Gange","given":"Steven"},{"family":"Moseley","given":"William"},{"family":"Heron","given":"Sean"},{"family":"Tutrone","given":"Ron"},{"family":"Brown","given":"Thomas"},{"family":"Barkin","given":"Jack"}],"issued":{"date-parts":[["2014",2]]}}}],"schema":"https://github.com/citation-style-language/schema/raw/master/csl-citation.json"} </w:instrText>
      </w:r>
      <w:r>
        <w:fldChar w:fldCharType="separate"/>
      </w:r>
      <w:r w:rsidR="00B41ACC" w:rsidRPr="00B41ACC">
        <w:rPr>
          <w:rFonts w:cs="Times New Roman"/>
          <w:vertAlign w:val="superscript"/>
        </w:rPr>
        <w:t>161</w:t>
      </w:r>
      <w:r>
        <w:fldChar w:fldCharType="end"/>
      </w:r>
      <w:r>
        <w:t>.</w:t>
      </w:r>
      <w:r w:rsidR="007D0333">
        <w:t xml:space="preserve"> Normal PSA is u</w:t>
      </w:r>
      <w:r w:rsidR="007D0333" w:rsidRPr="007D0333">
        <w:t>sually regarded as 0–4 ng/mL, while a</w:t>
      </w:r>
      <w:r w:rsidR="007D0333">
        <w:t>ge-related variations may occur. In BPH</w:t>
      </w:r>
      <w:r w:rsidR="005760F1">
        <w:t>,</w:t>
      </w:r>
      <w:r w:rsidR="007D0333">
        <w:t xml:space="preserve"> </w:t>
      </w:r>
      <w:r w:rsidR="007D0333" w:rsidRPr="007D0333">
        <w:t xml:space="preserve">PSA levels are normally between 4 and 10 ng/mL, although in extreme situations, they may be higher. </w:t>
      </w:r>
      <w:r w:rsidR="007D0333">
        <w:t>The prostate cancer grey zone is 4–10 ng/mL</w:t>
      </w:r>
      <w:r w:rsidR="005760F1">
        <w:t>,</w:t>
      </w:r>
      <w:r w:rsidR="007D0333">
        <w:t xml:space="preserve"> which may indicate malignancy or BPH. It could be necessary to do additional tests (such as an MRI, biopsy, or free PSA ratio). &gt;10 ng/mL: Prostate cancer risk is elevated.&gt;20 ng/mL: indicates a greater risk of metastatic or advanced illness </w:t>
      </w:r>
      <w:r w:rsidR="007D0333">
        <w:fldChar w:fldCharType="begin"/>
      </w:r>
      <w:r w:rsidR="00B41ACC">
        <w:instrText xml:space="preserve"> ADDIN ZOTERO_ITEM CSL_CITATION {"citationID":"C4Gw4mMy","properties":{"formattedCitation":"\\super 162\\nosupersub{}","plainCitation":"162","noteIndex":0},"citationItems":[{"id":1111,"uris":["http://zotero.org/users/local/BfzbJtgR/items/JKLP6JZE"],"itemData":{"id":1111,"type":"article-journal","abstract":"BACKGROUND: Prostate-specific antigen (PSA) is secreted exclusively by prostatic epithelial cells, and its serum concentration is increased in men with prostatic disease, including cancer. We evaluated its usefulness in the detection and staging of prostate cancer.\nMETHODS: We measured serum PSA concentrations in 1653 healthy men 50 or more years old. Those with PSA values greater than or equal to 4.0 micrograms per liter then underwent rectal examination and prostatic ultrasonography. Ultrasound-directed prostatic needle biopsies were performed in the men with abnormal findings on rectal examination, ultrasonography, or both. The results were compared with those in 300 consecutively studied men 50 or more years old who underwent ultrasound-directed biopsy because of symptoms or abnormal findings on rectal examination.\nRESULTS: Serum PSA levels ranged from 4.0 to 9.9 micrograms per liter in 6.5 percent of the 1653 men (107). Nineteen of the 85 men in this group (22 percent) who had prostatic biopsies had prostate cancer. Serum PSA levels were 10.0 micrograms per liter or higher in 1.8 percent of the 1653 men (30). Eighteen of the 27 men in this group (67 percent) who had prostatic biopsies had cancer. If rectal examination alone had been used to screen the men who had biopsies, 12 of the 37 cancers (32 percent) would have been missed. If ultrasonography alone had been used to screen these men, 16 of the 37 cancers (43 percent) would have been missed. Serum PSA measurement had the lowest error rate of the tests, and PSA measurement plus rectal examination had the lowest error rate of the two-test combinations.\nCONCLUSIONS: The combination of measurement of the serum PSA concentration and rectal examination, with ultrasonography performed in patients with abnormal findings, provides a better method of detecting prostate cancer than rectal examination alone.","container-title":"The New England Journal of Medicine","DOI":"10.1056/NEJM199104253241702","ISSN":"0028-4793","issue":"17","journalAbbreviation":"N Engl J Med","language":"eng","note":"PMID: 1707140","page":"1156-1161","source":"PubMed","title":"Measurement of prostate-specific antigen in serum as a screening test for prostate cancer","volume":"324","author":[{"family":"Catalona","given":"W. J."},{"family":"Smith","given":"D. S."},{"family":"Ratliff","given":"T. L."},{"family":"Dodds","given":"K. M."},{"family":"Coplen","given":"D. E."},{"family":"Yuan","given":"J. J."},{"family":"Petros","given":"J. A."},{"family":"Andriole","given":"G. L."}],"issued":{"date-parts":[["1991",4,25]]}}}],"schema":"https://github.com/citation-style-language/schema/raw/master/csl-citation.json"} </w:instrText>
      </w:r>
      <w:r w:rsidR="007D0333">
        <w:fldChar w:fldCharType="separate"/>
      </w:r>
      <w:r w:rsidR="00B41ACC" w:rsidRPr="00B41ACC">
        <w:rPr>
          <w:rFonts w:cs="Times New Roman"/>
          <w:vertAlign w:val="superscript"/>
        </w:rPr>
        <w:t>162</w:t>
      </w:r>
      <w:r w:rsidR="007D0333">
        <w:fldChar w:fldCharType="end"/>
      </w:r>
      <w:r w:rsidR="007D0333">
        <w:t xml:space="preserve">. </w:t>
      </w:r>
      <w:r w:rsidR="007D0333" w:rsidRPr="007D0333">
        <w:t>Because BPH causes an increase in prostate volume, it might gradually raise PSA.</w:t>
      </w:r>
      <w:r>
        <w:t xml:space="preserve"> </w:t>
      </w:r>
    </w:p>
    <w:p w:rsidR="00F4304F" w:rsidRDefault="007D0333" w:rsidP="00941D34">
      <w:pPr>
        <w:pStyle w:val="Standard"/>
        <w:spacing w:before="280" w:after="280" w:line="276" w:lineRule="auto"/>
        <w:jc w:val="both"/>
      </w:pPr>
      <w:r w:rsidRPr="007D0333">
        <w:t>When compared to normal prostate tissue, prostate cancer cells exhibit a substantial overexpression of PCA3, a prostate-specific, non-coding mRNA biomarker. It is employed as a diagnostic tool, specifically to decrease needless biopsies and increase the sensitivity of prostate cancer detection.</w:t>
      </w:r>
      <w:r>
        <w:t xml:space="preserve"> </w:t>
      </w:r>
      <w:r w:rsidR="00E210F2" w:rsidRPr="00A11020">
        <w:t xml:space="preserve">Prostate cancer antigen 3 (PCA3) is the most well-known biomarker for prostate cancer that is becoming available as a non-PSA-based diagnostic test. </w:t>
      </w:r>
      <w:r w:rsidR="00E210F2">
        <w:t>A</w:t>
      </w:r>
      <w:r w:rsidR="00E210F2" w:rsidRPr="00A11020">
        <w:t xml:space="preserve"> major difference from </w:t>
      </w:r>
      <w:r w:rsidR="00E210F2" w:rsidRPr="00A11020">
        <w:lastRenderedPageBreak/>
        <w:t>blood PSA is that PCA3, a long noncoding RNA (lncRNA), has been demonstrated to be raised in &gt;90% of prostate cancer tissues but not in normal or BPH cells</w:t>
      </w:r>
      <w:r w:rsidR="00E210F2">
        <w:t xml:space="preserve"> </w:t>
      </w:r>
      <w:r w:rsidR="00E210F2">
        <w:fldChar w:fldCharType="begin"/>
      </w:r>
      <w:r w:rsidR="00B41ACC">
        <w:instrText xml:space="preserve"> ADDIN ZOTERO_ITEM CSL_CITATION {"citationID":"fnyOQzTw","properties":{"formattedCitation":"\\super 163\\nosupersub{}","plainCitation":"163","noteIndex":0},"citationItems":[{"id":1083,"uris":["http://zotero.org/users/local/BfzbJtgR/items/RK336EWJ"],"itemData":{"id":1083,"type":"article-journal","abstract":"Since the introduction of serum prostate-specific antigen (PSA) screening 25 years ago, prostate cancer diagnosis and management have been guided by this biomarker. Yet, PSA has proven controversial as a screening assay owing to several inherent limitations. The next wave of prostate cancer biomarkers has emerged, introducing new assays in serum and urine that may supplement or, in time, replace PSA because of their higher cancer specificity. This expanding universe of biomarkers has been facilitated, in large part, by new genomic technologies that have enabled an unbiased look at cancer biology. Such efforts have produced several notable success stories that involve rapidly moving biomarkers from the bench to the clinic. However, biomarker research has centered on disease diagnostics, rather than prognosis and prediction, which would address disease management. The development of biomarkers to stratify risk of prostate cancer aggressiveness at the time of screening remains the greatest unmet clinical need in prostate cancer. We review the current state of prostate cancer biomarker research, including the PSA revolution, its impact on early cancer detection, the recent advances in biomarker discovery, and the future efforts that promise to improve clinical management of this disease.","container-title":"Science Translational Medicine","DOI":"10.1126/scitranslmed.3003180","ISSN":"1946-6242","issue":"127","journalAbbreviation":"Sci Transl Med","language":"eng","note":"PMID: 22461644\nPMCID: PMC3799996","page":"127rv3","source":"PubMed","title":"Beyond PSA: the next generation of prostate cancer biomarkers","title-short":"Beyond PSA","volume":"4","author":[{"family":"Prensner","given":"John R."},{"family":"Rubin","given":"Mark A."},{"family":"Wei","given":"John T."},{"family":"Chinnaiyan","given":"Arul M."}],"issued":{"date-parts":[["2012",3,28]]}}}],"schema":"https://github.com/citation-style-language/schema/raw/master/csl-citation.json"} </w:instrText>
      </w:r>
      <w:r w:rsidR="00E210F2">
        <w:fldChar w:fldCharType="separate"/>
      </w:r>
      <w:r w:rsidR="00B41ACC" w:rsidRPr="00B41ACC">
        <w:rPr>
          <w:rFonts w:cs="Times New Roman"/>
          <w:vertAlign w:val="superscript"/>
        </w:rPr>
        <w:t>163</w:t>
      </w:r>
      <w:r w:rsidR="00E210F2">
        <w:fldChar w:fldCharType="end"/>
      </w:r>
      <w:r w:rsidR="00E210F2" w:rsidRPr="00A11020">
        <w:t>.</w:t>
      </w:r>
      <w:r w:rsidR="00941D34">
        <w:t xml:space="preserve"> Extremely Specific to prostate cancer</w:t>
      </w:r>
      <w:r w:rsidR="005760F1">
        <w:t>,</w:t>
      </w:r>
      <w:r w:rsidR="00941D34">
        <w:t xml:space="preserve"> in contrast to PSA, benign diseases such as prostatitis or BPH do not cause an increase in PCA3. Measured in Urine - </w:t>
      </w:r>
      <w:r w:rsidR="005760F1">
        <w:t>A</w:t>
      </w:r>
      <w:r w:rsidR="00941D34">
        <w:t xml:space="preserve"> urine sample obtained following a digital rectal exam (DRE), which releases prostate cells into the urine, is used for PCA3 testing. </w:t>
      </w:r>
      <w:r w:rsidR="005760F1" w:rsidRPr="005760F1">
        <w:t xml:space="preserve">The PCA3 Score is measured by dividing the urine's PCA3 mRNA by PSA mRNA.  </w:t>
      </w:r>
      <w:r w:rsidR="005760F1">
        <w:t>Prostate</w:t>
      </w:r>
      <w:r w:rsidR="005760F1" w:rsidRPr="005760F1">
        <w:t xml:space="preserve"> cancer risk is decreased if </w:t>
      </w:r>
      <w:r w:rsidR="005760F1">
        <w:t>the</w:t>
      </w:r>
      <w:r w:rsidR="005760F1" w:rsidRPr="005760F1">
        <w:t xml:space="preserve"> ratio of PSA/ PCA3 </w:t>
      </w:r>
      <w:r w:rsidR="005760F1">
        <w:t xml:space="preserve">is </w:t>
      </w:r>
      <w:r w:rsidR="005760F1" w:rsidRPr="005760F1">
        <w:t>&lt;25</w:t>
      </w:r>
      <w:r w:rsidR="005760F1">
        <w:t>, and i</w:t>
      </w:r>
      <w:r w:rsidR="005760F1" w:rsidRPr="005760F1">
        <w:t xml:space="preserve">ncreased risk </w:t>
      </w:r>
      <w:r w:rsidR="005760F1">
        <w:t>if the</w:t>
      </w:r>
      <w:r w:rsidR="005760F1" w:rsidRPr="005760F1">
        <w:t xml:space="preserve"> ratio of ≥25</w:t>
      </w:r>
      <w:r w:rsidR="005760F1">
        <w:t>.</w:t>
      </w:r>
      <w:r w:rsidR="005760F1" w:rsidRPr="005760F1">
        <w:t xml:space="preserve"> In this case</w:t>
      </w:r>
      <w:r w:rsidR="000266C2" w:rsidRPr="005760F1">
        <w:t>, prostate</w:t>
      </w:r>
      <w:r w:rsidR="005760F1" w:rsidRPr="005760F1">
        <w:t xml:space="preserve"> cancer requires additional testing (biopsy, for example). PCA3 aids in differentiating between true cancer and increased PSA brought on by BPH</w:t>
      </w:r>
      <w:r w:rsidR="00941D34">
        <w:fldChar w:fldCharType="begin"/>
      </w:r>
      <w:r w:rsidR="00B41ACC">
        <w:instrText xml:space="preserve"> ADDIN ZOTERO_ITEM CSL_CITATION {"citationID":"zu9Z7aay","properties":{"formattedCitation":"\\super 164\\nosupersub{}","plainCitation":"164","noteIndex":0},"citationItems":[{"id":1114,"uris":["http://zotero.org/users/local/BfzbJtgR/items/HAG2CFZK"],"itemData":{"id":1114,"type":"article-journal","collection-title":"part I &amp; part II 54-63","container-title":"J Urol.","issue":"1","page":"45-53;","title":"Early detection of prostate cancer: AUA/SUO guideline : prostate cancer screening. ;210(1):45-53.","volume":"210","author":[{"family":"Wei","given":"JT"},{"family":"Barocas","given":"D"},{"family":"Carlsson","given":"S","dropping-particle":"et al."}],"issued":{"date-parts":[["2023"]]}}}],"schema":"https://github.com/citation-style-language/schema/raw/master/csl-citation.json"} </w:instrText>
      </w:r>
      <w:r w:rsidR="00941D34">
        <w:fldChar w:fldCharType="separate"/>
      </w:r>
      <w:r w:rsidR="00B41ACC" w:rsidRPr="00B41ACC">
        <w:rPr>
          <w:rFonts w:cs="Times New Roman"/>
          <w:vertAlign w:val="superscript"/>
        </w:rPr>
        <w:t>164</w:t>
      </w:r>
      <w:r w:rsidR="00941D34">
        <w:fldChar w:fldCharType="end"/>
      </w:r>
      <w:r w:rsidR="00941D34" w:rsidRPr="00941D34">
        <w:t>.</w:t>
      </w:r>
      <w:r w:rsidR="0075555B">
        <w:t xml:space="preserve"> </w:t>
      </w:r>
    </w:p>
    <w:p w:rsidR="00451ED3" w:rsidRPr="00F4304F" w:rsidRDefault="00F4304F" w:rsidP="00F4304F">
      <w:pPr>
        <w:pStyle w:val="Heading2"/>
        <w:rPr>
          <w:rFonts w:ascii="Times New Roman" w:hAnsi="Times New Roman" w:cs="Times New Roman"/>
          <w:b/>
          <w:color w:val="auto"/>
          <w:sz w:val="28"/>
        </w:rPr>
      </w:pPr>
      <w:bookmarkStart w:id="13" w:name="_Toc193802124"/>
      <w:r>
        <w:rPr>
          <w:rFonts w:ascii="Times New Roman" w:hAnsi="Times New Roman" w:cs="Times New Roman"/>
          <w:b/>
          <w:color w:val="auto"/>
          <w:sz w:val="28"/>
        </w:rPr>
        <w:t xml:space="preserve">2.3. </w:t>
      </w:r>
      <w:r w:rsidR="00451ED3" w:rsidRPr="00F4304F">
        <w:rPr>
          <w:rFonts w:ascii="Times New Roman" w:hAnsi="Times New Roman" w:cs="Times New Roman"/>
          <w:b/>
          <w:color w:val="auto"/>
          <w:sz w:val="28"/>
        </w:rPr>
        <w:t>Genetic Markers as Host biomarkers</w:t>
      </w:r>
      <w:bookmarkEnd w:id="13"/>
    </w:p>
    <w:p w:rsidR="00597752" w:rsidRDefault="00597752" w:rsidP="00F861EB">
      <w:pPr>
        <w:pStyle w:val="Standard"/>
        <w:suppressAutoHyphens w:val="0"/>
        <w:spacing w:before="280" w:after="280" w:line="276" w:lineRule="auto"/>
        <w:jc w:val="both"/>
        <w:textAlignment w:val="auto"/>
      </w:pPr>
      <w:r w:rsidRPr="00597752">
        <w:t xml:space="preserve">Genetic markers </w:t>
      </w:r>
      <w:r w:rsidR="00A9400B">
        <w:t>differ</w:t>
      </w:r>
      <w:r w:rsidRPr="00597752">
        <w:t xml:space="preserve"> in gene sequences and that can influence </w:t>
      </w:r>
      <w:r w:rsidR="00A9400B">
        <w:t>phenotypical characteristics of an individual</w:t>
      </w:r>
      <w:r w:rsidRPr="00597752">
        <w:t xml:space="preserve">. </w:t>
      </w:r>
      <w:r>
        <w:t xml:space="preserve">These may </w:t>
      </w:r>
      <w:r w:rsidR="00A9400B">
        <w:t xml:space="preserve">be </w:t>
      </w:r>
      <w:r>
        <w:t xml:space="preserve">associated with single nucleotide polymorphisms (SNPs), gene expression signatures, epigenetic modifications, or copy number variations (CNVs), resulting in </w:t>
      </w:r>
      <w:r w:rsidR="00A9400B">
        <w:t xml:space="preserve">the </w:t>
      </w:r>
      <w:r>
        <w:t>advancement of disease and therapeutic effects</w:t>
      </w:r>
      <w:r w:rsidR="00CA7B7A">
        <w:t xml:space="preserve"> </w:t>
      </w:r>
      <w:r w:rsidR="00A9400B">
        <w:fldChar w:fldCharType="begin"/>
      </w:r>
      <w:r w:rsidR="00B41ACC">
        <w:instrText xml:space="preserve"> ADDIN ZOTERO_ITEM CSL_CITATION {"citationID":"rYdfrUTz","properties":{"formattedCitation":"\\super 165\\uc0\\u8211{}167\\nosupersub{}","plainCitation":"165–167","noteIndex":0},"citationItems":[{"id":866,"uris":["http://zotero.org/users/local/BfzbJtgR/items/BFABECQE"],"itemData":{"id":866,"type":"article-journal","abstract":"A large number of genes associated with various cancer types contain single nucleotide polymorphisms (SNPs). SNPs are located in gene promoters, exons, introns as well as 5'- and 3'- untranslated regions (UTRs) and affect gene expression by different mechanisms. These mechanisms depend on the role of the genetic elements in which the individual SNPs are located. Moreover, alterations in epigenetic regulation due to gene polymorphisms add to the complexity underlying cancer susceptibility related to SNPs. In this systematic review, we discuss the various genetic and epigenetic mechanisms involved in determining cancer susceptibility related to various SNPs located in different genetic elements. We also discuss the diagnostic potential of these SNPs and the focus for future studies.","container-title":"Oncotarget","DOI":"10.18632/oncotarget.22372","ISSN":"1949-2553","issue":"66","journalAbbreviation":"Oncotarget","language":"eng","note":"PMID: 29299175\nPMCID: PMC5746410","page":"110635-110649","source":"PubMed","title":"Single nucleotide polymorphisms and cancer susceptibility","volume":"8","author":[{"family":"Deng","given":"Na"},{"family":"Zhou","given":"Heng"},{"family":"Fan","given":"Hua"},{"family":"Yuan","given":"Yuan"}],"issued":{"date-parts":[["2017",12,15]]}}},{"id":863,"uris":["http://zotero.org/users/local/BfzbJtgR/items/TX4UGI3L"],"itemData":{"id":863,"type":"article-journal","abstract":"MicroRNAs (miRNAs) are small non-coding RNAs that regulate gene expression at the transcriptional or posttranscriptional level. Many miRNAs are found to play a significant role in cancer development either as tumor suppressor genes or as oncogenes. Examination of tumor-specific miRNA expression profiles in diverse cancers has revealed widespread deregulation of these molecules, whose loss and overexpression respectively have diagnostic and prognostic significance. Genetic variations, mostly single-nucleotide polymorphisms (SNPs) within miRNA sequences or their target sites, have been found to be associated with many kinds of cancers. In this review, we summarize the current knowledge of miRNAs including their biogenesis and role in cancer development, and finally, how SNPs among miRNAs affect miRNA biogenesis and contribute to cancer.","container-title":"Chinese Journal of Cancer","DOI":"10.5732/cjc.011.10142","ISSN":"1000-467X","issue":"6","journalAbbreviation":"Chin J Cancer","language":"eng","note":"PMID: 21627860\nPMCID: PMC4013412","page":"381-391","source":"PubMed","title":"Single-nucleotide polymorphisms among microRNA: big effects on cancer","title-short":"Single-nucleotide polymorphisms among microRNA","volume":"30","author":[{"family":"Song","given":"Feng-Ju"},{"family":"Chen","given":"Ke-Xin"}],"issued":{"date-parts":[["2011",6]]}}},{"id":869,"uris":["http://zotero.org/users/local/BfzbJtgR/items/MAQAGE3J"],"itemData":{"id":869,"type":"article-journal","abstract":"BACKGROUND: Advances in cancer research have allowed for early diagnosis and improved treatment of cutaneous melanoma (CM). However, its invasiveness and recurrent metastasis, along with rising resistance to newer therapies, have lent urgency to the search for novel biomarkers and the underlying molecular mechanisms of CM.\nMETHODS: Single nucleotide polymorphism- (SNP-) related genes were obtained from the sequencing data of 428 CM samples in The Cancer Genome Atlas. Functional enrichment of these genes was analysed in clusterProfiler. Additionally, a protein-protein interaction (PPI) network was constructed with the Search Tool for the Retrieval of Interacting Gene (STRING) database. Gene Expression Profiling Interactive Analysis (GEPIA) was used to identify the expression and prognostic value of mutated genes. Finally, the Tumour Immune Estimation Resource (TIMER) analysed the relationship between gene expression and immune cell infiltration.\nRESULTS: We constructed a PPI network from the top 60 SNP-related genes. Mutated genes were mainly involved in calcium and oxytocin signalling pathways, as well as circadian entrainment. In addition, three SNP-related genes, BRAF, FLG, and SORL1, were significantly associated with patient prognosis. BRAF and SORL1 were positively associated with infiltration abundance of B cells, CD8+ T cells, CD4+ T cells, neutrophils, and dendritic cells, whereas FLG expression was negatively associated. Furthermore, higher immune cell infiltration was positively correlated with good prognosis.\nCONCLUSIONS: Our study provides vital bioinformatic data and a relevant theoretical basis to further explore the molecular pathogenesis of CM and improve patient prognosis.","container-title":"BioMed Research International","DOI":"10.1155/2023/3754094","ISSN":"2314-6141","journalAbbreviation":"Biomed Res Int","language":"eng","note":"PMID: 37205232\nPMCID: PMC10188268","page":"3754094","source":"PubMed","title":"Role of Single Nucleotide Polymorphism-Related Genes in Tumour Immune Cell Infiltration and Prognosis of Cutaneous Melanoma","volume":"2023","author":[{"family":"Wang","given":"Baihe"},{"family":"Liu","given":"Fanxiao"},{"family":"Li","given":"Yuanyuan"},{"family":"Chen","given":"Nan"}],"issued":{"date-parts":[["2023"]]}}}],"schema":"https://github.com/citation-style-language/schema/raw/master/csl-citation.json"} </w:instrText>
      </w:r>
      <w:r w:rsidR="00A9400B">
        <w:fldChar w:fldCharType="separate"/>
      </w:r>
      <w:r w:rsidR="00B41ACC" w:rsidRPr="00B41ACC">
        <w:rPr>
          <w:rFonts w:cs="Times New Roman"/>
          <w:vertAlign w:val="superscript"/>
        </w:rPr>
        <w:t>165–167</w:t>
      </w:r>
      <w:r w:rsidR="00A9400B">
        <w:fldChar w:fldCharType="end"/>
      </w:r>
      <w:r>
        <w:t xml:space="preserve">. </w:t>
      </w:r>
    </w:p>
    <w:p w:rsidR="00451ED3" w:rsidRDefault="007E24B7" w:rsidP="007E24B7">
      <w:pPr>
        <w:pStyle w:val="Heading3"/>
        <w:rPr>
          <w:rFonts w:ascii="Times New Roman" w:hAnsi="Times New Roman" w:cs="Times New Roman"/>
          <w:color w:val="auto"/>
          <w:sz w:val="24"/>
        </w:rPr>
      </w:pPr>
      <w:bookmarkStart w:id="14" w:name="_Toc193802125"/>
      <w:r>
        <w:rPr>
          <w:rFonts w:ascii="Times New Roman" w:hAnsi="Times New Roman" w:cs="Times New Roman"/>
          <w:color w:val="auto"/>
          <w:sz w:val="24"/>
        </w:rPr>
        <w:t xml:space="preserve">2.3.1. </w:t>
      </w:r>
      <w:r w:rsidR="00CA7B7A" w:rsidRPr="007E24B7">
        <w:rPr>
          <w:rFonts w:ascii="Times New Roman" w:hAnsi="Times New Roman" w:cs="Times New Roman"/>
          <w:color w:val="auto"/>
          <w:sz w:val="24"/>
        </w:rPr>
        <w:t xml:space="preserve">Single </w:t>
      </w:r>
      <w:r w:rsidRPr="007E24B7">
        <w:rPr>
          <w:rFonts w:ascii="Times New Roman" w:hAnsi="Times New Roman" w:cs="Times New Roman"/>
          <w:color w:val="auto"/>
          <w:sz w:val="24"/>
        </w:rPr>
        <w:t>Nucleotide Polymorphisms (SNPs)</w:t>
      </w:r>
      <w:bookmarkEnd w:id="14"/>
    </w:p>
    <w:p w:rsidR="00F25A1D" w:rsidRPr="00F25A1D" w:rsidRDefault="00F25A1D" w:rsidP="00F25A1D"/>
    <w:p w:rsidR="00F25A1D" w:rsidRDefault="00F25A1D" w:rsidP="00F25A1D">
      <w:pPr>
        <w:pStyle w:val="Standard"/>
        <w:numPr>
          <w:ilvl w:val="0"/>
          <w:numId w:val="13"/>
        </w:numPr>
        <w:suppressAutoHyphens w:val="0"/>
        <w:spacing w:line="276" w:lineRule="auto"/>
        <w:jc w:val="both"/>
        <w:textAlignment w:val="auto"/>
      </w:pPr>
      <w:r w:rsidRPr="00F25A1D">
        <w:rPr>
          <w:b/>
        </w:rPr>
        <w:t xml:space="preserve"> </w:t>
      </w:r>
      <w:r w:rsidRPr="00F25A1D">
        <w:t>SNPs may be associated with modifications to protein-coding sequences, regulatory areas, and miRNA (microRNA) binding sites, resulting in changes in gene expression and elevated risk of cancer</w:t>
      </w:r>
      <w:r>
        <w:t xml:space="preserve"> </w:t>
      </w:r>
    </w:p>
    <w:p w:rsidR="00F25A1D" w:rsidRDefault="00F25A1D" w:rsidP="00F25A1D">
      <w:pPr>
        <w:pStyle w:val="Standard"/>
        <w:suppressAutoHyphens w:val="0"/>
        <w:spacing w:line="276" w:lineRule="auto"/>
        <w:ind w:left="360"/>
        <w:jc w:val="both"/>
        <w:textAlignment w:val="auto"/>
      </w:pPr>
    </w:p>
    <w:p w:rsidR="004D4B30" w:rsidRPr="00F25A1D" w:rsidRDefault="0064110D" w:rsidP="004F3B0B">
      <w:pPr>
        <w:pStyle w:val="Standard"/>
        <w:numPr>
          <w:ilvl w:val="0"/>
          <w:numId w:val="13"/>
        </w:numPr>
        <w:suppressAutoHyphens w:val="0"/>
        <w:spacing w:line="276" w:lineRule="auto"/>
        <w:jc w:val="both"/>
        <w:textAlignment w:val="auto"/>
        <w:rPr>
          <w:b/>
        </w:rPr>
      </w:pPr>
      <w:r w:rsidRPr="00F25A1D">
        <w:rPr>
          <w:b/>
        </w:rPr>
        <w:t xml:space="preserve">Association of SNPs in </w:t>
      </w:r>
      <w:r w:rsidR="00483506" w:rsidRPr="00F25A1D">
        <w:rPr>
          <w:b/>
        </w:rPr>
        <w:t xml:space="preserve">the </w:t>
      </w:r>
      <w:r w:rsidRPr="00F25A1D">
        <w:rPr>
          <w:b/>
        </w:rPr>
        <w:t xml:space="preserve">regulatory region and </w:t>
      </w:r>
      <w:r w:rsidR="00CA7B7A" w:rsidRPr="00F25A1D">
        <w:rPr>
          <w:b/>
        </w:rPr>
        <w:t>Cancer susceptibility –</w:t>
      </w:r>
    </w:p>
    <w:p w:rsidR="00F25A1D" w:rsidRPr="00F25A1D" w:rsidRDefault="00CA7B7A" w:rsidP="004F3B0B">
      <w:pPr>
        <w:pStyle w:val="Standard"/>
        <w:suppressAutoHyphens w:val="0"/>
        <w:spacing w:line="276" w:lineRule="auto"/>
        <w:jc w:val="both"/>
        <w:textAlignment w:val="auto"/>
      </w:pPr>
      <w:r w:rsidRPr="00CA7B7A">
        <w:t>SNPs in enhancers, promoters, and transcription factor binding sites</w:t>
      </w:r>
      <w:r w:rsidR="00F25A1D">
        <w:t xml:space="preserve"> may change the gene expression profile of a particular gene</w:t>
      </w:r>
      <w:r w:rsidRPr="00CA7B7A">
        <w:t>.</w:t>
      </w:r>
      <w:r>
        <w:t xml:space="preserve"> </w:t>
      </w:r>
      <w:r w:rsidRPr="00CA7B7A">
        <w:t>For instance, the 8q24 locus, rs6983267, is linked to breast, prostate, and colorectal cancer. It affects the expression of the MYC oncogene, which causes unchecked cell division</w:t>
      </w:r>
      <w:r w:rsidR="006A5B05">
        <w:t xml:space="preserve"> </w:t>
      </w:r>
      <w:r>
        <w:fldChar w:fldCharType="begin"/>
      </w:r>
      <w:r w:rsidR="00B41ACC">
        <w:instrText xml:space="preserve"> ADDIN ZOTERO_ITEM CSL_CITATION {"citationID":"3SN9LEvc","properties":{"formattedCitation":"\\super 168\\nosupersub{}","plainCitation":"168","noteIndex":0},"citationItems":[{"id":872,"uris":["http://zotero.org/users/local/BfzbJtgR/items/AG2BK63S"],"itemData":{"id":872,"type":"article-journal","abstract":"MicroRNAs (miRNAs) are small non-coding RNAs that regulate gene expression at the transcriptional or posttranscriptional level. Many miRNAs are found to play a significant role in cancer development either as tumor suppressor genes or as oncogenes. Examination of tumor-specific miRNA expression profiles in diverse cancers has revealed widespread deregulation of these molecules, whose loss and overexpression respectively have diagnostic and prognostic significance. Genetic variations, mostly single-nucleotide polymorphisms (SNPs) within miRNA sequences or their target sites, have been found to be associated with many kinds of cancers. In this review, we summarize the current knowledge of miRNAs including their biogenesis and role in cancer development, and finally, how SNPs among miRNAs affect miRNA biogenesis and contribute to cancer.","container-title":"Chinese Journal of Cancer","DOI":"10.5732/cjc.011.10142","ISSN":"1000-467X","issue":"6","journalAbbreviation":"Chin J Cancer","language":"eng","note":"PMID: 21627860\nPMCID: PMC4013412","page":"381-391","source":"PubMed","title":"Single-nucleotide polymorphisms among microRNA: big effects on cancer","title-short":"Single-nucleotide polymorphisms among microRNA","volume":"30","author":[{"family":"Song","given":"Feng-Ju"},{"family":"Chen","given":"Ke-Xin"}],"issued":{"date-parts":[["2011",6]]}}}],"schema":"https://github.com/citation-style-language/schema/raw/master/csl-citation.json"} </w:instrText>
      </w:r>
      <w:r>
        <w:fldChar w:fldCharType="separate"/>
      </w:r>
      <w:r w:rsidR="00B41ACC" w:rsidRPr="00B41ACC">
        <w:rPr>
          <w:rFonts w:cs="Times New Roman"/>
          <w:vertAlign w:val="superscript"/>
        </w:rPr>
        <w:t>168</w:t>
      </w:r>
      <w:r>
        <w:fldChar w:fldCharType="end"/>
      </w:r>
      <w:r w:rsidRPr="00CA7B7A">
        <w:t>.</w:t>
      </w:r>
      <w:r w:rsidR="006A5B05">
        <w:t xml:space="preserve"> The chromosomal location of this locus is </w:t>
      </w:r>
      <w:r w:rsidR="006A5B05" w:rsidRPr="006A5B05">
        <w:t>8q24.21</w:t>
      </w:r>
      <w:r w:rsidR="006A5B05">
        <w:t xml:space="preserve">, which is located within a gene desert (non-coding gene sequences). This is approximately 335 bp upstream of Myc, a master </w:t>
      </w:r>
      <w:r w:rsidR="00F25A1D">
        <w:t>regulator</w:t>
      </w:r>
      <w:r w:rsidR="006A5B05">
        <w:t xml:space="preserve"> for the growth of cells, differentiation and apoptosis. </w:t>
      </w:r>
      <w:r w:rsidR="006A5B05" w:rsidRPr="006A5B05">
        <w:t>Since rs6983267 is found in a non-coding region, regulatory mechanisms rather than direct protein changes mediate its impact on cancer risk.</w:t>
      </w:r>
      <w:r w:rsidR="00466CCC">
        <w:t xml:space="preserve"> </w:t>
      </w:r>
      <w:r w:rsidR="00F25A1D" w:rsidRPr="00F25A1D">
        <w:rPr>
          <w:bCs/>
        </w:rPr>
        <w:t>The</w:t>
      </w:r>
      <w:r w:rsidR="00F25A1D" w:rsidRPr="00F25A1D">
        <w:t xml:space="preserve"> </w:t>
      </w:r>
      <w:r w:rsidR="00F25A1D" w:rsidRPr="00F25A1D">
        <w:rPr>
          <w:bCs/>
        </w:rPr>
        <w:t xml:space="preserve">8q24 area contains an </w:t>
      </w:r>
      <w:r w:rsidR="00F25A1D" w:rsidRPr="00F25A1D">
        <w:t xml:space="preserve">enhancer element that </w:t>
      </w:r>
      <w:r w:rsidR="00F25A1D" w:rsidRPr="00F25A1D">
        <w:rPr>
          <w:bCs/>
        </w:rPr>
        <w:t>regulates</w:t>
      </w:r>
      <w:r w:rsidR="00F25A1D" w:rsidRPr="00F25A1D">
        <w:t xml:space="preserve"> MYC expression</w:t>
      </w:r>
      <w:r w:rsidR="00F25A1D" w:rsidRPr="00F25A1D">
        <w:rPr>
          <w:bCs/>
        </w:rPr>
        <w:t>.</w:t>
      </w:r>
      <w:r w:rsidR="00F25A1D" w:rsidRPr="00F25A1D">
        <w:t xml:space="preserve"> </w:t>
      </w:r>
      <w:r w:rsidR="00F25A1D" w:rsidRPr="00F25A1D">
        <w:rPr>
          <w:bCs/>
        </w:rPr>
        <w:t>rs6983267,</w:t>
      </w:r>
      <w:r w:rsidR="00F25A1D" w:rsidRPr="00F25A1D">
        <w:t xml:space="preserve"> </w:t>
      </w:r>
      <w:r w:rsidR="00F25A1D" w:rsidRPr="00F25A1D">
        <w:rPr>
          <w:bCs/>
        </w:rPr>
        <w:t>which</w:t>
      </w:r>
      <w:r w:rsidR="00F25A1D" w:rsidRPr="00F25A1D">
        <w:t xml:space="preserve"> </w:t>
      </w:r>
      <w:r w:rsidR="00F25A1D" w:rsidRPr="00F25A1D">
        <w:rPr>
          <w:bCs/>
        </w:rPr>
        <w:t>changes</w:t>
      </w:r>
      <w:r w:rsidR="00F25A1D" w:rsidRPr="00F25A1D">
        <w:t xml:space="preserve"> the </w:t>
      </w:r>
      <w:r w:rsidR="00F25A1D" w:rsidRPr="00F25A1D">
        <w:rPr>
          <w:bCs/>
        </w:rPr>
        <w:t>ability</w:t>
      </w:r>
      <w:r w:rsidR="00F25A1D" w:rsidRPr="00F25A1D">
        <w:t xml:space="preserve"> </w:t>
      </w:r>
      <w:r w:rsidR="00F25A1D" w:rsidRPr="00F25A1D">
        <w:rPr>
          <w:bCs/>
        </w:rPr>
        <w:t>of</w:t>
      </w:r>
      <w:r w:rsidR="00F25A1D" w:rsidRPr="00F25A1D">
        <w:t xml:space="preserve"> </w:t>
      </w:r>
      <w:r w:rsidR="00F25A1D" w:rsidRPr="00F25A1D">
        <w:rPr>
          <w:bCs/>
        </w:rPr>
        <w:t>this</w:t>
      </w:r>
      <w:r w:rsidR="00F25A1D" w:rsidRPr="00F25A1D">
        <w:t xml:space="preserve"> enhancer to bind transcription factors (TFs)</w:t>
      </w:r>
      <w:r w:rsidR="00F25A1D" w:rsidRPr="00F25A1D">
        <w:rPr>
          <w:bCs/>
        </w:rPr>
        <w:t>, is also included</w:t>
      </w:r>
      <w:r w:rsidR="00F25A1D" w:rsidRPr="00F25A1D">
        <w:t xml:space="preserve">. </w:t>
      </w:r>
      <w:r w:rsidR="00F25A1D" w:rsidRPr="00F25A1D">
        <w:rPr>
          <w:bCs/>
        </w:rPr>
        <w:t>Greater</w:t>
      </w:r>
      <w:r w:rsidR="00F25A1D" w:rsidRPr="00F25A1D">
        <w:t xml:space="preserve"> MYC expression </w:t>
      </w:r>
      <w:r w:rsidR="00F25A1D" w:rsidRPr="00F25A1D">
        <w:rPr>
          <w:bCs/>
        </w:rPr>
        <w:t>comes</w:t>
      </w:r>
      <w:r w:rsidR="00F25A1D" w:rsidRPr="00F25A1D">
        <w:t xml:space="preserve"> from </w:t>
      </w:r>
      <w:r w:rsidR="00F25A1D" w:rsidRPr="00F25A1D">
        <w:rPr>
          <w:bCs/>
        </w:rPr>
        <w:t>increased</w:t>
      </w:r>
      <w:r w:rsidR="00F25A1D" w:rsidRPr="00F25A1D">
        <w:t xml:space="preserve"> enhancer activity, which is </w:t>
      </w:r>
      <w:r w:rsidR="00F25A1D" w:rsidRPr="00F25A1D">
        <w:rPr>
          <w:bCs/>
        </w:rPr>
        <w:t>related</w:t>
      </w:r>
      <w:r w:rsidR="00F25A1D" w:rsidRPr="00F25A1D">
        <w:t xml:space="preserve"> to the risk allele (G). TCF4 (T-cell factor 4), a </w:t>
      </w:r>
      <w:r w:rsidR="00F25A1D" w:rsidRPr="00F25A1D">
        <w:rPr>
          <w:bCs/>
        </w:rPr>
        <w:t>key</w:t>
      </w:r>
      <w:r w:rsidR="00F25A1D" w:rsidRPr="00F25A1D">
        <w:t xml:space="preserve"> transcription factor in the Wnt/β-catenin signaling pathway</w:t>
      </w:r>
      <w:r w:rsidR="00F25A1D" w:rsidRPr="00F25A1D">
        <w:rPr>
          <w:bCs/>
        </w:rPr>
        <w:t>, preferably binds to the risk allele (G)</w:t>
      </w:r>
      <w:r w:rsidR="00F25A1D" w:rsidRPr="00F25A1D">
        <w:t>.</w:t>
      </w:r>
    </w:p>
    <w:p w:rsidR="00466CCC" w:rsidRPr="00466CCC" w:rsidRDefault="00466CCC" w:rsidP="00F25A1D">
      <w:pPr>
        <w:pStyle w:val="Standard"/>
        <w:suppressAutoHyphens w:val="0"/>
        <w:spacing w:before="240" w:line="276" w:lineRule="auto"/>
        <w:jc w:val="both"/>
        <w:textAlignment w:val="auto"/>
        <w:rPr>
          <w:b/>
        </w:rPr>
      </w:pPr>
      <w:r w:rsidRPr="00466CCC">
        <w:rPr>
          <w:b/>
        </w:rPr>
        <w:t>Rs6983267 SNP association in Colorectal Cancer-</w:t>
      </w:r>
    </w:p>
    <w:p w:rsidR="00CA7B7A" w:rsidRDefault="00F25A1D" w:rsidP="00B06241">
      <w:pPr>
        <w:pStyle w:val="Standard"/>
        <w:spacing w:line="276" w:lineRule="auto"/>
        <w:jc w:val="both"/>
      </w:pPr>
      <w:r w:rsidRPr="00F25A1D">
        <w:rPr>
          <w:bCs/>
        </w:rPr>
        <w:t>Colorectal</w:t>
      </w:r>
      <w:r w:rsidRPr="00F25A1D">
        <w:t xml:space="preserve"> </w:t>
      </w:r>
      <w:r w:rsidRPr="00F25A1D">
        <w:rPr>
          <w:bCs/>
        </w:rPr>
        <w:t>cancer</w:t>
      </w:r>
      <w:r w:rsidRPr="00F25A1D">
        <w:t xml:space="preserve"> </w:t>
      </w:r>
      <w:r w:rsidRPr="00F25A1D">
        <w:rPr>
          <w:bCs/>
        </w:rPr>
        <w:t>frequently</w:t>
      </w:r>
      <w:r w:rsidRPr="00F25A1D">
        <w:t xml:space="preserve"> </w:t>
      </w:r>
      <w:r w:rsidRPr="00F25A1D">
        <w:rPr>
          <w:bCs/>
        </w:rPr>
        <w:t>shows</w:t>
      </w:r>
      <w:r w:rsidRPr="00F25A1D">
        <w:t xml:space="preserve"> </w:t>
      </w:r>
      <w:r w:rsidRPr="00F25A1D">
        <w:rPr>
          <w:bCs/>
        </w:rPr>
        <w:t>downregulation</w:t>
      </w:r>
      <w:r w:rsidRPr="00F25A1D">
        <w:t xml:space="preserve"> </w:t>
      </w:r>
      <w:r w:rsidRPr="00F25A1D">
        <w:rPr>
          <w:bCs/>
        </w:rPr>
        <w:t>of</w:t>
      </w:r>
      <w:r w:rsidRPr="00F25A1D">
        <w:t xml:space="preserve"> </w:t>
      </w:r>
      <w:r w:rsidRPr="00F25A1D">
        <w:rPr>
          <w:bCs/>
        </w:rPr>
        <w:t>the</w:t>
      </w:r>
      <w:r w:rsidRPr="00F25A1D">
        <w:t xml:space="preserve"> </w:t>
      </w:r>
      <w:r w:rsidRPr="00F25A1D">
        <w:rPr>
          <w:bCs/>
        </w:rPr>
        <w:t>Wnt/β-catenin</w:t>
      </w:r>
      <w:r w:rsidRPr="00F25A1D">
        <w:t xml:space="preserve"> </w:t>
      </w:r>
      <w:r w:rsidRPr="00F25A1D">
        <w:rPr>
          <w:bCs/>
        </w:rPr>
        <w:t>pathway</w:t>
      </w:r>
      <w:r w:rsidRPr="00F25A1D">
        <w:t xml:space="preserve">. </w:t>
      </w:r>
      <w:r w:rsidRPr="00F25A1D">
        <w:rPr>
          <w:bCs/>
        </w:rPr>
        <w:t>Improved</w:t>
      </w:r>
      <w:r w:rsidRPr="00F25A1D">
        <w:t xml:space="preserve"> by the risk allele (G), which raises MYC expression and </w:t>
      </w:r>
      <w:r w:rsidRPr="00F25A1D">
        <w:rPr>
          <w:bCs/>
        </w:rPr>
        <w:t>drives</w:t>
      </w:r>
      <w:r w:rsidRPr="00F25A1D">
        <w:t xml:space="preserve"> </w:t>
      </w:r>
      <w:r w:rsidRPr="00F25A1D">
        <w:rPr>
          <w:bCs/>
        </w:rPr>
        <w:t>unlimited</w:t>
      </w:r>
      <w:r w:rsidRPr="00F25A1D">
        <w:t xml:space="preserve"> intestinal epithelial cell proliferation</w:t>
      </w:r>
      <w:r w:rsidRPr="00F25A1D">
        <w:rPr>
          <w:bCs/>
        </w:rPr>
        <w:t>, TCF4 binding is boosted</w:t>
      </w:r>
      <w:r w:rsidRPr="00F25A1D">
        <w:t xml:space="preserve">. </w:t>
      </w:r>
      <w:r w:rsidRPr="00F25A1D">
        <w:rPr>
          <w:bCs/>
        </w:rPr>
        <w:t>According</w:t>
      </w:r>
      <w:r w:rsidRPr="00F25A1D">
        <w:t xml:space="preserve"> </w:t>
      </w:r>
      <w:r w:rsidRPr="00F25A1D">
        <w:rPr>
          <w:bCs/>
        </w:rPr>
        <w:t>to</w:t>
      </w:r>
      <w:r w:rsidRPr="00F25A1D">
        <w:t xml:space="preserve"> </w:t>
      </w:r>
      <w:r w:rsidRPr="00F25A1D">
        <w:rPr>
          <w:bCs/>
        </w:rPr>
        <w:t xml:space="preserve">genome-wide association studies (GWAS), </w:t>
      </w:r>
      <w:r w:rsidRPr="00F25A1D">
        <w:lastRenderedPageBreak/>
        <w:t xml:space="preserve">GG or GT genotype carriers are more </w:t>
      </w:r>
      <w:r w:rsidRPr="00F25A1D">
        <w:rPr>
          <w:bCs/>
        </w:rPr>
        <w:t>prone</w:t>
      </w:r>
      <w:r w:rsidRPr="00F25A1D">
        <w:t xml:space="preserve"> to </w:t>
      </w:r>
      <w:r w:rsidRPr="00F25A1D">
        <w:rPr>
          <w:bCs/>
        </w:rPr>
        <w:t>suffer</w:t>
      </w:r>
      <w:r w:rsidRPr="00F25A1D">
        <w:t xml:space="preserve"> </w:t>
      </w:r>
      <w:r w:rsidRPr="00F25A1D">
        <w:rPr>
          <w:bCs/>
        </w:rPr>
        <w:t xml:space="preserve">from </w:t>
      </w:r>
      <w:r w:rsidRPr="00F25A1D">
        <w:t xml:space="preserve">colorectal cancer than TT genotype carriers, according to </w:t>
      </w:r>
      <w:r w:rsidRPr="00F25A1D">
        <w:rPr>
          <w:bCs/>
        </w:rPr>
        <w:t>epidemiological</w:t>
      </w:r>
      <w:r w:rsidRPr="00F25A1D">
        <w:t xml:space="preserve"> </w:t>
      </w:r>
      <w:r w:rsidRPr="00F25A1D">
        <w:rPr>
          <w:bCs/>
        </w:rPr>
        <w:t>research</w:t>
      </w:r>
      <w:r w:rsidRPr="00F25A1D">
        <w:t xml:space="preserve">. The rs6983267 risk allele </w:t>
      </w:r>
      <w:r w:rsidRPr="00F25A1D">
        <w:rPr>
          <w:bCs/>
        </w:rPr>
        <w:t>increases</w:t>
      </w:r>
      <w:r w:rsidRPr="00F25A1D">
        <w:t xml:space="preserve"> Wnt </w:t>
      </w:r>
      <w:r w:rsidRPr="00F25A1D">
        <w:rPr>
          <w:bCs/>
        </w:rPr>
        <w:t>activity</w:t>
      </w:r>
      <w:r w:rsidRPr="00F25A1D">
        <w:t xml:space="preserve"> </w:t>
      </w:r>
      <w:r w:rsidRPr="00F25A1D">
        <w:rPr>
          <w:bCs/>
        </w:rPr>
        <w:t>that</w:t>
      </w:r>
      <w:r w:rsidRPr="00F25A1D">
        <w:t xml:space="preserve"> is </w:t>
      </w:r>
      <w:r w:rsidRPr="00F25A1D">
        <w:rPr>
          <w:bCs/>
        </w:rPr>
        <w:t>necessary</w:t>
      </w:r>
      <w:r w:rsidRPr="00F25A1D">
        <w:t xml:space="preserve"> for colorectal cancer (CRC) </w:t>
      </w:r>
      <w:r w:rsidRPr="00F25A1D">
        <w:rPr>
          <w:bCs/>
        </w:rPr>
        <w:t>development,</w:t>
      </w:r>
      <w:r w:rsidRPr="00F25A1D">
        <w:t xml:space="preserve"> </w:t>
      </w:r>
      <w:r w:rsidRPr="00F25A1D">
        <w:rPr>
          <w:bCs/>
        </w:rPr>
        <w:t>leading</w:t>
      </w:r>
      <w:r w:rsidRPr="00F25A1D">
        <w:t xml:space="preserve"> </w:t>
      </w:r>
      <w:r w:rsidRPr="00F25A1D">
        <w:rPr>
          <w:bCs/>
        </w:rPr>
        <w:t>to</w:t>
      </w:r>
      <w:r w:rsidRPr="00F25A1D">
        <w:t xml:space="preserve"> </w:t>
      </w:r>
      <w:r w:rsidRPr="00F25A1D">
        <w:rPr>
          <w:bCs/>
        </w:rPr>
        <w:t>uncontrolled</w:t>
      </w:r>
      <w:r w:rsidRPr="00F25A1D">
        <w:t xml:space="preserve"> cell </w:t>
      </w:r>
      <w:r w:rsidRPr="00F25A1D">
        <w:rPr>
          <w:bCs/>
        </w:rPr>
        <w:t>growth</w:t>
      </w:r>
      <w:r>
        <w:t xml:space="preserve"> </w:t>
      </w:r>
      <w:r w:rsidR="00466CCC">
        <w:fldChar w:fldCharType="begin"/>
      </w:r>
      <w:r w:rsidR="00B41ACC">
        <w:instrText xml:space="preserve"> ADDIN ZOTERO_ITEM CSL_CITATION {"citationID":"ieK5YHcB","properties":{"formattedCitation":"\\super 169,170\\nosupersub{}","plainCitation":"169,170","noteIndex":0},"citationItems":[{"id":875,"uris":["http://zotero.org/users/local/BfzbJtgR/items/7UN4B3NE"],"itemData":{"id":875,"type":"article-journal","abstract":"The 8q24 gene desert contains risk loci for multiple epithelial cancers, including colon, breast, and prostate. Recent evidence suggests these risk loci contain enhancers. In this study, data are presented showing that each risk locus bears epigenetic marks consistent with enhancer elements and forms a long-range chromatin loop with the MYC proto-oncogene located several hundred kilobases telomeric and that these interactions are tissue-specific. We therefore propose that the 8q24 risk loci operate through a common mechanism-as tissue-specific enhancers of MYC.","container-title":"Proceedings of the National Academy of Sciences of the United States of America","DOI":"10.1073/pnas.0910668107","ISSN":"1091-6490","issue":"21","journalAbbreviation":"Proc Natl Acad Sci U S A","language":"eng","note":"PMID: 20453196\nPMCID: PMC2906844","page":"9742-9746","source":"PubMed","title":"8q24 prostate, breast, and colon cancer risk loci show tissue-specific long-range interaction with MYC","volume":"107","author":[{"family":"Ahmadiyeh","given":"Nasim"},{"family":"Pomerantz","given":"Mark M."},{"family":"Grisanzio","given":"Chiara"},{"family":"Herman","given":"Paula"},{"family":"Jia","given":"Li"},{"family":"Almendro","given":"Vanessa"},{"family":"He","given":"Housheng Hansen"},{"family":"Brown","given":"Myles"},{"family":"Liu","given":"X. Shirley"},{"family":"Davis","given":"Matt"},{"family":"Caswell","given":"Jennifer L."},{"family":"Beckwith","given":"Christine A."},{"family":"Hills","given":"Adam"},{"family":"Macconaill","given":"Laura"},{"family":"Coetzee","given":"Gerhard A."},{"family":"Regan","given":"Meredith M."},{"family":"Freedman","given":"Matthew L."}],"issued":{"date-parts":[["2010",5,25]]}}},{"id":889,"uris":["http://zotero.org/users/local/BfzbJtgR/items/63I9GUWA"],"itemData":{"id":889,"type":"article-journal","abstract":"Abstract\n            The anti-inflammatory properties of aspirin have resulted in its widespread use as an analgesic, antipyretic, and cardioprotective agent. Beyond these applications, multiple observational studies and randomized controlled trials have demonstrated a chemopreventative role for aspirin, particularly in the development of colorectal neoplasia. Given the critical importance of Wnt dysregulation in colorectal carcinogenesis, the interplay between aspirin and canonical Wnt signaling has become a focus of investigation. These studies have illuminated our understanding of the anticancer mechanisms of aspirin, yielding the identification of potential biomarkers for which aspirin's chemopreventative efficacy can be safely optimized into routine clinical practice and providing leads into the discovery of novel preventive and therapeutic targets. In this review, we summarize key experimental and clinical studies of this interaction, as well as highlighting future strategies to advance their clinical translation. Clin Cancer Res; 21(7); 1543–8. ©2014 AACR.","container-title":"Clinical Cancer Research","DOI":"10.1158/1078-0432.CCR-14-0877","ISSN":"1078-0432, 1557-3265","issue":"7","language":"en","page":"1543-1548","source":"DOI.org (Crossref)","title":"Molecular Pathways: Aspirin and Wnt Signaling—A Molecularly Targeted Approach to Cancer Prevention and Treatment","title-short":"Molecular Pathways","volume":"21","author":[{"family":"Gala","given":"Manish K."},{"family":"Chan","given":"Andrew T."}],"issued":{"date-parts":[["2015",4,1]]}}}],"schema":"https://github.com/citation-style-language/schema/raw/master/csl-citation.json"} </w:instrText>
      </w:r>
      <w:r w:rsidR="00466CCC">
        <w:fldChar w:fldCharType="separate"/>
      </w:r>
      <w:r w:rsidR="00B41ACC" w:rsidRPr="00B41ACC">
        <w:rPr>
          <w:rFonts w:cs="Times New Roman"/>
          <w:vertAlign w:val="superscript"/>
        </w:rPr>
        <w:t>169,170</w:t>
      </w:r>
      <w:r w:rsidR="00466CCC">
        <w:fldChar w:fldCharType="end"/>
      </w:r>
      <w:r w:rsidR="00466CCC">
        <w:t>.</w:t>
      </w:r>
    </w:p>
    <w:p w:rsidR="00466CCC" w:rsidRPr="00466CCC" w:rsidRDefault="00D77EE7" w:rsidP="00F95DDA">
      <w:pPr>
        <w:pStyle w:val="Standard"/>
        <w:numPr>
          <w:ilvl w:val="0"/>
          <w:numId w:val="15"/>
        </w:numPr>
        <w:spacing w:line="276" w:lineRule="auto"/>
        <w:jc w:val="both"/>
        <w:rPr>
          <w:b/>
        </w:rPr>
      </w:pPr>
      <w:r w:rsidRPr="00D77EE7">
        <w:rPr>
          <w:b/>
        </w:rPr>
        <w:t>Rs6983267 association in</w:t>
      </w:r>
      <w:r>
        <w:t xml:space="preserve"> </w:t>
      </w:r>
      <w:r w:rsidR="00466CCC" w:rsidRPr="00466CCC">
        <w:rPr>
          <w:b/>
        </w:rPr>
        <w:t>Prostate Cancer:</w:t>
      </w:r>
    </w:p>
    <w:p w:rsidR="00466CCC" w:rsidRDefault="00466CCC" w:rsidP="00F95DDA">
      <w:pPr>
        <w:pStyle w:val="Standard"/>
        <w:spacing w:line="276" w:lineRule="auto"/>
        <w:jc w:val="both"/>
      </w:pPr>
      <w:r>
        <w:t xml:space="preserve">According to </w:t>
      </w:r>
      <w:r w:rsidR="00D77EE7">
        <w:t>Genome-Wide</w:t>
      </w:r>
      <w:r>
        <w:t xml:space="preserve"> Analysis Studies, the 8q24 region is the most potent genetic risk factor for prostate cancer. By interacting with androgen receptor (AR) signaling, rs6983267 may have a role in the advancement of prostate cancer</w:t>
      </w:r>
      <w:r w:rsidR="00D77EE7">
        <w:t xml:space="preserve"> </w:t>
      </w:r>
      <w:r w:rsidR="00D77EE7">
        <w:fldChar w:fldCharType="begin"/>
      </w:r>
      <w:r w:rsidR="00B41ACC">
        <w:instrText xml:space="preserve"> ADDIN ZOTERO_ITEM CSL_CITATION {"citationID":"sMKrmNCY","properties":{"formattedCitation":"\\super 171\\nosupersub{}","plainCitation":"171","noteIndex":0},"citationItems":[{"id":878,"uris":["http://zotero.org/users/local/BfzbJtgR/items/GPLJMU2R"],"itemData":{"id":878,"type":"article-journal","abstract":"Bilaterality of breast cancer is an indicator of constitutional cancer susceptibility; however, the molecular causes underlying this predisposition in the majority of cases is not known. We hypothesize that epigenetic misregulation of cancer-related genes could partially account for this predisposition. We have performed methylation microarray analysis of peripheral blood DNA from 14 women with bilateral breast cancer compared with 14 unaffected matched controls throughout 17 candidate breast cancer susceptibility genes including BRCA1, BRCA2, CHEK2, ATM, ESR1, SFN, CDKN2A, TP53, GSTP1, CDH1, CDH13, HIC1, PGR, SFRP1, MLH1, RARB and HSD17B4. We show that the majority of methylation variability is associated with intragenic repetitive elements. Detailed validation of the tiled region around ATM was performed by bisulphite modification and pyrosequencing of the same samples and in a second set of peripheral blood DNA from 190 bilateral breast cancer patients compared with 190 controls. We show significant hypermethylation of one intragenic repetitive element in breast cancer cases compared with controls (P = 0.0017), with the highest quartile of methylation associated with a 3-fold increased risk of breast cancer (OR 3.20, 95% CI 1.78-5.86, P = 0.000083). Increased methylation of this locus is associated with lower steady-state ATM mRNA level and correlates with age of cancer patients but not controls, suggesting a combined age-phenotype-related association. This research demonstrates the potential for gene-body epigenetic misregulation of ATM and other cancer-related genes in peripheral blood DNA that may be useful as a novel marker to estimate breast cancer risk. ACCESSION NUMBERS: The microarray data and associated .BED and .WIG files can be accessed through Gene Expression Omnibus accession number: GSE14603.","container-title":"Human Molecular Genetics","DOI":"10.1093/hmg/ddp033","ISSN":"1460-2083","issue":"7","journalAbbreviation":"Hum Mol Genet","language":"eng","note":"PMID: 19153073\nPMCID: PMC2655767","page":"1332-1342","source":"PubMed","title":"Gene-body hypermethylation of ATM in peripheral blood DNA of bilateral breast cancer patients","volume":"18","author":[{"family":"Flanagan","given":"James M."},{"family":"Munoz-Alegre","given":"Marta"},{"family":"Henderson","given":"Stephen"},{"family":"Tang","given":"Thomas"},{"family":"Sun","given":"Ping"},{"family":"Johnson","given":"Nichola"},{"family":"Fletcher","given":"Olivia"},{"family":"Dos Santos Silva","given":"Isabel"},{"family":"Peto","given":"Julian"},{"family":"Boshoff","given":"Chris"},{"family":"Narod","given":"Steven"},{"family":"Petronis","given":"Arturas"}],"issued":{"date-parts":[["2009",4,1]]}}}],"schema":"https://github.com/citation-style-language/schema/raw/master/csl-citation.json"} </w:instrText>
      </w:r>
      <w:r w:rsidR="00D77EE7">
        <w:fldChar w:fldCharType="separate"/>
      </w:r>
      <w:r w:rsidR="00B41ACC" w:rsidRPr="00B41ACC">
        <w:rPr>
          <w:rFonts w:cs="Times New Roman"/>
          <w:vertAlign w:val="superscript"/>
        </w:rPr>
        <w:t>171</w:t>
      </w:r>
      <w:r w:rsidR="00D77EE7">
        <w:fldChar w:fldCharType="end"/>
      </w:r>
      <w:r>
        <w:t>.</w:t>
      </w:r>
      <w:r w:rsidR="004705E7">
        <w:t xml:space="preserve"> </w:t>
      </w:r>
      <w:r w:rsidR="004705E7" w:rsidRPr="004705E7">
        <w:t xml:space="preserve">The link between rs6983267 and the risk of prostate cancer was examined in a thorough meta-analysis. The study </w:t>
      </w:r>
      <w:r w:rsidR="0015666F">
        <w:t>concluded</w:t>
      </w:r>
      <w:r w:rsidR="004705E7" w:rsidRPr="004705E7">
        <w:t xml:space="preserve"> that there is a substantial correlation between the G allele of rs6983267 with an elevated risk of prostate cancer</w:t>
      </w:r>
      <w:r w:rsidR="004705E7">
        <w:fldChar w:fldCharType="begin"/>
      </w:r>
      <w:r w:rsidR="00B41ACC">
        <w:instrText xml:space="preserve"> ADDIN ZOTERO_ITEM CSL_CITATION {"citationID":"WUD6Dveb","properties":{"formattedCitation":"\\super 172\\nosupersub{}","plainCitation":"172","noteIndex":0},"citationItems":[{"id":885,"uris":["http://zotero.org/users/local/BfzbJtgR/items/RIJ5LEN3"],"itemData":{"id":885,"type":"article-journal","container-title":"Oncotarget","DOI":"10.18632/oncotarget.8186","ISSN":"1949-2553","issue":"18","journalAbbreviation":"Oncotarget","language":"en","page":"25528-25534","source":"DOI.org (Crossref)","title":"Association of single nucleotide polymorphism rs6983267 with the risk of prostate cancer","volume":"7","author":[{"family":"Yang","given":"Yuan"},{"family":"Wang","given":"Wenjing"},{"family":"Zhang","given":"Liangcai"},{"family":"Zhang","given":"Shihua"},{"family":"Liu","given":"Guiyou"},{"family":"Yu","given":"Yingcui"},{"family":"Liao","given":"Mingzhi"}],"issued":{"date-parts":[["2016",5,3]]}}}],"schema":"https://github.com/citation-style-language/schema/raw/master/csl-citation.json"} </w:instrText>
      </w:r>
      <w:r w:rsidR="004705E7">
        <w:fldChar w:fldCharType="separate"/>
      </w:r>
      <w:r w:rsidR="00B41ACC" w:rsidRPr="00B41ACC">
        <w:rPr>
          <w:rFonts w:cs="Times New Roman"/>
          <w:vertAlign w:val="superscript"/>
        </w:rPr>
        <w:t>172</w:t>
      </w:r>
      <w:r w:rsidR="004705E7">
        <w:fldChar w:fldCharType="end"/>
      </w:r>
      <w:r w:rsidR="004705E7" w:rsidRPr="004705E7">
        <w:t>.</w:t>
      </w:r>
      <w:r w:rsidR="004705E7">
        <w:t xml:space="preserve"> </w:t>
      </w:r>
      <w:r w:rsidR="004705E7" w:rsidRPr="004705E7">
        <w:t xml:space="preserve">Although there is little direct evidence connecting rs6983267 to </w:t>
      </w:r>
      <w:r w:rsidR="0015666F">
        <w:t xml:space="preserve">the </w:t>
      </w:r>
      <w:r w:rsidR="004705E7" w:rsidRPr="004705E7">
        <w:t>androgen receptor (AR) signaling in prostate cancer, possible interactions are suggested by the 8q24 region's proximity to the MYC oncogene. Variations in this region, such as rs6983267, may impact MYC expression, which in turn may impact the progression of prostate cancer, as MYC is known to be impacted by AR signaling</w:t>
      </w:r>
      <w:r w:rsidR="004705E7">
        <w:t xml:space="preserve"> </w:t>
      </w:r>
      <w:r w:rsidR="004705E7">
        <w:fldChar w:fldCharType="begin"/>
      </w:r>
      <w:r w:rsidR="00B41ACC">
        <w:instrText xml:space="preserve"> ADDIN ZOTERO_ITEM CSL_CITATION {"citationID":"FT9zXTOM","properties":{"formattedCitation":"\\super 173\\nosupersub{}","plainCitation":"173","noteIndex":0},"citationItems":[{"id":887,"uris":["http://zotero.org/users/local/BfzbJtgR/items/P7DHS5DG"],"itemData":{"id":887,"type":"article-journal","container-title":"Oncotarget","DOI":"10.18632/oncotarget.24400","ISSN":"1949-2553","issue":"16","journalAbbreviation":"Oncotarget","language":"en","page":"12812-12824","source":"DOI.org (Crossref)","title":"Systematic identification of functionally relevant risk alleles to stratify aggressive versus indolent prostate cancer","volume":"9","author":[{"family":"Nowinski","given":"Salpie"},{"family":"Santaolalla","given":"Aida"},{"family":"O’Leary","given":"Ben"},{"family":"Loda","given":"Massimo"},{"family":"Mirchandani","given":"Ayesha"},{"family":"Emberton","given":"Mark"},{"family":"Van Hemelrijck","given":"Mieke"},{"family":"Grigoriadis","given":"Anita"}],"issued":{"date-parts":[["2018",2,27]]}}}],"schema":"https://github.com/citation-style-language/schema/raw/master/csl-citation.json"} </w:instrText>
      </w:r>
      <w:r w:rsidR="004705E7">
        <w:fldChar w:fldCharType="separate"/>
      </w:r>
      <w:r w:rsidR="00B41ACC" w:rsidRPr="00B41ACC">
        <w:rPr>
          <w:rFonts w:cs="Times New Roman"/>
          <w:vertAlign w:val="superscript"/>
        </w:rPr>
        <w:t>173</w:t>
      </w:r>
      <w:r w:rsidR="004705E7">
        <w:fldChar w:fldCharType="end"/>
      </w:r>
      <w:r w:rsidR="004705E7" w:rsidRPr="004705E7">
        <w:t xml:space="preserve">. </w:t>
      </w:r>
    </w:p>
    <w:p w:rsidR="00466CCC" w:rsidRPr="00D77EE7" w:rsidRDefault="004705E7" w:rsidP="00B06241">
      <w:pPr>
        <w:pStyle w:val="Standard"/>
        <w:numPr>
          <w:ilvl w:val="0"/>
          <w:numId w:val="15"/>
        </w:numPr>
        <w:spacing w:line="276" w:lineRule="auto"/>
        <w:jc w:val="both"/>
        <w:rPr>
          <w:b/>
        </w:rPr>
      </w:pPr>
      <w:r w:rsidRPr="00D77EE7">
        <w:rPr>
          <w:b/>
        </w:rPr>
        <w:t>Rs6983267</w:t>
      </w:r>
      <w:r w:rsidR="00D77EE7" w:rsidRPr="00D77EE7">
        <w:rPr>
          <w:b/>
        </w:rPr>
        <w:t xml:space="preserve"> association in </w:t>
      </w:r>
      <w:r w:rsidR="00B06241">
        <w:rPr>
          <w:b/>
        </w:rPr>
        <w:t>Breast Cancer</w:t>
      </w:r>
    </w:p>
    <w:p w:rsidR="00466CCC" w:rsidRDefault="00466CCC" w:rsidP="00B06241">
      <w:pPr>
        <w:pStyle w:val="Standard"/>
        <w:spacing w:line="276" w:lineRule="auto"/>
        <w:jc w:val="both"/>
      </w:pPr>
      <w:r>
        <w:t>MYC-driven carcinogenesis is linked to rs6983267 in breast cancer. The impact of this SNP on the expression of MYC in breast tissue may be modulated by estrogen receptor (ER) signaling</w:t>
      </w:r>
      <w:r w:rsidR="00D77EE7">
        <w:t xml:space="preserve">. </w:t>
      </w:r>
      <w:r w:rsidR="00D77EE7" w:rsidRPr="00D77EE7">
        <w:t xml:space="preserve">By </w:t>
      </w:r>
      <w:r w:rsidR="00D77EE7">
        <w:t>up-regulating</w:t>
      </w:r>
      <w:r w:rsidR="00D77EE7" w:rsidRPr="00D77EE7">
        <w:t xml:space="preserve"> oncogenes such as MYC, estrogen promotes the growth of ER-positive breast cancer cells. According to one study, ER-positive breast cancer cell lines treated with estradiol showed a sharp rise in c-myc mRNA levels, indicating that MYC is a direct target of estrogen signaling</w:t>
      </w:r>
      <w:r w:rsidR="00D77EE7">
        <w:t xml:space="preserve"> </w:t>
      </w:r>
      <w:r w:rsidR="00D77EE7">
        <w:fldChar w:fldCharType="begin"/>
      </w:r>
      <w:r w:rsidR="00B41ACC">
        <w:instrText xml:space="preserve"> ADDIN ZOTERO_ITEM CSL_CITATION {"citationID":"uWbfzAw8","properties":{"formattedCitation":"\\super 174\\nosupersub{}","plainCitation":"174","noteIndex":0},"citationItems":[{"id":881,"uris":["http://zotero.org/users/local/BfzbJtgR/items/9D7LBI8U"],"itemData":{"id":881,"type":"article-journal","abstract":"Regulation of c-myc expression is known to be sensitive to a variety of mitogenic stimuli in various cell types. Since estrogen is a well documented mitogen of estrogen-responsive human breast cancer (HBC) cells, we studied the influence of estradiol and its antagonist tamoxifen on the expression of c-myc in HBC cell lines. Using Northern hybridization analysis, we monitored the accumulation of c-myc mRNA in a number of HBC cell lines. The cell lines studied included the estrogen-responsive, estrogen receptor positive (ER+) MCF-7, T-47D, the nonresponsive, estrogen receptor negative (ER-) MDA-MB-231, BT-20, and a nontumorous breast cell line, HBL-100. The effects of endogenous estrogen were minimized by culturing the cells in medium containing 10% (v/v) charcoal-treated fetal bovine serum and tamoxifen (10(-6) M) for 48 h prior to estradiol (10(-7) M) treatment. In the ER+ cell lines the addition of estradiol resulted in a noticeable increase in c-myc expression after 15 min with a maximal (greater than 10-fold) induction in 1-2 h. In the ER- cell lines the level of c-myc mRNA was high and was unaffected by estrogen or tamoxifen; in the ER- cancer cell lines, neither amplification nor rearrangement of the c-myc gene was observed. In contrast, the expression of another oncogene, c-H-ras, remained constant in both ER+ and ER- cell lines and was insensitive to estrogen and antiestrogen. These results suggest that regulation of c-myc expression may be an important step in estrogen-induced proliferation of HBC cells.","container-title":"Cancer Research","ISSN":"0008-5472","issue":"24 Pt 1","journalAbbreviation":"Cancer Res","language":"eng","note":"PMID: 3677090","page":"6517-6521","source":"PubMed","title":"Stimulation of c-myc oncogene expression associated with estrogen-induced proliferation of human breast cancer cells","volume":"47","author":[{"family":"Dubik","given":"D."},{"family":"Dembinski","given":"T. C."},{"family":"Shiu","given":"R. P."}],"issued":{"date-parts":[["1987",12,15]]}}}],"schema":"https://github.com/citation-style-language/schema/raw/master/csl-citation.json"} </w:instrText>
      </w:r>
      <w:r w:rsidR="00D77EE7">
        <w:fldChar w:fldCharType="separate"/>
      </w:r>
      <w:r w:rsidR="00B41ACC" w:rsidRPr="00B41ACC">
        <w:rPr>
          <w:rFonts w:cs="Times New Roman"/>
          <w:vertAlign w:val="superscript"/>
        </w:rPr>
        <w:t>174</w:t>
      </w:r>
      <w:r w:rsidR="00D77EE7">
        <w:fldChar w:fldCharType="end"/>
      </w:r>
      <w:r w:rsidR="00D77EE7" w:rsidRPr="00D77EE7">
        <w:t xml:space="preserve">. Variants in the estrogen receptor genes (ESR1 and ESR2) have been linked to an increased risk of breast cancer. For example, a study revealed that certain polymorphisms in these genes were associated with a higher risk of breast cancer in Chinese women, underscoring the </w:t>
      </w:r>
      <w:r w:rsidR="00317623">
        <w:t>role</w:t>
      </w:r>
      <w:r w:rsidR="00D77EE7" w:rsidRPr="00D77EE7">
        <w:t xml:space="preserve"> that ER genetic variants play in the development of breast cancer</w:t>
      </w:r>
      <w:r w:rsidR="00D77EE7">
        <w:fldChar w:fldCharType="begin"/>
      </w:r>
      <w:r w:rsidR="00B41ACC">
        <w:instrText xml:space="preserve"> ADDIN ZOTERO_ITEM CSL_CITATION {"citationID":"6NueVw58","properties":{"formattedCitation":"\\super 175\\nosupersub{}","plainCitation":"175","noteIndex":0},"citationItems":[{"id":883,"uris":["http://zotero.org/users/local/BfzbJtgR/items/I4RB7SSB"],"itemData":{"id":883,"type":"article-journal","container-title":"Cancer Cell International","DOI":"10.1186/s12935-019-0727-z","ISSN":"1475-2867","issue":"1","journalAbbreviation":"Cancer Cell Int","language":"en","page":"11","source":"DOI.org (Crossref)","title":"Genetic polymorphisms of estrogen receptor genes are associated with breast cancer susceptibility in Chinese women","volume":"19","author":[{"family":"Dai","given":"Zhijun"},{"family":"Tian","given":"Tian"},{"family":"Wang","given":"Meng"},{"family":"Yang","given":"Tielin"},{"family":"Li","given":"Hongtao"},{"family":"Lin","given":"Shuai"},{"family":"Hao","given":"Qian"},{"family":"Xu","given":"Peng"},{"family":"Deng","given":"Yujiao"},{"family":"Zhou","given":"Linghui"},{"family":"Li","given":"Na"},{"family":"Diao","given":"Yan"}],"issued":{"date-parts":[["2019",12]]}}}],"schema":"https://github.com/citation-style-language/schema/raw/master/csl-citation.json"} </w:instrText>
      </w:r>
      <w:r w:rsidR="00D77EE7">
        <w:fldChar w:fldCharType="separate"/>
      </w:r>
      <w:r w:rsidR="00B41ACC" w:rsidRPr="00B41ACC">
        <w:rPr>
          <w:rFonts w:cs="Times New Roman"/>
          <w:vertAlign w:val="superscript"/>
        </w:rPr>
        <w:t>175</w:t>
      </w:r>
      <w:r w:rsidR="00D77EE7">
        <w:fldChar w:fldCharType="end"/>
      </w:r>
      <w:r w:rsidR="00D77EE7" w:rsidRPr="00D77EE7">
        <w:t xml:space="preserve">. </w:t>
      </w:r>
    </w:p>
    <w:p w:rsidR="004705E7" w:rsidRDefault="004705E7" w:rsidP="00F861EB">
      <w:pPr>
        <w:pStyle w:val="Standard"/>
        <w:spacing w:before="280" w:after="280" w:line="276" w:lineRule="auto"/>
        <w:jc w:val="both"/>
      </w:pPr>
      <w:r>
        <w:t>Therefore, rs6983267 genotyping is a biomarker for cancer risk prediction that may be used to identify people who are more likely to develop prostate and colorectal cancer.</w:t>
      </w:r>
      <w:r w:rsidR="00CB4E4A">
        <w:t xml:space="preserve"> </w:t>
      </w:r>
      <w:r>
        <w:t xml:space="preserve">Targeting MYC </w:t>
      </w:r>
      <w:r w:rsidR="00CB4E4A">
        <w:t>expression in treatments</w:t>
      </w:r>
      <w:r>
        <w:t xml:space="preserve"> that block MYC or its enhancers (such </w:t>
      </w:r>
      <w:r w:rsidR="0015666F">
        <w:t xml:space="preserve">as </w:t>
      </w:r>
      <w:r>
        <w:t>BET inhibitors) may be helpful because MYC is a major driv</w:t>
      </w:r>
      <w:r w:rsidR="00CB4E4A">
        <w:t xml:space="preserve">er in </w:t>
      </w:r>
      <w:r w:rsidR="0015666F">
        <w:t>several</w:t>
      </w:r>
      <w:r w:rsidR="00CB4E4A">
        <w:t xml:space="preserve"> malignancies. Personalized medicine could </w:t>
      </w:r>
      <w:r w:rsidR="0015666F">
        <w:t>facilitate</w:t>
      </w:r>
      <w:r w:rsidR="00CB4E4A">
        <w:t xml:space="preserve"> m</w:t>
      </w:r>
      <w:r>
        <w:t>ore thorough cancer screening methods may be advantageous for those with the GG genotype.</w:t>
      </w:r>
    </w:p>
    <w:p w:rsidR="009A03C3" w:rsidRDefault="009A03C3" w:rsidP="00F861EB">
      <w:pPr>
        <w:pStyle w:val="Standard"/>
        <w:spacing w:before="280" w:after="280" w:line="276" w:lineRule="auto"/>
        <w:jc w:val="both"/>
      </w:pPr>
    </w:p>
    <w:p w:rsidR="0083342E" w:rsidRDefault="0083342E" w:rsidP="00B06241">
      <w:pPr>
        <w:pStyle w:val="Standard"/>
        <w:numPr>
          <w:ilvl w:val="0"/>
          <w:numId w:val="14"/>
        </w:numPr>
        <w:spacing w:line="276" w:lineRule="auto"/>
        <w:jc w:val="both"/>
        <w:rPr>
          <w:b/>
        </w:rPr>
      </w:pPr>
      <w:r w:rsidRPr="0083342E">
        <w:rPr>
          <w:b/>
        </w:rPr>
        <w:t xml:space="preserve">Association of SNPs in microRNA (miRNA) Sequences in Cancer: </w:t>
      </w:r>
    </w:p>
    <w:p w:rsidR="0083342E" w:rsidRDefault="0083342E" w:rsidP="00B06241">
      <w:pPr>
        <w:pStyle w:val="Standard"/>
        <w:spacing w:line="276" w:lineRule="auto"/>
        <w:jc w:val="both"/>
      </w:pPr>
      <w:r w:rsidRPr="0083342E">
        <w:t>Small non-coding RNAs known as miRNAs control the expression of genes by attaching to the 3' UTR (untranslated region) of mRNA and causing translati</w:t>
      </w:r>
      <w:r>
        <w:t xml:space="preserve">on to be inhibited or degraded. </w:t>
      </w:r>
      <w:r w:rsidRPr="0083342E">
        <w:t>Oncogenes or tumor suppressors may become dysregulated as a result of SNPs in miRNA genes that alter their biosynthesis, stability, or function.</w:t>
      </w:r>
      <w:r>
        <w:t xml:space="preserve"> For example, </w:t>
      </w:r>
      <w:r w:rsidR="007E02C4">
        <w:t>the</w:t>
      </w:r>
      <w:r w:rsidRPr="0083342E">
        <w:t xml:space="preserve"> NF-κB pathway is impacted by miR-146a (rs2910164), which increases inflammation and accelerates the growth of cancer. linked to thyroid, breast, and stomach cancers</w:t>
      </w:r>
      <w:r>
        <w:t xml:space="preserve"> </w:t>
      </w:r>
      <w:r>
        <w:fldChar w:fldCharType="begin"/>
      </w:r>
      <w:r w:rsidR="00B41ACC">
        <w:instrText xml:space="preserve"> ADDIN ZOTERO_ITEM CSL_CITATION {"citationID":"XfbksPzx","properties":{"formattedCitation":"\\super 176\\nosupersub{}","plainCitation":"176","noteIndex":0},"citationItems":[{"id":891,"uris":["http://zotero.org/users/local/BfzbJtgR/items/87FX6M9Q"],"itemData":{"id":891,"type":"article-journal","container-title":"Oncotarget","DOI":"10.18632/oncotarget.22372","ISSN":"1949-2553","issue":"66","journalAbbreviation":"Oncotarget","language":"en","page":"110635-110649","source":"DOI.org (Crossref)","title":"Single nucleotide polymorphisms and cancer susceptibility","volume":"8","author":[{"family":"Deng","given":"Na"},{"family":"Zhou","given":"Heng"},{"family":"Fan","given":"Hua"},{"family":"Yuan","given":"Yuan"}],"issued":{"date-parts":[["2017",12,15]]}}}],"schema":"https://github.com/citation-style-language/schema/raw/master/csl-citation.json"} </w:instrText>
      </w:r>
      <w:r>
        <w:fldChar w:fldCharType="separate"/>
      </w:r>
      <w:r w:rsidR="00B41ACC" w:rsidRPr="00B41ACC">
        <w:rPr>
          <w:rFonts w:cs="Times New Roman"/>
          <w:vertAlign w:val="superscript"/>
        </w:rPr>
        <w:t>176</w:t>
      </w:r>
      <w:r>
        <w:fldChar w:fldCharType="end"/>
      </w:r>
      <w:r w:rsidRPr="0083342E">
        <w:t>.</w:t>
      </w:r>
      <w:r>
        <w:t xml:space="preserve"> </w:t>
      </w:r>
      <w:r w:rsidRPr="0083342E">
        <w:t xml:space="preserve">The expression of HOX genes, which control cell </w:t>
      </w:r>
      <w:r w:rsidRPr="0083342E">
        <w:lastRenderedPageBreak/>
        <w:t>differentiation, is impa</w:t>
      </w:r>
      <w:r>
        <w:t xml:space="preserve">cted by miR-196a2 (rs11614913) </w:t>
      </w:r>
      <w:r w:rsidRPr="0083342E">
        <w:t>connected to gastrointestinal, breast, and lung malignancies</w:t>
      </w:r>
      <w:r w:rsidR="00D15AC3">
        <w:t xml:space="preserve"> </w:t>
      </w:r>
      <w:r w:rsidR="00D15AC3">
        <w:fldChar w:fldCharType="begin"/>
      </w:r>
      <w:r w:rsidR="00B41ACC">
        <w:instrText xml:space="preserve"> ADDIN ZOTERO_ITEM CSL_CITATION {"citationID":"Py1MVkWw","properties":{"formattedCitation":"\\super 177\\nosupersub{}","plainCitation":"177","noteIndex":0},"citationItems":[{"id":893,"uris":["http://zotero.org/users/local/BfzbJtgR/items/I9C6KWXW"],"itemData":{"id":893,"type":"article-journal","abstract":"Abstract\n            Large intergenic noncoding RNAs (lincRNA) have been less studied than miRNAs in cancer, although both offer considerable theranostic potential. In this study, we identified frequent upregulation of miR-196a and lincRNA HOTAIR in high-risk gastrointestinal stromal tumors (GIST). Overexpression of miR-196a was associated with high-risk grade, metastasis and poor survival among GIST specimens. miR-196a genes are located within the HOX gene clusters and microarray expression analysis revealed that the HOXC and HOTAIR gene were also coordinately upregulated in GISTs which overexpress miR-196a. In like manner, overexpression of HOTAIR was also strongly associated with high-risk grade and metastasis among GIST specimens. RNA interference–mediated knockdown of HOTAIR altered the expression of reported HOTAIR target genes and suppressed GIST cell invasiveness. These findings reveal concurrent overexpression of HOX genes with noncoding RNAs in human cancer in this setting, revealing miR-196a and HOTAIR as potentially useful biomarkers and therapeutic targets in malignant GISTs. Cancer Res; 72(5); 1126–36. ©2012 AACR.","container-title":"Cancer Research","DOI":"10.1158/0008-5472.CAN-11-1803","ISSN":"0008-5472, 1538-7445","issue":"5","language":"en","page":"1126-1136","source":"DOI.org (Crossref)","title":"Upregulation of miR-196a and &lt;i&gt;HOTAIR&lt;/i&gt; Drive Malignant Character in Gastrointestinal Stromal Tumors","volume":"72","author":[{"family":"Niinuma","given":"Takeshi"},{"family":"Suzuki","given":"Hiromu"},{"family":"Nojima","given":"Masanori"},{"family":"Nosho","given":"Katsuhiko"},{"family":"Yamamoto","given":"Hiroyuki"},{"family":"Takamaru","given":"Hiroyuki"},{"family":"Yamamoto","given":"Eiichiro"},{"family":"Maruyama","given":"Reo"},{"family":"Nobuoka","given":"Takayuki"},{"family":"Miyazaki","given":"Yasuaki"},{"family":"Nishida","given":"Toshirou"},{"family":"Bamba","given":"Takeo"},{"family":"Kanda","given":"Tatsuo"},{"family":"Ajioka","given":"Yoichi"},{"family":"Taguchi","given":"Takahiro"},{"family":"Okahara","given":"Satoshi"},{"family":"Takahashi","given":"Hiroaki"},{"family":"Nishida","given":"Yasunori"},{"family":"Hosokawa","given":"Masao"},{"family":"Hasegawa","given":"Tadashi"},{"family":"Tokino","given":"Takashi"},{"family":"Hirata","given":"Koichi"},{"family":"Imai","given":"Kohzoh"},{"family":"Toyota","given":"Minoru"},{"family":"Shinomura","given":"Yasuhisa"}],"issued":{"date-parts":[["2012",3,1]]}}}],"schema":"https://github.com/citation-style-language/schema/raw/master/csl-citation.json"} </w:instrText>
      </w:r>
      <w:r w:rsidR="00D15AC3">
        <w:fldChar w:fldCharType="separate"/>
      </w:r>
      <w:r w:rsidR="00B41ACC" w:rsidRPr="00B41ACC">
        <w:rPr>
          <w:rFonts w:cs="Times New Roman"/>
          <w:vertAlign w:val="superscript"/>
        </w:rPr>
        <w:t>177</w:t>
      </w:r>
      <w:r w:rsidR="00D15AC3">
        <w:fldChar w:fldCharType="end"/>
      </w:r>
      <w:r w:rsidRPr="0083342E">
        <w:t>.</w:t>
      </w:r>
    </w:p>
    <w:p w:rsidR="004F3B0B" w:rsidRDefault="004F3B0B" w:rsidP="00B06241">
      <w:pPr>
        <w:pStyle w:val="Standard"/>
        <w:spacing w:line="276" w:lineRule="auto"/>
        <w:jc w:val="both"/>
      </w:pPr>
    </w:p>
    <w:p w:rsidR="00D15AC3" w:rsidRDefault="00D15AC3" w:rsidP="004F3B0B">
      <w:pPr>
        <w:pStyle w:val="Standard"/>
        <w:numPr>
          <w:ilvl w:val="0"/>
          <w:numId w:val="14"/>
        </w:numPr>
        <w:spacing w:line="276" w:lineRule="auto"/>
        <w:jc w:val="both"/>
        <w:rPr>
          <w:b/>
        </w:rPr>
      </w:pPr>
      <w:r>
        <w:rPr>
          <w:b/>
        </w:rPr>
        <w:t xml:space="preserve">Association of </w:t>
      </w:r>
      <w:r w:rsidRPr="00D15AC3">
        <w:rPr>
          <w:b/>
        </w:rPr>
        <w:t xml:space="preserve">SNPs in Target Genes of miRNA </w:t>
      </w:r>
      <w:r w:rsidR="007E02C4">
        <w:rPr>
          <w:b/>
        </w:rPr>
        <w:t>Binding Sites</w:t>
      </w:r>
    </w:p>
    <w:p w:rsidR="00F41B32" w:rsidRDefault="00D15AC3" w:rsidP="004F3B0B">
      <w:pPr>
        <w:pStyle w:val="Standard"/>
        <w:spacing w:line="276" w:lineRule="auto"/>
        <w:jc w:val="both"/>
      </w:pPr>
      <w:r w:rsidRPr="00D15AC3">
        <w:t xml:space="preserve">Target gene 3' UTR SNPs </w:t>
      </w:r>
      <w:r w:rsidR="0015666F">
        <w:t>can</w:t>
      </w:r>
      <w:r w:rsidRPr="00D15AC3">
        <w:t xml:space="preserve"> generate or interfere with miRNA binding sites, which can change how oncogenes or tumor suppressors are regulated.</w:t>
      </w:r>
      <w:r>
        <w:t xml:space="preserve"> For example, </w:t>
      </w:r>
      <w:r w:rsidR="007E02C4">
        <w:t>increased</w:t>
      </w:r>
      <w:r w:rsidRPr="00D15AC3">
        <w:t xml:space="preserve"> KRAS expression results from changes in the binding of </w:t>
      </w:r>
      <w:r w:rsidR="0015666F">
        <w:t>tumour-suppressing</w:t>
      </w:r>
      <w:r w:rsidRPr="00D15AC3">
        <w:t xml:space="preserve"> let-7 miRNA caused by the KRAS gene (rs61764</w:t>
      </w:r>
      <w:r>
        <w:t xml:space="preserve">370 in the let-7 binding site) </w:t>
      </w:r>
      <w:r w:rsidRPr="00D15AC3">
        <w:t>connected to ovarian and lung malignancies.</w:t>
      </w:r>
      <w:r>
        <w:t xml:space="preserve"> </w:t>
      </w:r>
      <w:r w:rsidR="007E02C4" w:rsidRPr="007E02C4">
        <w:rPr>
          <w:rStyle w:val="split-para"/>
        </w:rPr>
        <w:t>The TP53 gene (rs1042522 in the miR-125b binding region)</w:t>
      </w:r>
      <w:r w:rsidR="007E02C4" w:rsidRPr="007E02C4">
        <w:rPr>
          <w:rStyle w:val="split-para"/>
          <w:bCs/>
        </w:rPr>
        <w:t>, which is associated with bre</w:t>
      </w:r>
      <w:r w:rsidR="007E02C4">
        <w:rPr>
          <w:rStyle w:val="split-para"/>
          <w:bCs/>
        </w:rPr>
        <w:t>ast and colorectal cancer</w:t>
      </w:r>
      <w:r w:rsidR="007E02C4" w:rsidRPr="007E02C4">
        <w:rPr>
          <w:rStyle w:val="split-para"/>
          <w:bCs/>
        </w:rPr>
        <w:t>, influences</w:t>
      </w:r>
      <w:r w:rsidR="007E02C4" w:rsidRPr="007E02C4">
        <w:rPr>
          <w:rStyle w:val="split-para"/>
        </w:rPr>
        <w:t xml:space="preserve"> the activity of the p53 tumor suppressor</w:t>
      </w:r>
      <w:r w:rsidR="007E02C4" w:rsidRPr="007E02C4">
        <w:rPr>
          <w:rStyle w:val="split-para"/>
          <w:bCs/>
        </w:rPr>
        <w:t>. This results in decreased</w:t>
      </w:r>
      <w:r w:rsidR="007E02C4" w:rsidRPr="007E02C4">
        <w:rPr>
          <w:rStyle w:val="split-para"/>
        </w:rPr>
        <w:t xml:space="preserve"> apoptosis and </w:t>
      </w:r>
      <w:r w:rsidR="007E02C4" w:rsidRPr="007E02C4">
        <w:rPr>
          <w:rStyle w:val="split-para"/>
          <w:bCs/>
        </w:rPr>
        <w:t>increased tumor development</w:t>
      </w:r>
      <w:r>
        <w:fldChar w:fldCharType="begin"/>
      </w:r>
      <w:r w:rsidR="00B41ACC">
        <w:instrText xml:space="preserve"> ADDIN ZOTERO_ITEM CSL_CITATION {"citationID":"bzaTW34v","properties":{"formattedCitation":"\\super 178\\nosupersub{}","plainCitation":"178","noteIndex":0},"citationItems":[{"id":895,"uris":["http://zotero.org/users/local/BfzbJtgR/items/6PZFXV8C"],"itemData":{"id":895,"type":"article-journal","abstract":"BACKGROUND: Advances in cancer research have allowed for early diagnosis and improved treatment of cutaneous melanoma (CM). However, its invasiveness and recurrent metastasis, along with rising resistance to newer therapies, have lent urgency to the search for novel biomarkers and the underlying molecular mechanisms of CM.\nMETHODS: Single nucleotide polymorphism- (SNP-) related genes were obtained from the sequencing data of 428 CM samples in The Cancer Genome Atlas. Functional enrichment of these genes was analysed in clusterProfiler. Additionally, a protein-protein interaction (PPI) network was constructed with the Search Tool for the Retrieval of Interacting Gene (STRING) database. Gene Expression Profiling Interactive Analysis (GEPIA) was used to identify the expression and prognostic value of mutated genes. Finally, the Tumour Immune Estimation Resource (TIMER) analysed the relationship between gene expression and immune cell infiltration.\nRESULTS: We constructed a PPI network from the top 60 SNP-related genes. Mutated genes were mainly involved in calcium and oxytocin signalling pathways, as well as circadian entrainment. In addition, three SNP-related genes, BRAF, FLG, and SORL1, were significantly associated with patient prognosis. BRAF and SORL1 were positively associated with infiltration abundance of B cells, CD8+ T cells, CD4+ T cells, neutrophils, and dendritic cells, whereas FLG expression was negatively associated. Furthermore, higher immune cell infiltration was positively correlated with good prognosis.\nCONCLUSIONS: Our study provides vital bioinformatic data and a relevant theoretical basis to further explore the molecular pathogenesis of CM and improve patient prognosis.","container-title":"BioMed Research International","DOI":"10.1155/2023/3754094","ISSN":"2314-6141","journalAbbreviation":"Biomed Res Int","language":"eng","note":"PMID: 37205232\nPMCID: PMC10188268","page":"3754094","source":"PubMed","title":"Role of Single Nucleotide Polymorphism-Related Genes in Tumour Immune Cell Infiltration and Prognosis of Cutaneous Melanoma","volume":"2023","author":[{"family":"Wang","given":"Baihe"},{"family":"Liu","given":"Fanxiao"},{"family":"Li","given":"Yuanyuan"},{"family":"Chen","given":"Nan"}],"issued":{"date-parts":[["2023"]]}}}],"schema":"https://github.com/citation-style-language/schema/raw/master/csl-citation.json"} </w:instrText>
      </w:r>
      <w:r>
        <w:fldChar w:fldCharType="separate"/>
      </w:r>
      <w:r w:rsidR="00B41ACC" w:rsidRPr="00B41ACC">
        <w:rPr>
          <w:rFonts w:cs="Times New Roman"/>
          <w:vertAlign w:val="superscript"/>
        </w:rPr>
        <w:t>178</w:t>
      </w:r>
      <w:r>
        <w:fldChar w:fldCharType="end"/>
      </w:r>
      <w:r w:rsidRPr="00D15AC3">
        <w:t>.</w:t>
      </w:r>
    </w:p>
    <w:p w:rsidR="004F3B0B" w:rsidRDefault="004F3B0B" w:rsidP="004F3B0B">
      <w:pPr>
        <w:pStyle w:val="Standard"/>
        <w:spacing w:line="276" w:lineRule="auto"/>
        <w:jc w:val="both"/>
      </w:pPr>
    </w:p>
    <w:p w:rsidR="00765CB4" w:rsidRDefault="003F71C1" w:rsidP="00B06241">
      <w:pPr>
        <w:pStyle w:val="Standard"/>
        <w:numPr>
          <w:ilvl w:val="0"/>
          <w:numId w:val="14"/>
        </w:numPr>
        <w:spacing w:line="276" w:lineRule="auto"/>
        <w:jc w:val="both"/>
        <w:rPr>
          <w:b/>
        </w:rPr>
      </w:pPr>
      <w:r w:rsidRPr="003F71C1">
        <w:rPr>
          <w:b/>
        </w:rPr>
        <w:t xml:space="preserve">Association of </w:t>
      </w:r>
      <w:r w:rsidR="000266C2">
        <w:rPr>
          <w:b/>
        </w:rPr>
        <w:t>SNPs'</w:t>
      </w:r>
      <w:r w:rsidR="00765CB4" w:rsidRPr="003F71C1">
        <w:rPr>
          <w:b/>
        </w:rPr>
        <w:t xml:space="preserve"> </w:t>
      </w:r>
      <w:r w:rsidR="0015666F">
        <w:rPr>
          <w:b/>
        </w:rPr>
        <w:t>Functions</w:t>
      </w:r>
      <w:r w:rsidRPr="003F71C1">
        <w:rPr>
          <w:b/>
        </w:rPr>
        <w:t xml:space="preserve"> </w:t>
      </w:r>
      <w:r w:rsidR="00765CB4" w:rsidRPr="003F71C1">
        <w:rPr>
          <w:b/>
        </w:rPr>
        <w:t>in Cancer Development</w:t>
      </w:r>
    </w:p>
    <w:p w:rsidR="003F71C1" w:rsidRDefault="003F71C1" w:rsidP="00B06241">
      <w:pPr>
        <w:pStyle w:val="Standard"/>
        <w:spacing w:line="276" w:lineRule="auto"/>
        <w:jc w:val="both"/>
      </w:pPr>
      <w:r>
        <w:t xml:space="preserve">Oncogene Activation and </w:t>
      </w:r>
      <w:r w:rsidRPr="003F71C1">
        <w:t xml:space="preserve">Overexpression of oncogenes (e.g., KRAS, MYC) can result from SNPs in miRNA binding sites that lessen miRNA repression of these genes. </w:t>
      </w:r>
      <w:r>
        <w:t>Tumor Suppressor Inactivation is mediated w</w:t>
      </w:r>
      <w:r w:rsidRPr="003F71C1">
        <w:t xml:space="preserve">hen miRNA binding is disrupted, </w:t>
      </w:r>
      <w:r w:rsidR="000266C2">
        <w:t xml:space="preserve">and </w:t>
      </w:r>
      <w:r w:rsidRPr="003F71C1">
        <w:t xml:space="preserve">tumor suppressors (like TP53) may express less. </w:t>
      </w:r>
      <w:r>
        <w:t>Therapeutic Resistance may facilitate</w:t>
      </w:r>
      <w:r w:rsidRPr="003F71C1">
        <w:t xml:space="preserve"> SNPs in genes linked to miRNA </w:t>
      </w:r>
      <w:r w:rsidR="00D30B84">
        <w:t xml:space="preserve">and </w:t>
      </w:r>
      <w:r w:rsidRPr="003F71C1">
        <w:t>can change how well a patient responds to targeted treatments</w:t>
      </w:r>
      <w:r w:rsidR="000266C2">
        <w:t>,</w:t>
      </w:r>
      <w:r w:rsidRPr="003F71C1">
        <w:t xml:space="preserve"> including chemotherapy</w:t>
      </w:r>
      <w:r>
        <w:t xml:space="preserve"> </w:t>
      </w:r>
      <w:r>
        <w:fldChar w:fldCharType="begin"/>
      </w:r>
      <w:r w:rsidR="00B41ACC">
        <w:instrText xml:space="preserve"> ADDIN ZOTERO_ITEM CSL_CITATION {"citationID":"H7FHFseb","properties":{"formattedCitation":"\\super 179,180\\nosupersub{}","plainCitation":"179,180","noteIndex":0},"citationItems":[{"id":901,"uris":["http://zotero.org/users/local/BfzbJtgR/items/DK98YV4J"],"itemData":{"id":901,"type":"article-journal","abstract":"miRNAs are fascinating molecular players for gene regulation as individual miRNA can control multiple targets and a single target can be regulated by multiple miRNAs. Loss of miRNA regulated gene expression is often reported to be implicated in various human diseases like diabetes and cancer. Recently, geneticists across the world started reporting single nucleotide polymorphism (SNPs) in seed sequences of miRNAs. Similarly, SNPs are also reported in various target sequences of these miRNAs. Both the scenarios lead to dysregulated gene expression which may result in the progression of diseases. In the present paper, we explore SNPs in various miRNAs and their target sequences reported in various human cancers as well as diabetes. Similarly, we also present evidence of these mutations in various other human diseases.","container-title":"Frontiers in Genetics","DOI":"10.3389/fgene.2021.793523","ISSN":"1664-8021","journalAbbreviation":"Front Genet","language":"eng","note":"PMID: 34925466\nPMCID: PMC8673831","page":"793523","source":"PubMed","title":"SNPs in miRNAs and Target Sequences: Role in Cancer and Diabetes","title-short":"SNPs in miRNAs and Target Sequences","volume":"12","author":[{"family":"Chhichholiya","given":"Yogita"},{"family":"Suryan","given":"Aman Kumar"},{"family":"Suman","given":"Prabhat"},{"family":"Munshi","given":"Anjana"},{"family":"Singh","given":"Sandeep"}],"issued":{"date-parts":[["2021"]]}}},{"id":898,"uris":["http://zotero.org/users/local/BfzbJtgR/items/D46C2ILV"],"itemData":{"id":898,"type":"article-journal","abstract":"Cancer, a complex genetic disease involving uncontrolled cell proliferation, is caused by inactivation of tumor suppressor genes and activation of oncogenes. A vast majority of these cancer causing genes are known targets of microRNAs (miRNAs) that bind to complementary sequences in 3' untranslated regions (UTR) of messenger RNAs and repress them from translation. Single Nucleotide Polymorphisms (SNPs) occurring naturally in such miRNA binding regions can alter the miRNA:mRNA interaction and can significantly affect gene expression. We hypothesized that 3'UTR SNPs in miRNA binding sites of proto-oncogenes could abrogate their post-transcriptional regulation, resulting in overexpression of oncogenic proteins, tumor initiation, progression, and modulation of drug response in cancer patients. Therefore, we developed a systematic computational pipeline that integrates data from well-established databases, followed stringent selection criteria and identified a panel of 30 high-confidence SNPs that may impair miRNA target sites in the 3' UTR of 54 mRNA transcripts of 24 proto-oncogenes. Further, 8 SNPs amidst them had the potential to determine therapeutic outcome in cancer patients. Functional annotation suggested that altogether these SNPs occur in proto-oncogenes enriched for kinase activities. We provide detailed in silico evidence for the functional effect of these candidate SNPs in various types of cancer.","container-title":"Omics: A Journal of Integrative Biology","DOI":"10.1089/omi.2013.0098","ISSN":"1557-8100","issue":"2","journalAbbreviation":"OMICS","language":"eng","note":"PMID: 24286505\nPMCID: PMC3920756","page":"142-154","source":"PubMed","title":"Single nucleotide polymorphisms in microRNA binding sites of oncogenes: implications in cancer and pharmacogenomics","title-short":"Single nucleotide polymorphisms in microRNA binding sites of oncogenes","volume":"18","author":[{"family":"Manikandan","given":"Mayakannan"},{"family":"Munirajan","given":"Arasambattu Kannan"}],"issued":{"date-parts":[["2014",2]]}}}],"schema":"https://github.com/citation-style-language/schema/raw/master/csl-citation.json"} </w:instrText>
      </w:r>
      <w:r>
        <w:fldChar w:fldCharType="separate"/>
      </w:r>
      <w:r w:rsidR="00B41ACC" w:rsidRPr="00B41ACC">
        <w:rPr>
          <w:rFonts w:cs="Times New Roman"/>
          <w:vertAlign w:val="superscript"/>
        </w:rPr>
        <w:t>179,180</w:t>
      </w:r>
      <w:r>
        <w:fldChar w:fldCharType="end"/>
      </w:r>
      <w:r w:rsidRPr="003F71C1">
        <w:t>.</w:t>
      </w:r>
    </w:p>
    <w:p w:rsidR="00B06241" w:rsidRDefault="00B017ED" w:rsidP="00B017ED">
      <w:pPr>
        <w:pStyle w:val="Standard"/>
        <w:tabs>
          <w:tab w:val="left" w:pos="7602"/>
        </w:tabs>
        <w:spacing w:line="276" w:lineRule="auto"/>
        <w:jc w:val="both"/>
      </w:pPr>
      <w:r>
        <w:tab/>
      </w:r>
    </w:p>
    <w:p w:rsidR="009D3C30" w:rsidRPr="009D3C30" w:rsidRDefault="009D3C30" w:rsidP="00B06241">
      <w:pPr>
        <w:pStyle w:val="Standard"/>
        <w:numPr>
          <w:ilvl w:val="0"/>
          <w:numId w:val="14"/>
        </w:numPr>
        <w:spacing w:line="276" w:lineRule="auto"/>
        <w:jc w:val="both"/>
      </w:pPr>
      <w:r w:rsidRPr="009D3C30">
        <w:rPr>
          <w:b/>
        </w:rPr>
        <w:t xml:space="preserve">Association of SNPs in Gene expression variation </w:t>
      </w:r>
    </w:p>
    <w:p w:rsidR="009D3C30" w:rsidRDefault="000266C2" w:rsidP="00337FF0">
      <w:pPr>
        <w:pStyle w:val="Standard"/>
        <w:spacing w:line="276" w:lineRule="auto"/>
        <w:jc w:val="both"/>
      </w:pPr>
      <w:r w:rsidRPr="00337FF0">
        <w:t>Single-nucleotide</w:t>
      </w:r>
      <w:r w:rsidR="007E02C4" w:rsidRPr="00337FF0">
        <w:t xml:space="preserve"> polymorphisms (SNPs) in promoters, enhancers, or untranslated regions (UTRs) can affect transcription factor binding, RNA stability, and translation efficiency. For example, the IL-6 (-174 G/C SNP) alters the expression of the IL-6 cytokine, which affects inflammation and the risk of </w:t>
      </w:r>
      <w:r w:rsidR="00592295" w:rsidRPr="00337FF0">
        <w:t>sepsis</w:t>
      </w:r>
      <w:r w:rsidR="007E02C4" w:rsidRPr="00337FF0">
        <w:t>. Additionally, the SNPs in IFNL3 (formerly IL-28B) affect the interferon response and the clearance of the hepatitis C virus (HCV)</w:t>
      </w:r>
      <w:r w:rsidR="009D3C30">
        <w:fldChar w:fldCharType="begin"/>
      </w:r>
      <w:r w:rsidR="00B41ACC">
        <w:instrText xml:space="preserve"> ADDIN ZOTERO_ITEM CSL_CITATION {"citationID":"iOxKQ7pZ","properties":{"formattedCitation":"\\super 181\\nosupersub{}","plainCitation":"181","noteIndex":0},"citationItems":[{"id":911,"uris":["http://zotero.org/users/local/BfzbJtgR/items/BD78V5PT"],"itemData":{"id":911,"type":"article-journal","container-title":"Clinical Microbiology and Infection","DOI":"10.1111/1469-0691.12797","ISSN":"1198743X","issue":"12","journalAbbreviation":"Clinical Microbiology and Infection","language":"en","license":"https://www.elsevier.com/tdm/userlicense/1.0/","page":"1237-1245","source":"DOI.org (Crossref)","title":"Hepatitis C virus and interferon type III (interferon-λ3/interleukin-28B and interferon-λ4): genetic basis of susceptibility to infection and response to antiviral treatment","title-short":"Hepatitis C virus and interferon type III (interferon-λ3/interleukin-28B and interferon-λ4)","volume":"20","author":[{"family":"Riva","given":"E."},{"family":"Scagnolari","given":"C."},{"family":"Turriziani","given":"O."},{"family":"Antonelli","given":"G."}],"issued":{"date-parts":[["2014",12]]}}}],"schema":"https://github.com/citation-style-language/schema/raw/master/csl-citation.json"} </w:instrText>
      </w:r>
      <w:r w:rsidR="009D3C30">
        <w:fldChar w:fldCharType="separate"/>
      </w:r>
      <w:r w:rsidR="00B41ACC" w:rsidRPr="00B41ACC">
        <w:rPr>
          <w:rFonts w:cs="Times New Roman"/>
          <w:vertAlign w:val="superscript"/>
        </w:rPr>
        <w:t>181</w:t>
      </w:r>
      <w:r w:rsidR="009D3C30">
        <w:fldChar w:fldCharType="end"/>
      </w:r>
      <w:r w:rsidR="009D3C30">
        <w:t>.</w:t>
      </w:r>
    </w:p>
    <w:p w:rsidR="007D5BF7" w:rsidRPr="007E02C4" w:rsidRDefault="007D5BF7" w:rsidP="007E02C4">
      <w:pPr>
        <w:pStyle w:val="ListParagraph"/>
        <w:spacing w:after="0" w:line="276" w:lineRule="auto"/>
        <w:ind w:left="360"/>
        <w:jc w:val="both"/>
        <w:rPr>
          <w:rFonts w:ascii="Times New Roman" w:eastAsia="Times New Roman" w:hAnsi="Times New Roman" w:cs="Times New Roman"/>
          <w:sz w:val="24"/>
          <w:szCs w:val="24"/>
        </w:rPr>
      </w:pPr>
    </w:p>
    <w:p w:rsidR="00563A9C" w:rsidRPr="004F3B0B" w:rsidRDefault="009D3C30" w:rsidP="004F3B0B">
      <w:pPr>
        <w:pStyle w:val="Standard"/>
        <w:numPr>
          <w:ilvl w:val="0"/>
          <w:numId w:val="14"/>
        </w:numPr>
        <w:spacing w:line="276" w:lineRule="auto"/>
        <w:jc w:val="both"/>
        <w:rPr>
          <w:b/>
        </w:rPr>
      </w:pPr>
      <w:r w:rsidRPr="004F3B0B">
        <w:rPr>
          <w:b/>
        </w:rPr>
        <w:t>Association of SNPs in structural mechanisms and protein functions</w:t>
      </w:r>
    </w:p>
    <w:p w:rsidR="009D3C30" w:rsidRPr="004F3B0B" w:rsidRDefault="00592295" w:rsidP="004F3B0B">
      <w:pPr>
        <w:pStyle w:val="Standard"/>
        <w:spacing w:line="276" w:lineRule="auto"/>
        <w:jc w:val="both"/>
      </w:pPr>
      <w:r w:rsidRPr="004F3B0B">
        <w:t>Exonic SNPs can lead to missense mutations that alter the amino acid composition or nonsense mutations that create early stop codons in coding areas. Sickle cell anemia (HBB; rs334) is an example of a condition brought on by a single SNP (A→T) that causes changes in Hemoglobin S, leading to the disease. Similarly, CYP2C19*2 (rs4244285) decreases enzyme activity, affecting the metabolism of clopidogrel and cardiovascular risk</w:t>
      </w:r>
      <w:r w:rsidR="009D3C30" w:rsidRPr="004F3B0B">
        <w:fldChar w:fldCharType="begin"/>
      </w:r>
      <w:r w:rsidR="00B41ACC">
        <w:instrText xml:space="preserve"> ADDIN ZOTERO_ITEM CSL_CITATION {"citationID":"EK2INcnl","properties":{"formattedCitation":"\\super 182\\nosupersub{}","plainCitation":"182","noteIndex":0},"citationItems":[{"id":904,"uris":["http://zotero.org/users/local/BfzbJtgR/items/NXC4NN2J"],"itemData":{"id":904,"type":"article-journal","abstract":"Variability in response to antiplatelet therapy can be explained in part by pharmacogenomics, particularly of the CYP450 enzyme encoded by CYP2C19. Loss-of-function and gain-of-function variants help explain these interindividual differences. Individuals may carry multiple variants, with linkage disequilibrium noted among some alleles. In the current pharmacogenomics era, genomic variation in CYP2C19 has led to the definition of pharmacokinetic phenotypes for response to antiplatelet therapy, in particular, clopidogrel. Individuals may be classified as poor, intermediate, extensive, or ultrarapid metabolizers, based on whether they carry wild type or polymorphic CYP2C19 alleles. Variant alleles differentially impact platelet reactivity, concentration of plasma clopidogrel metabolites, and clinical outcomes. Interestingly, response to clopidogrel appears to be modulated by additional factors, such as sociodemographic characteristics, risk factors for ischemic heart disease, and drug-drug interactions. Furthermore, systems medicine studies suggest that a broader approach may be required to adequately assess, predict, preempt, and manage variation in antiplatelet response. Transcriptomics, epigenomics, exposomics, miRNAomics, proteomics, metabolomics, microbiomics, and mathematical, computational, and molecular modeling should be integrated with pharmacogenomics for enhanced prediction and individualized care. In this review of pharmacogenomic variation of CYP450, a systems medicine approach is described for tailoring antiplatelet therapy in clinical practice of precision cardiovascular medicine.","container-title":"Journal of Personalized Medicine","DOI":"10.3390/jpm8010008","ISSN":"2075-4426","issue":"1","journalAbbreviation":"J Pers Med","language":"eng","note":"PMID: 29385765\nPMCID: PMC5872082","page":"8","source":"PubMed","title":"Pharmacogenomic Impact of CYP2C19 Variation on Clopidogrel Therapy in Precision Cardiovascular Medicine","volume":"8","author":[{"family":"Brown","given":"Sherry-Ann"},{"family":"Pereira","given":"Naveen"}],"issued":{"date-parts":[["2018",1,30]]}}}],"schema":"https://github.com/citation-style-language/schema/raw/master/csl-citation.json"} </w:instrText>
      </w:r>
      <w:r w:rsidR="009D3C30" w:rsidRPr="004F3B0B">
        <w:fldChar w:fldCharType="separate"/>
      </w:r>
      <w:r w:rsidR="00B41ACC" w:rsidRPr="00B41ACC">
        <w:rPr>
          <w:rFonts w:cs="Times New Roman"/>
          <w:vertAlign w:val="superscript"/>
        </w:rPr>
        <w:t>182</w:t>
      </w:r>
      <w:r w:rsidR="009D3C30" w:rsidRPr="004F3B0B">
        <w:fldChar w:fldCharType="end"/>
      </w:r>
      <w:r w:rsidR="009D3C30" w:rsidRPr="004F3B0B">
        <w:t>.</w:t>
      </w:r>
      <w:r w:rsidRPr="004F3B0B">
        <w:t xml:space="preserve"> </w:t>
      </w:r>
    </w:p>
    <w:p w:rsidR="00841793" w:rsidRDefault="00841793" w:rsidP="008C309E">
      <w:pPr>
        <w:pStyle w:val="Standard"/>
        <w:numPr>
          <w:ilvl w:val="0"/>
          <w:numId w:val="14"/>
        </w:numPr>
        <w:spacing w:line="276" w:lineRule="auto"/>
        <w:jc w:val="both"/>
        <w:rPr>
          <w:b/>
        </w:rPr>
      </w:pPr>
      <w:r>
        <w:rPr>
          <w:b/>
        </w:rPr>
        <w:t>Association of SNPs in immune functions</w:t>
      </w:r>
    </w:p>
    <w:p w:rsidR="0013326B" w:rsidRDefault="00592295" w:rsidP="008C309E">
      <w:pPr>
        <w:pStyle w:val="Standard"/>
        <w:spacing w:line="276" w:lineRule="auto"/>
        <w:jc w:val="both"/>
      </w:pPr>
      <w:r w:rsidRPr="00592295">
        <w:t>SNPs in genes linked to immunity can alter immune responses as well as host-pathogen interactions. For example, TLR4 (rs4986790, rs4986791) lowers Toll-like receptor activity, which increases the risk of Gram-negative infections by making it more difficult for the immune system to detect pathogens</w:t>
      </w:r>
      <w:r w:rsidR="00841793">
        <w:t xml:space="preserve"> </w:t>
      </w:r>
      <w:r w:rsidR="00841793">
        <w:fldChar w:fldCharType="begin"/>
      </w:r>
      <w:r w:rsidR="00B41ACC">
        <w:instrText xml:space="preserve"> ADDIN ZOTERO_ITEM CSL_CITATION {"citationID":"UUobfhhP","properties":{"formattedCitation":"\\super 183\\nosupersub{}","plainCitation":"183","noteIndex":0},"citationItems":[{"id":913,"uris":["http://zotero.org/users/local/BfzbJtgR/items/KRZYE4PW"],"itemData":{"id":913,"type":"article-journal","container-title":"Molecular Medicine","DOI":"10.2119/2007-00135.Ferwerda","ISSN":"1076-1551, 1528-3658","issue":"5-6","journalAbbreviation":"Mol Med","language":"en","page":"346-352","source":"DOI.org (Crossref)","title":"Functional Consequences of Toll-like Receptor 4 Polymorphisms","volume":"14","author":[{"family":"Ferwerda","given":"Bart"},{"family":"McCall","given":"Matthew B. B."},{"family":"Verheijen","given":"Karlijn"},{"family":"Kullberg","given":"Bart-Jan"},{"family":"Van Der Ven","given":"André J. A. M."},{"family":"Van Der Meer","given":"Jos W. M."},{"family":"Netea","given":"Mihai G."}],"issued":{"date-parts":[["2008",5]]}}}],"schema":"https://github.com/citation-style-language/schema/raw/master/csl-citation.json"} </w:instrText>
      </w:r>
      <w:r w:rsidR="00841793">
        <w:fldChar w:fldCharType="separate"/>
      </w:r>
      <w:r w:rsidR="00B41ACC" w:rsidRPr="00B41ACC">
        <w:rPr>
          <w:rFonts w:cs="Times New Roman"/>
          <w:vertAlign w:val="superscript"/>
        </w:rPr>
        <w:t>183</w:t>
      </w:r>
      <w:r w:rsidR="00841793">
        <w:fldChar w:fldCharType="end"/>
      </w:r>
      <w:r w:rsidR="00841793">
        <w:t xml:space="preserve">. </w:t>
      </w:r>
      <w:r w:rsidR="00841793" w:rsidRPr="00841793">
        <w:t>An elevated pro-inflammatory tumor necrosis factor (TNF)-α response to lipopolysaccharide (LPS) stimulation has been linked to the Asp299Gly polymorphism. In contrast, there is no discernible change in the cytokine response between the wild-type TLR4 and the combination</w:t>
      </w:r>
      <w:r w:rsidR="00841793">
        <w:t xml:space="preserve"> Asp299Gly/Thr399Ile haplotype </w:t>
      </w:r>
      <w:r w:rsidR="00841793">
        <w:fldChar w:fldCharType="begin"/>
      </w:r>
      <w:r w:rsidR="00B41ACC">
        <w:instrText xml:space="preserve"> ADDIN ZOTERO_ITEM CSL_CITATION {"citationID":"hJwZ0LBr","properties":{"formattedCitation":"\\super 183\\nosupersub{}","plainCitation":"183","noteIndex":0},"citationItems":[{"id":913,"uris":["http://zotero.org/users/local/BfzbJtgR/items/KRZYE4PW"],"itemData":{"id":913,"type":"article-journal","container-title":"Molecular Medicine","DOI":"10.2119/2007-00135.Ferwerda","ISSN":"1076-1551, 1528-3658","issue":"5-6","journalAbbreviation":"Mol Med","language":"en","page":"346-352","source":"DOI.org (Crossref)","title":"Functional Consequences of Toll-like Receptor 4 Polymorphisms","volume":"14","author":[{"family":"Ferwerda","given":"Bart"},{"family":"McCall","given":"Matthew B. B."},{"family":"Verheijen","given":"Karlijn"},{"family":"Kullberg","given":"Bart-Jan"},{"family":"Van Der Ven","given":"André J. A. M."},{"family":"Van Der Meer","given":"Jos W. M."},{"family":"Netea","given":"Mihai G."}],"issued":{"date-parts":[["2008",5]]}}}],"schema":"https://github.com/citation-style-language/schema/raw/master/csl-citation.json"} </w:instrText>
      </w:r>
      <w:r w:rsidR="00841793">
        <w:fldChar w:fldCharType="separate"/>
      </w:r>
      <w:r w:rsidR="00B41ACC" w:rsidRPr="00B41ACC">
        <w:rPr>
          <w:rFonts w:cs="Times New Roman"/>
          <w:vertAlign w:val="superscript"/>
        </w:rPr>
        <w:t>183</w:t>
      </w:r>
      <w:r w:rsidR="00841793">
        <w:fldChar w:fldCharType="end"/>
      </w:r>
      <w:r w:rsidR="00841793">
        <w:t xml:space="preserve">. </w:t>
      </w:r>
      <w:r w:rsidR="00841793" w:rsidRPr="00841793">
        <w:t xml:space="preserve">A meta-analysis evaluating the association </w:t>
      </w:r>
      <w:r w:rsidR="00841793" w:rsidRPr="00841793">
        <w:lastRenderedPageBreak/>
        <w:t>betwee</w:t>
      </w:r>
      <w:r w:rsidR="0013326B">
        <w:t>n TLR4 polymorphisms and neonatal</w:t>
      </w:r>
      <w:r w:rsidR="00841793" w:rsidRPr="00841793">
        <w:t xml:space="preserve"> sepsis susceptibility indicated that both rs4986790 and rs4986791 variations could influence sepsis risk in neonates</w:t>
      </w:r>
      <w:r w:rsidR="00841793">
        <w:fldChar w:fldCharType="begin"/>
      </w:r>
      <w:r w:rsidR="00B41ACC">
        <w:instrText xml:space="preserve"> ADDIN ZOTERO_ITEM CSL_CITATION {"citationID":"ZTVb2RKL","properties":{"formattedCitation":"\\super 184\\nosupersub{}","plainCitation":"184","noteIndex":0},"citationItems":[{"id":915,"uris":["http://zotero.org/users/local/BfzbJtgR/items/Y5YAQVQU"],"itemData":{"id":915,"type":"article-journal","abstract":"Aim: To clarify the role of polymorphisms rs4986790 and rs4986791 in TLR-4 with susceptibility to neonatal sepsis. Methods: To evaluate the possible correlation of polymorphisms rs4986790 and rs4986791 with sepsis risk, odds ratios (ORs) were calculated. The heterogeneity was evaluated by χ2-based Q-test. Results: For rs4986790, ORs were 1.36 (95% CI: 1.05-1.79, p = 0.017) and 1.84 (95% CI: 0.04-7.9, p = 0.410) under AG+GG versus AA and G vs A models, respectively. For rs4986791, ORs were 2.22 (95% CI: 1.25-3.94, p = 0.006) and 2.20 (95% CI: 1.26-3.85, p = 0.005) under CT+TT versus CC and of T versus C models, respectively. Conclusion: The rs4986790 and rs4986791 polymorphisms in TLR-4 could influence the sepsis susceptibility in neonates.","container-title":"Biomarkers in Medicine","DOI":"10.2217/bmm-2022-0390","ISSN":"1752-0371","issue":"13","journalAbbreviation":"Biomark Med","language":"eng","note":"PMID: 36052709","page":"1005-1017","source":"PubMed","title":"Effect of TLR-4 gene polymorphisms on sepsis susceptibility in neonates: a systematic review and meta-analysis","title-short":"Effect of TLR-4 gene polymorphisms on sepsis susceptibility in neonates","volume":"16","author":[{"family":"Li","given":"Ming"},{"family":"Pan","given":"Shiguang"},{"family":"Chen","given":"Huilin"},{"family":"Yan","given":"Shuying"},{"family":"Liu","given":"Yuxin"}],"issued":{"date-parts":[["2022",9]]}}}],"schema":"https://github.com/citation-style-language/schema/raw/master/csl-citation.json"} </w:instrText>
      </w:r>
      <w:r w:rsidR="00841793">
        <w:fldChar w:fldCharType="separate"/>
      </w:r>
      <w:r w:rsidR="00B41ACC" w:rsidRPr="00B41ACC">
        <w:rPr>
          <w:rFonts w:cs="Times New Roman"/>
          <w:vertAlign w:val="superscript"/>
        </w:rPr>
        <w:t>184</w:t>
      </w:r>
      <w:r w:rsidR="00841793">
        <w:fldChar w:fldCharType="end"/>
      </w:r>
      <w:r w:rsidR="00841793" w:rsidRPr="00841793">
        <w:t>.</w:t>
      </w:r>
    </w:p>
    <w:p w:rsidR="0013326B" w:rsidRDefault="0013326B" w:rsidP="008C309E">
      <w:pPr>
        <w:pStyle w:val="Standard"/>
        <w:numPr>
          <w:ilvl w:val="0"/>
          <w:numId w:val="14"/>
        </w:numPr>
        <w:spacing w:before="240" w:line="276" w:lineRule="auto"/>
        <w:jc w:val="both"/>
        <w:rPr>
          <w:b/>
        </w:rPr>
      </w:pPr>
      <w:r>
        <w:rPr>
          <w:b/>
        </w:rPr>
        <w:t>Association of SNPs in epigenetic modifications</w:t>
      </w:r>
    </w:p>
    <w:p w:rsidR="0013326B" w:rsidRDefault="0013326B" w:rsidP="008C309E">
      <w:pPr>
        <w:pStyle w:val="Standard"/>
        <w:spacing w:line="276" w:lineRule="auto"/>
        <w:jc w:val="both"/>
      </w:pPr>
      <w:r>
        <w:t xml:space="preserve">Long-term alterations in gene expression can result from SNPs' effects on histone modifications or DNA methylation. For instance, MTHFR (C677T, rs1801133) -&gt; </w:t>
      </w:r>
      <w:r w:rsidR="000266C2">
        <w:t>modifies</w:t>
      </w:r>
      <w:r>
        <w:t xml:space="preserve"> DNA methylation and influences folate metabolism, raising the risk of cardiovascular disease or neural tube abnormalities. </w:t>
      </w:r>
      <w:r w:rsidRPr="0013326B">
        <w:t xml:space="preserve">The enzyme methylenetetrahydrofolate reductase, which is essential for changing 5,10-methylene tetrahydrofolate into 5-methyltetrahydrofolate—a critical methyl donor in DNA methylation processes—is encoded by the MTHFR gene. The alanine-to-valine mutation caused by the C677T SNP makes the enzyme less active and </w:t>
      </w:r>
      <w:r w:rsidR="000266C2">
        <w:t>thermo</w:t>
      </w:r>
      <w:r w:rsidR="004A48C4">
        <w:t xml:space="preserve"> </w:t>
      </w:r>
      <w:r w:rsidR="000266C2">
        <w:t>labile</w:t>
      </w:r>
      <w:r w:rsidRPr="0013326B">
        <w:t>. Because folate metabolism is hampered by this decline, homocysteine levels rise and DNA methylation patterns change. Global DNA methylation is frequently lower in people homozygous for the T allele (TT genotype) than in people with the CC genotype</w:t>
      </w:r>
      <w:r>
        <w:t xml:space="preserve"> </w:t>
      </w:r>
      <w:r>
        <w:fldChar w:fldCharType="begin"/>
      </w:r>
      <w:r w:rsidR="00B41ACC">
        <w:instrText xml:space="preserve"> ADDIN ZOTERO_ITEM CSL_CITATION {"citationID":"nTOYTQYI","properties":{"formattedCitation":"\\super 185,186\\nosupersub{}","plainCitation":"185,186","noteIndex":0},"citationItems":[{"id":917,"uris":["http://zotero.org/users/local/BfzbJtgR/items/ATY77Z5T"],"itemData":{"id":917,"type":"article-journal","abstract":"DNA methylation, an essential epigenetic feature of DNA that modulates gene expression and genomic integrity, is catalyzed by methyltransferases that use the universal methyl donor\n              S\n              -adenosyl-\n              l\n              -methionine. Methylenetetrahydrofolate reductase (MTHFR) catalyzes the synthesis of 5-methyltetrahydrofolate (5-methylTHF), the methyl donor for synthesis of methionine from homocysteine and precursor of\n              S\n              -adenosyl-\n              l\n              -methionine. In the present study we sought to determine the effect of folate status on genomic DNA methylation with an emphasis on the interaction with the common\n              C677T\n              mutation in the\n              MTHFR\n              gene. A liquid chromatography/MS method for the analysis of nucleotide bases was used to assess genomic DNA methylation in peripheral blood mononuclear cell DNA from 105 subjects homozygous for this mutation (\n              T\n              /\n              T\n              ) and 187 homozygous for the wild-type (\n              C\n              /\n              C\n              )\n              MTHFR\n              genotype. The results show that genomic DNA methylation directly correlates with folate status and inversely with plasma homocysteine (tHcy) levels (\n              P\n              &lt; 0.01).\n              T\n              /\n              T\n              genotypes had a diminished level of DNA methylation compared with those with the\n              C\n              /\n              C\n              wild-type (32.23 vs.62.24 ng 5-methylcytosine/μg DNA,\n              P\n              &lt; 0.0001). When analyzed according to folate status, however, only the\n              T\n              /\n              T\n              subjects with low levels of folate accounted for the diminished DNA methylation (\n              P\n              &lt; 0.0001). Moreover, in\n              T\n              /\n              T\n              subjects DNA methylation status correlated with the methylated proportion of red blood cell folate and was inversely related to the formylated proportion of red blood cell folates (\n              P\n              &lt; 0.03) that is known to be solely represented in those individuals. These results indicate that the\n              MTHFR C677T\n              polymorphism influences DNA methylation status through an interaction with folate status.","container-title":"Proceedings of the National Academy of Sciences","DOI":"10.1073/pnas.062066299","ISSN":"0027-8424, 1091-6490","issue":"8","journalAbbreviation":"Proc. Natl. Acad. Sci. U.S.A.","language":"en","page":"5606-5611","source":"DOI.org (Crossref)","title":"A common mutation in the 5,10-methylenetetrahydrofolate reductase gene affects genomic DNA methylation through an interaction with folate status","volume":"99","author":[{"family":"Friso","given":"Simonetta"},{"family":"Choi","given":"Sang-Woon"},{"family":"Girelli","given":"Domenico"},{"family":"Mason","given":"Joel B."},{"family":"Dolnikowski","given":"Gregory G."},{"family":"Bagley","given":"Pamela J."},{"family":"Olivieri","given":"Oliviero"},{"family":"Jacques","given":"Paul F."},{"family":"Rosenberg","given":"Irwin H."},{"family":"Corrocher","given":"Roberto"},{"family":"Selhub","given":"Jacob"}],"issued":{"date-parts":[["2002",4,16]]}}},{"id":919,"uris":["http://zotero.org/users/local/BfzbJtgR/items/J67NZQRS"],"itemData":{"id":919,"type":"article-journal","abstract":"Moderate hyperhomocysteinemia-induced low folate status is an independent risk factor for cardiovascular disease, dementia, and depression. Folate is an essential cofactor in the one-carbon metabolism pathway and is necessary in amino acid metabolism, purine and thymidylate synthesis, and DNA methylation. In the folate cycle and homocysteine metabolism, folate, vitamin B12, vitamin B6, and vitamin B2 are important cofactors. Many enzymes are involved in folate transport and uptake, the folate pathway, and homocysteine (Hcy) metabolism, and various polymorphisms have been documented in these enzymes. Serum folate and total Hcy (tHcy) levels are influenced by folate intake and genetic polymorphisms in 5,10-methylenetertahydrofolate reductase (MTHFR) such as C677T. The prevalence of the MTHFR 677TT genotype varies across ethnic groups and regions, with a frequency of approximately 15% in Japanese populations. Individuals with the TT genotype have significantly higher tHcy levels and lower folate levels in serum than those with the CT and TT genotypes. However, administration of folic acid has been shown to eliminate these differences. Moreover, data have suggested that interventions based on genotype may be effective for motivating individuals to change their lifestyle and improve their nutrition status. Accordingly, in this review, we discuss the effects of MTHFR C677T polymorphisms on serum tHcy and folate levels with folic acid intervention and evaluate approaches for overcoming folic acid deficiency and related symptoms.","container-title":"Congenital Anomalies","DOI":"10.1111/cga.12232","ISSN":"1741-4520","issue":"5","journalAbbreviation":"Congenit Anom (Kyoto)","language":"eng","note":"PMID: 28598562\nPMCID: PMC5601299","page":"142-149","source":"PubMed","title":"Genetic polymorphisms and folate status","volume":"57","author":[{"family":"Hiraoka","given":"Mami"},{"family":"Kagawa","given":"Yasuo"}],"issued":{"date-parts":[["2017",9]]}}}],"schema":"https://github.com/citation-style-language/schema/raw/master/csl-citation.json"} </w:instrText>
      </w:r>
      <w:r>
        <w:fldChar w:fldCharType="separate"/>
      </w:r>
      <w:r w:rsidR="00B41ACC" w:rsidRPr="00B41ACC">
        <w:rPr>
          <w:rFonts w:cs="Times New Roman"/>
          <w:vertAlign w:val="superscript"/>
        </w:rPr>
        <w:t>185,186</w:t>
      </w:r>
      <w:r>
        <w:fldChar w:fldCharType="end"/>
      </w:r>
      <w:r w:rsidRPr="0013326B">
        <w:t>.</w:t>
      </w:r>
    </w:p>
    <w:p w:rsidR="008C309E" w:rsidRDefault="008C309E" w:rsidP="008C309E">
      <w:pPr>
        <w:pStyle w:val="Standard"/>
        <w:spacing w:line="276" w:lineRule="auto"/>
        <w:jc w:val="both"/>
      </w:pPr>
    </w:p>
    <w:p w:rsidR="0013326B" w:rsidRDefault="0013326B" w:rsidP="00793BDA">
      <w:pPr>
        <w:pStyle w:val="Standard"/>
        <w:numPr>
          <w:ilvl w:val="0"/>
          <w:numId w:val="14"/>
        </w:numPr>
        <w:spacing w:line="276" w:lineRule="auto"/>
        <w:jc w:val="both"/>
        <w:rPr>
          <w:b/>
        </w:rPr>
      </w:pPr>
      <w:r>
        <w:rPr>
          <w:b/>
        </w:rPr>
        <w:t xml:space="preserve">Association of SNPs in </w:t>
      </w:r>
      <w:r w:rsidR="0098277C">
        <w:rPr>
          <w:b/>
        </w:rPr>
        <w:t>Infectious</w:t>
      </w:r>
      <w:r>
        <w:rPr>
          <w:b/>
        </w:rPr>
        <w:t xml:space="preserve"> Disease </w:t>
      </w:r>
    </w:p>
    <w:p w:rsidR="00347410" w:rsidRPr="008C309E" w:rsidRDefault="008C309E" w:rsidP="00793BDA">
      <w:pPr>
        <w:pStyle w:val="Standard"/>
        <w:spacing w:line="276" w:lineRule="auto"/>
        <w:jc w:val="both"/>
        <w:rPr>
          <w:b/>
        </w:rPr>
      </w:pPr>
      <w:r>
        <w:rPr>
          <w:b/>
        </w:rPr>
        <w:t xml:space="preserve">Tuberculosis- </w:t>
      </w:r>
      <w:r w:rsidR="0013326B" w:rsidRPr="0098277C">
        <w:t xml:space="preserve">Genetic variations in host immunological genes have an impact on tuberculosis (TB), which is brought on by </w:t>
      </w:r>
      <w:r w:rsidR="0013326B" w:rsidRPr="0098277C">
        <w:rPr>
          <w:i/>
        </w:rPr>
        <w:t>Mycobacterium tuberculosis</w:t>
      </w:r>
      <w:r w:rsidR="0013326B" w:rsidRPr="0098277C">
        <w:t xml:space="preserve"> (</w:t>
      </w:r>
      <w:r w:rsidR="0013326B" w:rsidRPr="0098277C">
        <w:rPr>
          <w:i/>
        </w:rPr>
        <w:t>M</w:t>
      </w:r>
      <w:r w:rsidR="0098277C" w:rsidRPr="0098277C">
        <w:rPr>
          <w:i/>
        </w:rPr>
        <w:t>.</w:t>
      </w:r>
      <w:r w:rsidR="0013326B" w:rsidRPr="0098277C">
        <w:rPr>
          <w:i/>
        </w:rPr>
        <w:t>tb</w:t>
      </w:r>
      <w:r w:rsidR="0013326B" w:rsidRPr="0098277C">
        <w:t>). NRAMP1 (SLC11A1, rs17235409</w:t>
      </w:r>
      <w:r w:rsidR="0098277C">
        <w:t xml:space="preserve">, rs34448891) is one major SNP, that </w:t>
      </w:r>
      <w:r w:rsidR="0013326B" w:rsidRPr="0098277C">
        <w:t>encodes a transporter that is essential for the antibacterial action of macrophages. SNPs in SLC11A1 affect metal ion transport, which is necessary for pathogen management, and are linked to an increased risk of tuberculosis</w:t>
      </w:r>
      <w:r w:rsidR="0098277C">
        <w:fldChar w:fldCharType="begin"/>
      </w:r>
      <w:r w:rsidR="00B41ACC">
        <w:instrText xml:space="preserve"> ADDIN ZOTERO_ITEM CSL_CITATION {"citationID":"EneiAV9t","properties":{"formattedCitation":"\\super 187\\nosupersub{}","plainCitation":"187","noteIndex":0},"citationItems":[{"id":922,"uris":["http://zotero.org/users/local/BfzbJtgR/items/XNG42EBI"],"itemData":{"id":922,"type":"article-journal","abstract":"Temporal asymmetry in patterns of regional climate change may jeopardize the match between the proximate and ultimate cues of the timing of breeding. The consequences on short- and long-term population dynamics and trends as well as the underlying mechanisms are, however, often unknown. Using long-term data from Finland, we demonstrate that black grouse (Tetrao tetrix) have responded to spring warming by advancing both egg-laying and hatching. However, early summer (the time of hatching) has not advanced, and chicks have to face colder post-hatching conditions. Demonstrating that these conditions are critical to post-hatching survival, we show that chicks are increasingly suffering higher mortality because they hatch too early. Consequently, breeding success and population size has severely declined over the past four decades. Finally, we modelled the impact of this particular climate change scenario on population dynamics and show that the mismatch can further explain the observed collapse of cyclic fluctuations. Because the evolutionary response of grouse is lagging behind the novel selective pressures, seasonally asymmetric climate change is likely to constitute an important determinant of future short- and long-term changes in the dynamics of black grouse populations.","container-title":"Proceedings. Biological Sciences","DOI":"10.1098/rspb.2006.3538","ISSN":"0962-8452","issue":"1597","journalAbbreviation":"Proc Biol Sci","language":"eng","note":"PMID: 16846907\nPMCID: PMC1635476","page":"2009-2016","source":"PubMed","title":"Short- and long-term population dynamical consequences of asymmetric climate change in black grouse","volume":"273","author":[{"family":"Ludwig","given":"Gilbert X."},{"family":"Alatalo","given":"Rauno V."},{"family":"Helle","given":"Pekka"},{"family":"Lindén","given":"Harto"},{"family":"Lindström","given":"Jan"},{"family":"Siitari","given":"Heli"}],"issued":{"date-parts":[["2006",8,22]]}}}],"schema":"https://github.com/citation-style-language/schema/raw/master/csl-citation.json"} </w:instrText>
      </w:r>
      <w:r w:rsidR="0098277C">
        <w:fldChar w:fldCharType="separate"/>
      </w:r>
      <w:r w:rsidR="00B41ACC" w:rsidRPr="00B41ACC">
        <w:rPr>
          <w:rFonts w:cs="Times New Roman"/>
          <w:vertAlign w:val="superscript"/>
        </w:rPr>
        <w:t>187</w:t>
      </w:r>
      <w:r w:rsidR="0098277C">
        <w:fldChar w:fldCharType="end"/>
      </w:r>
      <w:r w:rsidR="0013326B" w:rsidRPr="0098277C">
        <w:t>.</w:t>
      </w:r>
      <w:r w:rsidR="0098277C">
        <w:t xml:space="preserve"> TLR4 (rs4986790, rs4986791) &amp; TLR2 (rs3804100, rs5743708). TLRs, or toll-like receptors, identify </w:t>
      </w:r>
      <w:r w:rsidR="0098277C" w:rsidRPr="0098277C">
        <w:rPr>
          <w:i/>
        </w:rPr>
        <w:t>M.tb</w:t>
      </w:r>
      <w:r w:rsidR="0098277C">
        <w:t xml:space="preserve"> components and initiate immunological reactions. SNPs in TLR2 and TLR4 enhance susceptibility to tuberculosis and decrease cytokine production </w:t>
      </w:r>
      <w:r w:rsidR="0098277C">
        <w:fldChar w:fldCharType="begin"/>
      </w:r>
      <w:r w:rsidR="00B41ACC">
        <w:instrText xml:space="preserve"> ADDIN ZOTERO_ITEM CSL_CITATION {"citationID":"uSrFnJMy","properties":{"formattedCitation":"\\super 188\\nosupersub{}","plainCitation":"188","noteIndex":0},"citationItems":[{"id":928,"uris":["http://zotero.org/users/local/BfzbJtgR/items/WIN7UHUW"],"itemData":{"id":928,"type":"article-journal","abstract":"Previous studies indicated that single-nucleotide polymorphisms (SNPs) of genes coding for toll-like receptors (TLRs) and toll-interacting protein (TOLLIP) may be involved in the pathogenesis of pulmonary tuberculosis (PTB). This study was designed to investigate potential associations between the polymorphisms in TLR2, TLR4, and TOLLIP and susceptibility to latent tuberculosis infection (LTBI) or subsequent PTB in a Chinese Han population. A total of 209 PTB and 201 LTBI patients and 204 healthy control subjects (HCS) were enrolled in our study. We performed a logistic regression including sex and age as covariates to test the effect of genotype. Genotyping was conducted using the improved multiplex ligase detection reaction (iMLDR). Eleven markers in TLR2, TLR4, and TOLLIP were assessed. No significant association between polymorphisms of TLR2 and TLR4 with PTB or LTBI was detected. For TOLLIP, rs5743899 (p = 0.005, OR = 1.83, 95% CI: 1.20-2.80) CC genotype were risk factors for PTB progression. Moreover, rs5743867 under addictive (p = 0.005, OR = 1.54, 95% CI: 1.14-2.07) and recessive model (p = 0.004, OR = 1.86, 95% CI: 1.22-2.83) were also risk factors for PTB susceptibility. Our results indicate that polymorphisms in TOLLIP affected the risk of PTB disease.","container-title":"APMIS: acta pathologica, microbiologica, et immunologica Scandinavica","DOI":"10.1111/apm.12855","ISSN":"1600-0463","issue":"6","journalAbbreviation":"APMIS","language":"eng","note":"PMID: 29924447","page":"501-508","source":"PubMed","title":"Evaluation of TLR2, TLR4, and TOLLIP polymorphisms for their role in tuberculosis susceptibility","volume":"126","author":[{"family":"Wu","given":"Shouquan"},{"family":"Huang","given":"Weiwei"},{"family":"Wang","given":"Dan"},{"family":"Wang","given":"Yu"},{"family":"Wang","given":"Minggui"},{"family":"Zhang","given":"Miaomiao"},{"family":"He","given":"Jian-Qing"}],"issued":{"date-parts":[["2018",6]]}}}],"schema":"https://github.com/citation-style-language/schema/raw/master/csl-citation.json"} </w:instrText>
      </w:r>
      <w:r w:rsidR="0098277C">
        <w:fldChar w:fldCharType="separate"/>
      </w:r>
      <w:r w:rsidR="00B41ACC" w:rsidRPr="00B41ACC">
        <w:rPr>
          <w:rFonts w:cs="Times New Roman"/>
          <w:vertAlign w:val="superscript"/>
        </w:rPr>
        <w:t>188</w:t>
      </w:r>
      <w:r w:rsidR="0098277C">
        <w:fldChar w:fldCharType="end"/>
      </w:r>
      <w:r w:rsidR="0098277C">
        <w:t xml:space="preserve">. IFNG (rs2430561) interferon-gamma, which is essential for Th1 immune responses, is encoded. The T/A variation, SNP rs2430561, is associated with elevated susceptibility to tuberculosis and decreased IFN-γ levels </w:t>
      </w:r>
      <w:r w:rsidR="0098277C">
        <w:fldChar w:fldCharType="begin"/>
      </w:r>
      <w:r w:rsidR="00B41ACC">
        <w:instrText xml:space="preserve"> ADDIN ZOTERO_ITEM CSL_CITATION {"citationID":"VSlCU4Rw","properties":{"formattedCitation":"\\super 189\\nosupersub{}","plainCitation":"189","noteIndex":0},"citationItems":[{"id":932,"uris":["http://zotero.org/users/local/BfzbJtgR/items/MGT8EMHS"],"itemData":{"id":932,"type":"article-journal","abstract":"Interferon-γ (Interferon gamma, IFNG) is an important cytokine involved in providing resistance to mycobacterial diseases. Common variants of IFNG, such as IFNG +874 T/A(rs2430561), may be related to tuberculosis susceptibility, but this association has not been consistently observed. We performed an updated meta-analysis to evaluate the association between the IFNG +874 T/A (rs2430561) polymorphism and tuberculosis susceptibility. PubMed and SinoMed databases were searched up to October 2016, and odds ratios (OR) and 95% confidence intervals (CI) were used to assess the association strength. Based on search criteria for manuscripts reporting tuberculosis susceptibility and its relationship with the IFNG +874 T/A(rs2430561)polymorphism, 42 case-control studies from 39 different articles were retrieved. Significantly positive, decreased, and protective associations were found between the IFNG +874 T/A(rs2430561)polymorphism and tuberculosis risk in five genetic models. Moreover, in the stratified subgroup analysis, a protective relationship was detected in four different ethnicities and sources of the control groups. Furthermore, the IFNG +874 T/A(rs2430561)polymorphism played an important role in protecting individuals from both pulmonary tuberculosis and extra-pulmonary tuberculosis. Our meta-analysis suggests that the IFNG +874 T/A(rs2430561)polymorphism is potentially associated with tuberculosis susceptibility and may be used as a predictive biomarker. Further studies with larger sample sizes and consideration of gene-environment interactions should be conducted to elucidate the role of IFNG +874 T/A(rs2430561) polymorphism in tuberculosis susceptibility.","container-title":"Oncotarget","DOI":"10.18632/oncotarget.17304","ISSN":"1949-2553","issue":"31","journalAbbreviation":"Oncotarget","language":"eng","note":"PMID: 28881572\nPMCID: PMC5584145","page":"50415-50429","source":"PubMed","title":"A single nucleotide polymorphism in the interferon-γ gene (IFNG +874 T/A) is associated with susceptibility to tuberculosis","volume":"8","author":[{"family":"Wei","given":"Zhang"},{"family":"Wenhao","given":"Shen"},{"family":"Yuanyuan","given":"Mi"},{"family":"Yang","given":"Li"},{"family":"Daming","given":"Zhou"},{"family":"Jiangchun","given":"Xian"},{"family":"Jijun","given":"Jiang"}],"issued":{"date-parts":[["2017",8,1]]}}}],"schema":"https://github.com/citation-style-language/schema/raw/master/csl-citation.json"} </w:instrText>
      </w:r>
      <w:r w:rsidR="0098277C">
        <w:fldChar w:fldCharType="separate"/>
      </w:r>
      <w:r w:rsidR="00B41ACC" w:rsidRPr="00B41ACC">
        <w:rPr>
          <w:rFonts w:cs="Times New Roman"/>
          <w:vertAlign w:val="superscript"/>
        </w:rPr>
        <w:t>189</w:t>
      </w:r>
      <w:r w:rsidR="0098277C">
        <w:fldChar w:fldCharType="end"/>
      </w:r>
      <w:r w:rsidR="0098277C">
        <w:t>. VDR (Rs2228570, rs731236, Vitamin D Receptor) Vitamin D-dependent antimicrobial responses are modulated by VDR polymorphisms. SNPs that impact immunological function and impact TB susceptibility include rs2228570 (FokI) and rs731236 (TaqI)</w:t>
      </w:r>
      <w:r w:rsidR="0098277C">
        <w:fldChar w:fldCharType="begin"/>
      </w:r>
      <w:r w:rsidR="00B41ACC">
        <w:instrText xml:space="preserve"> ADDIN ZOTERO_ITEM CSL_CITATION {"citationID":"tc8ZTNwK","properties":{"formattedCitation":"\\super 190,191\\nosupersub{}","plainCitation":"190,191","noteIndex":0},"citationItems":[{"id":937,"uris":["http://zotero.org/users/local/BfzbJtgR/items/6GE4Q4UG"],"itemData":{"id":937,"type":"article-journal","abstract":"The relationship of four potentially functional polymorphisms of the vitamin D receptor (VDR) gene, ApaI, BsmI, FokI and TaqI , with tuberculosis susceptibility were considered. The aim of this meta-analysis was to explore the association between the four polymorphisms and tuberculosis risk in different ethnic backgrounds. Eligible case-control studies that were catalogued before April 1(st) 2013 were enrolled, and the heterogeneity between the studies was evaluated using a χ(2) based Q-test. Fixed and random effect models were built to evaluate the association of the four polymorphisms with the risk of tuberculosis, and the association between the four polymorphisms and tuberculosis was expressed as the odds ratio (OR) and 95% confidence interval (CI). Finally, twenty nine qualified studies were enrolled for this meta-analysis that included 6179 tuberculosis cases and 6585 healthy controls. The variant homozygote genotype of the FokI polymorphism was associated with a significantly increased risk of tuberculosis when compared to the heterozygote and wild type homozygote genotypes in the Chinese population (ff vs. Ff+FF: OR(recessive) =1.97, 95%CI: 1.32-2.93, P(bonferroni) =0.0032; heterogeneity test: χ(2)=0.24, P=0.62). For European subjects, the homozygote and heterozygote genotypes of the BsmI polymorphism were associated with a significantly decreased risk of tuberculosis when compared to the wild type homozygote (bb+Bb vs. BB: OR(dominant) =0.41, 95%CI, 0.22-0.76, P(bonferroni) =0.02; heterogeneity test: χ(2)=2.59, P=0.11). Based on the above results, we conclude that variants of the VDR gene that are homozygous for the FokI polymorphism might be more susceptible to tuberculosis in Chinese. Furthermore, larger sample studies are warranted to confirm the protective effects of BsmI variants on tuberculosis in the Europeans.","container-title":"PloS One","DOI":"10.1371/journal.pone.0083843","ISSN":"1932-6203","issue":"12","journalAbbreviation":"PLoS One","language":"eng","note":"PMID: 24349552\nPMCID: PMC3862802","page":"e83843","source":"PubMed","title":"Vitamin D receptor gene polymorphisms on the risk of tuberculosis, a meta-analysis of 29 case-control studies","volume":"8","author":[{"family":"Chen","given":"Cheng"},{"family":"Liu","given":"Qiao"},{"family":"Zhu","given":"Limei"},{"family":"Yang","given":"Haitao"},{"family":"Lu","given":"Wei"}],"issued":{"date-parts":[["2013"]]}}},{"id":935,"uris":["http://zotero.org/users/local/BfzbJtgR/items/7BL8SZNQ"],"itemData":{"id":935,"type":"article-journal","abstract":"Objective\n              \n                Tuberculosis (TB) is the leading cause of mortality worldwide. Previous studies have reported that TB susceptibility can be caused by vitamin D deficiency, which is affected by polymorphisms in the vitamin D receptor (\n                VDR\n                ) gene. However, these results have been inconsistent. Therefore, we performed a meta-analysis to investigate the association between\n                VDR\n                polymorphisms and TB susceptibility.\n              \n            \n            \n              Methods\n              \n                We systematically searched for relevant literature in PubMed, Embase, and Medline databases through December 31st, 2022. Inclusion and exclusion criteria were made to ensure that HIV-negative population is the targeted subjects. The pooled odds ratio (\n                OR\n                ) and 95% confidence interval (\n                CI\n                ) were then used to assess the strength of the association, and the quality of the included articles was evaluated using the Newcastle–Ottawa Scale. Potential sources of heterogeneity were evaluated based on subgroup and meta-regression analyses.\n              \n            \n            \n              Results\n              \n                In our meta-analysis, we found that the FokI polymorphism in the\n                VDR\n                gene was associated with increased TB susceptibility in the allele and recessive genotype models (\n                OR\n                f vs. F = 1.235, 95%\n                CI\n                : 1.035–1.475;\n                OR\n                ff vs. Ff + FF = 1.317, 95%\n                CI\n                : 1.005–1.727. Further subgroup analysis based on ethnicity demonstrated the association with the risk of TB in all genotype models of the FokI polymorphism for Han population. Meta-regression analysis also indicated that ethnicity could be a potential source of heterogeneity in the FokI and BsmI polymorphisms in the\n                VDR\n                gene. However, publication year was another source of heterogeneity for the\n                Taq\n                I polymorphism.\n              \n            \n            \n              Conclusion\n              \n                In summary, the\n                Fok\n                I polymorphism in the\n                VDR\n                gene was found to increase the risk of TB in the HIV-negative population, both overall and in Asian populations. The findings presented in this paper could provide clues for preventing TB from the perspective of vitamin D supplementation, which is a controversial topic in the field of medicine and health.","container-title":"Frontiers in Genetics","DOI":"10.3389/fgene.2024.1382957","ISSN":"1664-8021","journalAbbreviation":"Front. Genet.","page":"1382957","source":"DOI.org (Crossref)","title":"Association between vitamin D receptor gene polymorphisms and susceptibility to tuberculosis: a systematic review and meta-analysis","title-short":"Association between vitamin D receptor gene polymorphisms and susceptibility to tuberculosis","volume":"15","author":[{"family":"Tao","given":"Rongshan"},{"family":"Xiao","given":"Shujuan"},{"family":"Wang","given":"Lianping"},{"family":"Hu","given":"Chunjie"},{"family":"Suo","given":"Huiqin"},{"family":"Long","given":"Ruiyu"},{"family":"Liu","given":"Hangyu"},{"family":"Luo","given":"Wei"},{"family":"Hong","given":"Feng"},{"family":"Zhao","given":"Jingming"},{"family":"Li","given":"Qingjie"}],"issued":{"date-parts":[["2024",8,20]]}}}],"schema":"https://github.com/citation-style-language/schema/raw/master/csl-citation.json"} </w:instrText>
      </w:r>
      <w:r w:rsidR="0098277C">
        <w:fldChar w:fldCharType="separate"/>
      </w:r>
      <w:r w:rsidR="00B41ACC" w:rsidRPr="00B41ACC">
        <w:rPr>
          <w:rFonts w:cs="Times New Roman"/>
          <w:vertAlign w:val="superscript"/>
        </w:rPr>
        <w:t>190,191</w:t>
      </w:r>
      <w:r w:rsidR="0098277C">
        <w:fldChar w:fldCharType="end"/>
      </w:r>
      <w:r w:rsidR="0098277C">
        <w:t>.</w:t>
      </w:r>
    </w:p>
    <w:p w:rsidR="00F564F9" w:rsidRDefault="0098277C" w:rsidP="00F861EB">
      <w:pPr>
        <w:pStyle w:val="Standard"/>
        <w:spacing w:before="280" w:after="280" w:line="276" w:lineRule="auto"/>
        <w:jc w:val="both"/>
      </w:pPr>
      <w:r w:rsidRPr="005D58B9">
        <w:rPr>
          <w:b/>
        </w:rPr>
        <w:t>HIV-</w:t>
      </w:r>
      <w:r w:rsidR="00347410">
        <w:t xml:space="preserve"> </w:t>
      </w:r>
      <w:r>
        <w:t>SNPs in immune response and viral restriction genes affect HIV pro</w:t>
      </w:r>
      <w:r w:rsidR="00853F8A">
        <w:t>gression and treatment results. CCR5 (rs333, Δ32 mutation)</w:t>
      </w:r>
      <w:r w:rsidR="005D58B9">
        <w:t xml:space="preserve"> </w:t>
      </w:r>
      <w:r w:rsidR="00853F8A">
        <w:t xml:space="preserve">- </w:t>
      </w:r>
      <w:r>
        <w:t>HIV enters CD4+ cells via the co-receptor CCR5. HIV cannot use CCR5 due to the Δ32 deletion (rs333), which makes it resistant to infection</w:t>
      </w:r>
      <w:r w:rsidR="00F564F9">
        <w:fldChar w:fldCharType="begin"/>
      </w:r>
      <w:r w:rsidR="00B41ACC">
        <w:instrText xml:space="preserve"> ADDIN ZOTERO_ITEM CSL_CITATION {"citationID":"97NB0AKf","properties":{"formattedCitation":"\\super 192\\nosupersub{}","plainCitation":"192","noteIndex":0},"citationItems":[{"id":940,"uris":["http://zotero.org/users/local/BfzbJtgR/items/IACLBSSK"],"itemData":{"id":940,"type":"article-journal","abstract":"The CCR5 chemokine receptor is exploited by HIV-1 to gain entry into CD4+ T cells. A deletion mutation (Delta32) confers resistance against HIV by obliterating the expression of the receptor on the cell surface. Intriguingly, this allele is young in evolutionary time, yet it has reached relatively high frequencies in Europe. These properties indicate that the mutation has been under intense positive selection. HIV-1 has not exerted selection for long enough on the human population to drive the CCR5-Delta32 allele to current frequencies, fueling debate regarding the selective pressure responsible for rise of the allele. The allele exists at appreciable frequencies only in Europe, and within Europe, the frequency is higher in the north. Here we review the population genetics of the CCR5 locus, the debate over the historical selective pressure acting on CCR5-Delta32, the inferences that can potentially be drawn from the geographic distribution of CCR5-Delta32 and the role that other genetic polymorphisms play in conferring resistance against HIV. We also discuss parallel evolution that has occurred at the CCR5 locus of other primate species. Finally, we highlight the promise that therapies based on interfering with the CCR5 receptor could have in the treatment of HIV.","container-title":"Microbes and Infection","DOI":"10.1016/j.micinf.2004.12.006","ISSN":"1286-4579","issue":"2","journalAbbreviation":"Microbes Infect","language":"eng","note":"PMID: 15715976","page":"302-309","source":"PubMed","title":"The evolutionary history of the CCR5-Delta32 HIV-resistance mutation","volume":"7","author":[{"family":"Galvani","given":"Alison P."},{"family":"Novembre","given":"John"}],"issued":{"date-parts":[["2005",2]]}}}],"schema":"https://github.com/citation-style-language/schema/raw/master/csl-citation.json"} </w:instrText>
      </w:r>
      <w:r w:rsidR="00F564F9">
        <w:fldChar w:fldCharType="separate"/>
      </w:r>
      <w:r w:rsidR="00B41ACC" w:rsidRPr="00B41ACC">
        <w:rPr>
          <w:rFonts w:cs="Times New Roman"/>
          <w:vertAlign w:val="superscript"/>
        </w:rPr>
        <w:t>192</w:t>
      </w:r>
      <w:r w:rsidR="00F564F9">
        <w:fldChar w:fldCharType="end"/>
      </w:r>
      <w:r>
        <w:t>. HLA-B*57 (rs9264942, rs2395029)</w:t>
      </w:r>
      <w:r w:rsidR="00F564F9">
        <w:t>.</w:t>
      </w:r>
      <w:r>
        <w:t xml:space="preserve"> Good control of HIV (low viral load without treatment) is linked to a protective allele. The HLA-B region's SNP rs2395029 improves immune-mediated viral suppression</w:t>
      </w:r>
      <w:r w:rsidR="00F564F9">
        <w:t xml:space="preserve"> </w:t>
      </w:r>
      <w:r w:rsidR="00F564F9">
        <w:fldChar w:fldCharType="begin"/>
      </w:r>
      <w:r w:rsidR="00B41ACC">
        <w:instrText xml:space="preserve"> ADDIN ZOTERO_ITEM CSL_CITATION {"citationID":"T3yKKaqH","properties":{"formattedCitation":"\\super 193\\nosupersub{}","plainCitation":"193","noteIndex":0},"citationItems":[{"id":942,"uris":["http://zotero.org/users/local/BfzbJtgR/items/UIZUDBSZ"],"itemData":{"id":942,"type":"article-journal","container-title":"Frontiers in Immunology","DOI":"10.3389/fimmu.2013.00118","ISSN":"1664-3224","journalAbbreviation":"Front. Immunol.","source":"DOI.org (Crossref)","title":"Immunogenetics: Genome-Wide Association of Non-Progressive HIV and Viral Load Control: HLA Genes and Beyond","title-short":"Immunogenetics","URL":"http://journal.frontiersin.org/article/10.3389/fimmu.2013.00118/abstract","volume":"4","author":[{"family":"Limou","given":"Sophie"},{"family":"Zagury","given":"Jean-François"}],"accessed":{"date-parts":[["2025",3,24]]},"issued":{"date-parts":[["2013"]]}}}],"schema":"https://github.com/citation-style-language/schema/raw/master/csl-citation.json"} </w:instrText>
      </w:r>
      <w:r w:rsidR="00F564F9">
        <w:fldChar w:fldCharType="separate"/>
      </w:r>
      <w:r w:rsidR="00B41ACC" w:rsidRPr="00B41ACC">
        <w:rPr>
          <w:rFonts w:cs="Times New Roman"/>
          <w:vertAlign w:val="superscript"/>
        </w:rPr>
        <w:t>193</w:t>
      </w:r>
      <w:r w:rsidR="00F564F9">
        <w:fldChar w:fldCharType="end"/>
      </w:r>
      <w:r>
        <w:t>.</w:t>
      </w:r>
      <w:r w:rsidR="00347410">
        <w:t xml:space="preserve"> </w:t>
      </w:r>
      <w:r w:rsidR="00F564F9">
        <w:t xml:space="preserve">SNPs in immune response and viral restriction genes affect HIV progression and treatment results. CCR5 (rs333, Δ32 mutation) HIV enters CD4+ cells via the co-receptor CCR5. (rs8177832, rs5757463) APOBEC3G encodes an antiviral enzyme that causes HIV to undergo hypermutation </w:t>
      </w:r>
      <w:r w:rsidR="00F564F9">
        <w:fldChar w:fldCharType="begin"/>
      </w:r>
      <w:r w:rsidR="00B41ACC">
        <w:instrText xml:space="preserve"> ADDIN ZOTERO_ITEM CSL_CITATION {"citationID":"06aeQ2bt","properties":{"formattedCitation":"\\super 194\\nosupersub{}","plainCitation":"194","noteIndex":0},"citationItems":[{"id":944,"uris":["http://zotero.org/users/local/BfzbJtgR/items/BJMPGECD"],"itemData":{"id":944,"type":"article-journal","abstract":"The cytosine deaminase APOBEC3G, in the absence of the human immunodeficiency virus type 1 (HIV-1) accessory gene HIV-1 viral infectivity factor (vif), inhibits viral replication by introducing G--&gt;A hypermutation in the newly synthesized HIV-1 DNA negative strand. We tested the hypothesis that genetic variants of APOBEC3G may modify HIV-1 transmission and disease progression. Single nucleotide polymorphisms were identified in the promoter region (three), introns (two), and exons (two). Genotypes were determined for 3,073 study participants enrolled in six HIV-AIDS prospective cohorts. One codon-changing variant, H186R in exon 4, was polymorphic in African Americans (AA) (f = 37%) and rare in European Americans (f &lt; 3%) or Europeans (f = 5%). For AA, the variant allele 186R was strongly associated with decline in CD4 T cells (CD4 slope on square root scale: -1.86, P = 0.009), The 186R allele was also associated with accelerated progression to AIDS-defining conditions in AA. The in vitro antiviral activity of the 186R enzyme was not inferior to that of the common H186 variant. These studies suggest that there may be a modifying role of variants of APOBEC3G on HIV-1 disease progression that warrants further investigation.","container-title":"Journal of Virology","DOI":"10.1128/JVI.78.20.11070-11076.2004","ISSN":"0022-538X","issue":"20","journalAbbreviation":"J Virol","language":"eng","note":"PMID: 15452227\nPMCID: PMC521814","page":"11070-11076","source":"PubMed","title":"APOBEC3G genetic variants and their influence on the progression to AIDS","volume":"78","author":[{"family":"An","given":"Ping"},{"family":"Bleiber","given":"Gabriela"},{"family":"Duggal","given":"Priya"},{"family":"Nelson","given":"George"},{"family":"May","given":"Margaret"},{"family":"Mangeat","given":"Bastien"},{"family":"Alobwede","given":"Irene"},{"family":"Trono","given":"Didier"},{"family":"Vlahov","given":"David"},{"family":"Donfield","given":"Sharyne"},{"family":"Goedert","given":"James J."},{"family":"Phair","given":"John"},{"family":"Buchbinder","given":"Susan"},{"family":"O'Brien","given":"Stephen J."},{"family":"Telenti","given":"Amalio"},{"family":"Winkler","given":"Cheryl A."}],"issued":{"date-parts":[["2004",10]]}}}],"schema":"https://github.com/citation-style-language/schema/raw/master/csl-citation.json"} </w:instrText>
      </w:r>
      <w:r w:rsidR="00F564F9">
        <w:fldChar w:fldCharType="separate"/>
      </w:r>
      <w:r w:rsidR="00B41ACC" w:rsidRPr="00B41ACC">
        <w:rPr>
          <w:rFonts w:cs="Times New Roman"/>
          <w:vertAlign w:val="superscript"/>
        </w:rPr>
        <w:t>194</w:t>
      </w:r>
      <w:r w:rsidR="00F564F9">
        <w:fldChar w:fldCharType="end"/>
      </w:r>
      <w:r w:rsidR="00F564F9">
        <w:t xml:space="preserve">. SNPs change the efficiency of HIV replication by influencing APOBEC3G activity. IFNL3 (rs12979860, rs8099917, IL28B) impacts the immune system's reaction to HIV </w:t>
      </w:r>
      <w:r w:rsidR="00F564F9">
        <w:lastRenderedPageBreak/>
        <w:t>and HCV co-infection. Better management of HCV/HIV co-infection is associated with the rs12979860 CC genotype</w:t>
      </w:r>
      <w:r w:rsidR="00853F8A">
        <w:t xml:space="preserve"> </w:t>
      </w:r>
      <w:r w:rsidR="00853F8A">
        <w:fldChar w:fldCharType="begin"/>
      </w:r>
      <w:r w:rsidR="00B41ACC">
        <w:instrText xml:space="preserve"> ADDIN ZOTERO_ITEM CSL_CITATION {"citationID":"fcmzDkZd","properties":{"formattedCitation":"\\super 195,196\\nosupersub{}","plainCitation":"195,196","noteIndex":0},"citationItems":[{"id":947,"uris":["http://zotero.org/users/local/BfzbJtgR/items/LXTTW4QD"],"itemData":{"id":947,"type":"article-journal","abstract":"BACKGROUND &amp; AIMS: Single nucleotide polymorphisms (SNPs) near the interferon lambda 3 (IFNL3, previously known as IL28B) region are the strongest baseline predictors of sustained virologic response (SVR) to pegylated interferon and ribavirin therapy in hepatitis C virus (HCV) genotype 1 infection. Whether IFNL3 SNPs influence treatment response in genotype 2 and 3 (HCV-2/3) infection remains controversial. This study sought to clarify in a large cohort, whether SNPs in the IFNL3 region are associated with treatment response in HCV-2/3 patients.\nMETHODS: The cohort comprised 1002 HCV-2/3 Caucasians patients treated with pegylated interferon-alpha and ribavirin who underwent genotyping for the SNPs rs12979860 and rs8099917.\nRESULTS: Overall, 736 (73.5%) patients achieved SVR (81.9%, 67.9%, and 57.8% for rs12979860 CC, CT, and TT [p = 0.0001]; 78%, 68.7%, and 46.3% for rs8099917 TT, TG, and GG [p = 0.0001]). By logistic regression, both rs12979860 CC and rs8099917 TT were independent predictors of SVR with an odds ratio (OR) of 2.39 (1.19-3.81) p = 0.0001 and OR 1.85 (1.15-2.23) p = 0.0001, respectively. IFNL3 responder genotypes were more frequent in relapsers than null-responders (p = 0.0001 for both SNPs). On-treatment rapid virological response (RVR) was predictive of SVR only in those individuals with IFNL3 non-responder genotypes (rs12979860 CT/TT and rs8099917 TG/GG).\nCONCLUSIONS: This adequately powered study in patients with HCV genotypes 2 or 3 infection clearly demonstrates that IFNL3 genotypes are the strongest baseline predictor of SVR, in keeping with the known association for genotype 1 infection. IFNL3 genotyping can aid in therapeutic decision making for these patients.","container-title":"Journal of Hepatology","DOI":"10.1016/j.jhep.2014.03.039","ISSN":"1600-0641","issue":"2","journalAbbreviation":"J Hepatol","language":"eng","note":"PMID: 24768758","page":"235-241","source":"PubMed","title":"IFNL3 polymorphisms predict response to therapy in chronic hepatitis C genotype 2/3 infection","volume":"61","author":[{"family":"Eslam","given":"Mohammed"},{"family":"Leung","given":"Reynold"},{"family":"Romero-Gomez","given":"Manuel"},{"family":"Mangia","given":"Alessandra"},{"family":"Irving","given":"William L."},{"family":"Sheridan","given":"David"},{"family":"Spengler","given":"Ulrich"},{"family":"Mollison","given":"Lindsay"},{"family":"Cheng","given":"Wendy"},{"family":"Bugianesi","given":"Elisabetta"},{"family":"McLeod","given":"Duncan"},{"family":"Zaitoun","given":"Abed M."},{"family":"Attino","given":"Vito"},{"family":"Goeltz","given":"Diane"},{"family":"Nattermann","given":"Jacob"},{"family":"Douglas","given":"Mark"},{"family":"Booth","given":"David R."},{"family":"George","given":"Jacob"},{"family":"Ahlenstiel","given":"Golo"}],"issued":{"date-parts":[["2014",8]]}}},{"id":949,"uris":["http://zotero.org/users/local/BfzbJtgR/items/JJ63LJWC"],"itemData":{"id":949,"type":"article-journal","abstract":"BACKGROUND: Liver fibrosis progresses faster in individuals coinfected with human immunodeficiency virus (HIV) and hepatitis C virus (HCV). Interferon λ3 (IFN-λ3) has both antiviral and proinflammatory properties. Genotypes at IFNL single-nucleotide proteins (SNPs; rs12979860CC and rs8099917TT) are linked to higher HCV clearance, potentially via rs8103142. We examined the relationship between IFN-λ genotypes and significant liver fibrosis in HIV-HCV coinfection.\nMETHODS: From the prospective Canadian Co-infection Cohort (n = 1423), HCV RNA-positive participants in whom IFN-λ genotypes were detected and who were free of fibrosis, end-stage liver disease, and chronic hepatitis B at baseline (n = 485) were included. Time to significant fibrosis (defined as an aspartate transaminase level to platelet count ratio index [APRI] of ≥1.5) by IFN-λ genotypes was analyzed using Cox proportional hazards, with adjustment for age, sex, ethnicity, alcohol use, CD4(+) T-cell count, HCV genotype, γ-glutamyl transferase level, and baseline APRI. Haplotype analysis was performed, with adjustment for ethnicity.\nRESULTS: A total of 125 participants developed fibrosis over 1595 person-years (7.84 cases/100 person-years; 95% confidence interval [CI], 6.58-9.34 cases/100 person-years). Each genotype was associated with an increased fibrosis risk, with adjusted hazard ratios of 1.37 (95% CI, .94-2.02) for rs12979860CC, 1.34 (95% CI, .91-1.97) for rs8103142TT, and 1.79 (95% CI, 1.24-2.57) for rs8099917TT. Haplotype TCT was also linked with a higher risk (hazard ratio, 1.14 [95% CI, .73-1.77]).\nCONCLUSIONS: IFN-λ SNPs rs12979860, rs8099917, and rs81013142 were individually linked to higher rates of fibrosis in individuals with HIV-HCV coinfection. IFN-λ genotypes may be useful to target HCV treatments to people who are at higher risk of liver disease.","container-title":"The Journal of Infectious Diseases","DOI":"10.1093/infdis/jiw088","ISSN":"1537-6613","issue":"1","journalAbbreviation":"J Infect Dis","language":"eng","note":"PMID: 26984148\nPMCID: PMC4907413","page":"80-86","source":"PubMed","title":"Responder Interferon λ Genotypes Are Associated With Higher Risk of Liver Fibrosis in HIV-Hepatitis C Virus Coinfection","volume":"214","author":[{"family":"Moqueet","given":"Nasheed"},{"family":"Cooper","given":"Curtis"},{"family":"Gill","given":"John"},{"family":"Hull","given":"Mark"},{"family":"Platt","given":"Robert W."},{"family":"Klein","given":"Marina B."},{"literal":"Canadian Co-infection Cohort"}],"issued":{"date-parts":[["2016",7,1]]}}}],"schema":"https://github.com/citation-style-language/schema/raw/master/csl-citation.json"} </w:instrText>
      </w:r>
      <w:r w:rsidR="00853F8A">
        <w:fldChar w:fldCharType="separate"/>
      </w:r>
      <w:r w:rsidR="00B41ACC" w:rsidRPr="00B41ACC">
        <w:rPr>
          <w:rFonts w:cs="Times New Roman"/>
          <w:vertAlign w:val="superscript"/>
        </w:rPr>
        <w:t>195,196</w:t>
      </w:r>
      <w:r w:rsidR="00853F8A">
        <w:fldChar w:fldCharType="end"/>
      </w:r>
      <w:r w:rsidR="00F564F9">
        <w:t>.</w:t>
      </w:r>
    </w:p>
    <w:p w:rsidR="00CA2519" w:rsidRPr="00342A70" w:rsidRDefault="005D58B9" w:rsidP="00F861EB">
      <w:pPr>
        <w:pStyle w:val="Standard"/>
        <w:spacing w:before="280" w:after="280" w:line="276" w:lineRule="auto"/>
        <w:jc w:val="both"/>
        <w:rPr>
          <w:b/>
        </w:rPr>
      </w:pPr>
      <w:r w:rsidRPr="005D58B9">
        <w:rPr>
          <w:b/>
        </w:rPr>
        <w:t>Malaria</w:t>
      </w:r>
      <w:r w:rsidR="0060104A" w:rsidRPr="005D58B9">
        <w:rPr>
          <w:b/>
        </w:rPr>
        <w:t xml:space="preserve">- </w:t>
      </w:r>
      <w:r w:rsidR="0060104A" w:rsidRPr="0060104A">
        <w:t>Sickle</w:t>
      </w:r>
      <w:r w:rsidRPr="005D58B9">
        <w:t xml:space="preserve"> Cell Anemia (rs334): Sickle cell disease is caused by mutations in the HBB gene, which codes for hemoglobin. One such mutation is the rs334 SNP. Because sickle-shaped red blood cells are less hospitable to Plasmodium falciparum, heterozygous carriers of the sickle cell trait (AS genotype) are more resistant to malaria</w:t>
      </w:r>
      <w:r>
        <w:t xml:space="preserve"> </w:t>
      </w:r>
      <w:r>
        <w:fldChar w:fldCharType="begin"/>
      </w:r>
      <w:r w:rsidR="00B41ACC">
        <w:instrText xml:space="preserve"> ADDIN ZOTERO_ITEM CSL_CITATION {"citationID":"uOcH7WIs","properties":{"formattedCitation":"\\super 197\\nosupersub{}","plainCitation":"197","noteIndex":0},"citationItems":[{"id":952,"uris":["http://zotero.org/users/local/BfzbJtgR/items/LJGCJ5IX"],"itemData":{"id":952,"type":"article-journal","abstract":"In the 100 years since sickle cell anemia (SCA) was first described in the medical literature, studies of its molecular and pathophysiological basis have been at the vanguard of scientific discovery. By contrast, the translation of such knowledge into treatments that improve the lives of those affected has been much too slow. Recent years, however, have seen major advances on several fronts. A more detailed understanding of the switch from fetal to adult hemoglobin and the identification of regulators such as BCL11A provide hope that these findings will be translated into genomic-based approaches to the therapeutic reactivation of hemoglobin F production in patients with SCA. Meanwhile, an unprecedented number of new drugs aimed at both the treatment and prevention of end-organ damage are now in the pipeline, outcomes from potentially curative treatments such as allogeneic hematopoietic stem cell transplantation are improving, and great strides are being made in gene therapy, where methods employing both antisickling β-globin lentiviral vectors and gene editing are now entering clinical trials. Encouragingly, after a century of neglect, the profile of the vast majority of those with SCA in Africa and India is also finally improving.","container-title":"Annual Review of Genomics and Human Genetics","DOI":"10.1146/annurev-genom-083117-021320","ISSN":"1545-293X","journalAbbreviation":"Annu Rev Genomics Hum Genet","language":"eng","note":"PMID: 29641911\nPMCID: PMC7613509","page":"113-147","source":"PubMed","title":"Sickle Cell Anemia and Its Phenotypes","volume":"19","author":[{"family":"Williams","given":"Thomas N."},{"family":"Thein","given":"Swee Lay"}],"issued":{"date-parts":[["2018",8,31]]}}}],"schema":"https://github.com/citation-style-language/schema/raw/master/csl-citation.json"} </w:instrText>
      </w:r>
      <w:r>
        <w:fldChar w:fldCharType="separate"/>
      </w:r>
      <w:r w:rsidR="00B41ACC" w:rsidRPr="00B41ACC">
        <w:rPr>
          <w:rFonts w:cs="Times New Roman"/>
          <w:vertAlign w:val="superscript"/>
        </w:rPr>
        <w:t>197</w:t>
      </w:r>
      <w:r>
        <w:fldChar w:fldCharType="end"/>
      </w:r>
      <w:r w:rsidRPr="005D58B9">
        <w:t>.</w:t>
      </w:r>
      <w:r w:rsidR="00347410">
        <w:rPr>
          <w:b/>
        </w:rPr>
        <w:t xml:space="preserve"> </w:t>
      </w:r>
      <w:r>
        <w:t xml:space="preserve">G6PD Deficiency (rs1050828): An enzyme involved in the metabolism of red blood cells is encoded by the G6PD gene. Hemolysis under oxidative stress can result from an enzyme deficiency brought on by different SNPs in the G6PD gene, which may provide some protection against malaria, particularly </w:t>
      </w:r>
      <w:r w:rsidRPr="007E79EF">
        <w:rPr>
          <w:i/>
        </w:rPr>
        <w:t>P. falciparum</w:t>
      </w:r>
      <w:r>
        <w:t xml:space="preserve">. However, exposure to specific triggers, such </w:t>
      </w:r>
      <w:r w:rsidR="002447AB">
        <w:t xml:space="preserve">as </w:t>
      </w:r>
      <w:r>
        <w:t>fava beans or specific drugs, increases the risk of hemolyti</w:t>
      </w:r>
      <w:r w:rsidR="002447AB">
        <w:t xml:space="preserve">c anemia. </w:t>
      </w:r>
      <w:r>
        <w:t>One of the most researched SNPs in G6PD deficiency is rs1050828, which can affect a person's susceptibility to malaria</w:t>
      </w:r>
      <w:r w:rsidR="002447AB">
        <w:t xml:space="preserve"> </w:t>
      </w:r>
      <w:r w:rsidR="002447AB">
        <w:fldChar w:fldCharType="begin"/>
      </w:r>
      <w:r w:rsidR="00B41ACC">
        <w:instrText xml:space="preserve"> ADDIN ZOTERO_ITEM CSL_CITATION {"citationID":"SMoyYZ9B","properties":{"formattedCitation":"\\super 198\\nosupersub{}","plainCitation":"198","noteIndex":0},"citationItems":[{"id":955,"uris":["http://zotero.org/users/local/BfzbJtgR/items/YWAW8NFP"],"itemData":{"id":955,"type":"article-journal","abstract":"Introduction: Malaria is one of the strongest known forces of evolutionary selection in the recent history of the human genome, having had important implications in human adaptation and in the response to its infections. The objective of this systematic review was to provide an update on human genetics that have been described as affecting the human susceptibility to malaria around the world and particularly in Africa. Methods: Through world wide web research vectors and using PubMed and Google Scholar, we reviewed relevant original articles, review papers, short reports, and peer-reviewed papers on human genetics factors described as related to human susceptibility to malaria. Here, we reviewed the literature on human genetic polymorphisms associated with protection from Plasmodium infections and/or disease. Results: After reviewing and summarizing 140 manuscripts, we found that several factors appeared to hamper an effective control of malaria, including the complex biology of Plasmodium parasites, parasite genetic diversity, environmental factors, resistance to antimalarial drugs, and the lack of a highly effective vaccine for public health use. Although the cellular and molecular regulatory mechanisms underlying the pathogenesis of disease are still not fully understood, it is well-established that genetic determinants of the host play an important role in the outcome of infection and the severity of the disease. Conclusions: The interaction between malaria parasites and humans has led to the selection of several inherited traits conferring protection against malaria, such as hemoglobinopathies, enzymopathies, and immunogenetic variation, whilst others’ polymorphism describes susceptibility to the infection.","container-title":"African Journal of Parasitology, Mycology and Entomology","DOI":"10.35995/ajpme1010006","ISSN":"1987-1473","issue":"1","journalAbbreviation":"AJPME","language":"en","license":"https://creativecommons.org/licenses/by/4.0/","page":"1","source":"DOI.org (Crossref)","title":"Human Genetic Factors as Determinants of Resistance to Malaria: A systematic Review","title-short":"Human Genetic Factors as Determinants of Resistance to Malaria","volume":"1","author":[{"family":"Fofana","given":"Bakary"},{"family":"Takala-Harrison","given":"Shannon"},{"family":"Ouattara","given":"Amed"},{"family":"Djimdé","given":"Abdoulaye"}],"issued":{"date-parts":[["2023",6,15]]}}}],"schema":"https://github.com/citation-style-language/schema/raw/master/csl-citation.json"} </w:instrText>
      </w:r>
      <w:r w:rsidR="002447AB">
        <w:fldChar w:fldCharType="separate"/>
      </w:r>
      <w:r w:rsidR="00B41ACC" w:rsidRPr="00B41ACC">
        <w:rPr>
          <w:rFonts w:cs="Times New Roman"/>
          <w:vertAlign w:val="superscript"/>
        </w:rPr>
        <w:t>198</w:t>
      </w:r>
      <w:r w:rsidR="002447AB">
        <w:fldChar w:fldCharType="end"/>
      </w:r>
      <w:r>
        <w:t>.</w:t>
      </w:r>
      <w:r w:rsidR="008135C6">
        <w:t xml:space="preserve"> </w:t>
      </w:r>
      <w:r w:rsidR="00347410">
        <w:t>Thalassemia c</w:t>
      </w:r>
      <w:r w:rsidRPr="005D58B9">
        <w:t>arriers with alpha or beta thalassemia exhibit higher resistance to malaria, much as those with sickle cell disease. This is probably because the changed structure of red blood cells makes it more difficult for the parasite to infect the cells</w:t>
      </w:r>
      <w:r w:rsidR="002447AB">
        <w:t xml:space="preserve"> </w:t>
      </w:r>
      <w:r w:rsidR="002447AB">
        <w:fldChar w:fldCharType="begin"/>
      </w:r>
      <w:r w:rsidR="00B41ACC">
        <w:instrText xml:space="preserve"> ADDIN ZOTERO_ITEM CSL_CITATION {"citationID":"ferlzBkK","properties":{"formattedCitation":"\\super 198\\nosupersub{}","plainCitation":"198","noteIndex":0},"citationItems":[{"id":955,"uris":["http://zotero.org/users/local/BfzbJtgR/items/YWAW8NFP"],"itemData":{"id":955,"type":"article-journal","abstract":"Introduction: Malaria is one of the strongest known forces of evolutionary selection in the recent history of the human genome, having had important implications in human adaptation and in the response to its infections. The objective of this systematic review was to provide an update on human genetics that have been described as affecting the human susceptibility to malaria around the world and particularly in Africa. Methods: Through world wide web research vectors and using PubMed and Google Scholar, we reviewed relevant original articles, review papers, short reports, and peer-reviewed papers on human genetics factors described as related to human susceptibility to malaria. Here, we reviewed the literature on human genetic polymorphisms associated with protection from Plasmodium infections and/or disease. Results: After reviewing and summarizing 140 manuscripts, we found that several factors appeared to hamper an effective control of malaria, including the complex biology of Plasmodium parasites, parasite genetic diversity, environmental factors, resistance to antimalarial drugs, and the lack of a highly effective vaccine for public health use. Although the cellular and molecular regulatory mechanisms underlying the pathogenesis of disease are still not fully understood, it is well-established that genetic determinants of the host play an important role in the outcome of infection and the severity of the disease. Conclusions: The interaction between malaria parasites and humans has led to the selection of several inherited traits conferring protection against malaria, such as hemoglobinopathies, enzymopathies, and immunogenetic variation, whilst others’ polymorphism describes susceptibility to the infection.","container-title":"African Journal of Parasitology, Mycology and Entomology","DOI":"10.35995/ajpme1010006","ISSN":"1987-1473","issue":"1","journalAbbreviation":"AJPME","language":"en","license":"https://creativecommons.org/licenses/by/4.0/","page":"1","source":"DOI.org (Crossref)","title":"Human Genetic Factors as Determinants of Resistance to Malaria: A systematic Review","title-short":"Human Genetic Factors as Determinants of Resistance to Malaria","volume":"1","author":[{"family":"Fofana","given":"Bakary"},{"family":"Takala-Harrison","given":"Shannon"},{"family":"Ouattara","given":"Amed"},{"family":"Djimdé","given":"Abdoulaye"}],"issued":{"date-parts":[["2023",6,15]]}}}],"schema":"https://github.com/citation-style-language/schema/raw/master/csl-citation.json"} </w:instrText>
      </w:r>
      <w:r w:rsidR="002447AB">
        <w:fldChar w:fldCharType="separate"/>
      </w:r>
      <w:r w:rsidR="00B41ACC" w:rsidRPr="00B41ACC">
        <w:rPr>
          <w:rFonts w:cs="Times New Roman"/>
          <w:vertAlign w:val="superscript"/>
        </w:rPr>
        <w:t>198</w:t>
      </w:r>
      <w:r w:rsidR="002447AB">
        <w:fldChar w:fldCharType="end"/>
      </w:r>
      <w:r w:rsidR="002447AB">
        <w:t>.</w:t>
      </w:r>
      <w:r w:rsidR="008135C6">
        <w:rPr>
          <w:b/>
        </w:rPr>
        <w:t xml:space="preserve"> </w:t>
      </w:r>
      <w:r w:rsidR="002447AB" w:rsidRPr="002447AB">
        <w:rPr>
          <w:i/>
        </w:rPr>
        <w:t>Plasmodium vivax</w:t>
      </w:r>
      <w:r w:rsidR="002447AB" w:rsidRPr="002447AB">
        <w:t xml:space="preserve"> enters red blood cells using a receptor encoded by the DARC gene, which results in the Duffy Negative Phenotype (rs2814778). People who have a mutation in the DARC gene (rs2814778) are immune to </w:t>
      </w:r>
      <w:r w:rsidR="002447AB" w:rsidRPr="00B017ED">
        <w:rPr>
          <w:i/>
        </w:rPr>
        <w:t>P. vivax</w:t>
      </w:r>
      <w:r w:rsidR="002447AB" w:rsidRPr="002447AB">
        <w:t xml:space="preserve"> malaria because their red blood cells do not have the receptor. Due to the prevalence of the </w:t>
      </w:r>
      <w:r w:rsidR="002447AB">
        <w:t>Duffy-negative</w:t>
      </w:r>
      <w:r w:rsidR="002447AB" w:rsidRPr="002447AB">
        <w:t xml:space="preserve"> gene, this condition is typical in sub-Saharan Africa</w:t>
      </w:r>
      <w:r w:rsidR="002447AB">
        <w:fldChar w:fldCharType="begin"/>
      </w:r>
      <w:r w:rsidR="00B41ACC">
        <w:instrText xml:space="preserve"> ADDIN ZOTERO_ITEM CSL_CITATION {"citationID":"l6LoxlaE","properties":{"formattedCitation":"\\super 199,200\\nosupersub{}","plainCitation":"199,200","noteIndex":0},"citationItems":[{"id":958,"uris":["http://zotero.org/users/local/BfzbJtgR/items/SV8GAR4Y"],"itemData":{"id":958,"type":"article-journal","abstract":"BACKGROUND: Malaria remains a significant cause of morbidity and mortality in Ethiopia with an estimated 3.8 million cases in 2021 and 61% of the population living in areas at risk of malaria transmission. Throughout the country Plasmodium vivax and Plasmodium falciparum are co-endemic, and Duffy expression is highly heterogeneous. The public health significance of Duffy negativity in relation to P. vivax malaria in Ethiopia, however, remains unclear. This study seeks to explore the prevalence and rates of P. vivax malaria infection across Duffy phenotypes in clinical and community settings.\nMETHODS: A total of 9580 and 4667 subjects from community and health facilities from a malaria endemic site and an epidemic-prone site in western Ethiopia were enrolled and examined for P. vivax infection and Duffy expression from February 2018 to April 2021. Association between Duffy expression, P. vivax and P. falciparum infections were examined for samples collected from asymptomatic community volunteers and symptomatic subjects from health centres.\nRESULTS: Infection rate of P. vivax among Duffy positives was 2-22 fold higher than Duffy negatives in asymptomatic volunteers from the community. Parasite positivity rate was 10-50 fold higher in Duffy positives than Duffy negatives among samples collected from febrile patients attending health centres and mixed P. vivax and P. falciparum infections were significantly more common than P. vivax mono infections among Duffy negative individuals. Plasmodium vivax parasitaemia measured by 18sRNA parasite gene copy number was similar between Duffy positives and Duffy negatives.\nCONCLUSIONS: Duffy negativity does not offer complete protection against infection by P. vivax, and cases of P. vivax in Duffy negatives are widespread in Ethiopia, being found in asymptomatic volunteers from communities and in febrile patients from health centres. These findings offer evidence for consideration when developing control and intervention strategies in areas of endemic P. vivax and Duffy heterogeneity.","container-title":"Malaria Journal","DOI":"10.1186/s12936-024-04895-1","ISSN":"1475-2875","issue":"1","journalAbbreviation":"Malar J","language":"eng","note":"PMID: 38486245\nPMCID: PMC10941426","page":"76","source":"PubMed","title":"Epidemiology of Plasmodium vivax in Duffy negatives and Duffy positives from community and health centre collections in Ethiopia","volume":"23","author":[{"family":"Bradley","given":"Lauren"},{"family":"Yewhalaw","given":"Delenasaw"},{"family":"Hemming-Schroeder","given":"Elizabeth"},{"family":"Jeang","given":"Brook"},{"family":"Lee","given":"Ming-Chieh"},{"family":"Zemene","given":"Endalew"},{"family":"Degefa","given":"Teshome"},{"family":"Lo","given":"Eugenia"},{"family":"King","given":"Christopher"},{"family":"Kazura","given":"James"},{"family":"Yan","given":"Guiyun"}],"issued":{"date-parts":[["2024",3,14]]}}},{"id":957,"uris":["http://zotero.org/users/local/BfzbJtgR/items/62ZLK8TK"],"itemData":{"id":957,"type":"book","title":"Blood Groups and Red Cell Antigens [Internet]. Bethesda (MD): National Center for Biotechnology Information (US); Chapter 9, The Duffy blood group.","URL":"https://www.ncbi.nlm.nih.gov/books/NBK2271/","author":[{"family":"Dean","given":"L"}],"issued":{"date-parts":[["2005"]]}}}],"schema":"https://github.com/citation-style-language/schema/raw/master/csl-citation.json"} </w:instrText>
      </w:r>
      <w:r w:rsidR="002447AB">
        <w:fldChar w:fldCharType="separate"/>
      </w:r>
      <w:r w:rsidR="00B41ACC" w:rsidRPr="00B41ACC">
        <w:rPr>
          <w:rFonts w:cs="Times New Roman"/>
          <w:vertAlign w:val="superscript"/>
        </w:rPr>
        <w:t>199,200</w:t>
      </w:r>
      <w:r w:rsidR="002447AB">
        <w:fldChar w:fldCharType="end"/>
      </w:r>
      <w:r w:rsidR="002447AB" w:rsidRPr="002447AB">
        <w:t>.</w:t>
      </w:r>
      <w:r w:rsidR="002447AB">
        <w:t xml:space="preserve"> HLA Class I and II SNPs: </w:t>
      </w:r>
      <w:r w:rsidR="004A48C4">
        <w:t>Malaria</w:t>
      </w:r>
      <w:r w:rsidR="002447AB">
        <w:t xml:space="preserve"> susceptibility has been linked to variations in HLA genes, which are implicated in immunological responses. Certain SNPs in HLA alleles, like HLA-B*53 and HLA-DRB1, alter how well the immune system reacts to Plasmodium antigens, which in turn affects how severe the illness is. According to studies, some HLA genotypes enhance vulnerability to malaria, while others provide protection</w:t>
      </w:r>
      <w:r w:rsidR="009C23E2">
        <w:t xml:space="preserve"> </w:t>
      </w:r>
      <w:r w:rsidR="00CA2519">
        <w:fldChar w:fldCharType="begin"/>
      </w:r>
      <w:r w:rsidR="00B41ACC">
        <w:instrText xml:space="preserve"> ADDIN ZOTERO_ITEM CSL_CITATION {"citationID":"qSmetLy8","properties":{"formattedCitation":"\\super 201\\nosupersub{}","plainCitation":"201","noteIndex":0},"citationItems":[{"id":961,"uris":["http://zotero.org/users/local/BfzbJtgR/items/LRFY9GCV"],"itemData":{"id":961,"type":"article-journal","container-title":"Nature","DOI":"10.1038/352595a0","ISSN":"0028-0836, 1476-4687","issue":"6336","journalAbbreviation":"Nature","language":"en","page":"595-600","source":"DOI.org (Crossref)","title":"Common West African HLA antigens are associated with protection from severe malaria","volume":"352","author":[{"family":"Hill","given":"Adrian V. S."},{"family":"Allsopp","given":"Catherine E. M."},{"family":"Kwiatkowski","given":"Dominic"},{"family":"Anstey","given":"Nicholas M."},{"family":"Twumasi","given":"Patrick"},{"family":"Rowe","given":"Pamela A."},{"family":"Bennett","given":"Stephen"},{"family":"Brewster","given":"David"},{"family":"McMichael","given":"Andrew J."},{"family":"Greenwood","given":"Brian M."}],"issued":{"date-parts":[["1991",8]]}}}],"schema":"https://github.com/citation-style-language/schema/raw/master/csl-citation.json"} </w:instrText>
      </w:r>
      <w:r w:rsidR="00CA2519">
        <w:fldChar w:fldCharType="separate"/>
      </w:r>
      <w:r w:rsidR="00B41ACC" w:rsidRPr="00B41ACC">
        <w:rPr>
          <w:rFonts w:cs="Times New Roman"/>
          <w:vertAlign w:val="superscript"/>
        </w:rPr>
        <w:t>201</w:t>
      </w:r>
      <w:r w:rsidR="00CA2519">
        <w:fldChar w:fldCharType="end"/>
      </w:r>
      <w:r w:rsidR="002447AB">
        <w:t>.</w:t>
      </w:r>
      <w:r w:rsidR="008135C6">
        <w:rPr>
          <w:b/>
        </w:rPr>
        <w:t xml:space="preserve"> </w:t>
      </w:r>
      <w:r w:rsidR="00CA2519" w:rsidRPr="00CA2519">
        <w:t>The cytokine encoded by the TNF-α gene (rs1800629) is implicated in the immunological response. Because TNF-α contributes to the inflammatory response to malaria infection, the rs1800629 SNP has been linked to malaria susceptibility. Severe malaria, particularly in children, has been associated with elevated TNF-α levels</w:t>
      </w:r>
      <w:r w:rsidR="00CA2519">
        <w:t xml:space="preserve"> </w:t>
      </w:r>
      <w:r w:rsidR="00CA2519">
        <w:fldChar w:fldCharType="begin"/>
      </w:r>
      <w:r w:rsidR="00B41ACC">
        <w:instrText xml:space="preserve"> ADDIN ZOTERO_ITEM CSL_CITATION {"citationID":"LpksbAuE","properties":{"formattedCitation":"\\super 202\\nosupersub{}","plainCitation":"202","noteIndex":0},"citationItems":[{"id":963,"uris":["http://zotero.org/users/local/BfzbJtgR/items/E67ZAETF"],"itemData":{"id":963,"type":"article-journal","abstract":"The multifactorial pathogenesis of severe malaria is partly attributed to host genes, such as those encoding cytokines involved in complex inflammatory reactions, namely tumor necrosis factor-alpha (TNF-α). However, the relationship between TNF-α -308G &gt;A gene polymorphism (rs1800629) and the severity of Plasmodium falciparum (P. falciparum) malaria remains unclear, which prompts a meta-analysis to obtain more precise estimates. The present meta-analysis aimed to better understand this correlation and provide insight into its association in populations with different ethnicities. Literature search outcomes included eight eligible articles in which TNF-α -308G &gt;A polymorphism was determined in uncomplicated malaria (UM) and severe malaria (SM) of P. falciparum as represented in the case and control groups. Pooled odds ratios (ORs) and 95% confidence intervals (95% CIs) were estimated in standard homozygous, recessive, dominant, and codominant genetic models. Subgroup analysis was based on ethnicity, i.e., Africans and Asians. The analyses included overall and the modified outcomes; the latter was obtained without the studies that deviated from the Hardy-Weinberg Equilibrium. The significant data also underwent sensitivity treatment but not publication bias tests because the number of studies was less than ten. Interaction tests were applied to differential outcomes between the subgroups. Overall and HWE-compliant analyses showed no significant association between the TNF-α -308G &gt;A polymorphism and susceptibility to P. falciparum SM (ORs = 1.10-1.52, 95%CIs = 0.68-2.79; Pa = 0.24-0.68). Stratification by ethnicity revealed that two significant associations were found only in the Asians favoring SM for dominant (OR = 1.95, 95% CI = 1.06-3.61, Pa = 0.03) and codominant (OR = 1.83, 95% CI = 1.15-2.92, Pa = 0.01) under the random-effects model, but not among the African populations. The two significant Asian associations were improved with a test of interaction with P-value of0.02-0.03. The significant core outcomes were robust. Results of the meta-analysis suggest that TNF-α -308G &gt;A polymorphism might affect the risk of P. falciparum SM, particularly in individuals of Asian descent. This supports ethnicity as one of the dependent factors of the TNF-α -308G &gt;A association with the clinical severity of malaria. Further large and well-designed genetic studies are needed to confirm this conclusion.","container-title":"PLoS neglected tropical diseases","DOI":"10.1371/journal.pntd.0011735","ISSN":"1935-2735","issue":"11","journalAbbreviation":"PLoS Negl Trop Dis","language":"eng","note":"PMID: 37910577\nPMCID: PMC10655976","page":"e0011735","source":"PubMed","title":"Tumor necrosis factor-α (TNF-α) -308G &gt;a promoter polymorphism (rs1800629) promotes Asians in susceptibility to Plasmodium falciparum severe malaria: A meta-analysis","title-short":"Tumor necrosis factor-α (TNF-α) -308G &gt;a promoter polymorphism (rs1800629) promotes Asians in susceptibility to Plasmodium falciparum severe malaria","volume":"17","author":[{"family":"Kongjam","given":"Panida"},{"family":"Pabalan","given":"Noel"},{"family":"Tharabenjasin","given":"Phuntila"},{"family":"Jarjanazi","given":"Hamdi"},{"family":"Chaijaroenkul","given":"Wanna"},{"family":"Na-Bangchang","given":"Kesara"}],"issued":{"date-parts":[["2023",11]]}}}],"schema":"https://github.com/citation-style-language/schema/raw/master/csl-citation.json"} </w:instrText>
      </w:r>
      <w:r w:rsidR="00CA2519">
        <w:fldChar w:fldCharType="separate"/>
      </w:r>
      <w:r w:rsidR="00B41ACC" w:rsidRPr="00B41ACC">
        <w:rPr>
          <w:rFonts w:cs="Times New Roman"/>
          <w:vertAlign w:val="superscript"/>
        </w:rPr>
        <w:t>202</w:t>
      </w:r>
      <w:r w:rsidR="00CA2519">
        <w:fldChar w:fldCharType="end"/>
      </w:r>
      <w:r w:rsidR="00CA2519" w:rsidRPr="00CA2519">
        <w:t>.</w:t>
      </w:r>
      <w:r w:rsidR="00342A70">
        <w:rPr>
          <w:b/>
        </w:rPr>
        <w:t xml:space="preserve"> </w:t>
      </w:r>
      <w:r w:rsidR="00CA2519" w:rsidRPr="00CA2519">
        <w:t xml:space="preserve">MCP-1 Gene (rs1024611): This gene produces a chemokine that helps draw monocytes to infection areas. SNPs in MCP-1 have been linked to both susceptibility and resistance to </w:t>
      </w:r>
      <w:r w:rsidR="00CA2519" w:rsidRPr="00CA2519">
        <w:rPr>
          <w:i/>
        </w:rPr>
        <w:t>P. falciparum</w:t>
      </w:r>
      <w:r w:rsidR="00CA2519" w:rsidRPr="00CA2519">
        <w:t xml:space="preserve"> and can affect the immunological response to malaria</w:t>
      </w:r>
      <w:r w:rsidR="00CA2519">
        <w:t xml:space="preserve"> </w:t>
      </w:r>
      <w:r w:rsidR="00CA2519">
        <w:fldChar w:fldCharType="begin"/>
      </w:r>
      <w:r w:rsidR="00B41ACC">
        <w:instrText xml:space="preserve"> ADDIN ZOTERO_ITEM CSL_CITATION {"citationID":"SA5zLBPC","properties":{"formattedCitation":"\\super 203\\nosupersub{}","plainCitation":"203","noteIndex":0},"citationItems":[{"id":969,"uris":["http://zotero.org/users/local/BfzbJtgR/items/XM6EW8AP"],"itemData":{"id":969,"type":"article-journal","abstract":"The pathogenesis of cerebral malaria from Plasmodium falciparum infection is thought to involve inflammation of the central nervous system. Since monocyte chemoattractant protein 1 (MCP-1) is a chemokine strongly involved in the inflammatory process, we here study MCP-1 gene polymorphisms in association with severe or cerebral malaria in Thailand. Malaria patients in the northwest of Thailand were grouped into mild (n=206), severe (165), and cerebral (110) malaria case groups. Five single nucleotide polymorphisms (SNPs) in the promoter (-2518A/G, -2348G/C, -2158C/T, -2076A/T, and -2072T/C), and 1 SNP in intron 1 (764C/G) were analyzed by PCR-RFLP, PCR-SSP, or direct sequencing. The SNP -2158 was a novel polymorphism found in this study. For all SNPs, genotype and allele frequencies were not significantly different between mild and severe or mild and cerebral malaria. Strong linkage disequilibrium was found among 4 SNPs (-2518A/G, -2348G/C, -2076A/T, and 764C/G), resulting in 4 major estimated haplotypes. The most common haplotype was GGAC. The results indicated that MCP-1 gene polymorphisms were not associated with malaria severity, implying that MCP-1 was not a cause of malaria severity in this Thai population.","container-title":"Japanese Journal of Infectious Diseases","ISSN":"1344-6304","issue":"4","journalAbbreviation":"Jpn J Infect Dis","language":"eng","note":"PMID: 16936342","page":"239-244","source":"PubMed","title":"Monocyte chemoattractant protein 1 (MCP-1) gene polymorphism is not associated with severe and cerebral malaria in Thailand","volume":"59","author":[{"family":"Dechkum","given":"Naowarut"},{"family":"Hananantachai","given":"Hathairad"},{"family":"Patarapotikul","given":"Jintana"},{"family":"Ohashi","given":"Jun"},{"family":"Krudsood","given":"Srivicha"},{"family":"Looareesuwan","given":"Sornchai"},{"family":"Tokunaga","given":"Katsushi"}],"issued":{"date-parts":[["2006",8]]}}}],"schema":"https://github.com/citation-style-language/schema/raw/master/csl-citation.json"} </w:instrText>
      </w:r>
      <w:r w:rsidR="00CA2519">
        <w:fldChar w:fldCharType="separate"/>
      </w:r>
      <w:r w:rsidR="00B41ACC" w:rsidRPr="00B41ACC">
        <w:rPr>
          <w:rFonts w:cs="Times New Roman"/>
          <w:vertAlign w:val="superscript"/>
        </w:rPr>
        <w:t>203</w:t>
      </w:r>
      <w:r w:rsidR="00CA2519">
        <w:fldChar w:fldCharType="end"/>
      </w:r>
      <w:r w:rsidR="00CA2519" w:rsidRPr="00CA2519">
        <w:t>. The receptor encoded by the CD36 gene (rs3211938) aids in the malaria parasites' attachment to the host's red blood cells. Because they impact the parasite's capacity to infiltrate and cause serious illness, certain CD36 gene variations are linked to malaria resistance</w:t>
      </w:r>
      <w:r w:rsidR="00CA2519">
        <w:fldChar w:fldCharType="begin"/>
      </w:r>
      <w:r w:rsidR="00B41ACC">
        <w:instrText xml:space="preserve"> ADDIN ZOTERO_ITEM CSL_CITATION {"citationID":"GgbhT5BE","properties":{"formattedCitation":"\\super 204\\nosupersub{}","plainCitation":"204","noteIndex":0},"citationItems":[{"id":966,"uris":["http://zotero.org/users/local/BfzbJtgR/items/379EU72E"],"itemData":{"id":966,"type":"article-journal","abstract":"The prevalence of CD36 deficiency in East Asian and African populations suggests that the causal variants are under selection by severe malaria. Previous analysis of data from the International HapMap Project indicated that a CD36 haplotype bearing a nonsense mutation (T1264G; rs3211938) had undergone recent positive selection in the Yoruba of Nigeria. To investigate the global distribution of this putative selection event, we genotyped T1264G in 3420 individuals from 66 populations. We confirmed the high frequency of 1264G in the Yoruba (26%). However, the 1264G allele is less common in other African populations and absent from all non-African populations without recent African admixture. Using long-range linkage disequilibrium, we studied two West African groups in depth. Evidence for recent positive selection at the locus was demonstrable in the Yoruba, although not in Gambians. We screened 70 variants from across CD36 for an association with severe malaria phenotypes, employing a case-control study of 1350 subjects and a family study of 1288 parent-offspring trios. No marker was significantly associated with severe malaria. We focused on T1264G, genotyping 10,922 samples from four African populations. The nonsense allele was not associated with severe malaria (pooled allelic odds ratio 1.0; 95% confidence interval 0.89-1.12; P = 0.98). These results suggest a range of possible explanations including the existence of alternative selection pressures on CD36, co-evolution between host and parasite or confounding caused by allelic heterogeneity of CD36 deficiency.","container-title":"Human Molecular Genetics","DOI":"10.1093/hmg/ddp192","ISSN":"1460-2083","issue":"14","journalAbbreviation":"Hum Mol Genet","language":"eng","note":"PMID: 19403559\nPMCID: PMC2701331","page":"2683-2692","source":"PubMed","title":"Positive selection of a CD36 nonsense variant in sub-Saharan Africa, but no association with severe malaria phenotypes","volume":"18","author":[{"family":"Fry","given":"Andrew E."},{"family":"Ghansa","given":"Anita"},{"family":"Small","given":"Kerrin S."},{"family":"Palma","given":"Alejandro"},{"family":"Auburn","given":"Sarah"},{"family":"Diakite","given":"Mahamadou"},{"family":"Green","given":"Angela"},{"family":"Campino","given":"Susana"},{"family":"Teo","given":"Yik Y."},{"family":"Clark","given":"Taane G."},{"family":"Jeffreys","given":"Anna E."},{"family":"Wilson","given":"Jonathan"},{"family":"Jallow","given":"Muminatou"},{"family":"Sisay-Joof","given":"Fatou"},{"family":"Pinder","given":"Margaret"},{"family":"Griffiths","given":"Michael J."},{"family":"Peshu","given":"Norbert"},{"family":"Williams","given":"Thomas N."},{"family":"Newton","given":"Charles R."},{"family":"Marsh","given":"Kevin"},{"family":"Molyneux","given":"Malcolm E."},{"family":"Taylor","given":"Terrie E."},{"family":"Koram","given":"Kwadwo A."},{"family":"Oduro","given":"Abraham R."},{"family":"Rogers","given":"William O."},{"family":"Rockett","given":"Kirk A."},{"family":"Sabeti","given":"Pardis C."},{"family":"Kwiatkowski","given":"Dominic P."}],"issued":{"date-parts":[["2009",7,15]]}}}],"schema":"https://github.com/citation-style-language/schema/raw/master/csl-citation.json"} </w:instrText>
      </w:r>
      <w:r w:rsidR="00CA2519">
        <w:fldChar w:fldCharType="separate"/>
      </w:r>
      <w:r w:rsidR="00B41ACC" w:rsidRPr="00B41ACC">
        <w:rPr>
          <w:rFonts w:cs="Times New Roman"/>
          <w:vertAlign w:val="superscript"/>
        </w:rPr>
        <w:t>204</w:t>
      </w:r>
      <w:r w:rsidR="00CA2519">
        <w:fldChar w:fldCharType="end"/>
      </w:r>
      <w:r w:rsidR="00CA2519" w:rsidRPr="00CA2519">
        <w:t>.</w:t>
      </w:r>
    </w:p>
    <w:p w:rsidR="00A646A1" w:rsidRDefault="00A646A1" w:rsidP="00793BDA">
      <w:pPr>
        <w:pStyle w:val="Standard"/>
        <w:numPr>
          <w:ilvl w:val="0"/>
          <w:numId w:val="14"/>
        </w:numPr>
        <w:spacing w:line="276" w:lineRule="auto"/>
        <w:jc w:val="both"/>
        <w:rPr>
          <w:b/>
        </w:rPr>
      </w:pPr>
      <w:r>
        <w:rPr>
          <w:b/>
        </w:rPr>
        <w:t>Association of SNPs in Auto-immune disease</w:t>
      </w:r>
    </w:p>
    <w:p w:rsidR="00F53244" w:rsidRDefault="00F53244" w:rsidP="00793BDA">
      <w:pPr>
        <w:pStyle w:val="Standard"/>
        <w:spacing w:line="276" w:lineRule="auto"/>
        <w:jc w:val="both"/>
      </w:pPr>
      <w:r w:rsidRPr="00A646A1">
        <w:rPr>
          <w:b/>
        </w:rPr>
        <w:t>SLE-</w:t>
      </w:r>
      <w:r>
        <w:t xml:space="preserve"> The complicated autoimmune disease known as systemic lupus erythematous (SLE) has a significant hereditary component. A higher risk of getting SLE has been linked to several single nucleotide polymorphisms (SNPs). These SNPs are frequently discovered in genes related to inflammatory pathways, apoptosis, and immunological modulation. </w:t>
      </w:r>
    </w:p>
    <w:p w:rsidR="005D58B9" w:rsidRDefault="00F53244" w:rsidP="00F861EB">
      <w:pPr>
        <w:pStyle w:val="Standard"/>
        <w:spacing w:before="280" w:after="280" w:line="276" w:lineRule="auto"/>
        <w:jc w:val="both"/>
      </w:pPr>
      <w:r>
        <w:lastRenderedPageBreak/>
        <w:t>Interferon Regulatory Factor 5, or IRF5 a higher risk of SLE is associated with SNPs in this gene, including rs2004640. A major factor in the pathophysiology of SLE is the type I interferon pathway, which is mediated by IRF5</w:t>
      </w:r>
      <w:r>
        <w:fldChar w:fldCharType="begin"/>
      </w:r>
      <w:r w:rsidR="00B41ACC">
        <w:instrText xml:space="preserve"> ADDIN ZOTERO_ITEM CSL_CITATION {"citationID":"iE7sHpBP","properties":{"formattedCitation":"\\super 205,206\\nosupersub{}","plainCitation":"205,206","noteIndex":0},"citationItems":[{"id":971,"uris":["http://zotero.org/users/local/BfzbJtgR/items/KD33BNBW"],"itemData":{"id":971,"type":"article-journal","abstract":"The aim of this study was to explore whether the interferon regulatory factor 5 (IRF5) gene rs2070197 polymorphism was associated with systemic lupus erythematosus (SLE) in multiple ethic populations. A meta-analysis was conducted on the C allele of the IRF5 rs2070197 polymorphism. A total of 7 published case-control studies with 12 comparisons involving 8171 SLE patients and 8904 controls were available for this meta-analysis. This meta-analysis demonstrated the IRF5 rs2070197 polymorphism conferred susceptibility to SLE in all subjects (odds ratio (OR) = 2.128, 95 % confidence interval (CI): 1.856-2.441, P &lt; 0.001) without inter-study heterogeneity. The IRF5 rs2070197 polymorphism was identified as risk factors for SLE in Caucasian populations (OR 1.82, 95 % CI 1.70-1.96), but it had no effects (monomorphic) in Asians. Large-scale multicenter epidemiological studies in selected populations with other risk factors were urgently required.","container-title":"Clinical Rheumatology","DOI":"10.1007/s10067-015-3036-5","ISSN":"1434-9949","issue":"9","journalAbbreviation":"Clin Rheumatol","language":"eng","note":"PMID: 26233721","page":"1495-1501","source":"PubMed","title":"Association of the IRF5 rs2070197 polymorphism with systemic lupus erythematosus: a meta-analysis","title-short":"Association of the IRF5 rs2070197 polymorphism with systemic lupus erythematosus","volume":"34","author":[{"family":"Li","given":"Yuan"},{"family":"Chen","given":"Si"},{"family":"Li","given":"Ping"},{"family":"Wu","given":"Ziyan"},{"family":"Li","given":"Jing"},{"family":"Liu","given":"Bin"},{"family":"Zhang","given":"Fengchun"},{"family":"Li","given":"Yongzhe"}],"issued":{"date-parts":[["2015",9]]}}},{"id":973,"uris":["http://zotero.org/users/local/BfzbJtgR/items/RRUB2DY5"],"itemData":{"id":973,"type":"article-journal","container-title":"Clinical Immunology","DOI":"10.1016/j.clim.2009.11.006","ISSN":"15216616","issue":"3","journalAbbreviation":"Clinical Immunology","language":"en","license":"https://www.elsevier.com/tdm/userlicense/1.0/","page":"320-330","source":"DOI.org (Crossref)","title":"Clinical activity of pemphigus vulgaris relates to IgE autoantibodies against desmoglein 3","volume":"134","author":[{"family":"Nagel","given":"Angela"},{"family":"Lang","given":"Angelika"},{"family":"Engel","given":"Dorothee"},{"family":"Podstawa","given":"Eva"},{"family":"Hunzelmann","given":"Nicolas"},{"family":"De Pita","given":"Ornella"},{"family":"Borradori","given":"Luca"},{"family":"Uter","given":"Wolfgang"},{"family":"Hertl","given":"Michael"}],"issued":{"date-parts":[["2010",3]]}}}],"schema":"https://github.com/citation-style-language/schema/raw/master/csl-citation.json"} </w:instrText>
      </w:r>
      <w:r>
        <w:fldChar w:fldCharType="separate"/>
      </w:r>
      <w:r w:rsidR="00B41ACC" w:rsidRPr="00B41ACC">
        <w:rPr>
          <w:rFonts w:cs="Times New Roman"/>
          <w:vertAlign w:val="superscript"/>
        </w:rPr>
        <w:t>205,206</w:t>
      </w:r>
      <w:r>
        <w:fldChar w:fldCharType="end"/>
      </w:r>
      <w:r>
        <w:t xml:space="preserve">. Variants such as rs5029939 in TNFAIP3 (A20) are linked to heightened vulnerability to SLE. By regulating the NF-κB pathway, which is essential for immunological responses, this gene controls inflammation </w:t>
      </w:r>
      <w:r>
        <w:fldChar w:fldCharType="begin"/>
      </w:r>
      <w:r w:rsidR="00B41ACC">
        <w:instrText xml:space="preserve"> ADDIN ZOTERO_ITEM CSL_CITATION {"citationID":"9H90ZE4r","properties":{"formattedCitation":"\\super 207\\nosupersub{}","plainCitation":"207","noteIndex":0},"citationItems":[{"id":975,"uris":["http://zotero.org/users/local/BfzbJtgR/items/ENJKNFEX"],"itemData":{"id":975,"type":"article-journal","container-title":"Autoimmunity Reviews","DOI":"10.1016/j.autrev.2011.05.018","ISSN":"15689972","issue":"3","journalAbbreviation":"Autoimmunity Reviews","language":"en","license":"https://www.elsevier.com/tdm/userlicense/1.0/","page":"231-248","source":"DOI.org (Crossref)","title":"Transverse myelitis","volume":"11","author":[{"family":"Borchers","given":"Andrea T."},{"family":"Gershwin","given":"M. Eric"}],"issued":{"date-parts":[["2012",1]]}}}],"schema":"https://github.com/citation-style-language/schema/raw/master/csl-citation.json"} </w:instrText>
      </w:r>
      <w:r>
        <w:fldChar w:fldCharType="separate"/>
      </w:r>
      <w:r w:rsidR="00B41ACC" w:rsidRPr="00B41ACC">
        <w:rPr>
          <w:rFonts w:cs="Times New Roman"/>
          <w:vertAlign w:val="superscript"/>
        </w:rPr>
        <w:t>207</w:t>
      </w:r>
      <w:r>
        <w:fldChar w:fldCharType="end"/>
      </w:r>
      <w:r>
        <w:t>.</w:t>
      </w:r>
      <w:r w:rsidR="00B563C1">
        <w:t xml:space="preserve"> </w:t>
      </w:r>
    </w:p>
    <w:p w:rsidR="00B563C1" w:rsidRDefault="00B563C1" w:rsidP="00F861EB">
      <w:pPr>
        <w:pStyle w:val="Standard"/>
        <w:spacing w:before="280" w:after="280" w:line="276" w:lineRule="auto"/>
        <w:jc w:val="both"/>
      </w:pPr>
      <w:r w:rsidRPr="00B563C1">
        <w:t>STAT4 (Signal Transducer and</w:t>
      </w:r>
      <w:r>
        <w:t xml:space="preserve"> Activator of Transcription 4) </w:t>
      </w:r>
      <w:r w:rsidRPr="00B563C1">
        <w:t>SNPs like rs7574865 in STAT4 have been strongly associated with SLE. STAT4 is involved in the activation of T-helper cells, which are central to the immune dysregulation in SLE</w:t>
      </w:r>
      <w:r>
        <w:fldChar w:fldCharType="begin"/>
      </w:r>
      <w:r w:rsidR="00B41ACC">
        <w:instrText xml:space="preserve"> ADDIN ZOTERO_ITEM CSL_CITATION {"citationID":"zp801o5g","properties":{"formattedCitation":"\\super 208\\nosupersub{}","plainCitation":"208","noteIndex":0},"citationItems":[{"id":976,"uris":["http://zotero.org/users/local/BfzbJtgR/items/8SRKQLKQ"],"itemData":{"id":976,"type":"article-journal","abstract":"Systemic lupus erythematosus (SLE) is a complex autoimmune disease characterized by activation of the type I interferon (IFN) pathway. Here we convincingly replicate association of the IFN regulatory factor 5 (IRF5) rs2004640 T allele with SLE in four independent case-control cohorts (P = 4.4 x 10(-16)) and by family-based transmission disequilibrium test analysis (P = 0.0006). The rs2004640 T allele creates a 5' donor splice site in an alternate exon 1 of IRF5, allowing expression of several unique IRF5 isoforms. We also identify an independent cis-acting variant associated with elevated expression of IRF5 and linked to the exon 1B splice site. Haplotypes carrying the variant associated with elevated expression and lacking the exon 1B donor site do not confer risk of SLE. Thus, a common IRF5 haplotype driving elevated expression of multiple unique isoforms of IRF5 is an important genetic risk factor for SLE, establishing a causal role for type I IFN pathway genes in human autoimmunity.","container-title":"Nature Genetics","DOI":"10.1038/ng1782","ISSN":"1061-4036","issue":"5","journalAbbreviation":"Nat Genet","language":"eng","note":"PMID: 16642019","page":"550-555","source":"PubMed","title":"A common haplotype of interferon regulatory factor 5 (IRF5) regulates splicing and expression and is associated with increased risk of systemic lupus erythematosus","volume":"38","author":[{"family":"Graham","given":"Robert R."},{"family":"Kozyrev","given":"Sergey V."},{"family":"Baechler","given":"Emily C."},{"family":"Reddy","given":"M. V. Prasad Linga"},{"family":"Plenge","given":"Robert M."},{"family":"Bauer","given":"Jason W."},{"family":"Ortmann","given":"Ward A."},{"family":"Koeuth","given":"Thearith"},{"family":"González Escribano","given":"Ma Francisca"},{"literal":"Argentine and Spanish Collaborative Groups"},{"family":"Pons-Estel","given":"Bernardo"},{"family":"Petri","given":"Michelle"},{"family":"Daly","given":"Mark"},{"family":"Gregersen","given":"Peter K."},{"family":"Martín","given":"Javier"},{"family":"Altshuler","given":"David"},{"family":"Behrens","given":"Timothy W."},{"family":"Alarcón-Riquelme","given":"Marta E."}],"issued":{"date-parts":[["2006",5]]}}}],"schema":"https://github.com/citation-style-language/schema/raw/master/csl-citation.json"} </w:instrText>
      </w:r>
      <w:r>
        <w:fldChar w:fldCharType="separate"/>
      </w:r>
      <w:r w:rsidR="00B41ACC" w:rsidRPr="00B41ACC">
        <w:rPr>
          <w:rFonts w:cs="Times New Roman"/>
          <w:vertAlign w:val="superscript"/>
        </w:rPr>
        <w:t>208</w:t>
      </w:r>
      <w:r>
        <w:fldChar w:fldCharType="end"/>
      </w:r>
      <w:r w:rsidRPr="00B563C1">
        <w:t>. CLEC16A (C-type lectin domain family 16, member A): SNPs in CLEC16A, such as rs12708716, have been associated with SLE and other autoimmune diseases. CLEC16A is involved in the regulation of autophagy and immune responses</w:t>
      </w:r>
      <w:r>
        <w:t xml:space="preserve"> </w:t>
      </w:r>
      <w:r w:rsidRPr="00B563C1">
        <w:fldChar w:fldCharType="begin"/>
      </w:r>
      <w:r w:rsidR="00B41ACC">
        <w:instrText xml:space="preserve"> ADDIN ZOTERO_ITEM CSL_CITATION {"citationID":"KMehE1b1","properties":{"formattedCitation":"\\super 209,210\\nosupersub{}","plainCitation":"209,210","noteIndex":0},"citationItems":[{"id":980,"uris":["http://zotero.org/users/local/BfzbJtgR/items/PP3RK42N"],"itemData":{"id":980,"type":"article-journal","abstract":"Genome-wide association studies (GWAS) have been shown to be a powerful way of identifying novel susceptibility genes in systemic lupus erythematosus (SLE), as demonstrated by a series of publications in the past year. Lupus has been a late-comer to the GWAS community, being preceded by success stories for the GWAS approach in other autoimmune diseases, including type I diabetes, ankylosing spondylitis, rheumatoid arthritis, Crohn's disease and ulcerative colitis. The paper by Suarez-Gestal and colleagues seeks to exploit the wealth of data available from a total of four GWAS in SLE, three in European-American populations and one in a Swedish population. The authors describe replication of ten lupus susceptibility alleles in a Spanish SLE case-control study.","container-title":"Arthritis Research &amp; Therapy","DOI":"10.1186/ar2739","ISSN":"1478-6362","issue":"4","journalAbbreviation":"Arthritis Res Ther","language":"eng","note":"PMID: 19664177\nPMCID: PMC2745775","page":"119","source":"PubMed","title":"Genome-wide association studies in systemic lupus erythematosus: a perspective","title-short":"Genome-wide association studies in systemic lupus erythematosus","volume":"11","author":[{"family":"Cunninghame Graham","given":"Deborah S."}],"issued":{"date-parts":[["2009"]]}}},{"id":978,"uris":["http://zotero.org/users/local/BfzbJtgR/items/MPS85B9P"],"itemData":{"id":978,"type":"article-journal","container-title":"European Journal of Human Genetics","DOI":"10.1038/ejhg.2008.246","ISSN":"1018-4813, 1476-5438","issue":"7","journalAbbreviation":"Eur J Hum Genet","language":"en","license":"http://www.springer.com/tdm","page":"857-859","source":"DOI.org (Crossref)","title":"Genetic horoscopes: is it all in the genes? Points for regulatory control of direct-to-consumer genetic testing","title-short":"Genetic horoscopes","volume":"17","author":[{"family":"Patch","given":"Christine"},{"family":"Sequeiros","given":"Jorge"},{"family":"Cornel","given":"Martina C"}],"issued":{"date-parts":[["2009",7]]}}}],"schema":"https://github.com/citation-style-language/schema/raw/master/csl-citation.json"} </w:instrText>
      </w:r>
      <w:r w:rsidRPr="00B563C1">
        <w:fldChar w:fldCharType="separate"/>
      </w:r>
      <w:r w:rsidR="00B41ACC" w:rsidRPr="00B41ACC">
        <w:rPr>
          <w:rFonts w:cs="Times New Roman"/>
          <w:vertAlign w:val="superscript"/>
        </w:rPr>
        <w:t>209,210</w:t>
      </w:r>
      <w:r w:rsidRPr="00B563C1">
        <w:fldChar w:fldCharType="end"/>
      </w:r>
      <w:r w:rsidRPr="00B563C1">
        <w:t>. PTPN22 (Protein Tyrosine Phosphatase, Non-Receptor Type 22): The SNP rs2476601 in PTPN22 is a well-known risk factor for several autoimmune diseases, including SLE. This gene encodes a tyrosine phosphatase that regulates immune cell signaling</w:t>
      </w:r>
      <w:r>
        <w:t xml:space="preserve"> </w:t>
      </w:r>
      <w:r>
        <w:fldChar w:fldCharType="begin"/>
      </w:r>
      <w:r w:rsidR="00B41ACC">
        <w:instrText xml:space="preserve"> ADDIN ZOTERO_ITEM CSL_CITATION {"citationID":"LXP31Nli","properties":{"formattedCitation":"\\super 211,212\\nosupersub{}","plainCitation":"211,212","noteIndex":0},"citationItems":[{"id":983,"uris":["http://zotero.org/users/local/BfzbJtgR/items/P59DCUU8"],"itemData":{"id":983,"type":"article-journal","container-title":"Nature Reviews Immunology","DOI":"10.1038/nri1621","ISSN":"1474-1733, 1474-1741","issue":"5","journalAbbreviation":"Nat Rev Immunol","language":"en","license":"http://www.springer.com/tdm","page":"360-360","source":"DOI.org (Crossref)","title":"Inflammatory combinations","volume":"5","author":[{"family":"Bangham","given":"Jenny"}],"issued":{"date-parts":[["2005",5]]}}},{"id":985,"uris":["http://zotero.org/users/local/BfzbJtgR/items/HPHUY4IE"],"itemData":{"id":985,"type":"article-journal","container-title":"Nature Genetics","DOI":"10.1038/ng1333","ISSN":"1061-4036, 1546-1718","issue":"4","journalAbbreviation":"Nat Genet","language":"en","license":"http://www.springer.com/tdm","page":"388-393","source":"DOI.org (Crossref)","title":"Assessing the impact of population stratification on genetic association studies","volume":"36","author":[{"family":"Freedman","given":"Matthew L"},{"family":"Reich","given":"David"},{"family":"Penney","given":"Kathryn L"},{"family":"McDonald","given":"Gavin J"},{"family":"Mignault","given":"Andre A"},{"family":"Patterson","given":"Nick"},{"family":"Gabriel","given":"Stacey B"},{"family":"Topol","given":"Eric J"},{"family":"Smoller","given":"Jordan W"},{"family":"Pato","given":"Carlos N"},{"family":"Pato","given":"Michele T"},{"family":"Petryshen","given":"Tracey L"},{"family":"Kolonel","given":"Laurence N"},{"family":"Lander","given":"Eric S"},{"family":"Sklar","given":"Pamela"},{"family":"Henderson","given":"Brian"},{"family":"Hirschhorn","given":"Joel N"},{"family":"Altshuler","given":"David"}],"issued":{"date-parts":[["2004",4]]}}}],"schema":"https://github.com/citation-style-language/schema/raw/master/csl-citation.json"} </w:instrText>
      </w:r>
      <w:r>
        <w:fldChar w:fldCharType="separate"/>
      </w:r>
      <w:r w:rsidR="00B41ACC" w:rsidRPr="00B41ACC">
        <w:rPr>
          <w:rFonts w:cs="Times New Roman"/>
          <w:vertAlign w:val="superscript"/>
        </w:rPr>
        <w:t>211,212</w:t>
      </w:r>
      <w:r>
        <w:fldChar w:fldCharType="end"/>
      </w:r>
      <w:r w:rsidRPr="00B563C1">
        <w:t>.</w:t>
      </w:r>
      <w:r w:rsidR="00090651">
        <w:t xml:space="preserve"> SNPs in BLK (B lymphoid kinase), such as rs13277113, are linked to a higher chance of developing SLE. B lymphocytes play a key role in the pathophysiology of SLE and BLK is</w:t>
      </w:r>
      <w:r w:rsidR="006B1C90">
        <w:t xml:space="preserve"> implicated in their signaling </w:t>
      </w:r>
      <w:r w:rsidR="006B1C90">
        <w:fldChar w:fldCharType="begin"/>
      </w:r>
      <w:r w:rsidR="00B41ACC">
        <w:instrText xml:space="preserve"> ADDIN ZOTERO_ITEM CSL_CITATION {"citationID":"4GeyJVG9","properties":{"formattedCitation":"\\super 213,214\\nosupersub{}","plainCitation":"213,214","noteIndex":0},"citationItems":[{"id":992,"uris":["http://zotero.org/users/local/BfzbJtgR/items/8RD9KPYH"],"itemData":{"id":992,"type":"article-journal","container-title":"Clinical Rheumatology","DOI":"10.1007/s10067-016-3475-7","ISSN":"0770-3198, 1434-9949","issue":"1","journalAbbreviation":"Clin Rheumatol","language":"en","page":"103-109","source":"DOI.org (Crossref)","title":"BLK pathway-associated rs13277113 GA genotype is more frequent in SLE patients and associated with low gene expression and increased flares","volume":"36","author":[{"family":"Pamuk","given":"Omer Nuri"},{"family":"Gurkan","given":"Hakan"},{"family":"Pamuk","given":"Gulsum Emel"},{"family":"Tozkır","given":"Hilmi"},{"family":"Duymaz","given":"Julide"},{"family":"Yazar","given":"Metin"}],"issued":{"date-parts":[["2017",1]]}}},{"id":989,"uris":["http://zotero.org/users/local/BfzbJtgR/items/YRSYLFNI"],"itemData":{"id":989,"type":"article-journal","abstract":"BACKGROUND: B-cell lymphocyte kinase (BLK) is an inhibitor of B cells that has an important influence on several autoimmune diseases, but there is a lack of comprehensive analysis of its association with autoimmune diseases. Hence, it is meaningful to conduct a comprehensive analysis.\nMETHODS: A systematic literature search was performed on the PubMed, ScienceDirect, and Web of Science databases up to June 30, 2016. The data were extracted and quality-assessed before conducting the meta-analysis. The odds ratios (ORs) and 95% confidence intervals (95% CIs) were assessed with the STATA version 12.0 software. Subgroup and sensitivity analysis were conducted to explore potential sources of heterogeneity.\nRESULTS: Altogether, 33 studies with 68,874 cases and 90,684 controls, 24 studies with 31,095 cases and 39,077 controls for rs13277113, 21 studies with 26,388 cases and 40,635 controls for rs2736340, and 4 studies with 11,391 cases and 10,972 controls for rs4840568 were included in this meta-analysis. The results revealed that the BLK rs13277113 and rs2736340 polymorphisms increased the risk of autoimmune diseases in the total analysis (A vs G: OR = 1.33, 95% CI = 1.27-1.39, P &lt; .01; T vs C: OR = 1.34, 95% CI = 1.27-1.41, P &lt; .01), and rs4840568 was positively associated with systemic lupus erythematosus (SLE) (A vs G: OR = 1.32, 95% CI = 1.22-1.43, P = .01).\nCONCLUSION: This meta-analysis shows that the BLK (rs13277113, rs2736340, rs4840568) polymorphisms may be a risk factor for developing autoimmune diseases, especially for Asian populations and SLE.","container-title":"Medicine","DOI":"10.1097/MD.0000000000007855","ISSN":"1536-5964","issue":"36","journalAbbreviation":"Medicine (Baltimore)","language":"eng","note":"PMID: 28885337\nPMCID: PMC6392982","page":"e7855","source":"PubMed","title":"B-cell lymphocyte kinase polymorphisms rs13277113, rs2736340, and rs4840568 and risk of autoimmune diseases: A meta-analysis","title-short":"B-cell lymphocyte kinase polymorphisms rs13277113, rs2736340, and rs4840568 and risk of autoimmune diseases","volume":"96","author":[{"family":"Zeng","given":"Chang"},{"family":"Fang","given":"Cheng"},{"family":"Weng","given":"Hong"},{"family":"Xu","given":"Xiaoqing"},{"family":"Wu","given":"Tianyang"},{"family":"Li","given":"Wenhua"}],"issued":{"date-parts":[["2017",9]]}}}],"schema":"https://github.com/citation-style-language/schema/raw/master/csl-citation.json"} </w:instrText>
      </w:r>
      <w:r w:rsidR="006B1C90">
        <w:fldChar w:fldCharType="separate"/>
      </w:r>
      <w:r w:rsidR="00B41ACC" w:rsidRPr="00B41ACC">
        <w:rPr>
          <w:rFonts w:cs="Times New Roman"/>
          <w:vertAlign w:val="superscript"/>
        </w:rPr>
        <w:t>213,214</w:t>
      </w:r>
      <w:r w:rsidR="006B1C90">
        <w:fldChar w:fldCharType="end"/>
      </w:r>
      <w:r w:rsidR="006B1C90">
        <w:t xml:space="preserve">. </w:t>
      </w:r>
      <w:r w:rsidR="00090651">
        <w:t>SLE has been connected to the SNP rs1801274 in FCGR2A (Fc Gamma Receptor IIa). FCGR2A is involved in both inflammatory reactions and the remo</w:t>
      </w:r>
      <w:r w:rsidR="006B1C90">
        <w:t>val of immunological complexes</w:t>
      </w:r>
      <w:r w:rsidR="006B1C90">
        <w:fldChar w:fldCharType="begin"/>
      </w:r>
      <w:r w:rsidR="00B41ACC">
        <w:instrText xml:space="preserve"> ADDIN ZOTERO_ITEM CSL_CITATION {"citationID":"rtI3d6PE","properties":{"formattedCitation":"\\super 215\\nosupersub{}","plainCitation":"215","noteIndex":0},"citationItems":[{"id":993,"uris":["http://zotero.org/users/local/BfzbJtgR/items/8T527QZL"],"itemData":{"id":993,"type":"article-journal","abstract":"OBJECTIVES: The aim of this meta-analysis was to estimate the association between the FCGR2A rs1801274 polymorphism and the susceptibility to autoimmune diseases more precisely.\nMETHODS: A meta-analysis was conducted on the association between the FCGR2A gene variants and ADs by allelic contrast, homozygote contrast, the recessive model, and the dominant model.\nRESULTS: A total of 17 studies with 30 comparisons in different populations and genotype-methods were available for this meta-analysis, including 10 Kawasaki disease (KD), 7 Ulcerative colitis (UC), 6 Crohn's disease (CD), 3 Rheumatoid arthritis (RA), 2 Systemic lupus erythematosus (SLE), 1 Autoimmune thyroid disease (ATD) and 1 diabetes mellitus type 1 (T1D). A significant association between FCGR2A rs1801274 polymorphism were found in KD (OR = 1.409, P &lt; 0.001) and UC (OR = 1.237, P &lt; 0.001). A overall meta-analysis increased risk of AD significant association between FCGR2A rs1801274 gene polymorphism and ADs under allelic (OR = 1.378, P=0.000), homozygous (OR: 1.866, P=0.001), dominant (OR = 1.667, P = 0.000) and recessive (OR = 1.434, P=0.000) in Asian population. Meanwhile, a decreased risk of AD was detected in the allelic (OR= 0.882, P = 0.011), homozygous (OR = 0.777, P = 0.013), dominant (OR = 0.850, P = 0.032) and recessive (OR = 0.840, P = 0.048) in African-American population.\nCONCLUSIONS: This meta-analysis demonstrates that the FCGR2A rs1801274 G-allele confers susceptibility to KD and UC. Data also suggests that the FCGR2A rs1801274 polymorphism may be associated with the susceptibility of multiple ADs in Asian and African-American populations.","container-title":"Oncotarget","DOI":"10.18632/oncotarget.9831","ISSN":"1949-2553","issue":"26","journalAbbreviation":"Oncotarget","language":"eng","note":"PMID: 27270653\nPMCID: PMC5129943","page":"39436-39443","source":"PubMed","title":"Association of FCGR2A rs1801274 polymorphism with susceptibility to autoimmune diseases: A meta-analysis","title-short":"Association of FCGR2A rs1801274 polymorphism with susceptibility to autoimmune diseases","volume":"7","author":[{"family":"Zhang","given":"Chang'e"},{"family":"Wang","given":"Wenju"},{"family":"Zhang","given":"Hong'e"},{"family":"Wei","given":"Lulu"},{"family":"Guo","given":"Shuping"}],"issued":{"date-parts":[["2016",6,28]]}}}],"schema":"https://github.com/citation-style-language/schema/raw/master/csl-citation.json"} </w:instrText>
      </w:r>
      <w:r w:rsidR="006B1C90">
        <w:fldChar w:fldCharType="separate"/>
      </w:r>
      <w:r w:rsidR="00B41ACC" w:rsidRPr="00B41ACC">
        <w:rPr>
          <w:rFonts w:cs="Times New Roman"/>
          <w:vertAlign w:val="superscript"/>
        </w:rPr>
        <w:t>215</w:t>
      </w:r>
      <w:r w:rsidR="006B1C90">
        <w:fldChar w:fldCharType="end"/>
      </w:r>
      <w:r w:rsidR="006B1C90">
        <w:t>. SLE-associated risk loci in g</w:t>
      </w:r>
      <w:r w:rsidR="00090651">
        <w:t>enome-wide association studies (GWAS) have also revealed other loci linked to SLE susceptibility, including those close to the genes encoding IRF7, CX3CR1, and TNF</w:t>
      </w:r>
      <w:r w:rsidR="006B1C90">
        <w:fldChar w:fldCharType="begin"/>
      </w:r>
      <w:r w:rsidR="00B41ACC">
        <w:instrText xml:space="preserve"> ADDIN ZOTERO_ITEM CSL_CITATION {"citationID":"giSitj45","properties":{"formattedCitation":"\\super 216\\nosupersub{}","plainCitation":"216","noteIndex":0},"citationItems":[{"id":999,"uris":["http://zotero.org/users/local/BfzbJtgR/items/UNFWJPRJ"],"itemData":{"id":999,"type":"article-journal","abstract":"Systemic lupus erythematosus (SLE) susceptibility has a strong genetic component. Genome-wide association studies (GWAS) across trans-ancestral populations show both common and distinct genetic variants of susceptibility across European and Asian ancestries, while many other ethnic populations remain underexplored. We conducted the first SLE GWAS on Egyptians-an admixed North African/Middle Eastern population-using 537 patients and 883 controls. To identify novel susceptibility loci and replicate previously known loci, we performed imputation-based association analysis with 6,382,276 SNPs while accounting for individual admixture. We validated the association analysis using adaptive permutation tests (n = 109). We identified a novel genome-wide significant locus near IRS1/miR-5702 (Pcorrected = 1.98 × 10-8) and eight novel suggestive loci (Pcorrected &lt; 1.0 × 10-5). We also replicated (Pperm &lt; 0.01) 97 previously known loci with at least one associated nearby SNP, with ITGAM, DEF6-PPARD and IRF5 the top three replicated loci. SNPs correlated (r 2 &gt; 0.8) with lead SNPs from four suggestive loci (ARMC9, DIAPH3, IFLDT1, and ENTPD3) were associated with differential gene expression (3.5 × 10-95 &lt; p &lt; 1.0 × 10-2) across diverse tissues. These loci are involved in cellular proliferation and invasion-pathways prominent in lupus and nephritis. Our study highlights the utility of GWAS in an admixed Egyptian population for delineating new genetic associations and for understanding SLE pathogenesis.","container-title":"Frontiers in Genetics","DOI":"10.3389/fgene.2022.948505","ISSN":"1664-8021","journalAbbreviation":"Front Genet","language":"eng","note":"PMID: 36324510\nPMCID: PMC9619055","page":"948505","source":"PubMed","title":"Genome-wide association study for systemic lupus erythematosus in an egyptian population","volume":"13","author":[{"family":"Elghzaly","given":"Ashraf A."},{"family":"Sun","given":"Celi"},{"family":"Looger","given":"Loren L."},{"family":"Hirose","given":"Misa"},{"family":"Salama","given":"Mohamed"},{"family":"Khalil","given":"Noha M."},{"family":"Behiry","given":"Mervat Essam"},{"family":"Hegazy","given":"Mohamed Tharwat"},{"family":"Hussein","given":"Mohamed Ahmed"},{"family":"Salem","given":"Mohamad Nabil"},{"family":"Eltoraby","given":"Ehab"},{"family":"Tawhid","given":"Ziyad"},{"family":"Alwasefy","given":"Mona"},{"family":"Allam","given":"Walaa"},{"family":"El-Shiekh","given":"Iman"},{"family":"Elserafy","given":"Menattallah"},{"family":"Abdelnaser","given":"Anwar"},{"family":"Hashish","given":"Sara"},{"family":"Shebl","given":"Nourhan"},{"family":"Shahba","given":"Abeer Abdelmonem"},{"family":"Elgirby","given":"Amira"},{"family":"Hassab","given":"Amina"},{"family":"Refay","given":"Khalida"},{"family":"El-Touchy","given":"Hanan Mohamed"},{"family":"Youssef","given":"Ali"},{"family":"Shabacy","given":"Fatma"},{"family":"Hashim","given":"Abdelkader Ahmed"},{"family":"Abdelzaher","given":"Asmaa"},{"family":"Alshebini","given":"Emad"},{"family":"Fayez","given":"Dalia"},{"family":"El-Bakry","given":"Samah A."},{"family":"Elzohri","given":"Mona H."},{"family":"Abdelsalam","given":"Eman Nagiub"},{"family":"El-Khamisy","given":"Sherif F."},{"family":"Ibrahim","given":"Saleh"},{"family":"Ragab","given":"Gaafar"},{"family":"Nath","given":"Swapan K."}],"issued":{"date-parts":[["2022"]]}}}],"schema":"https://github.com/citation-style-language/schema/raw/master/csl-citation.json"} </w:instrText>
      </w:r>
      <w:r w:rsidR="006B1C90">
        <w:fldChar w:fldCharType="separate"/>
      </w:r>
      <w:r w:rsidR="00B41ACC" w:rsidRPr="00B41ACC">
        <w:rPr>
          <w:rFonts w:cs="Times New Roman"/>
          <w:vertAlign w:val="superscript"/>
        </w:rPr>
        <w:t>216</w:t>
      </w:r>
      <w:r w:rsidR="006B1C90">
        <w:fldChar w:fldCharType="end"/>
      </w:r>
      <w:r w:rsidR="00090651">
        <w:t>.</w:t>
      </w:r>
    </w:p>
    <w:p w:rsidR="0098277C" w:rsidRDefault="00DE4F85" w:rsidP="00F861EB">
      <w:pPr>
        <w:pStyle w:val="Standard"/>
        <w:spacing w:before="280" w:after="280" w:line="276" w:lineRule="auto"/>
        <w:jc w:val="both"/>
      </w:pPr>
      <w:r w:rsidRPr="00DE4F85">
        <w:rPr>
          <w:b/>
        </w:rPr>
        <w:t>Multiple Sclerosis-</w:t>
      </w:r>
      <w:r>
        <w:t xml:space="preserve"> Numerous </w:t>
      </w:r>
      <w:r w:rsidR="0078137D">
        <w:t>single-nucleotide</w:t>
      </w:r>
      <w:r>
        <w:t xml:space="preserve"> polymorphisms (SNPs) have been linked to an increased risk of developing multiple sclerosis (MS), a complex autoimmune illness with a significant genetic component. Key SNPs and loci associated with MS include:  Human Leukocyte Antigen, Class II, DR Beta 1 (HLA-DRB1) - the most closely linked genetic risk factor for multiple sclerosis is SNPs in the HLA-DRB1 gene. Certain alleles, such as HLA-DRB1 1501, raise the risk of multiple sclerosis, although other alleles may have a protective impact </w:t>
      </w:r>
      <w:r>
        <w:fldChar w:fldCharType="begin"/>
      </w:r>
      <w:r w:rsidR="00B41ACC">
        <w:instrText xml:space="preserve"> ADDIN ZOTERO_ITEM CSL_CITATION {"citationID":"lhnsUdpN","properties":{"formattedCitation":"\\super 217\\nosupersub{}","plainCitation":"217","noteIndex":0},"citationItems":[{"id":1002,"uris":["http://zotero.org/users/local/BfzbJtgR/items/V6NLIC3Y"],"itemData":{"id":1002,"type":"article-journal","abstract":"The human leukocyte antigen (HLA) DRB1*1501 has been consistently associated with multiple sclerosis (MS) in nearly all populations tested. This points to a specific antigen presentation as the pathogenic mechanism though this does not fully explain the disease association. The identification of expression quantitative trait loci (eQTL) for genes in the HLA locus poses the question of the role of gene expression in MS susceptibility. We analyzed the eQTLs in the HLA region with respect to MS-associated HLA-variants obtained from genome-wide association studies (GWAS). We found that the Tag of DRB1*1501, rs3135388 A allele, correlated with high expression of DRB1, DRB5 and DQB1 genes in a Caucasian population. In quantitative terms, the MS-risk AA genotype carriers of rs3135388 were associated with 15.7-, 5.2- and 8.3-fold higher expression of DQB1, DRB5 and DRB1, respectively, than the non-risk GG carriers. The haplotype analysis of expression-associated variants in a Spanish MS cohort revealed that high expression of DRB1 and DQB1 alone did not contribute to the disease. However, in Caucasian, Asian and African American populations, the DRB1*1501 allele was always highly expressed. In other immune related diseases such as type 1 diabetes, inflammatory bowel disease, ulcerative colitis, asthma and IgA deficiency, the best GWAS-associated HLA SNPs were also eQTLs for different HLA Class II genes. Our data suggest that the DR/DQ expression levels, together with specific structural properties of alleles, seem to be the causal effect in MS and in other immunopathologies rather than specific antigen presentation alone.","container-title":"PloS One","DOI":"10.1371/journal.pone.0029819","ISSN":"1932-6203","issue":"1","journalAbbreviation":"PLoS One","language":"eng","note":"PMID: 22253788\nPMCID: PMC3258250","page":"e29819","source":"PubMed","title":"Multiple sclerosis risk variant HLA-DRB1*1501 associates with high expression of DRB1 gene in different human populations","volume":"7","author":[{"family":"Alcina","given":"Antonio"},{"family":"Abad-Grau","given":"María Del Mar"},{"family":"Fedetz","given":"María"},{"family":"Izquierdo","given":"Guillermo"},{"family":"Lucas","given":"Miguel"},{"family":"Fernández","given":"Oscar"},{"family":"Ndagire","given":"Dorothy"},{"family":"Catalá-Rabasa","given":"Antonio"},{"family":"Ruiz","given":"Agustín"},{"family":"Gayán","given":"Javier"},{"family":"Delgado","given":"Concepción"},{"family":"Arnal","given":"Carmen"},{"family":"Matesanz","given":"Fuencisla"}],"issued":{"date-parts":[["2012"]]}}}],"schema":"https://github.com/citation-style-language/schema/raw/master/csl-citation.json"} </w:instrText>
      </w:r>
      <w:r>
        <w:fldChar w:fldCharType="separate"/>
      </w:r>
      <w:r w:rsidR="00B41ACC" w:rsidRPr="00B41ACC">
        <w:rPr>
          <w:rFonts w:cs="Times New Roman"/>
          <w:vertAlign w:val="superscript"/>
        </w:rPr>
        <w:t>217</w:t>
      </w:r>
      <w:r>
        <w:fldChar w:fldCharType="end"/>
      </w:r>
      <w:r>
        <w:t>.</w:t>
      </w:r>
      <w:r w:rsidR="00B36668">
        <w:t xml:space="preserve"> Further, </w:t>
      </w:r>
      <w:r w:rsidR="00B36668" w:rsidRPr="00B36668">
        <w:t>MS has been linked to SNPs like rs6897932 in the IL7R gene. This gene contributes to T cell signaling, which is essential for the immunological response in multiple sclerosis</w:t>
      </w:r>
      <w:r w:rsidR="00B36668">
        <w:t xml:space="preserve"> </w:t>
      </w:r>
      <w:r w:rsidR="00B36668">
        <w:fldChar w:fldCharType="begin"/>
      </w:r>
      <w:r w:rsidR="00B41ACC">
        <w:instrText xml:space="preserve"> ADDIN ZOTERO_ITEM CSL_CITATION {"citationID":"11fOwBWD","properties":{"formattedCitation":"\\super 218\\nosupersub{}","plainCitation":"218","noteIndex":0},"citationItems":[{"id":1007,"uris":["http://zotero.org/users/local/BfzbJtgR/items/GNIZ2CPB"],"itemData":{"id":1007,"type":"article-journal","container-title":"Multiple Sclerosis and Related Disorders","DOI":"10.1016/j.msard.2020.102687","ISSN":"22110348","journalAbbreviation":"Multiple Sclerosis and Related Disorders","language":"en","page":"102687","source":"DOI.org (Crossref)","title":"Association between IL7 Receptor Alpha (Il7ra) gene rs6897932 polymorphism and the risk of Multiple Sclerosis: A meta-regression and meta-analysis.","title-short":"Association between IL7 Receptor Alpha (Il7ra) gene rs6897932 polymorphism and the risk of Multiple Sclerosis","volume":"48","author":[{"family":"Omraninava","given":"Melodi"},{"family":"Mehranfar","given":"Sahar"},{"family":"Vahedi","given":"Parviz"},{"family":"Razi","given":"Bahman"},{"family":"Imani","given":"Danyal"},{"family":"Aslani","given":"Saeed"},{"family":"Feyzinia","given":"Sara"}],"issued":{"date-parts":[["2021",2]]}}}],"schema":"https://github.com/citation-style-language/schema/raw/master/csl-citation.json"} </w:instrText>
      </w:r>
      <w:r w:rsidR="00B36668">
        <w:fldChar w:fldCharType="separate"/>
      </w:r>
      <w:r w:rsidR="00B41ACC" w:rsidRPr="00B41ACC">
        <w:rPr>
          <w:rFonts w:cs="Times New Roman"/>
          <w:vertAlign w:val="superscript"/>
        </w:rPr>
        <w:t>218</w:t>
      </w:r>
      <w:r w:rsidR="00B36668">
        <w:fldChar w:fldCharType="end"/>
      </w:r>
      <w:r w:rsidR="00B36668" w:rsidRPr="00B36668">
        <w:t>.</w:t>
      </w:r>
      <w:r w:rsidR="00B36668">
        <w:t xml:space="preserve"> Also, v</w:t>
      </w:r>
      <w:r w:rsidR="00B36668" w:rsidRPr="00B36668">
        <w:t>itamin D is activated by CYP27B1, and several SNPs in this gene, including rs10877012, are linked to an increased risk of developing multiple sclerosis. It has been proposed that vitamin D influences the development of MS through immunomodulatory effects</w:t>
      </w:r>
      <w:r w:rsidR="00B36668">
        <w:fldChar w:fldCharType="begin"/>
      </w:r>
      <w:r w:rsidR="00B41ACC">
        <w:instrText xml:space="preserve"> ADDIN ZOTERO_ITEM CSL_CITATION {"citationID":"BwjDk34p","properties":{"formattedCitation":"\\super 219\\nosupersub{}","plainCitation":"219","noteIndex":0},"citationItems":[{"id":1008,"uris":["http://zotero.org/users/local/BfzbJtgR/items/VMBMDFB3"],"itemData":{"id":1008,"type":"article-journal","abstract":"BACKGROUND: Multiple sclerosis (MS) is a chronic autoimmune inflammatory disease. Low vitamin D levels have been reported to be a risk factor for MS, and genetic variances could be implicated. The aim of this study was to evaluate the association of MS with rs10766197 polymorphism of CYP2R1 gene and rs10877012 polymorphism of CYP27B1 gene. The second aim was to analyse whether these polymorphisms are associated with the severity of the progression of MS. Material and Methods. In a case-control study, we included 116 MS patients and 226 controls, all of whom were Mexican Mestizo. MS was diagnosed by McDonald criteria (2017). A complete neurological evaluation was performed to evaluate the severity of disease progression. Serum 25-hydroxyvitamin D [25(OH) vitamin D] levels were measured by ELISA. Single nucleotide polymorphisms rs10766197 of CYP2R1 gene and rs10877012 SNP of CYP27B1 gene were genotyped by real-time PCR.\nRESULTS: Serum 25(OH) vitamin D levels were lower in MS patients than in controls (p = 0.009). No differences were observed between serum 25(OH) vitamin D levels of MS patients with severe progression compared to low progression (p = 0.88). A higher frequency of the A allele of CYP2R1 rs10766197 was observed between MS patients and controls (p = 0.05). No differences were observed in the frequency of T allele of CYP27B1 rs10877012 (p = 0.65). In subanalysis, patients with GA + AA genotypes of CYP2R1 rs10766197 had an increased risk of MS compared to controls (p = 0.03). No increased risk was observed in GT + TT genotypes of CYP27B1 rs10877012 (p = 0.63). No differences were observed in allele frequencies of either polymorphism between patients with severe vs. low disease progression.\nCONCLUSION: Lower serum 25(OH) vitamin D levels were observed in MS patients than in controls, although these levels were not associated with disease progression. Carriers of GA + AA genotypes of CYP2R1 rs10766197 had an increased risk of MS. None of these polymorphisms was associated with severe progression of MS.","container-title":"Journal of Immunology Research","DOI":"10.1155/2021/7523997","ISSN":"2314-7156","journalAbbreviation":"J Immunol Res","language":"eng","note":"PMID: 34977256\nPMCID: PMC8718303","page":"7523997","source":"PubMed","title":"Polymorphisms CYP2R1 rs10766197 and CYP27B1 rs10877012 in Multiple Sclerosis: A Case-Control Study","title-short":"Polymorphisms CYP2R1 rs10766197 and CYP27B1 rs10877012 in Multiple Sclerosis","volume":"2021","author":[{"family":"Martinez-Hernandez","given":"A."},{"family":"Perez-Guerrero","given":"E. E."},{"family":"Macias-Islas","given":"M. A."},{"family":"Nava-Valdivia","given":"C. A."},{"family":"Villagomez-Vega","given":"A."},{"family":"Contreras-Haro","given":"B."},{"family":"Garcia-Ortega","given":"Y. E."},{"family":"Esparza-Guerrero","given":"Y."},{"family":"Gallardo-Moya","given":"S. G."},{"family":"Gamez-Nava","given":"J. I."},{"family":"Gonzalez-Lopez","given":"L."},{"family":"Oliva-Flores","given":"E."},{"family":"Rodriguez-Jimenez","given":"N. A."},{"family":"Cortes-Enriquez","given":"F."},{"family":"Saldaña-Cruz","given":"A. M."}],"issued":{"date-parts":[["2021"]]}}}],"schema":"https://github.com/citation-style-language/schema/raw/master/csl-citation.json"} </w:instrText>
      </w:r>
      <w:r w:rsidR="00B36668">
        <w:fldChar w:fldCharType="separate"/>
      </w:r>
      <w:r w:rsidR="00B41ACC" w:rsidRPr="00B41ACC">
        <w:rPr>
          <w:rFonts w:cs="Times New Roman"/>
          <w:vertAlign w:val="superscript"/>
        </w:rPr>
        <w:t>219</w:t>
      </w:r>
      <w:r w:rsidR="00B36668">
        <w:fldChar w:fldCharType="end"/>
      </w:r>
      <w:r w:rsidR="00B36668" w:rsidRPr="00B36668">
        <w:t>.</w:t>
      </w:r>
      <w:r w:rsidR="003F2659" w:rsidRPr="003F2659">
        <w:t>A higher risk of MS has been associated with SNPs in TREM2, including rs2234253. Variants of TREM2, which is involved in microglial activity, can affect the central nervous system's inflammatory response</w:t>
      </w:r>
      <w:r w:rsidR="003F2659">
        <w:t xml:space="preserve"> </w:t>
      </w:r>
      <w:r w:rsidR="003F2659">
        <w:fldChar w:fldCharType="begin"/>
      </w:r>
      <w:r w:rsidR="00B41ACC">
        <w:instrText xml:space="preserve"> ADDIN ZOTERO_ITEM CSL_CITATION {"citationID":"aBknTTjX","properties":{"formattedCitation":"\\super 220\\nosupersub{}","plainCitation":"220","noteIndex":0},"citationItems":[{"id":1011,"uris":["http://zotero.org/users/local/BfzbJtgR/items/NEFBQ6L7"],"itemData":{"id":1011,"type":"article-journal","abstract":"Alzheimer's disease (AD) is the leading cause of dementia worldwide. Late-onset AD (LOAD), is the most common form of Alzheimer's disease, representing about &gt;95% of cases and early-onset AD represents &lt;5% of cases. Several risk factors have been discovered that are associated with AD, with advancing age being the most prominent. Other environmental risk factors include diabetes mellitus, level of physical activity, educational status, hypertension and head injury. The most well known genetic risk factor for LOAD is inheritance of the apolipoprotein (apo) E4 allele. Recently, rare variants of TREM2 have been reported as a significant risk factor for LOAD, comparable to inheritance of apoE4. In this review we will focus on the role(s) of TREM2 in AD as well as in other neurodegenerative disorders.","container-title":"Journal of Alzheimer's Disease &amp; Parkinsonism","DOI":"10.4172/2161-0460.1000160","ISSN":"2161-0460","issue":"5","journalAbbreviation":"J Alzheimers Dis Parkinsonism","language":"eng","note":"PMID: 25664220\nPMCID: PMC4317331","page":"160","source":"PubMed","title":"The Role of TREM2 in Alzheimer's Disease and Other Neurological Disorders","volume":"4","author":[{"family":"Yaghmoor","given":"Faris"},{"family":"Noorsaeed","given":"Ahmed"},{"family":"Alsaggaf","given":"Samar"},{"family":"Aljohani","given":"Waleed"},{"family":"Scholtzova","given":"Henrieta"},{"family":"Boutajangout","given":"Allal"},{"family":"Wisniewski","given":"Thomas"}],"issued":{"date-parts":[["2014",11]]}}}],"schema":"https://github.com/citation-style-language/schema/raw/master/csl-citation.json"} </w:instrText>
      </w:r>
      <w:r w:rsidR="003F2659">
        <w:fldChar w:fldCharType="separate"/>
      </w:r>
      <w:r w:rsidR="00B41ACC" w:rsidRPr="00B41ACC">
        <w:rPr>
          <w:rFonts w:cs="Times New Roman"/>
          <w:vertAlign w:val="superscript"/>
        </w:rPr>
        <w:t>220</w:t>
      </w:r>
      <w:r w:rsidR="003F2659">
        <w:fldChar w:fldCharType="end"/>
      </w:r>
      <w:r w:rsidR="003F2659">
        <w:t xml:space="preserve">. </w:t>
      </w:r>
      <w:r w:rsidR="005B73D2" w:rsidRPr="005B73D2">
        <w:t xml:space="preserve">One important cytokine implicated in inflammation is TNF. Because TNF contributes to the inflammatory processes in MS, SNPs in the TNF gene, such </w:t>
      </w:r>
      <w:r w:rsidR="00804227">
        <w:t xml:space="preserve">as </w:t>
      </w:r>
      <w:r w:rsidR="005B73D2" w:rsidRPr="005B73D2">
        <w:t>rs1799964, have been linked to an increased risk of developing MS</w:t>
      </w:r>
      <w:r w:rsidR="005B73D2">
        <w:t xml:space="preserve"> </w:t>
      </w:r>
      <w:r w:rsidR="005B73D2">
        <w:fldChar w:fldCharType="begin"/>
      </w:r>
      <w:r w:rsidR="00B41ACC">
        <w:instrText xml:space="preserve"> ADDIN ZOTERO_ITEM CSL_CITATION {"citationID":"1i0g2Cs5","properties":{"formattedCitation":"\\super 221\\nosupersub{}","plainCitation":"221","noteIndex":0},"citationItems":[{"id":1014,"uris":["http://zotero.org/users/local/BfzbJtgR/items/4ZLI7DHP"],"itemData":{"id":1014,"type":"article-journal","abstract":"Background:TNF-α has a dual role in multiple sclerosis (MS), contributing to both protective and harmful effects. It activates immune cells, promotes the formation of inflammatory lesions in the central nervous system, and stimulates the production of other pro-inflammatory cytokines and chemokines, leading to myelin destruction and neuronal damage. Our research focused on investigating the relationship between TNF-alpha (rs1800630, rs1800629, and rs361525) gene polymorphisms and MS. Methods: 250 healthy controls and 250 multiple sclerosis (MS) patients were included in the study. DNA was extracted from leucocytes from peripheral venous blood by salt precipitation. Single nucleotide polymorphisms (SNPs) were tested using RT-PCR. Statistical analysis of the data was performed using IBM SPSS Statistics 29.0 data analysis software. Results: The analysis revealed that the rs361525 AG genotype was significantly less frequent in the MS group compared to the control group (4.0% vs. 7.2%, p = 0.042). Sex-specific analysis showed a significant difference in genotype distribution (GG, AG, AA) among males between the MS group and the control group (97.7%, 0%, 2.3% vs. 90.6%, 9.4%, 0%, p = 0.005). For the rs1800629 polymorphism, significant results were also found. In subjects younger than 39 years, the A allele was significantly less frequent in the MS group than in the control group (8.6% vs. 15.0%, p = 0.030). The most robust model indicated that the AA genotype reduced the odds of MS by approximately 2 fold compared to the AG + GG genotype (p = 0.044), and each A allele reduced the odds of MS by approximately 2 fold (p = 0.028). The rs1800630 A allele was significantly more common in males in the MS group than in the control group (21.0% vs. 12.9%, p = 0.046). Conclusions: In conclusion, our study identifies significant associations between TNF-alpha gene variants and MS. Specifically, the rs631525 AG genotype was less common in the MS group, with notable sex-specific differences observed. The rs1800629 A allele was statistically significantly less frequent in the MS group than in the control group, and the AA genotype reduced the odds of MS occurrence by ~2 fold compared with the AG + GG genotypes. Additionally, each A allele of rs1800629 was linked to a 2-fold decreased odds of MS occurrence. In males, the rs1800630 A allele was more frequent in the MS group. These findings highlight the relevance of TNF-alpha genetic variations in MS susceptibility, suggesting potential avenues for further research and therapeutic exploration.","container-title":"Journal of Clinical Medicine","DOI":"10.3390/jcm13133693","ISSN":"2077-0383","issue":"13","journalAbbreviation":"J Clin Med","language":"eng","note":"PMID: 38999258\nPMCID: PMC11242879","page":"3693","source":"PubMed","title":"TNF-alfa Gene Polymorphism Associations with Multiple Sclerosis","volume":"13","author":[{"family":"Kalvaitis","given":"Lukas"},{"family":"Gedvilaite-Vaicechauskiene","given":"Greta"},{"family":"Kriauciuniene","given":"Loresa"},{"family":"Balnyte","given":"Renata"},{"family":"Liutkeviciene","given":"Rasa"}],"issued":{"date-parts":[["2024",6,25]]}}}],"schema":"https://github.com/citation-style-language/schema/raw/master/csl-citation.json"} </w:instrText>
      </w:r>
      <w:r w:rsidR="005B73D2">
        <w:fldChar w:fldCharType="separate"/>
      </w:r>
      <w:r w:rsidR="00B41ACC" w:rsidRPr="00B41ACC">
        <w:rPr>
          <w:rFonts w:cs="Times New Roman"/>
          <w:vertAlign w:val="superscript"/>
        </w:rPr>
        <w:t>221</w:t>
      </w:r>
      <w:r w:rsidR="005B73D2">
        <w:fldChar w:fldCharType="end"/>
      </w:r>
      <w:r w:rsidR="005B73D2" w:rsidRPr="005B73D2">
        <w:t>.</w:t>
      </w:r>
      <w:r w:rsidR="005B73D2">
        <w:t xml:space="preserve"> </w:t>
      </w:r>
      <w:r w:rsidR="005B73D2" w:rsidRPr="005B73D2">
        <w:t xml:space="preserve">Different alleles at the HLA-DRB1 locus (e.g., DRB1*1501) are known to be strongly related </w:t>
      </w:r>
      <w:r w:rsidR="00804227">
        <w:t>to</w:t>
      </w:r>
      <w:r w:rsidR="005B73D2" w:rsidRPr="005B73D2">
        <w:t xml:space="preserve"> multiple sclerosis (MS), and this locus is crucial to MS genetic susceptibility. Antigen presentation and immune response are impacted by this locus.</w:t>
      </w:r>
      <w:r w:rsidR="005B73D2">
        <w:t xml:space="preserve"> </w:t>
      </w:r>
      <w:r w:rsidR="005B73D2" w:rsidRPr="005B73D2">
        <w:t xml:space="preserve">MS has been associated with variations of the CLEC16A gene, including rs12708716. The immunological response in multiple sclerosis may be </w:t>
      </w:r>
      <w:r w:rsidR="005B73D2" w:rsidRPr="005B73D2">
        <w:lastRenderedPageBreak/>
        <w:t>influenced by the SNPs of CLEC16A, which is implicated in immune regulation and autophagy</w:t>
      </w:r>
      <w:r w:rsidR="005B73D2">
        <w:t xml:space="preserve"> </w:t>
      </w:r>
      <w:r w:rsidR="005B73D2">
        <w:fldChar w:fldCharType="begin"/>
      </w:r>
      <w:r w:rsidR="00B41ACC">
        <w:instrText xml:space="preserve"> ADDIN ZOTERO_ITEM CSL_CITATION {"citationID":"OwxbsyXr","properties":{"formattedCitation":"\\super 222\\nosupersub{}","plainCitation":"222","noteIndex":0},"citationItems":[{"id":1017,"uris":["http://zotero.org/users/local/BfzbJtgR/items/3JZTVN3M"],"itemData":{"id":1017,"type":"article-journal","abstract":"The human leukocyte antigen (HLA) DRB1*1501 has been consistently associated with multiple sclerosis (MS) in nearly all populations tested. This points to a specific antigen presentation as the pathogenic mechanism though this does not fully explain the disease association. The identification of expression quantitative trait loci (eQTL) for genes in the HLA locus poses the question of the role of gene expression in MS susceptibility. We analyzed the eQTLs in the HLA region with respect to MS-associated HLA-variants obtained from genome-wide association studies (GWAS). We found that the Tag of DRB1*1501, rs3135388 A allele, correlated with high expression of DRB1, DRB5 and DQB1 genes in a Caucasian population. In quantitative terms, the MS-risk AA genotype carriers of rs3135388 were associated with 15.7-, 5.2- and 8.3-fold higher expression of DQB1, DRB5 and DRB1, respectively, than the non-risk GG carriers. The haplotype analysis of expression-associated variants in a Spanish MS cohort revealed that high expression of DRB1 and DQB1 alone did not contribute to the disease. However, in Caucasian, Asian and African American populations, the DRB1*1501 allele was always highly expressed. In other immune related diseases such as type 1 diabetes, inflammatory bowel disease, ulcerative colitis, asthma and IgA deficiency, the best GWAS-associated HLA SNPs were also eQTLs for different HLA Class II genes. Our data suggest that the DR/DQ expression levels, together with specific structural properties of alleles, seem to be the causal effect in MS and in other immunopathologies rather than specific antigen presentation alone.","container-title":"PloS One","DOI":"10.1371/journal.pone.0029819","ISSN":"1932-6203","issue":"1","journalAbbreviation":"PLoS One","language":"eng","note":"PMID: 22253788\nPMCID: PMC3258250","page":"e29819","source":"PubMed","title":"Multiple sclerosis risk variant HLA-DRB1*1501 associates with high expression of DRB1 gene in different human populations","volume":"7","author":[{"family":"Alcina","given":"Antonio"},{"family":"Abad-Grau","given":"María Del Mar"},{"family":"Fedetz","given":"María"},{"family":"Izquierdo","given":"Guillermo"},{"family":"Lucas","given":"Miguel"},{"family":"Fernández","given":"Oscar"},{"family":"Ndagire","given":"Dorothy"},{"family":"Catalá-Rabasa","given":"Antonio"},{"family":"Ruiz","given":"Agustín"},{"family":"Gayán","given":"Javier"},{"family":"Delgado","given":"Concepción"},{"family":"Arnal","given":"Carmen"},{"family":"Matesanz","given":"Fuencisla"}],"issued":{"date-parts":[["2012"]]}}}],"schema":"https://github.com/citation-style-language/schema/raw/master/csl-citation.json"} </w:instrText>
      </w:r>
      <w:r w:rsidR="005B73D2">
        <w:fldChar w:fldCharType="separate"/>
      </w:r>
      <w:r w:rsidR="00B41ACC" w:rsidRPr="00B41ACC">
        <w:rPr>
          <w:rFonts w:cs="Times New Roman"/>
          <w:vertAlign w:val="superscript"/>
        </w:rPr>
        <w:t>222</w:t>
      </w:r>
      <w:r w:rsidR="005B73D2">
        <w:fldChar w:fldCharType="end"/>
      </w:r>
      <w:r w:rsidR="005B73D2" w:rsidRPr="005B73D2">
        <w:t>.</w:t>
      </w:r>
    </w:p>
    <w:p w:rsidR="002A2B5A" w:rsidRPr="004F140D" w:rsidRDefault="004F140D" w:rsidP="004F140D">
      <w:pPr>
        <w:pStyle w:val="Heading3"/>
        <w:rPr>
          <w:rFonts w:ascii="Times New Roman" w:hAnsi="Times New Roman" w:cs="Times New Roman"/>
          <w:color w:val="auto"/>
          <w:sz w:val="24"/>
        </w:rPr>
      </w:pPr>
      <w:r>
        <w:t xml:space="preserve">   </w:t>
      </w:r>
      <w:bookmarkStart w:id="15" w:name="_Toc193802126"/>
      <w:r w:rsidRPr="004F140D">
        <w:rPr>
          <w:rFonts w:ascii="Times New Roman" w:hAnsi="Times New Roman" w:cs="Times New Roman"/>
          <w:color w:val="auto"/>
          <w:sz w:val="24"/>
        </w:rPr>
        <w:t xml:space="preserve">2.3.2. </w:t>
      </w:r>
      <w:r w:rsidR="002A2B5A" w:rsidRPr="004F140D">
        <w:rPr>
          <w:rFonts w:ascii="Times New Roman" w:hAnsi="Times New Roman" w:cs="Times New Roman"/>
          <w:color w:val="auto"/>
          <w:sz w:val="24"/>
        </w:rPr>
        <w:t xml:space="preserve">Gene </w:t>
      </w:r>
      <w:r w:rsidR="00575FE7">
        <w:rPr>
          <w:rFonts w:ascii="Times New Roman" w:hAnsi="Times New Roman" w:cs="Times New Roman"/>
          <w:color w:val="auto"/>
          <w:sz w:val="24"/>
        </w:rPr>
        <w:t>Expression</w:t>
      </w:r>
      <w:r w:rsidR="002A2B5A" w:rsidRPr="004F140D">
        <w:rPr>
          <w:rFonts w:ascii="Times New Roman" w:hAnsi="Times New Roman" w:cs="Times New Roman"/>
          <w:color w:val="auto"/>
          <w:sz w:val="24"/>
        </w:rPr>
        <w:t xml:space="preserve"> Signature</w:t>
      </w:r>
      <w:bookmarkEnd w:id="15"/>
    </w:p>
    <w:p w:rsidR="002A2B5A" w:rsidRDefault="006554BA" w:rsidP="00F861EB">
      <w:pPr>
        <w:pStyle w:val="Standard"/>
        <w:spacing w:before="280" w:after="280" w:line="276" w:lineRule="auto"/>
        <w:jc w:val="both"/>
      </w:pPr>
      <w:r w:rsidRPr="006554BA">
        <w:t xml:space="preserve">The use of gene expression profiles as biomarkers for infectious illness diagnosis, tracking, and pathophysiology understanding is becoming more widely accepted. </w:t>
      </w:r>
      <w:r w:rsidR="00575FE7" w:rsidRPr="00575FE7">
        <w:rPr>
          <w:rStyle w:val="resultpara0"/>
        </w:rPr>
        <w:t xml:space="preserve">By </w:t>
      </w:r>
      <w:r w:rsidR="00575FE7" w:rsidRPr="00575FE7">
        <w:rPr>
          <w:rStyle w:val="resultpara0"/>
          <w:bCs/>
        </w:rPr>
        <w:t>aiding in the differentiation of various</w:t>
      </w:r>
      <w:r w:rsidR="00575FE7" w:rsidRPr="00575FE7">
        <w:rPr>
          <w:rStyle w:val="resultpara0"/>
        </w:rPr>
        <w:t xml:space="preserve"> pathogens and </w:t>
      </w:r>
      <w:r w:rsidR="00575FE7" w:rsidRPr="00575FE7">
        <w:rPr>
          <w:rStyle w:val="resultpara0"/>
          <w:bCs/>
        </w:rPr>
        <w:t>predicting</w:t>
      </w:r>
      <w:r w:rsidR="00575FE7" w:rsidRPr="00575FE7">
        <w:rPr>
          <w:rStyle w:val="resultpara0"/>
        </w:rPr>
        <w:t xml:space="preserve"> the </w:t>
      </w:r>
      <w:r w:rsidR="00575FE7" w:rsidRPr="00575FE7">
        <w:rPr>
          <w:rStyle w:val="resultpara0"/>
          <w:bCs/>
        </w:rPr>
        <w:t>seriousness</w:t>
      </w:r>
      <w:r w:rsidR="00575FE7" w:rsidRPr="00575FE7">
        <w:rPr>
          <w:rStyle w:val="resultpara0"/>
        </w:rPr>
        <w:t xml:space="preserve"> or </w:t>
      </w:r>
      <w:r w:rsidR="00575FE7" w:rsidRPr="00575FE7">
        <w:rPr>
          <w:rStyle w:val="resultpara0"/>
          <w:bCs/>
        </w:rPr>
        <w:t>progression</w:t>
      </w:r>
      <w:r w:rsidR="00575FE7" w:rsidRPr="00575FE7">
        <w:rPr>
          <w:rStyle w:val="resultpara0"/>
        </w:rPr>
        <w:t xml:space="preserve"> of </w:t>
      </w:r>
      <w:r w:rsidR="00575FE7" w:rsidRPr="00575FE7">
        <w:rPr>
          <w:rStyle w:val="resultpara0"/>
          <w:bCs/>
        </w:rPr>
        <w:t>a disease</w:t>
      </w:r>
      <w:r w:rsidR="00575FE7" w:rsidRPr="00575FE7">
        <w:rPr>
          <w:rStyle w:val="resultpara0"/>
        </w:rPr>
        <w:t xml:space="preserve">, these profiles </w:t>
      </w:r>
      <w:r w:rsidR="00575FE7" w:rsidRPr="00575FE7">
        <w:rPr>
          <w:rStyle w:val="resultpara0"/>
          <w:bCs/>
        </w:rPr>
        <w:t>provide understanding of</w:t>
      </w:r>
      <w:r w:rsidR="00575FE7" w:rsidRPr="00575FE7">
        <w:rPr>
          <w:rStyle w:val="resultpara0"/>
        </w:rPr>
        <w:t xml:space="preserve"> the host's </w:t>
      </w:r>
      <w:r w:rsidR="00575FE7" w:rsidRPr="00575FE7">
        <w:rPr>
          <w:rStyle w:val="resultpara0"/>
          <w:bCs/>
        </w:rPr>
        <w:t>immune reaction</w:t>
      </w:r>
      <w:r w:rsidR="00575FE7" w:rsidRPr="00575FE7">
        <w:rPr>
          <w:rStyle w:val="resultpara0"/>
        </w:rPr>
        <w:t xml:space="preserve"> to infections.</w:t>
      </w:r>
      <w:r w:rsidR="00575FE7" w:rsidRPr="00575FE7">
        <w:t xml:space="preserve"> </w:t>
      </w:r>
      <w:r w:rsidR="00575FE7" w:rsidRPr="00575FE7">
        <w:rPr>
          <w:rStyle w:val="resultpara2"/>
        </w:rPr>
        <w:t xml:space="preserve">Some of </w:t>
      </w:r>
      <w:r w:rsidR="00575FE7" w:rsidRPr="00575FE7">
        <w:rPr>
          <w:rStyle w:val="resultpara2"/>
          <w:bCs/>
        </w:rPr>
        <w:t>these</w:t>
      </w:r>
      <w:r w:rsidR="00575FE7" w:rsidRPr="00575FE7">
        <w:rPr>
          <w:rStyle w:val="resultpara2"/>
        </w:rPr>
        <w:t xml:space="preserve"> are </w:t>
      </w:r>
      <w:r w:rsidR="00575FE7" w:rsidRPr="00575FE7">
        <w:rPr>
          <w:rStyle w:val="resultpara2"/>
          <w:bCs/>
        </w:rPr>
        <w:t>mentioned previously</w:t>
      </w:r>
      <w:r w:rsidR="00575FE7" w:rsidRPr="00575FE7">
        <w:rPr>
          <w:rStyle w:val="resultpara2"/>
        </w:rPr>
        <w:t>.</w:t>
      </w:r>
      <w:r w:rsidR="00575FE7" w:rsidRPr="00575FE7">
        <w:t xml:space="preserve"> </w:t>
      </w:r>
      <w:r w:rsidR="00575FE7" w:rsidRPr="00575FE7">
        <w:rPr>
          <w:rStyle w:val="resultpara4"/>
        </w:rPr>
        <w:t xml:space="preserve">As </w:t>
      </w:r>
      <w:r w:rsidR="00575FE7" w:rsidRPr="00575FE7">
        <w:rPr>
          <w:rStyle w:val="resultpara4"/>
          <w:bCs/>
        </w:rPr>
        <w:t>potential</w:t>
      </w:r>
      <w:r w:rsidR="00575FE7" w:rsidRPr="00575FE7">
        <w:rPr>
          <w:rStyle w:val="resultpara4"/>
        </w:rPr>
        <w:t xml:space="preserve"> biomarkers for neurodegenerative </w:t>
      </w:r>
      <w:r w:rsidR="00575FE7" w:rsidRPr="00575FE7">
        <w:rPr>
          <w:rStyle w:val="resultpara4"/>
          <w:bCs/>
        </w:rPr>
        <w:t>conditions such as</w:t>
      </w:r>
      <w:r w:rsidR="00575FE7" w:rsidRPr="00575FE7">
        <w:rPr>
          <w:rStyle w:val="resultpara4"/>
        </w:rPr>
        <w:t xml:space="preserve"> Parkinson's disease, Alzheimer's disease, and others, gene expression profiles have </w:t>
      </w:r>
      <w:r w:rsidR="00575FE7" w:rsidRPr="00575FE7">
        <w:rPr>
          <w:rStyle w:val="resultpara4"/>
          <w:bCs/>
        </w:rPr>
        <w:t>garnered significant attention</w:t>
      </w:r>
      <w:r w:rsidR="00575FE7" w:rsidRPr="00575FE7">
        <w:rPr>
          <w:rStyle w:val="resultpara4"/>
        </w:rPr>
        <w:t xml:space="preserve"> in this </w:t>
      </w:r>
      <w:r w:rsidR="00575FE7" w:rsidRPr="00575FE7">
        <w:rPr>
          <w:rStyle w:val="resultpara4"/>
          <w:bCs/>
        </w:rPr>
        <w:t>area</w:t>
      </w:r>
      <w:r w:rsidR="00575FE7" w:rsidRPr="00575FE7">
        <w:rPr>
          <w:rStyle w:val="resultpara4"/>
        </w:rPr>
        <w:t>.</w:t>
      </w:r>
      <w:r w:rsidR="002A2B5A" w:rsidRPr="002A2B5A">
        <w:t xml:space="preserve"> Insights into the fundamental mechanisms of the disease can be gained from these signatures, which show the molecular alterations in cells and tissues brought on by disease processes. Key information on gene expression signatures as biomarkers in neurodegenerative illnesses is as follows:</w:t>
      </w:r>
    </w:p>
    <w:p w:rsidR="002A2B5A" w:rsidRPr="00C9037A" w:rsidRDefault="00B76A90" w:rsidP="00F861EB">
      <w:pPr>
        <w:pStyle w:val="Standard"/>
        <w:spacing w:before="280" w:after="280" w:line="276" w:lineRule="auto"/>
        <w:jc w:val="both"/>
        <w:rPr>
          <w:b/>
        </w:rPr>
      </w:pPr>
      <w:r w:rsidRPr="006554BA">
        <w:rPr>
          <w:b/>
        </w:rPr>
        <w:t>Alzheimer's diseas</w:t>
      </w:r>
      <w:r w:rsidR="00C9037A">
        <w:rPr>
          <w:b/>
        </w:rPr>
        <w:t xml:space="preserve">e – </w:t>
      </w:r>
      <w:r w:rsidR="002A2B5A">
        <w:t>Gene expression profiles for Alzheimer's disease are used to find treatment targets, forecast the illness's cou</w:t>
      </w:r>
      <w:r>
        <w:t>rse, and identify early stages. Inflammation Signature is i</w:t>
      </w:r>
      <w:r w:rsidR="002A2B5A">
        <w:t>ncreased expression of inflammatory genes, including TREM2, TLR4, and IL6, has been linked to Alzheimer's disease. The neuroinflammatory response that is essential to the pathophysiology of AD is reflected in these genes</w:t>
      </w:r>
      <w:r>
        <w:t xml:space="preserve"> </w:t>
      </w:r>
      <w:r>
        <w:fldChar w:fldCharType="begin"/>
      </w:r>
      <w:r w:rsidR="00B41ACC">
        <w:instrText xml:space="preserve"> ADDIN ZOTERO_ITEM CSL_CITATION {"citationID":"pnmgy6cx","properties":{"formattedCitation":"\\super 223\\nosupersub{}","plainCitation":"223","noteIndex":0},"citationItems":[{"id":1039,"uris":["http://zotero.org/users/local/BfzbJtgR/items/E5BUZ6NL"],"itemData":{"id":1039,"type":"article-journal","container-title":"Neurobiology of Disease","DOI":"10.1016/j.nbd.2015.08.014","ISSN":"09699961","journalAbbreviation":"Neurobiology of Disease","language":"en","page":"593-606","source":"DOI.org (Crossref)","title":"Vascular dysfunction in the pathogenesis of Alzheimer's disease — A review of endothelium-mediated mechanisms and ensuing vicious circles","volume":"82","author":[{"family":"Di Marco","given":"Luigi Yuri"},{"family":"Venneri","given":"Annalena"},{"family":"Farkas","given":"Eszter"},{"family":"Evans","given":"Paul C."},{"family":"Marzo","given":"Alberto"},{"family":"Frangi","given":"Alejandro F."}],"issued":{"date-parts":[["2015",10]]}}}],"schema":"https://github.com/citation-style-language/schema/raw/master/csl-citation.json"} </w:instrText>
      </w:r>
      <w:r>
        <w:fldChar w:fldCharType="separate"/>
      </w:r>
      <w:r w:rsidR="00B41ACC" w:rsidRPr="00B41ACC">
        <w:rPr>
          <w:rFonts w:cs="Times New Roman"/>
          <w:vertAlign w:val="superscript"/>
        </w:rPr>
        <w:t>223</w:t>
      </w:r>
      <w:r>
        <w:fldChar w:fldCharType="end"/>
      </w:r>
      <w:r w:rsidR="002A2B5A">
        <w:t>.</w:t>
      </w:r>
      <w:r>
        <w:t xml:space="preserve"> Others related biomarkers are discussed in later section of this chapter. </w:t>
      </w:r>
    </w:p>
    <w:p w:rsidR="00E50B3E" w:rsidRPr="00C9037A" w:rsidRDefault="00B76A90" w:rsidP="00F861EB">
      <w:pPr>
        <w:pStyle w:val="Standard"/>
        <w:spacing w:before="280" w:after="280" w:line="276" w:lineRule="auto"/>
        <w:jc w:val="both"/>
        <w:rPr>
          <w:b/>
        </w:rPr>
      </w:pPr>
      <w:r w:rsidRPr="00B76A90">
        <w:rPr>
          <w:b/>
        </w:rPr>
        <w:t xml:space="preserve">Parkinson's disease </w:t>
      </w:r>
      <w:r w:rsidR="007F71F0">
        <w:rPr>
          <w:b/>
        </w:rPr>
        <w:t>-</w:t>
      </w:r>
      <w:r w:rsidR="00C9037A">
        <w:rPr>
          <w:b/>
        </w:rPr>
        <w:t xml:space="preserve"> </w:t>
      </w:r>
      <w:r w:rsidR="007F71F0">
        <w:t>To</w:t>
      </w:r>
      <w:r>
        <w:t xml:space="preserve"> find biomarkers for diagnosis and the advancement of the disease, gene expression profiles are also being investigated in Parkinson's disease. Genes Associated with Dopamine Dysregulation: Parkinson's disease alters the expression of genes related to dopamine signaling, including TH (tyrosine hydroxylase), SLC6A3 (dopamine transporter), and COMT (catechol-O-methyl transferase)</w:t>
      </w:r>
      <w:r w:rsidR="008B556D">
        <w:fldChar w:fldCharType="begin"/>
      </w:r>
      <w:r w:rsidR="00B41ACC">
        <w:instrText xml:space="preserve"> ADDIN ZOTERO_ITEM CSL_CITATION {"citationID":"TE1bwxa5","properties":{"formattedCitation":"\\super 224\\nosupersub{}","plainCitation":"224","noteIndex":0},"citationItems":[{"id":1041,"uris":["http://zotero.org/users/local/BfzbJtgR/items/MCJTGFDC"],"itemData":{"id":1041,"type":"article-journal","abstract":"Background: As in other therapeutic areas, clinical studies in Parkinson's disease (PD) face significant recruitment challenges. However, qualitative surveys suggest that individuals with PD are willing to participate in clinical research. The Michael J. Fox Foundation therefore established Fox Trial Finder in 2011 to facilitate connection between PD research teams and volunteers. Objective: Characterize the research volunteers (with and without PD) registered on Fox Trial Finder as of June 2014, and the published, recruiting studies to identify trends and highlight gaps between research requirements and available volunteers. Methods: Profiles of volunteers with and without PD were analyzed to explore trends in geography, demographics, family history and, for those volunteers with PD, disease progression and treatment history. Clinical study profiles were analyzed to determine study type, phase, sponsor, focus, location and eligibility criteria. The analysis focused on volunteers and studies based in the United States. Results: The database contained 26,261 US-based volunteers, including 19,243 volunteers (73%) with PD and 7,018 (27%) controls without PD. The average time since diagnosis for PD volunteers was 5.7 years and the average age at diagnosis was 58 years. Control volunteers were more likely than volunteers with PD to be female (67% vs. 35%) and to have a family history of PD (49% vs. 12%). Conclusions: Fox Trial Finder's registration history to date demonstrates the high level of willingness among individuals affected by PD to participate in clinical research and provide a significant amount of personal health information to facilitate that participation.","container-title":"Journal of Parkinson’s Disease","DOI":"10.3233/JPD-140522","ISSN":"1877-7171, 1877-718X","issue":"1","journalAbbreviation":"Journal of Parkinson’s Disease","language":"en","page":"55-66","source":"DOI.org (Crossref)","title":"Use of an Online Portal to Facilitate Clinical Trial Recruitment: A Preliminary Analysis of Fox Trial Finder","title-short":"Use of an Online Portal to Facilitate Clinical Trial Recruitment","volume":"5","author":[{"family":"Rocker","given":"Charlotte"},{"family":"Cappelletti","given":"Lily"},{"family":"Marshall","given":"Claudia"},{"family":"Meunier","given":"Claire C."},{"family":"Brooks","given":"Deborah W."},{"family":"Sherer","given":"Todd"},{"family":"Chowdhury","given":"Sohini"}],"issued":{"date-parts":[["2015",2,1]]}}}],"schema":"https://github.com/citation-style-language/schema/raw/master/csl-citation.json"} </w:instrText>
      </w:r>
      <w:r w:rsidR="008B556D">
        <w:fldChar w:fldCharType="separate"/>
      </w:r>
      <w:r w:rsidR="00B41ACC" w:rsidRPr="00B41ACC">
        <w:rPr>
          <w:rFonts w:cs="Times New Roman"/>
          <w:vertAlign w:val="superscript"/>
        </w:rPr>
        <w:t>224</w:t>
      </w:r>
      <w:r w:rsidR="008B556D">
        <w:fldChar w:fldCharType="end"/>
      </w:r>
      <w:r>
        <w:t>.</w:t>
      </w:r>
      <w:r w:rsidR="008B556D">
        <w:t xml:space="preserve"> Further, </w:t>
      </w:r>
      <w:r w:rsidR="008B556D" w:rsidRPr="008B556D">
        <w:t>Increased expression of immune-related genes, including IL1B, TNFα, and CXCL8, which suggest neuroinflammation in the substantia nigra, is linked to Parkinson's disease</w:t>
      </w:r>
      <w:r w:rsidR="008B556D">
        <w:fldChar w:fldCharType="begin"/>
      </w:r>
      <w:r w:rsidR="00B41ACC">
        <w:instrText xml:space="preserve"> ADDIN ZOTERO_ITEM CSL_CITATION {"citationID":"nM8BJZB5","properties":{"formattedCitation":"\\super 225\\nosupersub{}","plainCitation":"225","noteIndex":0},"citationItems":[{"id":1043,"uris":["http://zotero.org/users/local/BfzbJtgR/items/BXL5TRYY"],"itemData":{"id":1043,"type":"article-journal","abstract":"Parkinson disease (PD) is a progressive neurodegenerative disease that affects peripheral organs as well as the central nervous system and involves a fundamental role of neuroinflammation in its pathophysiology. Neurohistological and neuroimaging studies support the presence of ongoing and end-stage neuroinflammatory processes in PD. Moreover, numerous studies of peripheral blood and cerebrospinal fluid from patients with PD suggest alterations in markers of inflammation and immune cell populations that could initiate or exacerbate neuroinflammation and perpetuate the neurodegenerative process. A number of disease genes and risk factors have been identified as modulators of immune function in PD and evidence is mounting for a role of viral or bacterial exposure, pesticides and alterations in gut microbiota in disease pathogenesis. This has led to the hypothesis that complex gene-by-environment interactions combine with an ageing immune system to create the 'perfect storm' that enables the development and progression of PD. We discuss the evidence for this hypothesis and opportunities to harness the emerging immunological knowledge from patients with PD to create better preclinical models with the long-term goal of enabling earlier identification of at-risk individuals to prevent, delay and more effectively treat the disease.","container-title":"Nature Reviews. Immunology","DOI":"10.1038/s41577-022-00684-6","ISSN":"1474-1741","issue":"11","journalAbbreviation":"Nat Rev Immunol","language":"eng","note":"PMID: 35246670\nPMCID: PMC8895080","page":"657-673","source":"PubMed","title":"Inflammation and immune dysfunction in Parkinson disease","volume":"22","author":[{"family":"Tansey","given":"Malú Gámez"},{"family":"Wallings","given":"Rebecca L."},{"family":"Houser","given":"Madelyn C."},{"family":"Herrick","given":"Mary K."},{"family":"Keating","given":"Cody E."},{"family":"Joers","given":"Valerie"}],"issued":{"date-parts":[["2022",11]]}}}],"schema":"https://github.com/citation-style-language/schema/raw/master/csl-citation.json"} </w:instrText>
      </w:r>
      <w:r w:rsidR="008B556D">
        <w:fldChar w:fldCharType="separate"/>
      </w:r>
      <w:r w:rsidR="00B41ACC" w:rsidRPr="00B41ACC">
        <w:rPr>
          <w:rFonts w:cs="Times New Roman"/>
          <w:vertAlign w:val="superscript"/>
        </w:rPr>
        <w:t>225</w:t>
      </w:r>
      <w:r w:rsidR="008B556D">
        <w:fldChar w:fldCharType="end"/>
      </w:r>
      <w:r w:rsidR="008B556D" w:rsidRPr="008B556D">
        <w:t>.</w:t>
      </w:r>
      <w:r w:rsidR="008B556D">
        <w:t xml:space="preserve"> </w:t>
      </w:r>
      <w:r w:rsidR="008B556D" w:rsidRPr="008B556D">
        <w:t>Parkinson's disease alters the expression of genes linked to mitochondrial function, including PINK1, DJ-1, and LRRK2. One of the main causes of neuronal damage in Parkinson's disease is mitochondrial malfunction</w:t>
      </w:r>
      <w:r w:rsidR="008B556D">
        <w:t xml:space="preserve"> </w:t>
      </w:r>
      <w:r w:rsidR="008B556D">
        <w:fldChar w:fldCharType="begin"/>
      </w:r>
      <w:r w:rsidR="00B41ACC">
        <w:instrText xml:space="preserve"> ADDIN ZOTERO_ITEM CSL_CITATION {"citationID":"q5oAq2XO","properties":{"formattedCitation":"\\super 226\\nosupersub{}","plainCitation":"226","noteIndex":0},"citationItems":[{"id":1046,"uris":["http://zotero.org/users/local/BfzbJtgR/items/NAQLVITZ"],"itemData":{"id":1046,"type":"article-journal","container-title":"Experimental Neurobiology","DOI":"10.5607/en.2015.24.2.103","ISSN":"1226-2560, 2093-8144","issue":"2","journalAbbreviation":"Exp Neurobiol","language":"en","page":"103-116","source":"DOI.org (Crossref)","title":"Mitochondrial Dysfunction in Parkinson’s Disease","volume":"24","author":[{"family":"Moon","given":"Hyo Eun"},{"family":"Paek","given":"Sun Ha"}],"issued":{"date-parts":[["2015",6,30]]}}}],"schema":"https://github.com/citation-style-language/schema/raw/master/csl-citation.json"} </w:instrText>
      </w:r>
      <w:r w:rsidR="008B556D">
        <w:fldChar w:fldCharType="separate"/>
      </w:r>
      <w:r w:rsidR="00B41ACC" w:rsidRPr="00B41ACC">
        <w:rPr>
          <w:rFonts w:cs="Times New Roman"/>
          <w:vertAlign w:val="superscript"/>
        </w:rPr>
        <w:t>226</w:t>
      </w:r>
      <w:r w:rsidR="008B556D">
        <w:fldChar w:fldCharType="end"/>
      </w:r>
      <w:r w:rsidR="008B556D" w:rsidRPr="008B556D">
        <w:t>.</w:t>
      </w:r>
      <w:r w:rsidR="008B556D">
        <w:t xml:space="preserve"> The molecular mechanisms behind motor neuron degeneration are being understood through the use of gene expression markers in ALS. Factors associated with excitotoxicity are genes linked to glutamate signaling and excitotoxicity, including GLT-1 (glutamate transporter) and GRIA1 (AMPA receptor), </w:t>
      </w:r>
      <w:r w:rsidR="00804227">
        <w:t xml:space="preserve">which </w:t>
      </w:r>
      <w:r w:rsidR="008B556D">
        <w:t>are expressed differently in ALS</w:t>
      </w:r>
      <w:r w:rsidR="00F25AB3">
        <w:t xml:space="preserve"> </w:t>
      </w:r>
      <w:r w:rsidR="00F25AB3">
        <w:fldChar w:fldCharType="begin"/>
      </w:r>
      <w:r w:rsidR="00B41ACC">
        <w:instrText xml:space="preserve"> ADDIN ZOTERO_ITEM CSL_CITATION {"citationID":"G1tcVZGq","properties":{"formattedCitation":"\\super 227\\nosupersub{}","plainCitation":"227","noteIndex":0},"citationItems":[{"id":1048,"uris":["http://zotero.org/users/local/BfzbJtgR/items/AVYC34N4"],"itemData":{"id":1048,"type":"article-journal","container-title":"Nature Reviews Neuroscience","DOI":"10.1038/nrn2676","ISSN":"1471-003X, 1471-0048","issue":"7","journalAbbreviation":"Nat Rev Neurosci","language":"en","license":"http://www.springer.com/tdm","page":"471-471","source":"DOI.org (Crossref)","title":"What goes up, must come down","volume":"10","author":[{"family":"Wiedemann","given":"Claudia"}],"issued":{"date-parts":[["2009",7]]}}}],"schema":"https://github.com/citation-style-language/schema/raw/master/csl-citation.json"} </w:instrText>
      </w:r>
      <w:r w:rsidR="00F25AB3">
        <w:fldChar w:fldCharType="separate"/>
      </w:r>
      <w:r w:rsidR="00B41ACC" w:rsidRPr="00B41ACC">
        <w:rPr>
          <w:rFonts w:cs="Times New Roman"/>
          <w:vertAlign w:val="superscript"/>
        </w:rPr>
        <w:t>227</w:t>
      </w:r>
      <w:r w:rsidR="00F25AB3">
        <w:fldChar w:fldCharType="end"/>
      </w:r>
      <w:r w:rsidR="008B556D">
        <w:t>.</w:t>
      </w:r>
      <w:r w:rsidR="00804227">
        <w:t xml:space="preserve"> </w:t>
      </w:r>
      <w:r w:rsidR="00F25AB3">
        <w:t xml:space="preserve">In addition, </w:t>
      </w:r>
      <w:r w:rsidR="00F25AB3" w:rsidRPr="00F25AB3">
        <w:t>Oxidative stress-related genes, including glutathione peroxidase (GPX1) and superoxide dismutase 1 (SOD1), exhibit changed expression patterns in ALS, indicating the part oxidative damage plays in motor neuron degeneration</w:t>
      </w:r>
      <w:r w:rsidR="00F25AB3">
        <w:t xml:space="preserve"> </w:t>
      </w:r>
      <w:r w:rsidR="00F25AB3">
        <w:fldChar w:fldCharType="begin"/>
      </w:r>
      <w:r w:rsidR="00B41ACC">
        <w:instrText xml:space="preserve"> ADDIN ZOTERO_ITEM CSL_CITATION {"citationID":"rhrYhVv1","properties":{"formattedCitation":"\\super 228\\nosupersub{}","plainCitation":"228","noteIndex":0},"citationItems":[{"id":1050,"uris":["http://zotero.org/users/local/BfzbJtgR/items/JNUPR8NC"],"itemData":{"id":1050,"type":"article-journal","container-title":"Nature Neuroscience","DOI":"10.1038/nn.3489","ISSN":"1097-6256, 1546-1726","issue":"9","journalAbbreviation":"Nat Neurosci","language":"en","license":"http://www.springer.com/tdm","page":"1257-1265","source":"DOI.org (Crossref)","title":"The Parkinson's disease–linked proteins Fbxo7 and Parkin interact to mediate mitophagy","volume":"16","author":[{"family":"Burchell","given":"Victoria S"},{"family":"Nelson","given":"David E"},{"family":"Sanchez-Martinez","given":"Alvaro"},{"family":"Delgado-Camprubi","given":"Marta"},{"family":"Ivatt","given":"Rachael M"},{"family":"Pogson","given":"Joe H"},{"family":"Randle","given":"Suzanne J"},{"family":"Wray","given":"Selina"},{"family":"Lewis","given":"Patrick A"},{"family":"Houlden","given":"Henry"},{"family":"Abramov","given":"Andrey Y"},{"family":"Hardy","given":"John"},{"family":"Wood","given":"Nicholas W"},{"family":"Whitworth","given":"Alexander J"},{"family":"Laman","given":"Heike"},{"family":"Plun-Favreau","given":"Helene"}],"issued":{"date-parts":[["2013",9]]}}}],"schema":"https://github.com/citation-style-language/schema/raw/master/csl-citation.json"} </w:instrText>
      </w:r>
      <w:r w:rsidR="00F25AB3">
        <w:fldChar w:fldCharType="separate"/>
      </w:r>
      <w:r w:rsidR="00B41ACC" w:rsidRPr="00B41ACC">
        <w:rPr>
          <w:rFonts w:cs="Times New Roman"/>
          <w:vertAlign w:val="superscript"/>
        </w:rPr>
        <w:t>228</w:t>
      </w:r>
      <w:r w:rsidR="00F25AB3">
        <w:fldChar w:fldCharType="end"/>
      </w:r>
      <w:r w:rsidR="00F25AB3" w:rsidRPr="00F25AB3">
        <w:t>.</w:t>
      </w:r>
      <w:r w:rsidR="00F25AB3">
        <w:t xml:space="preserve"> As biomarkers for diagnosis and progression, TARDBP gene expression alterations and C9ORF72 mutations are prevalent in FTD. TDP-43 and Genes Associated with C9ORF72. FTD is associated with altered expression of TARDBP (TAR DNA-binding protein) and C9ORF72 </w:t>
      </w:r>
      <w:r w:rsidR="00F25AB3">
        <w:fldChar w:fldCharType="begin"/>
      </w:r>
      <w:r w:rsidR="00B41ACC">
        <w:instrText xml:space="preserve"> ADDIN ZOTERO_ITEM CSL_CITATION {"citationID":"Ai2bGPD9","properties":{"formattedCitation":"\\super 229\\nosupersub{}","plainCitation":"229","noteIndex":0},"citationItems":[{"id":1052,"uris":["http://zotero.org/users/local/BfzbJtgR/items/ILRVHXB3"],"itemData":{"id":1052,"type":"article-journal","abstract":"The discovery that repeat expansions in the C9orf72 gene are a frequent cause of amyotrophic lateral sclerosis (ALS) and frontotemporal dementia (FTD) has revolutionized our understanding of these diseases. Substantial headway has been made in characterizing C9orf72-mediated disease and unravelling its underlying aetiopathogenesis. Three main disease mechanisms have been proposed: loss of function of the C9orf72 protein and toxic gain of function from C9orf72 repeat RNA or from dipeptide repeat proteins produced by repeat-associated non-ATG translation. Several downstream processes across a range of cellular functions have also been implicated. In this article, we review the pathological and mechanistic features of C9orf72-associated FTD and ALS (collectively termed C9FTD/ALS), the model systems used to study these conditions, and the probable initiators of downstream disease mechanisms. We suggest that a combination of upstream mechanisms involving both loss and gain of function and downstream cellular pathways involving both cell-autonomous and non-cell-autonomous effects contributes to disease progression.","container-title":"Nature Reviews. Neurology","DOI":"10.1038/s41582-018-0047-2","ISSN":"1759-4766","issue":"9","journalAbbreviation":"Nat Rev Neurol","language":"eng","note":"PMID: 30120348\nPMCID: PMC6417666","page":"544-558","source":"PubMed","title":"C9orf72-mediated ALS and FTD: multiple pathways to disease","title-short":"C9orf72-mediated ALS and FTD","volume":"14","author":[{"family":"Balendra","given":"Rubika"},{"family":"Isaacs","given":"Adrian M."}],"issued":{"date-parts":[["2018",9]]}}}],"schema":"https://github.com/citation-style-language/schema/raw/master/csl-citation.json"} </w:instrText>
      </w:r>
      <w:r w:rsidR="00F25AB3">
        <w:fldChar w:fldCharType="separate"/>
      </w:r>
      <w:r w:rsidR="00B41ACC" w:rsidRPr="00B41ACC">
        <w:rPr>
          <w:rFonts w:cs="Times New Roman"/>
          <w:vertAlign w:val="superscript"/>
        </w:rPr>
        <w:t>229</w:t>
      </w:r>
      <w:r w:rsidR="00F25AB3">
        <w:fldChar w:fldCharType="end"/>
      </w:r>
      <w:r w:rsidR="00F25AB3">
        <w:t xml:space="preserve">. Blood Transcriptomics in </w:t>
      </w:r>
      <w:r w:rsidR="00F25AB3">
        <w:lastRenderedPageBreak/>
        <w:t>the Periphery</w:t>
      </w:r>
      <w:r w:rsidR="00804227">
        <w:t>,</w:t>
      </w:r>
      <w:r w:rsidR="00F25AB3">
        <w:t xml:space="preserve"> a non-invasive technique for finding biomarkers for neurodegenerative illnesses</w:t>
      </w:r>
      <w:r w:rsidR="00804227">
        <w:t>,</w:t>
      </w:r>
      <w:r w:rsidR="00F25AB3">
        <w:t xml:space="preserve"> is </w:t>
      </w:r>
      <w:r w:rsidR="00804227">
        <w:t xml:space="preserve">a </w:t>
      </w:r>
      <w:r w:rsidR="00F25AB3">
        <w:t>blood-based gene expression profiling. Patients with AD, PD, ALS, and other neurodegenerative disorders frequently have dysregulated blood levels of genes linked to inflammation, oxidative stress, and neuronal damage</w:t>
      </w:r>
      <w:r w:rsidR="00F25AB3">
        <w:fldChar w:fldCharType="begin"/>
      </w:r>
      <w:r w:rsidR="00B41ACC">
        <w:instrText xml:space="preserve"> ADDIN ZOTERO_ITEM CSL_CITATION {"citationID":"ysQYCs0K","properties":{"formattedCitation":"\\super 230\\nosupersub{}","plainCitation":"230","noteIndex":0},"citationItems":[{"id":1055,"uris":["http://zotero.org/users/local/BfzbJtgR/items/RLBSHYRJ"],"itemData":{"id":1055,"type":"article-journal","abstract":"Alzheimer's disease (AD) is a growing global health crisis affecting millions and incurring substantial economic costs. However, clinical diagnosis remains challenging, with misdiagnoses and underdiagnoses being prevalent. There is an increased focus on putative, blood-based biomarkers that may be useful for the diagnosis as well as early detection of AD. In the present study, we used an unbiased combination of machine learning and functional network analyses to identify blood gene biomarker candidates in AD. Using supervised machine learning, we also determined whether these candidates were indeed unique to AD or whether they were indicative of other neurodegenerative diseases, such as Parkinson's disease (PD) and amyotrophic lateral sclerosis (ALS). Our analyses showed that genes involved in spliceosome assembly, RNA binding, transcription, protein synthesis, mitoribosomes, and NADH dehydrogenase were the best-performing genes for identifying AD patients relative to cognitively healthy controls. This transcriptomic signature, however, was not unique to AD, and subsequent machine learning showed that this signature could also predict PD and ALS relative to controls without neurodegenerative disease. Combined, our results suggest that mRNA from whole blood can indeed be used to screen for patients with neurodegeneration but may be less effective in diagnosing the specific neurodegenerative disease.","container-title":"International Journal of Molecular Sciences","DOI":"10.3390/ijms241915011","ISSN":"1422-0067","issue":"19","journalAbbreviation":"Int J Mol Sci","language":"eng","note":"PMID: 37834458\nPMCID: PMC10573468","page":"15011","source":"PubMed","title":"Blood-Based Transcriptomic Biomarkers Are Predictive of Neurodegeneration Rather Than Alzheimer's Disease","volume":"24","author":[{"family":"Shvetcov","given":"Artur"},{"family":"Thomson","given":"Shannon"},{"family":"Spathos","given":"Jessica"},{"family":"Cho","given":"Ann-Na"},{"family":"Wilkins","given":"Heather M."},{"family":"Andrews","given":"Shea J."},{"family":"Delerue","given":"Fabien"},{"family":"Couttas","given":"Timothy A."},{"family":"Issar","given":"Jasmeen Kaur"},{"family":"Isik","given":"Finula"},{"family":"Kaur","given":"Simranpreet"},{"family":"Drummond","given":"Eleanor"},{"family":"Dobson-Stone","given":"Carol"},{"family":"Duffy","given":"Shantel L."},{"family":"Rogers","given":"Natasha M."},{"family":"Catchpoole","given":"Daniel"},{"family":"Gold","given":"Wendy A."},{"family":"Swerdlow","given":"Russell H."},{"family":"Brown","given":"David A."},{"family":"Finney","given":"Caitlin A."}],"issued":{"date-parts":[["2023",10,9]]}}}],"schema":"https://github.com/citation-style-language/schema/raw/master/csl-citation.json"} </w:instrText>
      </w:r>
      <w:r w:rsidR="00F25AB3">
        <w:fldChar w:fldCharType="separate"/>
      </w:r>
      <w:r w:rsidR="00B41ACC" w:rsidRPr="00B41ACC">
        <w:rPr>
          <w:rFonts w:cs="Times New Roman"/>
          <w:vertAlign w:val="superscript"/>
        </w:rPr>
        <w:t>230</w:t>
      </w:r>
      <w:r w:rsidR="00F25AB3">
        <w:fldChar w:fldCharType="end"/>
      </w:r>
      <w:r w:rsidR="00F25AB3">
        <w:t>.</w:t>
      </w:r>
    </w:p>
    <w:p w:rsidR="00D802E8" w:rsidRPr="00793BDA" w:rsidRDefault="00D802E8" w:rsidP="00793BDA">
      <w:pPr>
        <w:pStyle w:val="Standard"/>
        <w:spacing w:line="276" w:lineRule="auto"/>
        <w:jc w:val="both"/>
        <w:rPr>
          <w:b/>
        </w:rPr>
      </w:pPr>
      <w:r w:rsidRPr="00D802E8">
        <w:rPr>
          <w:b/>
        </w:rPr>
        <w:t xml:space="preserve">Biomarkers </w:t>
      </w:r>
      <w:r w:rsidR="00172E49">
        <w:rPr>
          <w:b/>
        </w:rPr>
        <w:t xml:space="preserve">for </w:t>
      </w:r>
      <w:r w:rsidRPr="00D802E8">
        <w:rPr>
          <w:b/>
        </w:rPr>
        <w:t xml:space="preserve">Alzheimer's disease </w:t>
      </w:r>
      <w:r w:rsidR="00F21410">
        <w:rPr>
          <w:b/>
        </w:rPr>
        <w:t>-</w:t>
      </w:r>
      <w:r w:rsidR="0027286E">
        <w:t>To</w:t>
      </w:r>
      <w:r w:rsidRPr="00D802E8">
        <w:t xml:space="preserve"> diagnose neurodegenerative disorders like Alzheimer's disease, track their progression, and create treatments, biomarkers are essential. Several important indicators of Alzheimer's disease (AD) are frequently employed in clinical and research settings:</w:t>
      </w:r>
      <w:r w:rsidR="0027286E">
        <w:t xml:space="preserve"> </w:t>
      </w:r>
    </w:p>
    <w:p w:rsidR="0027286E" w:rsidRDefault="0027286E" w:rsidP="00F861EB">
      <w:pPr>
        <w:pStyle w:val="Standard"/>
        <w:spacing w:before="280" w:after="280" w:line="276" w:lineRule="auto"/>
        <w:jc w:val="both"/>
      </w:pPr>
      <w:r>
        <w:t xml:space="preserve">One of the defining pathological characteristics of Alzheimer's disease is amyloid-beta plaques. Amyloid-beta buildup in the brain causes plaque to develop, which damages neurons and interferes with cell-to-cell communication. Biomarkers for Cerebrospinal Fluid (CSF) levels </w:t>
      </w:r>
      <w:r w:rsidR="00F21410">
        <w:t xml:space="preserve">of </w:t>
      </w:r>
      <w:r>
        <w:t xml:space="preserve">amyloid plaque buildup in the brain </w:t>
      </w:r>
      <w:r w:rsidR="00F21410">
        <w:t>are</w:t>
      </w:r>
      <w:r>
        <w:t xml:space="preserve"> linked to lower CSF levels of amyloid-beta (Aβ1-42). PET Imaging by using tracers such as florbetapir or florbetaben, PET imaging can visualize amyloid plaques in vivo, aiding in diagnosis and tracking the course of the disease </w:t>
      </w:r>
      <w:r>
        <w:fldChar w:fldCharType="begin"/>
      </w:r>
      <w:r w:rsidR="00B41ACC">
        <w:instrText xml:space="preserve"> ADDIN ZOTERO_ITEM CSL_CITATION {"citationID":"wjDVpSbs","properties":{"formattedCitation":"\\super 231\\nosupersub{}","plainCitation":"231","noteIndex":0},"citationItems":[{"id":1020,"uris":["http://zotero.org/users/local/BfzbJtgR/items/PV7AXECJ"],"itemData":{"id":1020,"type":"article-journal","container-title":"EMBO Molecular Medicine","DOI":"10.15252/emmm.201606210","ISSN":"1757-4676, 1757-4684","issue":"6","journalAbbreviation":"EMBO Mol Med","language":"en","license":"http://creativecommons.org/licenses/by/4.0/","page":"595-608","source":"DOI.org (Crossref)","title":"The amyloid hypothesis of Alzheimer's disease at 25 years","volume":"8","author":[{"family":"Selkoe","given":"Dennis J"},{"family":"Hardy","given":"John"}],"issued":{"date-parts":[["2016",6]]}}}],"schema":"https://github.com/citation-style-language/schema/raw/master/csl-citation.json"} </w:instrText>
      </w:r>
      <w:r>
        <w:fldChar w:fldCharType="separate"/>
      </w:r>
      <w:r w:rsidR="00B41ACC" w:rsidRPr="00B41ACC">
        <w:rPr>
          <w:rFonts w:cs="Times New Roman"/>
          <w:vertAlign w:val="superscript"/>
        </w:rPr>
        <w:t>231</w:t>
      </w:r>
      <w:r>
        <w:fldChar w:fldCharType="end"/>
      </w:r>
      <w:r>
        <w:t xml:space="preserve">. In neurons, tau is a microtubule-associated protein that keeps microtubules stable. Tau gets </w:t>
      </w:r>
      <w:r w:rsidR="00F21410">
        <w:t>hyperphosphorylated</w:t>
      </w:r>
      <w:r>
        <w:t xml:space="preserve"> and tangles inside neurons in Alzheimer's disease, which impairs cellular processes and causes neurodegeneration. Increased levels of tau and phosphorylated tau, or p-tau, in the cerebrospinal fluid (CSF)</w:t>
      </w:r>
      <w:r w:rsidR="00F21410">
        <w:t>,</w:t>
      </w:r>
      <w:r>
        <w:t xml:space="preserve"> are linked to neurodegeneration and may be a sign of Alzheimer's disease. It is believed that tau tangles in the brain are correlated with p-tau in particular. </w:t>
      </w:r>
      <w:r w:rsidRPr="0027286E">
        <w:t>In vivo imaging of tau disease is made possible by the ability of PET tracers, like flortaucipir, to attach to tau tangles in the brain.</w:t>
      </w:r>
      <w:r>
        <w:t xml:space="preserve"> </w:t>
      </w:r>
      <w:r>
        <w:fldChar w:fldCharType="begin"/>
      </w:r>
      <w:r w:rsidR="00B41ACC">
        <w:instrText xml:space="preserve"> ADDIN ZOTERO_ITEM CSL_CITATION {"citationID":"vu6cjrLA","properties":{"formattedCitation":"\\super 232\\nosupersub{}","plainCitation":"232","noteIndex":0},"citationItems":[{"id":1022,"uris":["http://zotero.org/users/local/BfzbJtgR/items/8T28L7F5"],"itemData":{"id":1022,"type":"article-journal","abstract":"Tau, the microtubule-associated protein, forms insoluble filaments that accumulate as neurofibrillary tangles in Alzheimer's disease (AD) and related tauopathies. Under physiological conditions, tau regulates the assembly and maintenance of the structural stability of microtubules. In the diseased brain, however, tau becomes abnormally hyperphosphorylated, which ultimately causes the microtubules to disassemble, and the free tau molecules aggregate into paired helical filaments. A large body of evidence suggests that tau hyperphosphorylation results from perturbation of cellular signaling, mainly through imbalance in the activities of different protein kinases and phosphatases. In AD, it appears that ß-amyloid peptide (Aß) plays a pivotal role in triggering this imbalance. In this review, we summarize our current understanding of the role of tau in AD and other tauopathies, and highlight key issues that need to be addressed to improve the success of developing novel therapies.","container-title":"CNS neuroscience &amp; therapeutics","DOI":"10.1111/j.1755-5949.2010.00177.x","ISSN":"1755-5949","issue":"5","journalAbbreviation":"CNS Neurosci Ther","language":"eng","note":"PMID: 20553310\nPMCID: PMC4072215","page":"514-524","source":"PubMed","title":"The role of tau in Alzheimer's disease and related disorders","volume":"17","author":[{"family":"Medeiros","given":"Rodrigo"},{"family":"Baglietto-Vargas","given":"David"},{"family":"LaFerla","given":"Frank M."}],"issued":{"date-parts":[["2011",10]]}}}],"schema":"https://github.com/citation-style-language/schema/raw/master/csl-citation.json"} </w:instrText>
      </w:r>
      <w:r>
        <w:fldChar w:fldCharType="separate"/>
      </w:r>
      <w:r w:rsidR="00B41ACC" w:rsidRPr="00B41ACC">
        <w:rPr>
          <w:rFonts w:cs="Times New Roman"/>
          <w:vertAlign w:val="superscript"/>
        </w:rPr>
        <w:t>232</w:t>
      </w:r>
      <w:r>
        <w:fldChar w:fldCharType="end"/>
      </w:r>
      <w:r>
        <w:t>.</w:t>
      </w:r>
      <w:r w:rsidR="00BA1A19">
        <w:t xml:space="preserve"> Further, Neurons include a structural protein called neurofilament light chain (NfL). When neurons are injured, it is released into the blood and CSF. Increased NfL levels have been connected to a number of neurodegenerative illnesses, including Alzheimer's, and can act as a sensitive biomarker for neurodegeneration. Blood/CSF NfL: Elevated blood or CSF NfL levels have been linked to Alzheimer's disease and can be used to track the development of the disease and neurodegeneration</w:t>
      </w:r>
      <w:r w:rsidR="00BA1A19">
        <w:fldChar w:fldCharType="begin"/>
      </w:r>
      <w:r w:rsidR="00B41ACC">
        <w:instrText xml:space="preserve"> ADDIN ZOTERO_ITEM CSL_CITATION {"citationID":"iNHdjdxP","properties":{"formattedCitation":"\\super 233\\nosupersub{}","plainCitation":"233","noteIndex":0},"citationItems":[{"id":1025,"uris":["http://zotero.org/users/local/BfzbJtgR/items/GIUFPUS8"],"itemData":{"id":1025,"type":"article-journal","abstract":"The search for diagnostic and prognostic biomarkers for neurodegenerative conditions is of high importance, since these disorders may present difficulties in differential diagnosis. Biomarkers with high sensitivity and specificity are required. Neurofilament light chain (NfL) is a unique biomarker related to axonal damage and neural cell death, which is elevated in a number of neurological disorders, and can be detected in cerebrospinal fluid (CSF), as well as blood, serum, or plasma samples. Although the NfL concentration in CSF is higher than that in blood, blood measurement may be easier in practice due to its lesser invasiveness, reproducibility, and convenience. Many studies have investigated NfL in both CSF and serum/plasma as a potential biomarker of neurodegenerative disorders. Neuroimaging biomarkers can also potentially improve detection of CNS-related disorders at an early stage. Magnetic resonance imaging (MRI) and diffusion tensor imaging (DTI) are sensitive techniques to visualize neuroaxonal loss. Therefore, investigating the combination of NfL levels with indices extracted from MRI and DTI scans could potentially improve diagnosis of CNS-related disorders. This review summarizes the evidence for NfL being a reliable biomarker in the early detection and disease management in several CNS-related disorders. Moreover, we highlight the correlation between MRI and NfL and ask whether they can be combined.","container-title":"Molecular Neurobiology","DOI":"10.1007/s12035-019-01698-3","ISSN":"1559-1182","issue":"1","journalAbbreviation":"Mol Neurobiol","language":"eng","note":"PMID: 31385229\nPMCID: PMC6980520","page":"469-491","source":"PubMed","title":"Neurofilament Light Chain as a Biomarker, and Correlation with Magnetic Resonance Imaging in Diagnosis of CNS-Related Disorders","volume":"57","author":[{"family":"Alirezaei","given":"Zahra"},{"family":"Pourhanifeh","given":"Mohammad Hossein"},{"family":"Borran","given":"Sarina"},{"family":"Nejati","given":"Majid"},{"family":"Mirzaei","given":"Hamed"},{"family":"Hamblin","given":"Michael R."}],"issued":{"date-parts":[["2020",1]]}}}],"schema":"https://github.com/citation-style-language/schema/raw/master/csl-citation.json"} </w:instrText>
      </w:r>
      <w:r w:rsidR="00BA1A19">
        <w:fldChar w:fldCharType="separate"/>
      </w:r>
      <w:r w:rsidR="00B41ACC" w:rsidRPr="00B41ACC">
        <w:rPr>
          <w:rFonts w:cs="Times New Roman"/>
          <w:vertAlign w:val="superscript"/>
        </w:rPr>
        <w:t>233</w:t>
      </w:r>
      <w:r w:rsidR="00BA1A19">
        <w:fldChar w:fldCharType="end"/>
      </w:r>
      <w:r w:rsidR="00BA1A19">
        <w:t xml:space="preserve">. Moreover, </w:t>
      </w:r>
      <w:r w:rsidR="00270759">
        <w:t>one</w:t>
      </w:r>
      <w:r w:rsidR="00BA1A19">
        <w:t xml:space="preserve"> of the main characteristics of Alzheimer's disease is neuroinflammation. The potential of a number of inflammatory indicators as biomarkers has been investigated. Cytokines in Alzheimer's patients' CSF and blood have been found to contain higher concentrations of pro-inflammatory cytokines, including IL-6, TNF-α, and IL-1β. Microglial Activation in Neuroinflammation </w:t>
      </w:r>
      <w:r w:rsidR="00BA1A19" w:rsidRPr="00BA1A19">
        <w:rPr>
          <w:i/>
        </w:rPr>
        <w:t>in vivo</w:t>
      </w:r>
      <w:r w:rsidR="00BA1A19">
        <w:t xml:space="preserve"> can be evaluated by imaging microglial activation with PET tracers such as PBR28, which binds to the TSPO receptor </w:t>
      </w:r>
      <w:r w:rsidR="00BA1A19">
        <w:fldChar w:fldCharType="begin"/>
      </w:r>
      <w:r w:rsidR="00B41ACC">
        <w:instrText xml:space="preserve"> ADDIN ZOTERO_ITEM CSL_CITATION {"citationID":"oyGgsGfY","properties":{"formattedCitation":"\\super 234\\nosupersub{}","plainCitation":"234","noteIndex":0},"citationItems":[{"id":1028,"uris":["http://zotero.org/users/local/BfzbJtgR/items/RUH5TQEL"],"itemData":{"id":1028,"type":"article-journal","abstract":"Alzheimer's disease (AD) is a chronic neurodegenerative disease characterized by the accumulation of amyloid plaques and neurofibrillary tangles in the brain. The AD pathophysiology entails chronic inflammation involving innate immune cells including microglia, astrocytes, and other peripheral blood cells. Inflammatory mediators such as cytokines and complements are also linked to AD pathogenesis. Despite increasing evidence supporting the association between abnormal inflammation and AD, no well-established inflammatory biomarkers are currently available for AD. Since many reports have shown that abnormal inflammation precedes the outbreak of the disease, non-invasive and readily available peripheral inflammatory biomarkers should be considered as possible biomarkers for early diagnosis of AD. In this minireview, we introduce the peripheral biomarker candidates related to abnormal inflammation in AD and discuss their possible molecular mechanisms. Furthermore, we also summarize the current state of inflammatory biomarker research in clinical practice and molecular diagnostics. We believe this review will provide new insights into biomarker candidates for the early diagnosis of AD with systemic relevance to inflammation during AD pathogenesis. [BMB Reports 2020; 53(1): 10-19].","container-title":"BMB reports","DOI":"10.5483/BMBRep.2020.53.1.309","ISSN":"1976-670X","issue":"1","journalAbbreviation":"BMB Rep","language":"eng","note":"PMID: 31865964\nPMCID: PMC6999828","page":"10-19","source":"PubMed","title":"Peripheral inflammatory biomarkers in Alzheimer's disease: a brief review","title-short":"Peripheral inflammatory biomarkers in Alzheimer's disease","volume":"53","author":[{"family":"Park","given":"Jong-Chan"},{"family":"Han","given":"Sun-Ho"},{"family":"Mook-Jung","given":"Inhee"}],"issued":{"date-parts":[["2020",1]]}}}],"schema":"https://github.com/citation-style-language/schema/raw/master/csl-citation.json"} </w:instrText>
      </w:r>
      <w:r w:rsidR="00BA1A19">
        <w:fldChar w:fldCharType="separate"/>
      </w:r>
      <w:r w:rsidR="00B41ACC" w:rsidRPr="00B41ACC">
        <w:rPr>
          <w:rFonts w:cs="Times New Roman"/>
          <w:vertAlign w:val="superscript"/>
        </w:rPr>
        <w:t>234</w:t>
      </w:r>
      <w:r w:rsidR="00BA1A19">
        <w:fldChar w:fldCharType="end"/>
      </w:r>
      <w:r w:rsidR="00BA1A19">
        <w:t xml:space="preserve">. Acetylcholine, a neurotransmitter involved in memory and learning, is broken down by the enzyme acetyl cholinesterase. Reduced acetyl cholinesterase activity is frequently seen in Alzheimer's disease, especially in memory-related brain areas. PET Imaging of AChE Activity shows Acetyl cholinesterase activity distribution in the brain can be assessed by PET scans using tracers such as [11C] donepezil </w:t>
      </w:r>
      <w:r w:rsidR="00BA1A19">
        <w:fldChar w:fldCharType="begin"/>
      </w:r>
      <w:r w:rsidR="00B41ACC">
        <w:instrText xml:space="preserve"> ADDIN ZOTERO_ITEM CSL_CITATION {"citationID":"9IeL3A18","properties":{"formattedCitation":"\\super 235\\nosupersub{}","plainCitation":"235","noteIndex":0},"citationItems":[{"id":1031,"uris":["http://zotero.org/users/local/BfzbJtgR/items/BT4S6LAL"],"itemData":{"id":1031,"type":"article-journal","abstract":"Acetylcholine (ACh) has a crucial role in the peripheral and central nervous systems. The enzyme choline acetyltransferase (ChAT) is responsible for synthesizing ACh from acetyl-CoA and choline in the cytoplasm and the vesicular acetylcholine transporter (VAChT) uptakes the neurotransmitter into synaptic vesicles. Following depolarization, ACh undergoes exocytosis reaching the synaptic cleft, where it can bind its receptors, including muscarinic and nicotinic receptors. ACh present at the synaptic cleft is promptly hydrolyzed by the enzyme acetylcholinesterase (AChE), forming acetate and choline, which is recycled into the presynaptic nerve terminal by the high-affinity choline transporter (CHT1). Cholinergic neurons located in the basal forebrain, including the neurons that form the nucleus basalis of Meynert, are severely lost in Alzheimer's disease (AD). AD is the most ordinary cause of dementia affecting 25 million people worldwide. The hallmarks of the disease are the accumulation of neurofibrillary tangles and amyloid plaques. However, there is no real correlation between levels of cortical plaques and AD-related cognitive impairment. Nevertheless, synaptic loss is the principal correlate of disease progression and loss of cholinergic neurons contributes to memory and attention deficits. Thus, drugs that act on the cholinergic system represent a promising option to treat AD patients.","container-title":"Current Neuropharmacology","DOI":"10.2174/1570159x13666150716165726","ISSN":"1875-6190","issue":"1","journalAbbreviation":"Curr Neuropharmacol","language":"eng","note":"PMID: 26813123\nPMCID: PMC4787279","page":"101-115","source":"PubMed","title":"Alzheimer's disease: Targeting the Cholinergic System","title-short":"Alzheimer's disease","volume":"14","author":[{"family":"Ferreira-Vieira","given":"Talita H."},{"family":"Guimaraes","given":"Isabella M."},{"family":"Silva","given":"Flavia R."},{"family":"Ribeiro","given":"Fabiola M."}],"issued":{"date-parts":[["2016"]]}}}],"schema":"https://github.com/citation-style-language/schema/raw/master/csl-citation.json"} </w:instrText>
      </w:r>
      <w:r w:rsidR="00BA1A19">
        <w:fldChar w:fldCharType="separate"/>
      </w:r>
      <w:r w:rsidR="00B41ACC" w:rsidRPr="00B41ACC">
        <w:rPr>
          <w:rFonts w:cs="Times New Roman"/>
          <w:vertAlign w:val="superscript"/>
        </w:rPr>
        <w:t>235</w:t>
      </w:r>
      <w:r w:rsidR="00BA1A19">
        <w:fldChar w:fldCharType="end"/>
      </w:r>
      <w:r w:rsidR="00BA1A19">
        <w:t xml:space="preserve">. A molecule called brain-derived </w:t>
      </w:r>
      <w:r w:rsidR="004A48C4">
        <w:t>neurotropic</w:t>
      </w:r>
      <w:r w:rsidR="00BA1A19">
        <w:t xml:space="preserve"> factor (BDNF) promotes the survival and flexibility of neurons. Alzheimer's disease patients have been found to have lower levels of BDNF, which could be an indication of neuronal malfunction or damage</w:t>
      </w:r>
      <w:r w:rsidR="002A2B5A">
        <w:t xml:space="preserve">. </w:t>
      </w:r>
      <w:r w:rsidR="00BA1A19">
        <w:t>Reduced levels of BDNF in the plasma or serum have been associated with cognitive decline and may aid in the early detection of Alzheimer's disease</w:t>
      </w:r>
      <w:r w:rsidR="002A2B5A">
        <w:t xml:space="preserve"> </w:t>
      </w:r>
      <w:r w:rsidR="002A2B5A">
        <w:fldChar w:fldCharType="begin"/>
      </w:r>
      <w:r w:rsidR="00B41ACC">
        <w:instrText xml:space="preserve"> ADDIN ZOTERO_ITEM CSL_CITATION {"citationID":"Y1BYuLIy","properties":{"formattedCitation":"\\super 236\\nosupersub{}","plainCitation":"236","noteIndex":0},"citationItems":[{"id":1034,"uris":["http://zotero.org/users/local/BfzbJtgR/items/Q4TZWK8M"],"itemData":{"id":1034,"type":"article-journal","abstract":"Brain-derived neurotrophic factor (BDNF) plays an important role in neuronal survival and growth, serves as a neurotransmitter modulator, and participates in neuronal plasticity, which is essential for learning and memory. It is widely expressed in the CNS, gut and other tissues. BDNF binds to its high affinity receptor TrkB (tyrosine kinase B) and activates signal transduction cascades (IRS1/2, PI3K, Akt), crucial for CREB and CBP production, that encode proteins involved in β cell survival. BDNF and insulin-like growth factor-1 have similar downstream signaling mechanisms incorporating both p-CAMK and MAPK that increase the expression of pro-survival genes. Brain-derived neurotrophic factor regulates glucose and energy metabolism and prevents exhaustion of β cells. Decreased levels of BDNF are associated with neurodegenerative diseases with neuronal loss, such as Parkinson's disease, Alzheimer's disease, multiple sclerosis and Huntington's disease. Thus, BDNF may be useful in the prevention and management of several diseases including diabetes mellitus.","container-title":"Archives of medical science: AMS","DOI":"10.5114/aoms.2015.56342","ISSN":"1734-1922","issue":"6","journalAbbreviation":"Arch Med Sci","language":"eng","note":"PMID: 26788077\nPMCID: PMC4697050","page":"1164-1178","source":"PubMed","title":"Brain-derived neurotrophic factor and its clinical implications","volume":"11","author":[{"family":"Bathina","given":"Siresha"},{"family":"Das","given":"Undurti N."}],"issued":{"date-parts":[["2015",12,10]]}}}],"schema":"https://github.com/citation-style-language/schema/raw/master/csl-citation.json"} </w:instrText>
      </w:r>
      <w:r w:rsidR="002A2B5A">
        <w:fldChar w:fldCharType="separate"/>
      </w:r>
      <w:r w:rsidR="00B41ACC" w:rsidRPr="00B41ACC">
        <w:rPr>
          <w:rFonts w:cs="Times New Roman"/>
          <w:vertAlign w:val="superscript"/>
        </w:rPr>
        <w:t>236</w:t>
      </w:r>
      <w:r w:rsidR="002A2B5A">
        <w:fldChar w:fldCharType="end"/>
      </w:r>
      <w:r w:rsidR="00BA1A19">
        <w:t>.</w:t>
      </w:r>
      <w:r w:rsidR="002A2B5A">
        <w:t xml:space="preserve"> A higher risk of Alzheimer's disease is linked to specific </w:t>
      </w:r>
      <w:r w:rsidR="002A2B5A">
        <w:lastRenderedPageBreak/>
        <w:t xml:space="preserve">genetic markers, especially the APOE ε4 allele. It has been demonstrated that the APOE ε4 allele increases the buildup of amyloid plaque in the brain and is implicated in lipid metabolism. APOE Genotyping: When combined with other biomarkers, the identification of the APOE ε4 allele through genetic testing can aid in determining genetic risk for Alzheimer's disease </w:t>
      </w:r>
      <w:r w:rsidR="002A2B5A">
        <w:fldChar w:fldCharType="begin"/>
      </w:r>
      <w:r w:rsidR="00B41ACC">
        <w:instrText xml:space="preserve"> ADDIN ZOTERO_ITEM CSL_CITATION {"citationID":"WomNZvwj","properties":{"formattedCitation":"\\super 237\\nosupersub{}","plainCitation":"237","noteIndex":0},"citationItems":[{"id":1037,"uris":["http://zotero.org/users/local/BfzbJtgR/items/IB8SB7EZ"],"itemData":{"id":1037,"type":"article-journal","container-title":"Current Alzheimer Research","DOI":"10.2174/1567205013666160401115127","ISSN":"15672050","issue":"11","journalAbbreviation":"CAR","language":"en","page":"1200-1207","source":"DOI.org (Crossref)","title":"Alzheimer's Disease Genetic Risk Factor APOE-ε4 Also Affects Normal Brain Function","volume":"13","author":[{"family":"M. Di Battista","given":"Amanda"},{"family":"M. Heinsinger","given":"Nicolette"},{"family":"William Rebeck","given":"G."}],"issued":{"date-parts":[["2016",10,19]]}}}],"schema":"https://github.com/citation-style-language/schema/raw/master/csl-citation.json"} </w:instrText>
      </w:r>
      <w:r w:rsidR="002A2B5A">
        <w:fldChar w:fldCharType="separate"/>
      </w:r>
      <w:r w:rsidR="00B41ACC" w:rsidRPr="00B41ACC">
        <w:rPr>
          <w:rFonts w:cs="Times New Roman"/>
          <w:vertAlign w:val="superscript"/>
        </w:rPr>
        <w:t>237</w:t>
      </w:r>
      <w:r w:rsidR="002A2B5A">
        <w:fldChar w:fldCharType="end"/>
      </w:r>
      <w:r w:rsidR="002A2B5A">
        <w:t>.</w:t>
      </w:r>
    </w:p>
    <w:p w:rsidR="00AF36CE" w:rsidRPr="00C9037A" w:rsidRDefault="00C9037A" w:rsidP="00C9037A">
      <w:pPr>
        <w:pStyle w:val="Heading3"/>
        <w:rPr>
          <w:rFonts w:ascii="Times New Roman" w:hAnsi="Times New Roman" w:cs="Times New Roman"/>
          <w:color w:val="auto"/>
          <w:sz w:val="24"/>
        </w:rPr>
      </w:pPr>
      <w:bookmarkStart w:id="16" w:name="_Toc193802127"/>
      <w:r>
        <w:rPr>
          <w:rFonts w:ascii="Times New Roman" w:hAnsi="Times New Roman" w:cs="Times New Roman"/>
          <w:color w:val="auto"/>
          <w:sz w:val="24"/>
        </w:rPr>
        <w:t xml:space="preserve">2.3.3. </w:t>
      </w:r>
      <w:r w:rsidR="00AF36CE" w:rsidRPr="00C9037A">
        <w:rPr>
          <w:rFonts w:ascii="Times New Roman" w:hAnsi="Times New Roman" w:cs="Times New Roman"/>
          <w:color w:val="auto"/>
          <w:sz w:val="24"/>
        </w:rPr>
        <w:t>Epigenetic changes and copy number variants (CNVs)</w:t>
      </w:r>
      <w:bookmarkEnd w:id="16"/>
    </w:p>
    <w:p w:rsidR="00AF36CE" w:rsidRDefault="00AF36CE" w:rsidP="00F861EB">
      <w:pPr>
        <w:pStyle w:val="Standard"/>
        <w:spacing w:before="280" w:after="280" w:line="276" w:lineRule="auto"/>
        <w:jc w:val="both"/>
      </w:pPr>
      <w:r w:rsidRPr="00AF36CE">
        <w:t>In the diagnosis, prognosis, and therapy of a variety of illnesses, such as cancer, autoimmune disorders, neurological diseases, and infectious diseases, epigenetic changes and copy number variants (CNVs) have become crucial indicators. These biomarkers help track the course of the disease or its response to treatment, uncover new therapeutic targets, and offer crucial insights into the mechanisms underlying the disease.</w:t>
      </w:r>
    </w:p>
    <w:p w:rsidR="00AF36CE" w:rsidRDefault="00AF36CE" w:rsidP="00F861EB">
      <w:pPr>
        <w:pStyle w:val="Standard"/>
        <w:spacing w:before="280" w:after="280" w:line="276" w:lineRule="auto"/>
        <w:jc w:val="both"/>
      </w:pPr>
      <w:r w:rsidRPr="00AF36CE">
        <w:rPr>
          <w:b/>
        </w:rPr>
        <w:t>Epigenetic changes-</w:t>
      </w:r>
      <w:r>
        <w:t xml:space="preserve"> </w:t>
      </w:r>
      <w:r w:rsidRPr="00AF36CE">
        <w:t>Changes in the regulation of gene expression without alterations to the underlying DNA sequence are known as epigenetic modifications. These changes include histone modifications, DNA methylation, and the control of non-coding RNAs (like miRNAs)</w:t>
      </w:r>
      <w:r w:rsidR="00351D08">
        <w:fldChar w:fldCharType="begin"/>
      </w:r>
      <w:r w:rsidR="00B41ACC">
        <w:instrText xml:space="preserve"> ADDIN ZOTERO_ITEM CSL_CITATION {"citationID":"X2EDDvbi","properties":{"formattedCitation":"\\super 238\\nosupersub{}","plainCitation":"238","noteIndex":0},"citationItems":[{"id":1058,"uris":["http://zotero.org/users/local/BfzbJtgR/items/LW52I9GT"],"itemData":{"id":1058,"type":"article-journal","container-title":"Nature","DOI":"10.1038/nature05913","ISSN":"0028-0836, 1476-4687","issue":"7143","journalAbbreviation":"Nature","language":"en","license":"http://www.springer.com/tdm","page":"396-398","source":"DOI.org (Crossref)","title":"Perceptions of epigenetics","volume":"447","author":[{"family":"Bird","given":"Adrian"}],"issued":{"date-parts":[["2007",5]]}}}],"schema":"https://github.com/citation-style-language/schema/raw/master/csl-citation.json"} </w:instrText>
      </w:r>
      <w:r w:rsidR="00351D08">
        <w:fldChar w:fldCharType="separate"/>
      </w:r>
      <w:r w:rsidR="00B41ACC" w:rsidRPr="00B41ACC">
        <w:rPr>
          <w:rFonts w:cs="Times New Roman"/>
          <w:vertAlign w:val="superscript"/>
        </w:rPr>
        <w:t>238</w:t>
      </w:r>
      <w:r w:rsidR="00351D08">
        <w:fldChar w:fldCharType="end"/>
      </w:r>
      <w:r w:rsidRPr="00AF36CE">
        <w:t>. They are crucial to the onset of many illnesses, particularly autoimmune diseases, neurological conditions, and cancer.</w:t>
      </w:r>
      <w:r>
        <w:t xml:space="preserve"> For example, </w:t>
      </w:r>
      <w:r w:rsidRPr="00AF36CE">
        <w:t>Breast, colorectal, and lung cancers are among the many malignancies that commonly exhibit hyper</w:t>
      </w:r>
      <w:r>
        <w:t xml:space="preserve"> </w:t>
      </w:r>
      <w:r w:rsidRPr="00AF36CE">
        <w:t>methylation of tumor suppressor genes (e.g., p16INK4a, MGMT). These alterations can function as indicators for early diagnosis, prognosis, and therapy response</w:t>
      </w:r>
      <w:r w:rsidR="00351D08">
        <w:t xml:space="preserve"> </w:t>
      </w:r>
      <w:r w:rsidR="00351D08">
        <w:fldChar w:fldCharType="begin"/>
      </w:r>
      <w:r w:rsidR="00B41ACC">
        <w:instrText xml:space="preserve"> ADDIN ZOTERO_ITEM CSL_CITATION {"citationID":"nsbLJ7Rz","properties":{"formattedCitation":"\\super 239\\nosupersub{}","plainCitation":"239","noteIndex":0},"citationItems":[{"id":1060,"uris":["http://zotero.org/users/local/BfzbJtgR/items/LH8DK49T"],"itemData":{"id":1060,"type":"article-journal","container-title":"The New England Journal of Medicine","DOI":"10.1056/NEJMra072067","ISSN":"1533-4406","issue":"11","journalAbbreviation":"N Engl J Med","language":"eng","note":"PMID: 18337604","page":"1148-1159","source":"PubMed","title":"Epigenetics in cancer","volume":"358","author":[{"family":"Esteller","given":"Manel"}],"issued":{"date-parts":[["2008",3,13]]}}}],"schema":"https://github.com/citation-style-language/schema/raw/master/csl-citation.json"} </w:instrText>
      </w:r>
      <w:r w:rsidR="00351D08">
        <w:fldChar w:fldCharType="separate"/>
      </w:r>
      <w:r w:rsidR="00B41ACC" w:rsidRPr="00B41ACC">
        <w:rPr>
          <w:rFonts w:cs="Times New Roman"/>
          <w:vertAlign w:val="superscript"/>
        </w:rPr>
        <w:t>239</w:t>
      </w:r>
      <w:r w:rsidR="00351D08">
        <w:fldChar w:fldCharType="end"/>
      </w:r>
      <w:r w:rsidRPr="00AF36CE">
        <w:t>.</w:t>
      </w:r>
      <w:r>
        <w:t xml:space="preserve"> </w:t>
      </w:r>
      <w:r w:rsidRPr="00AF36CE">
        <w:t>Many types of cancer frequently exhibit dysregulation of histone deacetylases (HDACs)</w:t>
      </w:r>
      <w:r w:rsidR="00381F7D">
        <w:t xml:space="preserve"> </w:t>
      </w:r>
      <w:r w:rsidR="00381F7D">
        <w:fldChar w:fldCharType="begin"/>
      </w:r>
      <w:r w:rsidR="00B41ACC">
        <w:instrText xml:space="preserve"> ADDIN ZOTERO_ITEM CSL_CITATION {"citationID":"ookqtIEj","properties":{"formattedCitation":"\\super 240\\nosupersub{}","plainCitation":"240","noteIndex":0},"citationItems":[{"id":1063,"uris":["http://zotero.org/users/local/BfzbJtgR/items/P3R9SH2B"],"itemData":{"id":1063,"type":"article-journal","container-title":"International Journal of Biological Sciences","DOI":"10.7150/ijbs.9067","ISSN":"1449-2288","issue":"7","journalAbbreviation":"Int. J. Biol. Sci.","language":"en","page":"757-770","source":"DOI.org (Crossref)","title":"Targeting Histone Deacetylases for Cancer Therapy: From Molecular Mechanisms to Clinical Implications","title-short":"Targeting Histone Deacetylases for Cancer Therapy","volume":"10","author":[{"family":"Li","given":"Zhiming"},{"family":"Zhu","given":"Wei-Guo"}],"issued":{"date-parts":[["2014"]]}}}],"schema":"https://github.com/citation-style-language/schema/raw/master/csl-citation.json"} </w:instrText>
      </w:r>
      <w:r w:rsidR="00381F7D">
        <w:fldChar w:fldCharType="separate"/>
      </w:r>
      <w:r w:rsidR="00B41ACC" w:rsidRPr="00B41ACC">
        <w:rPr>
          <w:rFonts w:cs="Times New Roman"/>
          <w:vertAlign w:val="superscript"/>
        </w:rPr>
        <w:t>240</w:t>
      </w:r>
      <w:r w:rsidR="00381F7D">
        <w:fldChar w:fldCharType="end"/>
      </w:r>
      <w:r w:rsidRPr="00AF36CE">
        <w:t>. For instance, solid tumors usually overexpress HDAC1, and blocking it may be therapeutic.</w:t>
      </w:r>
      <w:r>
        <w:t xml:space="preserve"> </w:t>
      </w:r>
      <w:r w:rsidRPr="00AF36CE">
        <w:t xml:space="preserve">Numerous malignancies have either elevated or downregulated </w:t>
      </w:r>
      <w:r>
        <w:t xml:space="preserve">noncoding sequences as </w:t>
      </w:r>
      <w:r w:rsidRPr="00AF36CE">
        <w:t>expression levels of miRNAs, including miR-21, miR-155, and miR-34. These expression levels can be used as biomarkers for diagnosis, prognosis, and response to treatment</w:t>
      </w:r>
      <w:r w:rsidR="00381F7D">
        <w:t xml:space="preserve"> </w:t>
      </w:r>
      <w:r w:rsidR="00381F7D">
        <w:fldChar w:fldCharType="begin"/>
      </w:r>
      <w:r w:rsidR="00B41ACC">
        <w:instrText xml:space="preserve"> ADDIN ZOTERO_ITEM CSL_CITATION {"citationID":"fg4x8k48","properties":{"formattedCitation":"\\super 241\\nosupersub{}","plainCitation":"241","noteIndex":0},"citationItems":[{"id":1065,"uris":["http://zotero.org/users/local/BfzbJtgR/items/FXHVI9FQ"],"itemData":{"id":1065,"type":"article-journal","container-title":"International Journal of Medical Sciences","DOI":"10.7150/ijms.102123","ISSN":"1449-1907","issue":"14","journalAbbreviation":"Int. J. Med. Sci.","language":"en","page":"2781-2798","source":"DOI.org (Crossref)","title":"Decoding the Promise and Challenges of miRNA-Based Cancer Therapies: An Essential Update on miR-21, miR-34, and miR-155","title-short":"Decoding the Promise and Challenges of miRNA-Based Cancer Therapies","volume":"21","author":[{"family":"Qian","given":"Hongbo"},{"family":"Maghsoudloo","given":"Mazaher"},{"family":"Kaboli","given":"Parham Jabbarzadeh"},{"family":"Babaeizad","given":"Ali"},{"family":"Cui","given":"Yulan"},{"family":"Fu","given":"Junjiang"},{"family":"Wang","given":"Qingjing"},{"family":"Imani","given":"Saber"}],"issued":{"date-parts":[["2024",10,28]]}}}],"schema":"https://github.com/citation-style-language/schema/raw/master/csl-citation.json"} </w:instrText>
      </w:r>
      <w:r w:rsidR="00381F7D">
        <w:fldChar w:fldCharType="separate"/>
      </w:r>
      <w:r w:rsidR="00B41ACC" w:rsidRPr="00B41ACC">
        <w:rPr>
          <w:rFonts w:cs="Times New Roman"/>
          <w:vertAlign w:val="superscript"/>
        </w:rPr>
        <w:t>241</w:t>
      </w:r>
      <w:r w:rsidR="00381F7D">
        <w:fldChar w:fldCharType="end"/>
      </w:r>
      <w:r w:rsidRPr="00AF36CE">
        <w:t>.</w:t>
      </w:r>
    </w:p>
    <w:p w:rsidR="00804227" w:rsidRPr="008711EC" w:rsidRDefault="00AF36CE" w:rsidP="00F861EB">
      <w:pPr>
        <w:pStyle w:val="Standard"/>
        <w:spacing w:before="280" w:after="280" w:line="276" w:lineRule="auto"/>
        <w:jc w:val="both"/>
      </w:pPr>
      <w:r w:rsidRPr="00AF36CE">
        <w:rPr>
          <w:b/>
        </w:rPr>
        <w:t>C</w:t>
      </w:r>
      <w:r w:rsidR="00483CB5">
        <w:rPr>
          <w:b/>
        </w:rPr>
        <w:t>opy number variants</w:t>
      </w:r>
      <w:r w:rsidR="00B73706">
        <w:rPr>
          <w:b/>
        </w:rPr>
        <w:t xml:space="preserve">- </w:t>
      </w:r>
      <w:r w:rsidR="00804227" w:rsidRPr="008711EC">
        <w:t>Copy number variations (CNVs) are structural changes in the genome that impact how many times a particular gene or gen</w:t>
      </w:r>
      <w:r w:rsidR="008711EC">
        <w:t>omic region is present. CNVs</w:t>
      </w:r>
      <w:r w:rsidR="008711EC">
        <w:fldChar w:fldCharType="begin"/>
      </w:r>
      <w:r w:rsidR="00B41ACC">
        <w:instrText xml:space="preserve"> ADDIN ZOTERO_ITEM CSL_CITATION {"citationID":"6spk72dU","properties":{"formattedCitation":"\\super 242\\nosupersub{}","plainCitation":"242","noteIndex":0},"citationItems":[{"id":1069,"uris":["http://zotero.org/users/local/BfzbJtgR/items/CJB4I2Z3"],"itemData":{"id":1069,"type":"article-journal","container-title":"Nature Reviews Genetics","DOI":"10.1038/nrg1767","ISSN":"1471-0056, 1471-0064","issue":"2","journalAbbreviation":"Nat Rev Genet","language":"en","license":"http://www.springer.com/tdm","page":"85-97","source":"DOI.org (Crossref)","title":"Structural variation in the human genome","volume":"7","author":[{"family":"Feuk","given":"Lars"},{"family":"Carson","given":"Andrew R."},{"family":"Scherer","given":"Stephen W."}],"issued":{"date-parts":[["2006",2]]}}}],"schema":"https://github.com/citation-style-language/schema/raw/master/csl-citation.json"} </w:instrText>
      </w:r>
      <w:r w:rsidR="008711EC">
        <w:fldChar w:fldCharType="separate"/>
      </w:r>
      <w:r w:rsidR="00B41ACC" w:rsidRPr="00B41ACC">
        <w:rPr>
          <w:rFonts w:cs="Times New Roman"/>
          <w:vertAlign w:val="superscript"/>
        </w:rPr>
        <w:t>242</w:t>
      </w:r>
      <w:r w:rsidR="008711EC">
        <w:fldChar w:fldCharType="end"/>
      </w:r>
      <w:r w:rsidR="008711EC" w:rsidRPr="00AF36CE">
        <w:t>.</w:t>
      </w:r>
      <w:r w:rsidR="00804227" w:rsidRPr="008711EC">
        <w:t xml:space="preserve"> are associated with a variety of disorders, such as cancer, neurological disorders, and developmental disabilities.</w:t>
      </w:r>
      <w:r w:rsidR="008711EC">
        <w:t xml:space="preserve"> </w:t>
      </w:r>
      <w:r w:rsidR="00804227" w:rsidRPr="008711EC">
        <w:t>CNVs significantly influence cancer biology by changing gene dosage, turning on oncogenes, or removing tumor suppressor genes. Oncogene Amplification: Chromosomal instability in cancer can lead to copy number variations (CNVs) that impact critical regions, such as those harboring oncogenes (MYC, CCND1) or tumor suppressor genes (TP53, CDKN2A)</w:t>
      </w:r>
      <w:r w:rsidR="008711EC">
        <w:fldChar w:fldCharType="begin"/>
      </w:r>
      <w:r w:rsidR="00B41ACC">
        <w:instrText xml:space="preserve"> ADDIN ZOTERO_ITEM CSL_CITATION {"citationID":"b9n2AoaZ","properties":{"formattedCitation":"\\super 243\\nosupersub{}","plainCitation":"243","noteIndex":0},"citationItems":[{"id":1072,"uris":["http://zotero.org/users/local/BfzbJtgR/items/XRDCMQHG"],"itemData":{"id":1072,"type":"article-journal","container-title":"Nature","DOI":"10.1038/nature08822","ISSN":"0028-0836, 1476-4687","issue":"7283","journalAbbreviation":"Nature","language":"en","license":"http://www.springer.com/tdm","page":"899-905","source":"DOI.org (Crossref)","title":"The landscape of somatic copy-number alteration across human cancers","volume":"463","author":[{"family":"Beroukhim","given":"Rameen"},{"family":"Mermel","given":"Craig H."},{"family":"Porter","given":"Dale"},{"family":"Wei","given":"Guo"},{"family":"Raychaudhuri","given":"Soumya"},{"family":"Donovan","given":"Jerry"},{"family":"Barretina","given":"Jordi"},{"family":"Boehm","given":"Jesse S."},{"family":"Dobson","given":"Jennifer"},{"family":"Urashima","given":"Mitsuyoshi"},{"family":"Mc Henry","given":"Kevin T."},{"family":"Pinchback","given":"Reid M."},{"family":"Ligon","given":"Azra H."},{"family":"Cho","given":"Yoon-Jae"},{"family":"Haery","given":"Leila"},{"family":"Greulich","given":"Heidi"},{"family":"Reich","given":"Michael"},{"family":"Winckler","given":"Wendy"},{"family":"Lawrence","given":"Michael S."},{"family":"Weir","given":"Barbara A."},{"family":"Tanaka","given":"Kumiko E."},{"family":"Chiang","given":"Derek Y."},{"family":"Bass","given":"Adam J."},{"family":"Loo","given":"Alice"},{"family":"Hoffman","given":"Carter"},{"family":"Prensner","given":"John"},{"family":"Liefeld","given":"Ted"},{"family":"Gao","given":"Qing"},{"family":"Yecies","given":"Derek"},{"family":"Signoretti","given":"Sabina"},{"family":"Maher","given":"Elizabeth"},{"family":"Kaye","given":"Frederic J."},{"family":"Sasaki","given":"Hidefumi"},{"family":"Tepper","given":"Joel E."},{"family":"Fletcher","given":"Jonathan A."},{"family":"Tabernero","given":"Josep"},{"family":"Baselga","given":"José"},{"family":"Tsao","given":"Ming-Sound"},{"family":"Demichelis","given":"Francesca"},{"family":"Rubin","given":"Mark A."},{"family":"Janne","given":"Pasi A."},{"family":"Daly","given":"Mark J."},{"family":"Nucera","given":"Carmelo"},{"family":"Levine","given":"Ross L."},{"family":"Ebert","given":"Benjamin L."},{"family":"Gabriel","given":"Stacey"},{"family":"Rustgi","given":"Anil K."},{"family":"Antonescu","given":"Cristina R."},{"family":"Ladanyi","given":"Marc"},{"family":"Letai","given":"Anthony"},{"family":"Garraway","given":"Levi A."},{"family":"Loda","given":"Massimo"},{"family":"Beer","given":"David G."},{"family":"True","given":"Lawrence D."},{"family":"Okamoto","given":"Aikou"},{"family":"Pomeroy","given":"Scott L."},{"family":"Singer","given":"Samuel"},{"family":"Golub","given":"Todd R."},{"family":"Lander","given":"Eric S."},{"family":"Getz","given":"Gad"},{"family":"Sellers","given":"William R."},{"family":"Meyerson","given":"Matthew"}],"issued":{"date-parts":[["2010",2]]}}}],"schema":"https://github.com/citation-style-language/schema/raw/master/csl-citation.json"} </w:instrText>
      </w:r>
      <w:r w:rsidR="008711EC">
        <w:fldChar w:fldCharType="separate"/>
      </w:r>
      <w:r w:rsidR="00B41ACC" w:rsidRPr="00B41ACC">
        <w:rPr>
          <w:rFonts w:cs="Times New Roman"/>
          <w:vertAlign w:val="superscript"/>
        </w:rPr>
        <w:t>243</w:t>
      </w:r>
      <w:r w:rsidR="008711EC">
        <w:fldChar w:fldCharType="end"/>
      </w:r>
      <w:r w:rsidR="00804227" w:rsidRPr="008711EC">
        <w:t>. CNVs like HER2 amplification in breast cancer and EGFR amplification in non-small cell lung cancer (NSCLC) are examples of CNVs that are employed as diagnostic biomarkers and therapeutic targets</w:t>
      </w:r>
      <w:r w:rsidR="008711EC">
        <w:fldChar w:fldCharType="begin"/>
      </w:r>
      <w:r w:rsidR="00B41ACC">
        <w:instrText xml:space="preserve"> ADDIN ZOTERO_ITEM CSL_CITATION {"citationID":"9B7lCTZZ","properties":{"formattedCitation":"\\super 244\\nosupersub{}","plainCitation":"244","noteIndex":0},"citationItems":[{"id":1070,"uris":["http://zotero.org/users/local/BfzbJtgR/items/74WI7FN4"],"itemData":{"id":1070,"type":"article-journal","abstract":"Over the past decade, comprehensive sequencing efforts have revealed the genomic landscapes of common forms of human cancer. For most cancer types, this landscape consists of a small number of “mountains” (genes altered in a high percentage of tumors) and a much larger number of “hills” (genes altered infrequently). To date, these studies have revealed ~140 genes that, when altered by intragenic mutations, can promote or “drive” tumorigenesis. A typical tumor contains two to eight of these “driver gene” mutations; the remaining mutations are passengers that confer no selective growth advantage. Driver genes can be classified into 12 signaling pathways that regulate three core cellular processes: cell fate, cell survival, and genome maintenance. A better understanding of these pathways is one of the most pressing needs in basic cancer research. Even now, however, our knowledge of cancer genomes is sufficient to guide the development of more effective approaches for reducing cancer morbidity and mortality.","container-title":"Science","DOI":"10.1126/science.1235122","ISSN":"0036-8075, 1095-9203","issue":"6127","journalAbbreviation":"Science","language":"en","page":"1546-1558","source":"DOI.org (Crossref)","title":"Cancer Genome Landscapes","volume":"339","author":[{"family":"Vogelstein","given":"Bert"},{"family":"Papadopoulos","given":"Nickolas"},{"family":"Velculescu","given":"Victor E."},{"family":"Zhou","given":"Shibin"},{"family":"Diaz","given":"Luis A."},{"family":"Kinzler","given":"Kenneth W."}],"issued":{"date-parts":[["2013",3,29]]}}}],"schema":"https://github.com/citation-style-language/schema/raw/master/csl-citation.json"} </w:instrText>
      </w:r>
      <w:r w:rsidR="008711EC">
        <w:fldChar w:fldCharType="separate"/>
      </w:r>
      <w:r w:rsidR="00B41ACC" w:rsidRPr="00B41ACC">
        <w:rPr>
          <w:rFonts w:cs="Times New Roman"/>
          <w:vertAlign w:val="superscript"/>
        </w:rPr>
        <w:t>244</w:t>
      </w:r>
      <w:r w:rsidR="008711EC">
        <w:fldChar w:fldCharType="end"/>
      </w:r>
      <w:r w:rsidR="00804227" w:rsidRPr="008711EC">
        <w:t>. CNVs are associated with many neurodegenerative diseases as well as neurodevelopmental disorders like intellectual disabilities, schizophrenia, and autism spectrum disorder (ASD). Certain copy number variations (CNVs), like deletions or duplications in 16p11.2 and 1q21.1, are strongly associated with ASD. These CNVs contribute to the pathophysiology of autism by affecting the expression of genes involved in neural development. CNVs, such as those found in 22q11.2, are associated with an elevated risk of schizophrenia</w:t>
      </w:r>
      <w:r w:rsidR="008711EC">
        <w:fldChar w:fldCharType="begin"/>
      </w:r>
      <w:r w:rsidR="00B41ACC">
        <w:instrText xml:space="preserve"> ADDIN ZOTERO_ITEM CSL_CITATION {"citationID":"pvmfhsGq","properties":{"formattedCitation":"\\super 245\\nosupersub{}","plainCitation":"245","noteIndex":0},"citationItems":[{"id":1074,"uris":["http://zotero.org/users/local/BfzbJtgR/items/K4PIIYWM"],"itemData":{"id":1074,"type":"article-journal","abstract":"We tested the hypothesis that de novo copy number variation (CNV) is associated with autism spectrum disorders (ASDs). We performed comparative genomic hybridization (CGH) on the genomic DNA of patients and unaffected subjects to detect copy number variants not present in their respective parents. Candidate genomic regions were validated by higher-resolution CGH, paternity testing, cytogenetics, fluorescence in situ hybridization, and microsatellite genotyping. Confirmed de novo CNVs were significantly associated with autism (\n              P\n              = 0.0005). Such CNVs were identified in 12 out of 118 (10%) of patients with sporadic autism, in 2 out of 77 (3%) of patients with an affected first-degree relative, and in 2 out of 196 (1%) of controls. Most de novo CNVs were smaller than microscopic resolution. Affected genomic regions were highly heterogeneous and included mutations of single genes. These findings establish de novo germline mutation as a more significant risk factor for ASD than previously recognized.","container-title":"Science","DOI":"10.1126/science.1138659","ISSN":"0036-8075, 1095-9203","issue":"5823","journalAbbreviation":"Science","language":"en","page":"445-449","source":"DOI.org (Crossref)","title":"Strong Association of De Novo Copy Number Mutations with Autism","volume":"316","author":[{"family":"Sebat","given":"Jonathan"},{"family":"Lakshmi","given":"B."},{"family":"Malhotra","given":"Dheeraj"},{"family":"Troge","given":"Jennifer"},{"family":"Lese-Martin","given":"Christa"},{"family":"Walsh","given":"Tom"},{"family":"Yamrom","given":"Boris"},{"family":"Yoon","given":"Seungtai"},{"family":"Krasnitz","given":"Alex"},{"family":"Kendall","given":"Jude"},{"family":"Leotta","given":"Anthony"},{"family":"Pai","given":"Deepa"},{"family":"Zhang","given":"Ray"},{"family":"Lee","given":"Yoon-Ha"},{"family":"Hicks","given":"James"},{"family":"Spence","given":"Sarah J."},{"family":"Lee","given":"Annette T."},{"family":"Puura","given":"Kaija"},{"family":"Lehtimäki","given":"Terho"},{"family":"Ledbetter","given":"David"},{"family":"Gregersen","given":"Peter K."},{"family":"Bregman","given":"Joel"},{"family":"Sutcliffe","given":"James S."},{"family":"Jobanputra","given":"Vaidehi"},{"family":"Chung","given":"Wendy"},{"family":"Warburton","given":"Dorothy"},{"family":"King","given":"Mary-Claire"},{"family":"Skuse","given":"David"},{"family":"Geschwind","given":"Daniel H."},{"family":"Gilliam","given":"T. Conrad"},{"family":"Ye","given":"Kenny"},{"family":"Wigler","given":"Michael"}],"issued":{"date-parts":[["2007",4,20]]}}}],"schema":"https://github.com/citation-style-language/schema/raw/master/csl-citation.json"} </w:instrText>
      </w:r>
      <w:r w:rsidR="008711EC">
        <w:fldChar w:fldCharType="separate"/>
      </w:r>
      <w:r w:rsidR="00B41ACC" w:rsidRPr="00B41ACC">
        <w:rPr>
          <w:rFonts w:cs="Times New Roman"/>
          <w:vertAlign w:val="superscript"/>
        </w:rPr>
        <w:t>245</w:t>
      </w:r>
      <w:r w:rsidR="008711EC">
        <w:fldChar w:fldCharType="end"/>
      </w:r>
      <w:r w:rsidR="00804227" w:rsidRPr="008711EC">
        <w:t xml:space="preserve">. The genetic </w:t>
      </w:r>
      <w:r w:rsidR="00804227" w:rsidRPr="008711EC">
        <w:lastRenderedPageBreak/>
        <w:t xml:space="preserve">vulnerability of at-risk individuals can be assessed using these CNVs. CNVs in genes like APP (associated with Alzheimer's disease) and MAPT (related to tauopathies) are being studied as potential biomarkers </w:t>
      </w:r>
      <w:r w:rsidR="00EC5CD9">
        <w:t>for neurodegenerative disorders</w:t>
      </w:r>
      <w:r w:rsidR="00EC5CD9">
        <w:fldChar w:fldCharType="begin"/>
      </w:r>
      <w:r w:rsidR="00B41ACC">
        <w:instrText xml:space="preserve"> ADDIN ZOTERO_ITEM CSL_CITATION {"citationID":"IFnn4390","properties":{"formattedCitation":"\\super 246\\nosupersub{}","plainCitation":"246","noteIndex":0},"citationItems":[{"id":1076,"uris":["http://zotero.org/users/local/BfzbJtgR/items/5U8W33W2"],"itemData":{"id":1076,"type":"article-journal","container-title":"PLoS ONE","DOI":"10.1371/journal.pone.0050640","ISSN":"1932-6203","issue":"12","journalAbbreviation":"PLoS ONE","language":"en","page":"e50640","source":"DOI.org (Crossref)","title":"Analysis of Copy Number Variation in Alzheimer’s Disease in a Cohort of Clinically Characterized and Neuropathologically Verified Individuals","volume":"7","author":[{"family":"Swaminathan","given":"Shanker"},{"family":"Huentelman","given":"Matthew J."},{"family":"Corneveaux","given":"Jason J."},{"family":"Myers","given":"Amanda J."},{"family":"Faber","given":"Kelley M."},{"family":"Foroud","given":"Tatiana"},{"family":"Mayeux","given":"Richard"},{"family":"Shen","given":"Li"},{"family":"Kim","given":"Sungeun"},{"family":"Turk","given":"Mari"},{"family":"Hardy","given":"John"},{"family":"Reiman","given":"Eric M."},{"family":"Saykin","given":"Andrew J."},{"literal":"the Alzheimer's Disease Neuroimaging Initiative (ADNI) and the NIA-LOAD/NCRAD Family Study Group"}],"editor":[{"family":"Thornton-Wells","given":"Tricia A."}],"issued":{"date-parts":[["2012",12,5]]}}}],"schema":"https://github.com/citation-style-language/schema/raw/master/csl-citation.json"} </w:instrText>
      </w:r>
      <w:r w:rsidR="00EC5CD9">
        <w:fldChar w:fldCharType="separate"/>
      </w:r>
      <w:r w:rsidR="00B41ACC" w:rsidRPr="00B41ACC">
        <w:rPr>
          <w:rFonts w:cs="Times New Roman"/>
          <w:vertAlign w:val="superscript"/>
        </w:rPr>
        <w:t>246</w:t>
      </w:r>
      <w:r w:rsidR="00EC5CD9">
        <w:fldChar w:fldCharType="end"/>
      </w:r>
      <w:r w:rsidR="00804227" w:rsidRPr="008711EC">
        <w:t>. CNVs in immune-related genes, such as FCGR3B, which encodes an IgG receptor, have been associated with SLE. Certain CNVs exacerbate the abnormal immune responses that characterize autoimmune diseases.</w:t>
      </w:r>
    </w:p>
    <w:p w:rsidR="00F206ED" w:rsidRDefault="00F206ED" w:rsidP="00616768">
      <w:pPr>
        <w:pStyle w:val="Heading1"/>
        <w:numPr>
          <w:ilvl w:val="0"/>
          <w:numId w:val="28"/>
        </w:numPr>
        <w:rPr>
          <w:rFonts w:ascii="Times New Roman" w:eastAsia="Times New Roman" w:hAnsi="Times New Roman" w:cs="Times New Roman"/>
          <w:b/>
          <w:color w:val="auto"/>
          <w:sz w:val="28"/>
        </w:rPr>
      </w:pPr>
      <w:bookmarkStart w:id="17" w:name="_Toc193802128"/>
      <w:r w:rsidRPr="00616768">
        <w:rPr>
          <w:rFonts w:ascii="Times New Roman" w:eastAsia="Times New Roman" w:hAnsi="Times New Roman" w:cs="Times New Roman"/>
          <w:b/>
          <w:color w:val="auto"/>
          <w:sz w:val="28"/>
        </w:rPr>
        <w:t>Techniques for detecting host biomarkers (e.g. CRP, Procalcitonin)</w:t>
      </w:r>
      <w:bookmarkEnd w:id="17"/>
    </w:p>
    <w:p w:rsidR="00855DF2" w:rsidRDefault="00855DF2" w:rsidP="00855DF2"/>
    <w:p w:rsidR="00855DF2" w:rsidRPr="00855DF2" w:rsidRDefault="00855DF2" w:rsidP="000C33E5">
      <w:pPr>
        <w:jc w:val="both"/>
      </w:pPr>
      <w:r>
        <w:rPr>
          <w:shd w:val="clear" w:color="auto" w:fill="FFFFFF"/>
        </w:rPr>
        <w:t>Biomarkers play an important role in clinical diagnostics. Here important biomarker detection techniques are described below for Procalcitonin (PCT) and C-reactive protein (CRP)</w:t>
      </w:r>
      <w:r w:rsidR="008B6FC5">
        <w:rPr>
          <w:shd w:val="clear" w:color="auto" w:fill="FFFFFF"/>
        </w:rPr>
        <w:t>. PCT and CRP</w:t>
      </w:r>
      <w:r>
        <w:rPr>
          <w:shd w:val="clear" w:color="auto" w:fill="FFFFFF"/>
        </w:rPr>
        <w:t xml:space="preserve"> can be detected using a variety of methods, each having advantages based on available resources, sensitivity, and specificity.</w:t>
      </w:r>
      <w:r>
        <w:rPr>
          <w:shd w:val="clear" w:color="auto" w:fill="FFFFFF"/>
        </w:rPr>
        <w:br/>
      </w:r>
    </w:p>
    <w:p w:rsidR="00F206ED" w:rsidRDefault="00416816" w:rsidP="00C43F29">
      <w:pPr>
        <w:pStyle w:val="Heading2"/>
        <w:numPr>
          <w:ilvl w:val="1"/>
          <w:numId w:val="28"/>
        </w:numPr>
        <w:rPr>
          <w:rFonts w:ascii="Times New Roman" w:eastAsia="Times New Roman" w:hAnsi="Times New Roman" w:cs="Times New Roman"/>
          <w:b/>
          <w:color w:val="auto"/>
          <w:sz w:val="24"/>
        </w:rPr>
      </w:pPr>
      <w:bookmarkStart w:id="18" w:name="_Toc193802129"/>
      <w:r w:rsidRPr="00C43F29">
        <w:rPr>
          <w:rFonts w:ascii="Times New Roman" w:eastAsia="Times New Roman" w:hAnsi="Times New Roman" w:cs="Times New Roman"/>
          <w:b/>
          <w:color w:val="auto"/>
          <w:sz w:val="24"/>
        </w:rPr>
        <w:t>Enzyme-linked immunosorbent</w:t>
      </w:r>
      <w:r w:rsidR="00DB21CB" w:rsidRPr="00C43F29">
        <w:rPr>
          <w:rFonts w:ascii="Times New Roman" w:eastAsia="Times New Roman" w:hAnsi="Times New Roman" w:cs="Times New Roman"/>
          <w:b/>
          <w:color w:val="auto"/>
          <w:sz w:val="24"/>
        </w:rPr>
        <w:t xml:space="preserve"> Assay or </w:t>
      </w:r>
      <w:r w:rsidR="00F206ED" w:rsidRPr="00C43F29">
        <w:rPr>
          <w:rFonts w:ascii="Times New Roman" w:eastAsia="Times New Roman" w:hAnsi="Times New Roman" w:cs="Times New Roman"/>
          <w:b/>
          <w:color w:val="auto"/>
          <w:sz w:val="24"/>
        </w:rPr>
        <w:t>ELISA</w:t>
      </w:r>
      <w:bookmarkEnd w:id="18"/>
    </w:p>
    <w:p w:rsidR="00855DF2" w:rsidRPr="00855DF2" w:rsidRDefault="00855DF2" w:rsidP="00855DF2"/>
    <w:p w:rsidR="00855DF2" w:rsidRDefault="00B82D0F" w:rsidP="000C33E5">
      <w:pPr>
        <w:spacing w:before="240" w:line="240" w:lineRule="auto"/>
        <w:ind w:left="90"/>
        <w:jc w:val="both"/>
        <w:rPr>
          <w:shd w:val="clear" w:color="auto" w:fill="FFFFFF"/>
        </w:rPr>
      </w:pPr>
      <w:r>
        <w:rPr>
          <w:shd w:val="clear" w:color="auto" w:fill="FFFFFF"/>
        </w:rPr>
        <w:t xml:space="preserve">O </w:t>
      </w:r>
      <w:r w:rsidR="00855DF2" w:rsidRPr="00855DF2">
        <w:rPr>
          <w:b/>
          <w:shd w:val="clear" w:color="auto" w:fill="FFFFFF"/>
        </w:rPr>
        <w:t>CRP:</w:t>
      </w:r>
      <w:r w:rsidR="00855DF2">
        <w:rPr>
          <w:shd w:val="clear" w:color="auto" w:fill="FFFFFF"/>
        </w:rPr>
        <w:t xml:space="preserve"> CRP can be measured in serum or plasma samples using ELISA. CRP-specific antibodies conjugate with CRP antigen in the specimens, which is proportional to the colorimetric signal in ELISA.</w:t>
      </w:r>
      <w:r w:rsidR="00855DF2">
        <w:rPr>
          <w:shd w:val="clear" w:color="auto" w:fill="FFFFFF"/>
        </w:rPr>
        <w:br/>
      </w:r>
      <w:r>
        <w:rPr>
          <w:shd w:val="clear" w:color="auto" w:fill="FFFFFF"/>
        </w:rPr>
        <w:t>O</w:t>
      </w:r>
      <w:r w:rsidR="00855DF2">
        <w:rPr>
          <w:shd w:val="clear" w:color="auto" w:fill="FFFFFF"/>
        </w:rPr>
        <w:t xml:space="preserve"> </w:t>
      </w:r>
      <w:r w:rsidR="00855DF2" w:rsidRPr="00855DF2">
        <w:rPr>
          <w:b/>
          <w:shd w:val="clear" w:color="auto" w:fill="FFFFFF"/>
        </w:rPr>
        <w:t>Procalcitonin:</w:t>
      </w:r>
      <w:r w:rsidR="00855DF2">
        <w:rPr>
          <w:shd w:val="clear" w:color="auto" w:fill="FFFFFF"/>
        </w:rPr>
        <w:t xml:space="preserve"> Similarly, PCT can be measured in ELISA using polyclonal or monoclonal antibodies. It is a highly sensitive method to identify even low concentrations of CRP and PCT.</w:t>
      </w:r>
    </w:p>
    <w:p w:rsidR="00DB21CB" w:rsidRPr="00B82D0F" w:rsidRDefault="00DB21CB" w:rsidP="005C01B8">
      <w:pPr>
        <w:pStyle w:val="Standard"/>
        <w:numPr>
          <w:ilvl w:val="1"/>
          <w:numId w:val="28"/>
        </w:numPr>
        <w:suppressAutoHyphens w:val="0"/>
        <w:spacing w:before="280" w:after="280" w:line="276" w:lineRule="auto"/>
        <w:textAlignment w:val="auto"/>
        <w:rPr>
          <w:rFonts w:ascii="Times New Roman" w:eastAsia="Times New Roman" w:hAnsi="Times New Roman" w:cs="Times New Roman"/>
          <w:b/>
        </w:rPr>
      </w:pPr>
      <w:bookmarkStart w:id="19" w:name="_Toc193802130"/>
      <w:r w:rsidRPr="00B82D0F">
        <w:rPr>
          <w:rFonts w:ascii="Times New Roman" w:eastAsia="Times New Roman" w:hAnsi="Times New Roman" w:cs="Times New Roman"/>
          <w:b/>
        </w:rPr>
        <w:t>Chemiluminescent Immunoassay (CLIA)</w:t>
      </w:r>
      <w:bookmarkEnd w:id="19"/>
    </w:p>
    <w:p w:rsidR="00CD2370" w:rsidRPr="00B82D0F" w:rsidRDefault="00357D20" w:rsidP="00CD2370">
      <w:pPr>
        <w:pStyle w:val="Standard"/>
        <w:numPr>
          <w:ilvl w:val="0"/>
          <w:numId w:val="30"/>
        </w:numPr>
        <w:suppressAutoHyphens w:val="0"/>
        <w:spacing w:line="276" w:lineRule="auto"/>
        <w:textAlignment w:val="auto"/>
        <w:rPr>
          <w:rFonts w:ascii="Times New Roman" w:eastAsiaTheme="minorEastAsia" w:hAnsi="Times New Roman" w:cs="Times New Roman"/>
          <w:kern w:val="0"/>
          <w:shd w:val="clear" w:color="auto" w:fill="FFFFFF"/>
          <w:lang w:eastAsia="en-US" w:bidi="ar-SA"/>
        </w:rPr>
      </w:pPr>
      <w:r w:rsidRPr="00B82D0F">
        <w:rPr>
          <w:rFonts w:ascii="Times New Roman" w:eastAsiaTheme="minorEastAsia" w:hAnsi="Times New Roman" w:cs="Times New Roman"/>
          <w:b/>
          <w:kern w:val="0"/>
          <w:shd w:val="clear" w:color="auto" w:fill="FFFFFF"/>
          <w:lang w:eastAsia="en-US" w:bidi="ar-SA"/>
        </w:rPr>
        <w:t>CRP</w:t>
      </w:r>
      <w:r w:rsidR="00CD2370" w:rsidRPr="00B82D0F">
        <w:rPr>
          <w:rFonts w:ascii="Times New Roman" w:eastAsiaTheme="minorEastAsia" w:hAnsi="Times New Roman" w:cs="Times New Roman"/>
          <w:b/>
          <w:kern w:val="0"/>
          <w:shd w:val="clear" w:color="auto" w:fill="FFFFFF"/>
          <w:lang w:eastAsia="en-US" w:bidi="ar-SA"/>
        </w:rPr>
        <w:t xml:space="preserve"> and PCT</w:t>
      </w:r>
      <w:r w:rsidR="00345DEC" w:rsidRPr="00B82D0F">
        <w:rPr>
          <w:rFonts w:ascii="Times New Roman" w:eastAsiaTheme="minorEastAsia" w:hAnsi="Times New Roman" w:cs="Times New Roman"/>
          <w:kern w:val="0"/>
          <w:sz w:val="22"/>
          <w:szCs w:val="22"/>
          <w:shd w:val="clear" w:color="auto" w:fill="FFFFFF"/>
          <w:lang w:eastAsia="en-US" w:bidi="ar-SA"/>
        </w:rPr>
        <w:t xml:space="preserve"> </w:t>
      </w:r>
      <w:r w:rsidR="000C33E5" w:rsidRPr="00B82D0F">
        <w:rPr>
          <w:rFonts w:ascii="Times New Roman" w:eastAsiaTheme="minorEastAsia" w:hAnsi="Times New Roman" w:cs="Times New Roman"/>
          <w:kern w:val="0"/>
          <w:shd w:val="clear" w:color="auto" w:fill="FFFFFF"/>
          <w:lang w:eastAsia="en-US" w:bidi="ar-SA"/>
        </w:rPr>
        <w:t>are</w:t>
      </w:r>
      <w:r w:rsidR="00345DEC" w:rsidRPr="00B82D0F">
        <w:rPr>
          <w:rFonts w:ascii="Times New Roman" w:eastAsiaTheme="minorEastAsia" w:hAnsi="Times New Roman" w:cs="Times New Roman"/>
          <w:kern w:val="0"/>
          <w:shd w:val="clear" w:color="auto" w:fill="FFFFFF"/>
          <w:lang w:eastAsia="en-US" w:bidi="ar-SA"/>
        </w:rPr>
        <w:t xml:space="preserve"> tested using a </w:t>
      </w:r>
      <w:r w:rsidR="00CD2370" w:rsidRPr="00B82D0F">
        <w:rPr>
          <w:rFonts w:ascii="Times New Roman" w:eastAsiaTheme="minorEastAsia" w:hAnsi="Times New Roman" w:cs="Times New Roman"/>
          <w:kern w:val="0"/>
          <w:shd w:val="clear" w:color="auto" w:fill="FFFFFF"/>
          <w:lang w:eastAsia="en-US" w:bidi="ar-SA"/>
        </w:rPr>
        <w:t>chemiluminescent</w:t>
      </w:r>
      <w:r w:rsidR="00345DEC" w:rsidRPr="00B82D0F">
        <w:rPr>
          <w:rFonts w:ascii="Times New Roman" w:eastAsiaTheme="minorEastAsia" w:hAnsi="Times New Roman" w:cs="Times New Roman"/>
          <w:kern w:val="0"/>
          <w:shd w:val="clear" w:color="auto" w:fill="FFFFFF"/>
          <w:lang w:eastAsia="en-US" w:bidi="ar-SA"/>
        </w:rPr>
        <w:t xml:space="preserve"> substrate. Antigen-antibody complexes are formed, which are</w:t>
      </w:r>
      <w:r w:rsidR="00CD2370" w:rsidRPr="00B82D0F">
        <w:rPr>
          <w:rFonts w:ascii="Times New Roman" w:eastAsiaTheme="minorEastAsia" w:hAnsi="Times New Roman" w:cs="Times New Roman"/>
          <w:kern w:val="0"/>
          <w:shd w:val="clear" w:color="auto" w:fill="FFFFFF"/>
          <w:lang w:eastAsia="en-US" w:bidi="ar-SA"/>
        </w:rPr>
        <w:t xml:space="preserve"> measured by a </w:t>
      </w:r>
      <w:r w:rsidR="000C33E5" w:rsidRPr="00B82D0F">
        <w:rPr>
          <w:rFonts w:ascii="Times New Roman" w:eastAsiaTheme="minorEastAsia" w:hAnsi="Times New Roman" w:cs="Times New Roman"/>
          <w:kern w:val="0"/>
          <w:shd w:val="clear" w:color="auto" w:fill="FFFFFF"/>
          <w:lang w:eastAsia="en-US" w:bidi="ar-SA"/>
        </w:rPr>
        <w:t xml:space="preserve">chemiluminescent </w:t>
      </w:r>
      <w:r w:rsidR="00CD2370" w:rsidRPr="00B82D0F">
        <w:rPr>
          <w:rFonts w:ascii="Times New Roman" w:eastAsiaTheme="minorEastAsia" w:hAnsi="Times New Roman" w:cs="Times New Roman"/>
          <w:kern w:val="0"/>
          <w:shd w:val="clear" w:color="auto" w:fill="FFFFFF"/>
          <w:lang w:eastAsia="en-US" w:bidi="ar-SA"/>
        </w:rPr>
        <w:t xml:space="preserve">light signal. </w:t>
      </w:r>
    </w:p>
    <w:p w:rsidR="00CD2370" w:rsidRPr="00B82D0F" w:rsidRDefault="00CD2370" w:rsidP="00CD2370">
      <w:pPr>
        <w:pStyle w:val="Standard"/>
        <w:suppressAutoHyphens w:val="0"/>
        <w:spacing w:line="276" w:lineRule="auto"/>
        <w:ind w:left="450"/>
        <w:textAlignment w:val="auto"/>
        <w:rPr>
          <w:rFonts w:ascii="Times New Roman" w:eastAsiaTheme="minorEastAsia" w:hAnsi="Times New Roman" w:cs="Times New Roman"/>
          <w:kern w:val="0"/>
          <w:shd w:val="clear" w:color="auto" w:fill="FFFFFF"/>
          <w:lang w:eastAsia="en-US" w:bidi="ar-SA"/>
        </w:rPr>
      </w:pPr>
      <w:bookmarkStart w:id="20" w:name="_Toc193802131"/>
      <w:r w:rsidRPr="00B82D0F">
        <w:rPr>
          <w:rFonts w:ascii="Times New Roman" w:eastAsiaTheme="minorEastAsia" w:hAnsi="Times New Roman" w:cs="Times New Roman"/>
          <w:kern w:val="0"/>
          <w:shd w:val="clear" w:color="auto" w:fill="FFFFFF"/>
          <w:lang w:eastAsia="en-US" w:bidi="ar-SA"/>
        </w:rPr>
        <w:t xml:space="preserve">This procedure is often used in clinical laboratories as CLIA is faster and sensitive than </w:t>
      </w:r>
      <w:r w:rsidRPr="00B82D0F">
        <w:rPr>
          <w:rFonts w:ascii="Times New Roman" w:hAnsi="Times New Roman" w:cs="Times New Roman"/>
          <w:shd w:val="clear" w:color="auto" w:fill="FFFFFF"/>
        </w:rPr>
        <w:t xml:space="preserve">ELISA. </w:t>
      </w:r>
    </w:p>
    <w:p w:rsidR="00CD2370" w:rsidRPr="00B82D0F" w:rsidRDefault="00CD2370" w:rsidP="00CD2370">
      <w:pPr>
        <w:pStyle w:val="Standard"/>
        <w:suppressAutoHyphens w:val="0"/>
        <w:spacing w:line="276" w:lineRule="auto"/>
        <w:ind w:left="510"/>
        <w:textAlignment w:val="auto"/>
        <w:rPr>
          <w:rFonts w:ascii="Times New Roman" w:eastAsia="Times New Roman" w:hAnsi="Times New Roman" w:cs="Times New Roman"/>
          <w:b/>
        </w:rPr>
      </w:pPr>
    </w:p>
    <w:p w:rsidR="00DB21CB" w:rsidRPr="00B82D0F" w:rsidRDefault="00DB21CB" w:rsidP="000D4356">
      <w:pPr>
        <w:pStyle w:val="Standard"/>
        <w:numPr>
          <w:ilvl w:val="1"/>
          <w:numId w:val="28"/>
        </w:numPr>
        <w:suppressAutoHyphens w:val="0"/>
        <w:spacing w:line="276" w:lineRule="auto"/>
        <w:textAlignment w:val="auto"/>
        <w:rPr>
          <w:rFonts w:ascii="Times New Roman" w:eastAsia="Times New Roman" w:hAnsi="Times New Roman" w:cs="Times New Roman"/>
          <w:b/>
        </w:rPr>
      </w:pPr>
      <w:r w:rsidRPr="00B82D0F">
        <w:rPr>
          <w:rFonts w:ascii="Times New Roman" w:eastAsia="Times New Roman" w:hAnsi="Times New Roman" w:cs="Times New Roman"/>
          <w:b/>
        </w:rPr>
        <w:t>Latex Agglutination Test</w:t>
      </w:r>
      <w:bookmarkEnd w:id="20"/>
    </w:p>
    <w:p w:rsidR="00CD2370" w:rsidRPr="00B82D0F" w:rsidRDefault="00CD2370" w:rsidP="00CD2370">
      <w:pPr>
        <w:pStyle w:val="Standard"/>
        <w:numPr>
          <w:ilvl w:val="0"/>
          <w:numId w:val="30"/>
        </w:numPr>
        <w:suppressAutoHyphens w:val="0"/>
        <w:spacing w:line="276" w:lineRule="auto"/>
        <w:textAlignment w:val="auto"/>
        <w:rPr>
          <w:rFonts w:ascii="Times New Roman" w:eastAsia="Times New Roman" w:hAnsi="Times New Roman" w:cs="Times New Roman"/>
          <w:b/>
        </w:rPr>
      </w:pPr>
      <w:r w:rsidRPr="00B82D0F">
        <w:rPr>
          <w:rFonts w:ascii="Times New Roman" w:hAnsi="Times New Roman" w:cs="Times New Roman"/>
          <w:shd w:val="clear" w:color="auto" w:fill="FFFFFF"/>
        </w:rPr>
        <w:t>CRP: In this test, latex beads are used to detect CRP using anti-CRP antibodies coated on beads.</w:t>
      </w:r>
    </w:p>
    <w:p w:rsidR="00CD2370" w:rsidRPr="00B82D0F" w:rsidRDefault="00CD2370" w:rsidP="00CD2370">
      <w:pPr>
        <w:pStyle w:val="Standard"/>
        <w:numPr>
          <w:ilvl w:val="0"/>
          <w:numId w:val="30"/>
        </w:numPr>
        <w:suppressAutoHyphens w:val="0"/>
        <w:spacing w:line="276" w:lineRule="auto"/>
        <w:textAlignment w:val="auto"/>
        <w:rPr>
          <w:rFonts w:ascii="Times New Roman" w:eastAsia="Times New Roman" w:hAnsi="Times New Roman" w:cs="Times New Roman"/>
          <w:b/>
        </w:rPr>
      </w:pPr>
      <w:r w:rsidRPr="00B82D0F">
        <w:rPr>
          <w:rFonts w:ascii="Times New Roman" w:hAnsi="Times New Roman" w:cs="Times New Roman"/>
          <w:shd w:val="clear" w:color="auto" w:fill="FFFFFF"/>
        </w:rPr>
        <w:t xml:space="preserve">A positive agglutination test is indicated in an affirmative latex agglutination test. </w:t>
      </w:r>
    </w:p>
    <w:p w:rsidR="00CD2370" w:rsidRPr="00B82D0F" w:rsidRDefault="00CD2370" w:rsidP="00CD2370">
      <w:pPr>
        <w:pStyle w:val="Standard"/>
        <w:numPr>
          <w:ilvl w:val="0"/>
          <w:numId w:val="30"/>
        </w:numPr>
        <w:suppressAutoHyphens w:val="0"/>
        <w:spacing w:line="276" w:lineRule="auto"/>
        <w:textAlignment w:val="auto"/>
        <w:rPr>
          <w:rFonts w:ascii="Times New Roman" w:eastAsia="Times New Roman" w:hAnsi="Times New Roman" w:cs="Times New Roman"/>
          <w:b/>
        </w:rPr>
      </w:pPr>
      <w:r w:rsidRPr="00B82D0F">
        <w:rPr>
          <w:rFonts w:ascii="Times New Roman" w:hAnsi="Times New Roman" w:cs="Times New Roman"/>
          <w:shd w:val="clear" w:color="auto" w:fill="FFFFFF"/>
        </w:rPr>
        <w:t>Procalcitonin: PCT could be visualized using an agglutination test mediated by latex-coated anti-PCT antibodies.</w:t>
      </w:r>
    </w:p>
    <w:p w:rsidR="00DB21CB" w:rsidRPr="00B82D0F" w:rsidRDefault="00DB21CB" w:rsidP="00C43F29">
      <w:pPr>
        <w:pStyle w:val="Heading2"/>
        <w:numPr>
          <w:ilvl w:val="1"/>
          <w:numId w:val="28"/>
        </w:numPr>
        <w:rPr>
          <w:rFonts w:ascii="Times New Roman" w:eastAsia="Times New Roman" w:hAnsi="Times New Roman" w:cs="Times New Roman"/>
          <w:b/>
          <w:color w:val="auto"/>
          <w:sz w:val="24"/>
        </w:rPr>
      </w:pPr>
      <w:bookmarkStart w:id="21" w:name="_Toc193802132"/>
      <w:r w:rsidRPr="00B82D0F">
        <w:rPr>
          <w:rFonts w:ascii="Times New Roman" w:eastAsia="Times New Roman" w:hAnsi="Times New Roman" w:cs="Times New Roman"/>
          <w:b/>
          <w:color w:val="auto"/>
          <w:sz w:val="24"/>
        </w:rPr>
        <w:t>Immunoturbidimetry</w:t>
      </w:r>
      <w:bookmarkEnd w:id="21"/>
    </w:p>
    <w:p w:rsidR="00CD2370" w:rsidRPr="00B82D0F" w:rsidRDefault="00CD2370" w:rsidP="004E1C32">
      <w:pPr>
        <w:pStyle w:val="Standard"/>
        <w:numPr>
          <w:ilvl w:val="0"/>
          <w:numId w:val="18"/>
        </w:numPr>
        <w:suppressAutoHyphens w:val="0"/>
        <w:spacing w:before="280" w:after="280" w:line="276" w:lineRule="auto"/>
        <w:textAlignment w:val="auto"/>
        <w:rPr>
          <w:rFonts w:ascii="Times New Roman" w:eastAsia="Times New Roman" w:hAnsi="Times New Roman" w:cs="Times New Roman"/>
          <w:bCs/>
          <w:kern w:val="0"/>
          <w:lang w:eastAsia="en-US" w:bidi="ar-SA"/>
        </w:rPr>
      </w:pPr>
      <w:r w:rsidRPr="00B82D0F">
        <w:rPr>
          <w:rFonts w:ascii="Times New Roman" w:eastAsia="Times New Roman" w:hAnsi="Times New Roman" w:cs="Times New Roman"/>
          <w:bCs/>
          <w:kern w:val="0"/>
          <w:lang w:eastAsia="en-US" w:bidi="ar-SA"/>
        </w:rPr>
        <w:t>This technique involves turbidometric analysis of CRP or PCT conjugation with antibodies in the specimens. The concentration of the biomarkers associated with the turbidity of the test, which is often useful the clinical laboratories.</w:t>
      </w:r>
    </w:p>
    <w:p w:rsidR="00DB21CB" w:rsidRPr="00B82D0F" w:rsidRDefault="00DB21CB" w:rsidP="00085FC4">
      <w:pPr>
        <w:pStyle w:val="Heading2"/>
        <w:numPr>
          <w:ilvl w:val="1"/>
          <w:numId w:val="28"/>
        </w:numPr>
        <w:rPr>
          <w:rFonts w:ascii="Times New Roman" w:eastAsia="Times New Roman" w:hAnsi="Times New Roman" w:cs="Times New Roman"/>
          <w:b/>
          <w:color w:val="auto"/>
          <w:sz w:val="24"/>
        </w:rPr>
      </w:pPr>
      <w:bookmarkStart w:id="22" w:name="_Toc193802133"/>
      <w:r w:rsidRPr="00B82D0F">
        <w:rPr>
          <w:rFonts w:ascii="Times New Roman" w:eastAsia="Times New Roman" w:hAnsi="Times New Roman" w:cs="Times New Roman"/>
          <w:b/>
          <w:color w:val="auto"/>
          <w:sz w:val="24"/>
        </w:rPr>
        <w:lastRenderedPageBreak/>
        <w:t>Radioimmunoassay (RIA)</w:t>
      </w:r>
      <w:bookmarkEnd w:id="22"/>
    </w:p>
    <w:p w:rsidR="004E1C32" w:rsidRPr="00B82D0F" w:rsidRDefault="004E1C32" w:rsidP="004E1C32">
      <w:pPr>
        <w:pStyle w:val="Standard"/>
        <w:numPr>
          <w:ilvl w:val="0"/>
          <w:numId w:val="18"/>
        </w:numPr>
        <w:suppressAutoHyphens w:val="0"/>
        <w:spacing w:before="280" w:after="280" w:line="276" w:lineRule="auto"/>
        <w:textAlignment w:val="auto"/>
        <w:rPr>
          <w:rFonts w:ascii="Times New Roman" w:eastAsia="Times New Roman" w:hAnsi="Times New Roman" w:cs="Times New Roman"/>
          <w:bCs/>
          <w:kern w:val="0"/>
          <w:lang w:eastAsia="en-US" w:bidi="ar-SA"/>
        </w:rPr>
      </w:pPr>
      <w:r w:rsidRPr="00B82D0F">
        <w:rPr>
          <w:rFonts w:ascii="Times New Roman" w:eastAsia="Times New Roman" w:hAnsi="Times New Roman" w:cs="Times New Roman"/>
          <w:bCs/>
          <w:kern w:val="0"/>
          <w:lang w:eastAsia="en-US" w:bidi="ar-SA"/>
        </w:rPr>
        <w:t>In this method, a radiolabeled antibody is useful to measure CRP or PCT in the specimen. This method is restricted in clinical practice</w:t>
      </w:r>
      <w:r w:rsidR="008F4D0F" w:rsidRPr="00B82D0F">
        <w:rPr>
          <w:rFonts w:ascii="Times New Roman" w:eastAsia="Times New Roman" w:hAnsi="Times New Roman" w:cs="Times New Roman"/>
          <w:bCs/>
          <w:kern w:val="0"/>
          <w:lang w:eastAsia="en-US" w:bidi="ar-SA"/>
        </w:rPr>
        <w:t>s</w:t>
      </w:r>
      <w:r w:rsidRPr="00B82D0F">
        <w:rPr>
          <w:rFonts w:ascii="Times New Roman" w:eastAsia="Times New Roman" w:hAnsi="Times New Roman" w:cs="Times New Roman"/>
          <w:bCs/>
          <w:kern w:val="0"/>
          <w:lang w:eastAsia="en-US" w:bidi="ar-SA"/>
        </w:rPr>
        <w:t xml:space="preserve"> due to radio logical hazards.</w:t>
      </w:r>
    </w:p>
    <w:p w:rsidR="00DB21CB" w:rsidRPr="00B82D0F" w:rsidRDefault="00DB21CB" w:rsidP="00085FC4">
      <w:pPr>
        <w:pStyle w:val="Heading2"/>
        <w:numPr>
          <w:ilvl w:val="1"/>
          <w:numId w:val="28"/>
        </w:numPr>
        <w:rPr>
          <w:rFonts w:ascii="Times New Roman" w:eastAsia="Times New Roman" w:hAnsi="Times New Roman" w:cs="Times New Roman"/>
          <w:b/>
          <w:color w:val="auto"/>
          <w:sz w:val="24"/>
        </w:rPr>
      </w:pPr>
      <w:bookmarkStart w:id="23" w:name="_Toc193802134"/>
      <w:r w:rsidRPr="00B82D0F">
        <w:rPr>
          <w:rFonts w:ascii="Times New Roman" w:eastAsia="Times New Roman" w:hAnsi="Times New Roman" w:cs="Times New Roman"/>
          <w:b/>
          <w:color w:val="auto"/>
          <w:sz w:val="24"/>
        </w:rPr>
        <w:t>Western blotting</w:t>
      </w:r>
      <w:bookmarkEnd w:id="23"/>
    </w:p>
    <w:p w:rsidR="008C1D2D" w:rsidRPr="00B82D0F" w:rsidRDefault="006B601F" w:rsidP="00B73706">
      <w:pPr>
        <w:pStyle w:val="Standard"/>
        <w:numPr>
          <w:ilvl w:val="0"/>
          <w:numId w:val="18"/>
        </w:numPr>
        <w:suppressAutoHyphens w:val="0"/>
        <w:spacing w:before="280" w:after="280" w:line="276" w:lineRule="auto"/>
        <w:jc w:val="both"/>
        <w:textAlignment w:val="auto"/>
        <w:rPr>
          <w:rFonts w:ascii="Times New Roman" w:eastAsia="Times New Roman" w:hAnsi="Times New Roman" w:cs="Times New Roman"/>
          <w:bCs/>
          <w:kern w:val="0"/>
          <w:lang w:eastAsia="en-US" w:bidi="ar-SA"/>
        </w:rPr>
      </w:pPr>
      <w:r w:rsidRPr="00B82D0F">
        <w:rPr>
          <w:rFonts w:ascii="Times New Roman" w:hAnsi="Times New Roman" w:cs="Times New Roman"/>
          <w:shd w:val="clear" w:color="auto" w:fill="FFFFFF"/>
        </w:rPr>
        <w:t xml:space="preserve">Western blotting comprises three techniques: SDS-PAGE and blotting, and gel electrophoresis. PCT and CRP could be isolated in western blot analysis, which could be developed using detection antibodies. This technique is highly useful in research laboratories rather than the </w:t>
      </w:r>
      <w:r w:rsidR="00892EF2">
        <w:rPr>
          <w:rFonts w:ascii="Times New Roman" w:hAnsi="Times New Roman" w:cs="Times New Roman"/>
          <w:shd w:val="clear" w:color="auto" w:fill="FFFFFF"/>
        </w:rPr>
        <w:t>diagnostics</w:t>
      </w:r>
      <w:r w:rsidRPr="00B82D0F">
        <w:rPr>
          <w:rFonts w:ascii="Times New Roman" w:hAnsi="Times New Roman" w:cs="Times New Roman"/>
          <w:shd w:val="clear" w:color="auto" w:fill="FFFFFF"/>
        </w:rPr>
        <w:t>.</w:t>
      </w:r>
    </w:p>
    <w:p w:rsidR="00DB21CB" w:rsidRPr="00B82D0F" w:rsidRDefault="00DB21CB" w:rsidP="006B601F">
      <w:pPr>
        <w:pStyle w:val="Heading2"/>
        <w:numPr>
          <w:ilvl w:val="1"/>
          <w:numId w:val="28"/>
        </w:numPr>
        <w:rPr>
          <w:rFonts w:ascii="Times New Roman" w:eastAsia="Times New Roman" w:hAnsi="Times New Roman" w:cs="Times New Roman"/>
          <w:b/>
          <w:color w:val="auto"/>
          <w:sz w:val="24"/>
        </w:rPr>
      </w:pPr>
      <w:bookmarkStart w:id="24" w:name="_Toc193802135"/>
      <w:r w:rsidRPr="00B82D0F">
        <w:rPr>
          <w:rFonts w:ascii="Times New Roman" w:eastAsia="Times New Roman" w:hAnsi="Times New Roman" w:cs="Times New Roman"/>
          <w:b/>
          <w:color w:val="auto"/>
          <w:sz w:val="24"/>
        </w:rPr>
        <w:t>Mass Spectrometry</w:t>
      </w:r>
      <w:bookmarkEnd w:id="24"/>
    </w:p>
    <w:p w:rsidR="006B601F" w:rsidRPr="00B82D0F" w:rsidRDefault="006B601F" w:rsidP="00DB21CB">
      <w:pPr>
        <w:pStyle w:val="Standard"/>
        <w:numPr>
          <w:ilvl w:val="0"/>
          <w:numId w:val="18"/>
        </w:numPr>
        <w:suppressAutoHyphens w:val="0"/>
        <w:spacing w:before="280" w:after="280" w:line="276" w:lineRule="auto"/>
        <w:jc w:val="both"/>
        <w:textAlignment w:val="auto"/>
        <w:rPr>
          <w:rFonts w:ascii="Times New Roman" w:eastAsia="Times New Roman" w:hAnsi="Times New Roman" w:cs="Times New Roman"/>
          <w:bCs/>
          <w:kern w:val="0"/>
          <w:lang w:eastAsia="en-US" w:bidi="ar-SA"/>
        </w:rPr>
      </w:pPr>
      <w:r w:rsidRPr="00B82D0F">
        <w:rPr>
          <w:rFonts w:ascii="Times New Roman" w:hAnsi="Times New Roman" w:cs="Times New Roman"/>
          <w:shd w:val="clear" w:color="auto" w:fill="FFFFFF"/>
        </w:rPr>
        <w:t xml:space="preserve">Mass Spectrometry is a complex technique with high sensitivity and </w:t>
      </w:r>
      <w:r w:rsidR="000C33E5" w:rsidRPr="00B82D0F">
        <w:rPr>
          <w:rFonts w:ascii="Times New Roman" w:hAnsi="Times New Roman" w:cs="Times New Roman"/>
          <w:shd w:val="clear" w:color="auto" w:fill="FFFFFF"/>
        </w:rPr>
        <w:t>specificity, which</w:t>
      </w:r>
      <w:r w:rsidRPr="00B82D0F">
        <w:rPr>
          <w:rFonts w:ascii="Times New Roman" w:hAnsi="Times New Roman" w:cs="Times New Roman"/>
          <w:shd w:val="clear" w:color="auto" w:fill="FFFFFF"/>
        </w:rPr>
        <w:t xml:space="preserve"> could be useful for the detection of CRP and PCT in the research setting. However, its use is restricted in diagnostic settings due to its high </w:t>
      </w:r>
      <w:r w:rsidR="00892EF2">
        <w:rPr>
          <w:rFonts w:ascii="Times New Roman" w:hAnsi="Times New Roman" w:cs="Times New Roman"/>
          <w:shd w:val="clear" w:color="auto" w:fill="FFFFFF"/>
        </w:rPr>
        <w:t>cost-effectiveness</w:t>
      </w:r>
    </w:p>
    <w:p w:rsidR="00DD0B37" w:rsidRPr="00B82D0F" w:rsidRDefault="00DD0B37" w:rsidP="00085FC4">
      <w:pPr>
        <w:pStyle w:val="Heading2"/>
        <w:numPr>
          <w:ilvl w:val="1"/>
          <w:numId w:val="28"/>
        </w:numPr>
        <w:rPr>
          <w:rFonts w:ascii="Times New Roman" w:eastAsia="Times New Roman" w:hAnsi="Times New Roman" w:cs="Times New Roman"/>
          <w:b/>
          <w:color w:val="auto"/>
          <w:sz w:val="24"/>
        </w:rPr>
      </w:pPr>
      <w:bookmarkStart w:id="25" w:name="_Toc193802136"/>
      <w:r w:rsidRPr="00B82D0F">
        <w:rPr>
          <w:rFonts w:ascii="Times New Roman" w:eastAsia="Times New Roman" w:hAnsi="Times New Roman" w:cs="Times New Roman"/>
          <w:b/>
          <w:color w:val="auto"/>
          <w:sz w:val="24"/>
        </w:rPr>
        <w:t>Point-of-Care Testing (POCT)</w:t>
      </w:r>
      <w:bookmarkEnd w:id="25"/>
    </w:p>
    <w:p w:rsidR="000C33E5" w:rsidRPr="00B82D0F" w:rsidRDefault="000C33E5" w:rsidP="00DD0B37">
      <w:pPr>
        <w:pStyle w:val="Standard"/>
        <w:numPr>
          <w:ilvl w:val="0"/>
          <w:numId w:val="18"/>
        </w:numPr>
        <w:suppressAutoHyphens w:val="0"/>
        <w:spacing w:before="280" w:after="280" w:line="276" w:lineRule="auto"/>
        <w:jc w:val="both"/>
        <w:textAlignment w:val="auto"/>
        <w:rPr>
          <w:rFonts w:ascii="Times New Roman" w:eastAsia="Times New Roman" w:hAnsi="Times New Roman" w:cs="Times New Roman"/>
          <w:bCs/>
          <w:kern w:val="0"/>
          <w:lang w:eastAsia="en-US" w:bidi="ar-SA"/>
        </w:rPr>
      </w:pPr>
      <w:r w:rsidRPr="00B82D0F">
        <w:rPr>
          <w:rFonts w:ascii="Times New Roman" w:eastAsia="Times New Roman" w:hAnsi="Times New Roman" w:cs="Times New Roman"/>
          <w:bCs/>
          <w:kern w:val="0"/>
          <w:lang w:eastAsia="en-US" w:bidi="ar-SA"/>
        </w:rPr>
        <w:t>There are several quick assays as pregnancy tests, dot-blot ELISA with immunochromatographic strips to use in point of care testing  (POCT) in poor clinical settings. These tests are faster and reliable with often used as qualitative test in public health facilities.</w:t>
      </w:r>
    </w:p>
    <w:p w:rsidR="00C923EC" w:rsidRPr="00B82D0F" w:rsidRDefault="00403A4C" w:rsidP="00C923EC">
      <w:pPr>
        <w:pStyle w:val="Standard"/>
        <w:spacing w:before="280" w:after="280" w:line="276" w:lineRule="auto"/>
        <w:jc w:val="both"/>
        <w:rPr>
          <w:rFonts w:ascii="Times New Roman" w:eastAsia="Times New Roman" w:hAnsi="Times New Roman" w:cs="Times New Roman"/>
          <w:bCs/>
          <w:kern w:val="0"/>
          <w:lang w:eastAsia="en-US" w:bidi="ar-SA"/>
        </w:rPr>
      </w:pPr>
      <w:r w:rsidRPr="00B82D0F">
        <w:rPr>
          <w:rFonts w:ascii="Times New Roman" w:eastAsia="Times New Roman" w:hAnsi="Times New Roman" w:cs="Times New Roman"/>
          <w:bCs/>
          <w:kern w:val="0"/>
          <w:lang w:eastAsia="en-US" w:bidi="ar-SA"/>
        </w:rPr>
        <w:t xml:space="preserve">Generally, </w:t>
      </w:r>
      <w:r w:rsidR="00C923EC" w:rsidRPr="00B82D0F">
        <w:rPr>
          <w:rFonts w:ascii="Times New Roman" w:eastAsia="Times New Roman" w:hAnsi="Times New Roman" w:cs="Times New Roman"/>
          <w:bCs/>
          <w:kern w:val="0"/>
          <w:lang w:eastAsia="en-US" w:bidi="ar-SA"/>
        </w:rPr>
        <w:t xml:space="preserve">ELISA, CLIA, </w:t>
      </w:r>
      <w:r w:rsidR="00A06D90" w:rsidRPr="00B82D0F">
        <w:rPr>
          <w:rFonts w:ascii="Times New Roman" w:eastAsia="Times New Roman" w:hAnsi="Times New Roman" w:cs="Times New Roman"/>
          <w:bCs/>
          <w:kern w:val="0"/>
          <w:lang w:eastAsia="en-US" w:bidi="ar-SA"/>
        </w:rPr>
        <w:t>Immunoturbidimetry</w:t>
      </w:r>
      <w:r w:rsidR="00C923EC" w:rsidRPr="00B82D0F">
        <w:rPr>
          <w:rFonts w:ascii="Times New Roman" w:eastAsia="Times New Roman" w:hAnsi="Times New Roman" w:cs="Times New Roman"/>
          <w:bCs/>
          <w:kern w:val="0"/>
          <w:lang w:eastAsia="en-US" w:bidi="ar-SA"/>
        </w:rPr>
        <w:t xml:space="preserve">, and latex agglutination are </w:t>
      </w:r>
      <w:r w:rsidR="000C33E5" w:rsidRPr="00B82D0F">
        <w:rPr>
          <w:rFonts w:ascii="Times New Roman" w:eastAsia="Times New Roman" w:hAnsi="Times New Roman" w:cs="Times New Roman"/>
          <w:bCs/>
          <w:kern w:val="0"/>
          <w:lang w:eastAsia="en-US" w:bidi="ar-SA"/>
        </w:rPr>
        <w:t>regularly employed</w:t>
      </w:r>
      <w:r w:rsidR="00C923EC" w:rsidRPr="00B82D0F">
        <w:rPr>
          <w:rFonts w:ascii="Times New Roman" w:eastAsia="Times New Roman" w:hAnsi="Times New Roman" w:cs="Times New Roman"/>
          <w:bCs/>
          <w:kern w:val="0"/>
          <w:lang w:eastAsia="en-US" w:bidi="ar-SA"/>
        </w:rPr>
        <w:t xml:space="preserve"> </w:t>
      </w:r>
      <w:r w:rsidR="000C33E5" w:rsidRPr="00B82D0F">
        <w:rPr>
          <w:rFonts w:ascii="Times New Roman" w:eastAsia="Times New Roman" w:hAnsi="Times New Roman" w:cs="Times New Roman"/>
          <w:bCs/>
          <w:kern w:val="0"/>
          <w:lang w:eastAsia="en-US" w:bidi="ar-SA"/>
        </w:rPr>
        <w:t>techniques</w:t>
      </w:r>
      <w:r w:rsidR="00C923EC" w:rsidRPr="00B82D0F">
        <w:rPr>
          <w:rFonts w:ascii="Times New Roman" w:eastAsia="Times New Roman" w:hAnsi="Times New Roman" w:cs="Times New Roman"/>
          <w:bCs/>
          <w:kern w:val="0"/>
          <w:lang w:eastAsia="en-US" w:bidi="ar-SA"/>
        </w:rPr>
        <w:t xml:space="preserve"> for CRP. ELISA, CLIA, and fast point-of-care tests are commonly used for </w:t>
      </w:r>
      <w:r w:rsidR="00A06D90" w:rsidRPr="00B82D0F">
        <w:rPr>
          <w:rFonts w:ascii="Times New Roman" w:eastAsia="Times New Roman" w:hAnsi="Times New Roman" w:cs="Times New Roman"/>
          <w:bCs/>
          <w:kern w:val="0"/>
          <w:lang w:eastAsia="en-US" w:bidi="ar-SA"/>
        </w:rPr>
        <w:t>Procalcitonin</w:t>
      </w:r>
      <w:r w:rsidR="00C923EC" w:rsidRPr="00B82D0F">
        <w:rPr>
          <w:rFonts w:ascii="Times New Roman" w:eastAsia="Times New Roman" w:hAnsi="Times New Roman" w:cs="Times New Roman"/>
          <w:bCs/>
          <w:kern w:val="0"/>
          <w:lang w:eastAsia="en-US" w:bidi="ar-SA"/>
        </w:rPr>
        <w:t xml:space="preserve">, with </w:t>
      </w:r>
      <w:r w:rsidR="00A06D90" w:rsidRPr="00B82D0F">
        <w:rPr>
          <w:rFonts w:ascii="Times New Roman" w:eastAsia="Times New Roman" w:hAnsi="Times New Roman" w:cs="Times New Roman"/>
          <w:bCs/>
          <w:kern w:val="0"/>
          <w:lang w:eastAsia="en-US" w:bidi="ar-SA"/>
        </w:rPr>
        <w:t>Immunoturbidimetry</w:t>
      </w:r>
      <w:r w:rsidR="00C923EC" w:rsidRPr="00B82D0F">
        <w:rPr>
          <w:rFonts w:ascii="Times New Roman" w:eastAsia="Times New Roman" w:hAnsi="Times New Roman" w:cs="Times New Roman"/>
          <w:bCs/>
          <w:kern w:val="0"/>
          <w:lang w:eastAsia="en-US" w:bidi="ar-SA"/>
        </w:rPr>
        <w:t xml:space="preserve"> being used to some extent.</w:t>
      </w:r>
    </w:p>
    <w:p w:rsidR="007339EC" w:rsidRPr="00DE279E" w:rsidRDefault="008B130A" w:rsidP="00403A4C">
      <w:pPr>
        <w:pStyle w:val="Heading1"/>
        <w:numPr>
          <w:ilvl w:val="0"/>
          <w:numId w:val="28"/>
        </w:numPr>
        <w:rPr>
          <w:rFonts w:ascii="Times New Roman" w:hAnsi="Times New Roman" w:cs="Times New Roman"/>
          <w:b/>
          <w:color w:val="auto"/>
          <w:sz w:val="28"/>
        </w:rPr>
      </w:pPr>
      <w:bookmarkStart w:id="26" w:name="_Toc193802137"/>
      <w:r w:rsidRPr="00DE279E">
        <w:rPr>
          <w:rFonts w:ascii="Times New Roman" w:hAnsi="Times New Roman" w:cs="Times New Roman"/>
          <w:b/>
          <w:color w:val="auto"/>
          <w:sz w:val="28"/>
        </w:rPr>
        <w:t>Biomarkers differentiating</w:t>
      </w:r>
      <w:r w:rsidR="00D153BF" w:rsidRPr="00DE279E">
        <w:rPr>
          <w:rFonts w:ascii="Times New Roman" w:hAnsi="Times New Roman" w:cs="Times New Roman"/>
          <w:b/>
          <w:color w:val="auto"/>
          <w:sz w:val="28"/>
        </w:rPr>
        <w:t xml:space="preserve"> b</w:t>
      </w:r>
      <w:r w:rsidRPr="00DE279E">
        <w:rPr>
          <w:rFonts w:ascii="Times New Roman" w:hAnsi="Times New Roman" w:cs="Times New Roman"/>
          <w:b/>
          <w:color w:val="auto"/>
          <w:sz w:val="28"/>
        </w:rPr>
        <w:t>acterial vs</w:t>
      </w:r>
      <w:r w:rsidR="007339EC" w:rsidRPr="00DE279E">
        <w:rPr>
          <w:rFonts w:ascii="Times New Roman" w:hAnsi="Times New Roman" w:cs="Times New Roman"/>
          <w:b/>
          <w:color w:val="auto"/>
          <w:sz w:val="28"/>
        </w:rPr>
        <w:t xml:space="preserve"> viral infections</w:t>
      </w:r>
      <w:bookmarkEnd w:id="26"/>
      <w:r w:rsidR="007339EC" w:rsidRPr="00DE279E">
        <w:rPr>
          <w:rFonts w:ascii="Times New Roman" w:hAnsi="Times New Roman" w:cs="Times New Roman"/>
          <w:b/>
          <w:color w:val="auto"/>
          <w:sz w:val="28"/>
        </w:rPr>
        <w:t xml:space="preserve"> </w:t>
      </w:r>
    </w:p>
    <w:p w:rsidR="000D4356" w:rsidRDefault="000D4356" w:rsidP="00403A4C">
      <w:pPr>
        <w:pStyle w:val="Standard"/>
        <w:spacing w:before="400" w:after="40" w:line="276" w:lineRule="auto"/>
        <w:jc w:val="both"/>
      </w:pPr>
      <w:r>
        <w:rPr>
          <w:shd w:val="clear" w:color="auto" w:fill="FFFFFF"/>
        </w:rPr>
        <w:t xml:space="preserve">By reflecting the ongoing interaction of the immune system and invading pathogens, host biomarkers offer a view of the source of the infection. These biomarkers mirror small changes in the response of the host immune system, including the release of cytokines, acute-phase proteins, and cellular activation markers that vary widely from bacterial to viral infections </w:t>
      </w:r>
      <w:r>
        <w:fldChar w:fldCharType="begin"/>
      </w:r>
      <w:r w:rsidR="00B41ACC">
        <w:instrText xml:space="preserve"> ADDIN ZOTERO_ITEM CSL_CITATION {"citationID":"pUn9pptf","properties":{"formattedCitation":"\\super 247\\uc0\\u8211{}251\\nosupersub{}","plainCitation":"247–251","noteIndex":0},"citationItems":[{"id":692,"uris":["http://zotero.org/users/local/BfzbJtgR/items/HMYY9J7M"],"itemData":{"id":692,"type":"article-journal","container-title":"JAMA","DOI":"10.1001/jama.2016.11236","ISSN":"0098-7484","issue":"8","journalAbbreviation":"JAMA","language":"en","page":"835","source":"DOI.org (Crossref)","title":"Diagnostic Test Accuracy of a 2-Transcript Host RNA Signature for Discriminating Bacterial vs Viral Infection in Febrile Children","volume":"316","author":[{"family":"Herberg","given":"Jethro A."},{"family":"Kaforou","given":"Myrsini"},{"family":"Wright","given":"Victoria J."},{"family":"Shailes","given":"Hannah"},{"family":"Eleftherohorinou","given":"Hariklia"},{"family":"Hoggart","given":"Clive J."},{"family":"Cebey-López","given":"Miriam"},{"family":"Carter","given":"Michael J."},{"family":"Janes","given":"Victoria A."},{"family":"Gormley","given":"Stuart"},{"family":"Shimizu","given":"Chisato"},{"family":"Tremoulet","given":"Adriana H."},{"family":"Barendregt","given":"Anouk M."},{"family":"Salas","given":"Antonio"},{"family":"Kanegaye","given":"John"},{"family":"Pollard","given":"Andrew J."},{"family":"Faust","given":"Saul N."},{"family":"Patel","given":"Sanjay"},{"family":"Kuijpers","given":"Taco"},{"family":"Martinón-Torres","given":"Federico"},{"family":"Burns","given":"Jane C."},{"family":"Coin","given":"Lachlan J. M."},{"family":"Levin","given":"Michael"},{"literal":"for the IRIS Consortium"}],"issued":{"date-parts":[["2016",8,23]]}}},{"id":689,"uris":["http://zotero.org/users/local/BfzbJtgR/items/43ZZQGMN"],"itemData":{"id":689,"type":"article-journal","abstract":"Abstract\n            \n              Introduction\n              Biomarkers can be useful for identifying or ruling out sepsis, identifying patients who may benefit from specific therapies or assessing the response to therapy.\n            \n            \n              Methods\n              We used an electronic search of the PubMed database using the key words \"sepsis\" and \"biomarker\" to identify clinical and experimental studies which evaluated a biomarker in sepsis.\n            \n            \n              Results\n              The search retrieved 3370 references covering 178 different biomarkers.\n            \n            \n              Conclusions\n              Many biomarkers have been evaluated for use in sepsis. Most of the biomarkers had been tested clinically, primarily as prognostic markers in sepsis; relatively few have been used for diagnosis. None has sufficient specificity or sensitivity to be routinely employed in clinical practice. PCT and CRP have been most widely used, but even these have limited ability to distinguish sepsis from other inflammatory conditions or to predict outcome.","container-title":"Critical Care","DOI":"10.1186/cc8872","ISSN":"1364-8535","issue":"1","journalAbbreviation":"Crit Care","language":"en","page":"R15","source":"DOI.org (Crossref)","title":"Sepsis biomarkers: a review","title-short":"Sepsis biomarkers","volume":"14","author":[{"family":"Pierrakos","given":"Charalampos"},{"family":"Vincent","given":"Jean-Louis"}],"issued":{"date-parts":[["2010",2,9]]}}},{"id":687,"uris":["http://zotero.org/users/local/BfzbJtgR/items/NLILKY9W"],"itemData":{"id":687,"type":"article-journal","abstract":"An 18-gene panel distinguishes patients with bacterial and viral infections as well as those with inflammation not caused by infection.\n          , \n            Making a gene list, checking it twice\n            \n              Sepsis, a severe inflammation caused by infection, is a common and deadly medical condition. Sepsis therapy combines supportive treatment with interventions directed at the underlying cause of the illness, especially antibiotics for bacterial infections. Unfortunately, it can be difficult to distinguish patients with noninfectious inflammation from those with bacterial and viral infections, and only those with bacterial sepsis derive any benefit from antibiotics. Sweeney\n              et al.\n              have previously analyzed large numbers of patients across many cohorts to derive a blood test identifying which patients with sepsis-like symptoms have an underlying infection. Now, the authors expanded their analysis to create an integrated score that not only identifies infected patients but also classifies their infection as bacterial or viral, suggesting appropriate treatment.\n            \n          , \n            Improved diagnostics for acute infections could decrease morbidity and mortality by increasing early antibiotics for patients with bacterial infections and reducing unnecessary antibiotics for patients without bacterial infections. Several groups have used gene expression microarrays to build classifiers for acute infections, but these have been hampered by the size of the gene sets, use of overfit models, or lack of independent validation. We used multicohort analysis to derive a set of seven genes for robust discrimination of bacterial and viral infections, which we then validated in 30 independent cohorts. We next used our previously published 11-gene Sepsis MetaScore together with the new bacterial/viral classifier to build an integrated antibiotics decision model. In a pooled analysis of 1057 samples from 20 cohorts (excluding infants), the integrated antibiotics decision model had a sensitivity and specificity for bacterial infections of 94.0 and 59.8%, respectively (negative likelihood ratio, 0.10). Prospective clinical validation will be needed before these findings are implemented for patient care.","container-title":"Science Translational Medicine","DOI":"10.1126/scitranslmed.aaf7165","ISSN":"1946-6234, 1946-6242","issue":"346","journalAbbreviation":"Sci. Transl. Med.","language":"en","license":"http://www.sciencemag.org/about/science-licenses-journal-article-reuse","source":"DOI.org (Crossref)","title":"Robust classification of bacterial and viral infections via integrated host gene expression diagnostics","URL":"https://www.science.org/doi/10.1126/scitranslmed.aaf7165","volume":"8","author":[{"family":"Sweeney","given":"Timothy E."},{"family":"Wong","given":"Hector R."},{"family":"Khatri","given":"Purvesh"}],"accessed":{"date-parts":[["2025",3,4]]},"issued":{"date-parts":[["2016",7,6]]}}},{"id":691,"uris":["http://zotero.org/users/local/BfzbJtgR/items/NCQD3U8S"],"itemData":{"id":691,"type":"article-journal","container-title":"The Lancet Infectious Diseases","DOI":"10.1016/S1473-3099(16)30519-9","ISSN":"14733099","issue":"4","journalAbbreviation":"The Lancet Infectious Diseases","language":"en","page":"431-440","source":"DOI.org (Crossref)","title":"A host-protein based assay to differentiate between bacterial and viral infections in preschool children (OPPORTUNITY): a double-blind, multicentre, validation study","title-short":"A host-protein based assay to differentiate between bacterial and viral infections in preschool children (OPPORTUNITY)","volume":"17","author":[{"family":"Van Houten","given":"Chantal B"},{"family":"De Groot","given":"Joris A H"},{"family":"Klein","given":"Adi"},{"family":"Srugo","given":"Isaac"},{"family":"Chistyakov","given":"Irena"},{"family":"De Waal","given":"Wouter"},{"family":"Meijssen","given":"Clemens B"},{"family":"Avis","given":"Wim"},{"family":"Wolfs","given":"Tom F W"},{"family":"Shachor-Meyouhas","given":"Yael"},{"family":"Stein","given":"Michal"},{"family":"Sanders","given":"Elisabeth A M"},{"family":"Bont","given":"Louis J"}],"issued":{"date-parts":[["2017",4]]}}},{"id":694,"uris":["http://zotero.org/users/local/BfzbJtgR/items/LKE3F7P2"],"itemData":{"id":694,"type":"article-journal","abstract":"Jean-Louis Vincent outlines why combinations of biomarkers will be central to the future of sepsis diagnosis.","container-title":"PLoS medicine","DOI":"10.1371/journal.pmed.1002022","ISSN":"1549-1676","issue":"5","journalAbbreviation":"PLoS Med","language":"eng","note":"PMID: 27187803\nPMCID: PMC4871479","page":"e1002022","source":"PubMed","title":"The Clinical Challenge of Sepsis Identification and Monitoring","volume":"13","author":[{"family":"Vincent","given":"Jean-Louis"}],"issued":{"date-parts":[["2016",5]]}}}],"schema":"https://github.com/citation-style-language/schema/raw/master/csl-citation.json"} </w:instrText>
      </w:r>
      <w:r>
        <w:fldChar w:fldCharType="separate"/>
      </w:r>
      <w:r w:rsidR="00B41ACC" w:rsidRPr="00B41ACC">
        <w:rPr>
          <w:rFonts w:cs="Times New Roman"/>
          <w:vertAlign w:val="superscript"/>
        </w:rPr>
        <w:t>247–251</w:t>
      </w:r>
      <w:r>
        <w:fldChar w:fldCharType="end"/>
      </w:r>
      <w:r>
        <w:rPr>
          <w:shd w:val="clear" w:color="auto" w:fill="FFFFFF"/>
        </w:rPr>
        <w:t>. Bacterial infections, for instance, generally elicit a strong neutrophil reaction together with increased levels of pro-inflammatory cytokines, including interleukin-6 (IL-6) and tumor necrosis factor-alpha (TNF-α)</w:t>
      </w:r>
      <w:r>
        <w:rPr>
          <w:shd w:val="clear" w:color="auto" w:fill="FFFFFF"/>
        </w:rPr>
        <w:fldChar w:fldCharType="begin"/>
      </w:r>
      <w:r w:rsidR="00B41ACC">
        <w:rPr>
          <w:shd w:val="clear" w:color="auto" w:fill="FFFFFF"/>
        </w:rPr>
        <w:instrText xml:space="preserve"> ADDIN ZOTERO_ITEM CSL_CITATION {"citationID":"yio3Zq3u","properties":{"formattedCitation":"\\super 248\\nosupersub{}","plainCitation":"248","noteIndex":0},"citationItems":[{"id":689,"uris":["http://zotero.org/users/local/BfzbJtgR/items/43ZZQGMN"],"itemData":{"id":689,"type":"article-journal","abstract":"Abstract\n            \n              Introduction\n              Biomarkers can be useful for identifying or ruling out sepsis, identifying patients who may benefit from specific therapies or assessing the response to therapy.\n            \n            \n              Methods\n              We used an electronic search of the PubMed database using the key words \"sepsis\" and \"biomarker\" to identify clinical and experimental studies which evaluated a biomarker in sepsis.\n            \n            \n              Results\n              The search retrieved 3370 references covering 178 different biomarkers.\n            \n            \n              Conclusions\n              Many biomarkers have been evaluated for use in sepsis. Most of the biomarkers had been tested clinically, primarily as prognostic markers in sepsis; relatively few have been used for diagnosis. None has sufficient specificity or sensitivity to be routinely employed in clinical practice. PCT and CRP have been most widely used, but even these have limited ability to distinguish sepsis from other inflammatory conditions or to predict outcome.","container-title":"Critical Care","DOI":"10.1186/cc8872","ISSN":"1364-8535","issue":"1","journalAbbreviation":"Crit Care","language":"en","page":"R15","source":"DOI.org (Crossref)","title":"Sepsis biomarkers: a review","title-short":"Sepsis biomarkers","volume":"14","author":[{"family":"Pierrakos","given":"Charalampos"},{"family":"Vincent","given":"Jean-Louis"}],"issued":{"date-parts":[["2010",2,9]]}}}],"schema":"https://github.com/citation-style-language/schema/raw/master/csl-citation.json"} </w:instrText>
      </w:r>
      <w:r>
        <w:rPr>
          <w:shd w:val="clear" w:color="auto" w:fill="FFFFFF"/>
        </w:rPr>
        <w:fldChar w:fldCharType="separate"/>
      </w:r>
      <w:r w:rsidR="00B41ACC" w:rsidRPr="00B41ACC">
        <w:rPr>
          <w:rFonts w:cs="Times New Roman"/>
          <w:vertAlign w:val="superscript"/>
        </w:rPr>
        <w:t>248</w:t>
      </w:r>
      <w:r>
        <w:rPr>
          <w:shd w:val="clear" w:color="auto" w:fill="FFFFFF"/>
        </w:rPr>
        <w:fldChar w:fldCharType="end"/>
      </w:r>
      <w:r>
        <w:rPr>
          <w:shd w:val="clear" w:color="auto" w:fill="FFFFFF"/>
        </w:rPr>
        <w:t xml:space="preserve"> </w:t>
      </w:r>
      <w:r>
        <w:rPr>
          <w:shd w:val="clear" w:color="auto" w:fill="FFFFFF"/>
        </w:rPr>
        <w:fldChar w:fldCharType="begin"/>
      </w:r>
      <w:r w:rsidR="00B41ACC">
        <w:rPr>
          <w:shd w:val="clear" w:color="auto" w:fill="FFFFFF"/>
        </w:rPr>
        <w:instrText xml:space="preserve"> ADDIN ZOTERO_ITEM CSL_CITATION {"citationID":"5khGZE3U","properties":{"formattedCitation":"\\super 252\\nosupersub{}","plainCitation":"252","noteIndex":0},"citationItems":[{"id":699,"uris":["http://zotero.org/users/local/BfzbJtgR/items/CP46NSS8"],"itemData":{"id":699,"type":"article-journal","container-title":"Critical Care","DOI":"10.1186/s13054-018-2157-z","ISSN":"1364-8535","issue":"1","journalAbbreviation":"Crit Care","language":"en","page":"232","source":"DOI.org (Crossref)","title":"The global burden of sepsis: barriers and potential solutions","title-short":"The global burden of sepsis","volume":"22","author":[{"family":"Rudd","given":"Kristina E."},{"family":"Kissoon","given":"Niranjan"},{"family":"Limmathurotsakul","given":"Direk"},{"family":"Bory","given":"Sotharith"},{"family":"Mutahunga","given":"Birungi"},{"family":"Seymour","given":"Christopher W."},{"family":"Angus","given":"Derek C."},{"family":"West","given":"T. Eoin"}],"issued":{"date-parts":[["2018",12]]}}}],"schema":"https://github.com/citation-style-language/schema/raw/master/csl-citation.json"} </w:instrText>
      </w:r>
      <w:r>
        <w:rPr>
          <w:shd w:val="clear" w:color="auto" w:fill="FFFFFF"/>
        </w:rPr>
        <w:fldChar w:fldCharType="separate"/>
      </w:r>
      <w:r w:rsidR="00B41ACC" w:rsidRPr="00B41ACC">
        <w:rPr>
          <w:rFonts w:cs="Times New Roman"/>
          <w:vertAlign w:val="superscript"/>
        </w:rPr>
        <w:t>252</w:t>
      </w:r>
      <w:r>
        <w:rPr>
          <w:shd w:val="clear" w:color="auto" w:fill="FFFFFF"/>
        </w:rPr>
        <w:fldChar w:fldCharType="end"/>
      </w:r>
      <w:r>
        <w:rPr>
          <w:shd w:val="clear" w:color="auto" w:fill="FFFFFF"/>
        </w:rPr>
        <w:t xml:space="preserve">. By contrast, viral diseases usually cause lymphocytic activation and interferon production, which activate genes essential for anti-viral defense systems </w:t>
      </w:r>
      <w:r>
        <w:fldChar w:fldCharType="begin"/>
      </w:r>
      <w:r w:rsidR="00B41ACC">
        <w:instrText xml:space="preserve"> ADDIN ZOTERO_ITEM CSL_CITATION {"citationID":"OGIua28h","properties":{"formattedCitation":"\\super 253,254\\nosupersub{}","plainCitation":"253,254","noteIndex":0},"citationItems":[{"id":703,"uris":["http://zotero.org/users/local/BfzbJtgR/items/HX3IYXJY"],"itemData":{"id":703,"type":"article-journal","abstract":"Each infectious agent represents a unique combination of pathogen-associated molecular patterns that interact with specific pattern-recognition receptors expressed on immune cells. Therefore, we surmised that the blood immune cells of individuals with different infections might bear discriminative transcriptional signatures. Gene expression profiles were obtained for 131 peripheral blood samples from pediatric patients with acute infections caused by influenza A virus, Gram-negative (Escherichia coli) or Gram-positive (Staphylococcus aureus and Streptococcus pneumoniae) bacteria. Thirty-five genes were identified that best discriminate patients with influenza A virus infection from patients with either E coli or S pneumoniae infection. These genes classified with 95% accuracy (35 of 37 samples) an independent set of patients with either influenza A, E coli, or S pneumoniae infection. A different signature discriminated patients with E coli versus S aureus infections with 85% accuracy (34 of 40). Furthermore, distinctive gene expression patterns were observed in patients presenting with respiratory infections of different etiologies. Thus, microarray analyses of patient peripheral blood leukocytes might assist in the differential diagnosis of infectious diseases.","container-title":"Blood","DOI":"10.1182/blood-2006-02-002477","ISSN":"0006-4971","issue":"5","journalAbbreviation":"Blood","language":"eng","note":"PMID: 17105821\nPMCID: PMC1801073","page":"2066-2077","source":"PubMed","title":"Gene expression patterns in blood leukocytes discriminate patients with acute infections","volume":"109","author":[{"family":"Ramilo","given":"Octavio"},{"family":"Allman","given":"Windy"},{"family":"Chung","given":"Wendy"},{"family":"Mejias","given":"Asuncion"},{"family":"Ardura","given":"Monica"},{"family":"Glaser","given":"Casey"},{"family":"Wittkowski","given":"Knut M."},{"family":"Piqueras","given":"Bernard"},{"family":"Banchereau","given":"Jacques"},{"family":"Palucka","given":"A. Karolina"},{"family":"Chaussabel","given":"Damien"}],"issued":{"date-parts":[["2007",3,1]]}}},{"id":701,"uris":["http://zotero.org/users/local/BfzbJtgR/items/GX3F7VNQ"],"itemData":{"id":701,"type":"article-journal","abstract":"An 18-gene panel distinguishes patients with bacterial and viral infections as well as those with inflammation not caused by infection.\n          , \n            Making a gene list, checking it twice\n            \n              Sepsis, a severe inflammation caused by infection, is a common and deadly medical condition. Sepsis therapy combines supportive treatment with interventions directed at the underlying cause of the illness, especially antibiotics for bacterial infections. Unfortunately, it can be difficult to distinguish patients with noninfectious inflammation from those with bacterial and viral infections, and only those with bacterial sepsis derive any benefit from antibiotics. Sweeney\n              et al.\n              have previously analyzed large numbers of patients across many cohorts to derive a blood test identifying which patients with sepsis-like symptoms have an underlying infection. Now, the authors expanded their analysis to create an integrated score that not only identifies infected patients but also classifies their infection as bacterial or viral, suggesting appropriate treatment.\n            \n          , \n            Improved diagnostics for acute infections could decrease morbidity and mortality by increasing early antibiotics for patients with bacterial infections and reducing unnecessary antibiotics for patients without bacterial infections. Several groups have used gene expression microarrays to build classifiers for acute infections, but these have been hampered by the size of the gene sets, use of overfit models, or lack of independent validation. We used multicohort analysis to derive a set of seven genes for robust discrimination of bacterial and viral infections, which we then validated in 30 independent cohorts. We next used our previously published 11-gene Sepsis MetaScore together with the new bacterial/viral classifier to build an integrated antibiotics decision model. In a pooled analysis of 1057 samples from 20 cohorts (excluding infants), the integrated antibiotics decision model had a sensitivity and specificity for bacterial infections of 94.0 and 59.8%, respectively (negative likelihood ratio, 0.10). Prospective clinical validation will be needed before these findings are implemented for patient care.","container-title":"Science Translational Medicine","DOI":"10.1126/scitranslmed.aaf7165","ISSN":"1946-6234, 1946-6242","issue":"346","journalAbbreviation":"Sci. Transl. Med.","language":"en","license":"http://www.sciencemag.org/about/science-licenses-journal-article-reuse","source":"DOI.org (Crossref)","title":"Robust classification of bacterial and viral infections via integrated host gene expression diagnostics","URL":"https://www.science.org/doi/10.1126/scitranslmed.aaf7165","volume":"8","author":[{"family":"Sweeney","given":"Timothy E."},{"family":"Wong","given":"Hector R."},{"family":"Khatri","given":"Purvesh"}],"accessed":{"date-parts":[["2025",3,4]]},"issued":{"date-parts":[["2016",7,6]]}}}],"schema":"https://github.com/citation-style-language/schema/raw/master/csl-citation.json"} </w:instrText>
      </w:r>
      <w:r>
        <w:fldChar w:fldCharType="separate"/>
      </w:r>
      <w:r w:rsidR="00B41ACC" w:rsidRPr="00B41ACC">
        <w:rPr>
          <w:rFonts w:cs="Times New Roman"/>
          <w:vertAlign w:val="superscript"/>
        </w:rPr>
        <w:t>253,254</w:t>
      </w:r>
      <w:r>
        <w:fldChar w:fldCharType="end"/>
      </w:r>
      <w:r>
        <w:rPr>
          <w:shd w:val="clear" w:color="auto" w:fill="FFFFFF"/>
        </w:rPr>
        <w:t>. Whether singly or as part of multi-marker panels, the measurement of such biomarkers offers a strong lens via which doctors may more quickly and accurately detect the cause of infection</w:t>
      </w:r>
      <w:r>
        <w:fldChar w:fldCharType="begin"/>
      </w:r>
      <w:r w:rsidR="00B41ACC">
        <w:instrText xml:space="preserve"> ADDIN ZOTERO_ITEM CSL_CITATION {"citationID":"wydtifus","properties":{"formattedCitation":"\\super 255,256\\nosupersub{}","plainCitation":"255,256","noteIndex":0},"citationItems":[{"id":707,"uris":["http://zotero.org/users/local/BfzbJtgR/items/ID9LTWJP"],"itemData":{"id":707,"type":"article-journal","container-title":"JAMA","DOI":"10.1001/jama.2016.11236","ISSN":"0098-7484","issue":"8","journalAbbreviation":"JAMA","language":"en","page":"835","source":"DOI.org (Crossref)","title":"Diagnostic Test Accuracy of a 2-Transcript Host RNA Signature for Discriminating Bacterial vs Viral Infection in Febrile Children","volume":"316","author":[{"family":"Herberg","given":"Jethro A."},{"family":"Kaforou","given":"Myrsini"},{"family":"Wright","given":"Victoria J."},{"family":"Shailes","given":"Hannah"},{"family":"Eleftherohorinou","given":"Hariklia"},{"family":"Hoggart","given":"Clive J."},{"family":"Cebey-López","given":"Miriam"},{"family":"Carter","given":"Michael J."},{"family":"Janes","given":"Victoria A."},{"family":"Gormley","given":"Stuart"},{"family":"Shimizu","given":"Chisato"},{"family":"Tremoulet","given":"Adriana H."},{"family":"Barendregt","given":"Anouk M."},{"family":"Salas","given":"Antonio"},{"family":"Kanegaye","given":"John"},{"family":"Pollard","given":"Andrew J."},{"family":"Faust","given":"Saul N."},{"family":"Patel","given":"Sanjay"},{"family":"Kuijpers","given":"Taco"},{"family":"Martinón-Torres","given":"Federico"},{"family":"Burns","given":"Jane C."},{"family":"Coin","given":"Lachlan J. M."},{"family":"Levin","given":"Michael"},{"literal":"for the IRIS Consortium"}],"issued":{"date-parts":[["2016",8,23]]}}},{"id":706,"uris":["http://zotero.org/users/local/BfzbJtgR/items/XQFFCHVA"],"itemData":{"id":706,"type":"article-journal","container-title":"The Lancet Infectious Diseases","DOI":"10.1016/S1473-3099(16)30519-9","ISSN":"14733099","issue":"4","journalAbbreviation":"The Lancet Infectious Diseases","language":"en","page":"431-440","source":"DOI.org (Crossref)","title":"A host-protein based assay to differentiate between bacterial and viral infections in preschool children (OPPORTUNITY): a double-blind, multicentre, validation study","title-short":"A host-protein based assay to differentiate between bacterial and viral infections in preschool children (OPPORTUNITY)","volume":"17","author":[{"family":"Van Houten","given":"Chantal B"},{"family":"De Groot","given":"Joris A H"},{"family":"Klein","given":"Adi"},{"family":"Srugo","given":"Isaac"},{"family":"Chistyakov","given":"Irena"},{"family":"De Waal","given":"Wouter"},{"family":"Meijssen","given":"Clemens B"},{"family":"Avis","given":"Wim"},{"family":"Wolfs","given":"Tom F W"},{"family":"Shachor-Meyouhas","given":"Yael"},{"family":"Stein","given":"Michal"},{"family":"Sanders","given":"Elisabeth A M"},{"family":"Bont","given":"Louis J"}],"issued":{"date-parts":[["2017",4]]}}}],"schema":"https://github.com/citation-style-language/schema/raw/master/csl-citation.json"} </w:instrText>
      </w:r>
      <w:r>
        <w:fldChar w:fldCharType="separate"/>
      </w:r>
      <w:r w:rsidR="00B41ACC" w:rsidRPr="00B41ACC">
        <w:rPr>
          <w:rFonts w:cs="Times New Roman"/>
          <w:vertAlign w:val="superscript"/>
        </w:rPr>
        <w:t>255,256</w:t>
      </w:r>
      <w:r>
        <w:fldChar w:fldCharType="end"/>
      </w:r>
      <w:r>
        <w:rPr>
          <w:shd w:val="clear" w:color="auto" w:fill="FFFFFF"/>
        </w:rPr>
        <w:t xml:space="preserve">. In environments </w:t>
      </w:r>
      <w:r>
        <w:rPr>
          <w:shd w:val="clear" w:color="auto" w:fill="FFFFFF"/>
        </w:rPr>
        <w:lastRenderedPageBreak/>
        <w:t>where usual clinical techniques are restricted by time, sensitivity, or pathogen variability, this dynamic profile is particularly useful. Several biomarkers have shown practicality for telling viral from bacterial infections</w:t>
      </w:r>
      <w:r>
        <w:fldChar w:fldCharType="begin"/>
      </w:r>
      <w:r w:rsidR="00B41ACC">
        <w:instrText xml:space="preserve"> ADDIN ZOTERO_ITEM CSL_CITATION {"citationID":"A1XpA93w","properties":{"formattedCitation":"\\super 250\\nosupersub{}","plainCitation":"250","noteIndex":0},"citationItems":[{"id":691,"uris":["http://zotero.org/users/local/BfzbJtgR/items/NCQD3U8S"],"itemData":{"id":691,"type":"article-journal","container-title":"The Lancet Infectious Diseases","DOI":"10.1016/S1473-3099(16)30519-9","ISSN":"14733099","issue":"4","journalAbbreviation":"The Lancet Infectious Diseases","language":"en","page":"431-440","source":"DOI.org (Crossref)","title":"A host-protein based assay to differentiate between bacterial and viral infections in preschool children (OPPORTUNITY): a double-blind, multicentre, validation study","title-short":"A host-protein based assay to differentiate between bacterial and viral infections in preschool children (OPPORTUNITY)","volume":"17","author":[{"family":"Van Houten","given":"Chantal B"},{"family":"De Groot","given":"Joris A H"},{"family":"Klein","given":"Adi"},{"family":"Srugo","given":"Isaac"},{"family":"Chistyakov","given":"Irena"},{"family":"De Waal","given":"Wouter"},{"family":"Meijssen","given":"Clemens B"},{"family":"Avis","given":"Wim"},{"family":"Wolfs","given":"Tom F W"},{"family":"Shachor-Meyouhas","given":"Yael"},{"family":"Stein","given":"Michal"},{"family":"Sanders","given":"Elisabeth A M"},{"family":"Bont","given":"Louis J"}],"issued":{"date-parts":[["2017",4]]}}}],"schema":"https://github.com/citation-style-language/schema/raw/master/csl-citation.json"} </w:instrText>
      </w:r>
      <w:r>
        <w:fldChar w:fldCharType="separate"/>
      </w:r>
      <w:r w:rsidR="00B41ACC" w:rsidRPr="00B41ACC">
        <w:rPr>
          <w:rFonts w:cs="Times New Roman"/>
          <w:vertAlign w:val="superscript"/>
        </w:rPr>
        <w:t>250</w:t>
      </w:r>
      <w:r>
        <w:fldChar w:fldCharType="end"/>
      </w:r>
      <w:r>
        <w:t>.</w:t>
      </w:r>
    </w:p>
    <w:p w:rsidR="00376925" w:rsidRDefault="00376925" w:rsidP="00F861EB">
      <w:pPr>
        <w:pStyle w:val="Standard"/>
        <w:spacing w:line="276" w:lineRule="auto"/>
        <w:jc w:val="both"/>
      </w:pPr>
    </w:p>
    <w:p w:rsidR="00376925" w:rsidRPr="00376925" w:rsidRDefault="00376925" w:rsidP="00376925">
      <w:pPr>
        <w:pStyle w:val="Heading2"/>
        <w:numPr>
          <w:ilvl w:val="1"/>
          <w:numId w:val="28"/>
        </w:numPr>
        <w:rPr>
          <w:rFonts w:ascii="Times New Roman" w:eastAsia="Times New Roman" w:hAnsi="Times New Roman" w:cs="Times New Roman"/>
          <w:b/>
          <w:color w:val="auto"/>
          <w:sz w:val="24"/>
        </w:rPr>
      </w:pPr>
      <w:bookmarkStart w:id="27" w:name="_Toc193802138"/>
      <w:r w:rsidRPr="00376925">
        <w:rPr>
          <w:rFonts w:ascii="Times New Roman" w:eastAsia="Times New Roman" w:hAnsi="Times New Roman" w:cs="Times New Roman"/>
          <w:b/>
          <w:color w:val="auto"/>
          <w:sz w:val="24"/>
        </w:rPr>
        <w:t>Procalcitonin (PCT)</w:t>
      </w:r>
      <w:bookmarkEnd w:id="27"/>
    </w:p>
    <w:p w:rsidR="0066549A" w:rsidRDefault="0066549A" w:rsidP="00F861EB">
      <w:pPr>
        <w:pStyle w:val="Standard"/>
        <w:suppressAutoHyphens w:val="0"/>
        <w:spacing w:before="280" w:after="280" w:line="276" w:lineRule="auto"/>
        <w:jc w:val="both"/>
        <w:textAlignment w:val="auto"/>
        <w:rPr>
          <w:rFonts w:ascii="Times New Roman" w:hAnsi="Times New Roman" w:cs="Times New Roman"/>
        </w:rPr>
      </w:pPr>
      <w:r>
        <w:rPr>
          <w:shd w:val="clear" w:color="auto" w:fill="FFFFFF"/>
        </w:rPr>
        <w:t xml:space="preserve">Bacterial infections elicit Procalcitonin, a peptide precursor of calcitonin produced by parenchymal cells. Since high PCT levels </w:t>
      </w:r>
      <w:r w:rsidR="00287976">
        <w:rPr>
          <w:shd w:val="clear" w:color="auto" w:fill="FFFFFF"/>
        </w:rPr>
        <w:t>are associated</w:t>
      </w:r>
      <w:r>
        <w:rPr>
          <w:shd w:val="clear" w:color="auto" w:fill="FFFFFF"/>
        </w:rPr>
        <w:t xml:space="preserve"> with bacterial infections, it is a trustworthy biomarker for distinguishing viral diseases. Studies show that PCT-guided treatment reduces antibiotic use without damaging patient safety. PCT is synthesized in response to bacterial endotoxins and systemic inflammatory cytokines, particularly interleukin-1β and TNF-α </w:t>
      </w:r>
      <w:r>
        <w:rPr>
          <w:rFonts w:ascii="Times New Roman" w:hAnsi="Times New Roman" w:cs="Times New Roman"/>
        </w:rPr>
        <w:fldChar w:fldCharType="begin"/>
      </w:r>
      <w:r w:rsidR="00B41ACC">
        <w:rPr>
          <w:rFonts w:ascii="Times New Roman" w:hAnsi="Times New Roman" w:cs="Times New Roman"/>
        </w:rPr>
        <w:instrText xml:space="preserve"> ADDIN ZOTERO_ITEM CSL_CITATION {"citationID":"kwVLFExt","properties":{"formattedCitation":"\\super 257,258\\nosupersub{}","plainCitation":"257,258","noteIndex":0},"citationItems":[{"id":712,"uris":["http://zotero.org/users/local/BfzbJtgR/items/NFFLJ3VL"],"itemData":{"id":712,"type":"article-journal","container-title":"The Journal of Clinical Endocrinology and Metabolism","DOI":"10.1210/jc.2002-021444","ISSN":"0021-972X","issue":"4","journalAbbreviation":"J Clin Endocrinol Metab","language":"eng","note":"PMID: 15070906","page":"1512-1525","source":"PubMed","title":"Clinical review 167: Procalcitonin and the calcitonin gene family of peptides in inflammation, infection, and sepsis: a journey from calcitonin back to its precursors","title-short":"Clinical review 167","volume":"89","author":[{"family":"Becker","given":"K. L."},{"family":"Nylén","given":"E. S."},{"family":"White","given":"J. C."},{"family":"Müller","given":"B."},{"family":"Snider","given":"R. H."}],"issued":{"date-parts":[["2004",4]]}}},{"id":709,"uris":["http://zotero.org/users/local/BfzbJtgR/items/R9JP3YCD"],"itemData":{"id":709,"type":"book","collection-title":"UNI-MED Science","edition":"1st ed","event-place":"Bremen","ISBN":"978-3-8374-1241-3","language":"eng","number-of-pages":"1","publisher":"UNI-MED Verlag","publisher-place":"Bremen","source":"K10plus ISBN","title":"Procalcitonin - Biochemistry and Clinical Diagnosis","author":[{"family":"Meisner","given":"Michael"}],"issued":{"date-parts":[["2010"]]}}}],"schema":"https://github.com/citation-style-language/schema/raw/master/csl-citation.json"} </w:instrText>
      </w:r>
      <w:r>
        <w:rPr>
          <w:rFonts w:ascii="Times New Roman" w:hAnsi="Times New Roman" w:cs="Times New Roman"/>
        </w:rPr>
        <w:fldChar w:fldCharType="separate"/>
      </w:r>
      <w:r w:rsidR="00B41ACC" w:rsidRPr="00B41ACC">
        <w:rPr>
          <w:rFonts w:ascii="Times New Roman" w:hAnsi="Times New Roman" w:cs="Times New Roman"/>
          <w:vertAlign w:val="superscript"/>
        </w:rPr>
        <w:t>257,258</w:t>
      </w:r>
      <w:r>
        <w:rPr>
          <w:rFonts w:ascii="Times New Roman" w:hAnsi="Times New Roman" w:cs="Times New Roman"/>
        </w:rPr>
        <w:fldChar w:fldCharType="end"/>
      </w:r>
      <w:r>
        <w:rPr>
          <w:shd w:val="clear" w:color="auto" w:fill="FFFFFF"/>
        </w:rPr>
        <w:t>. Unlike other biomarkers, PCT production is suppressed during viral infections due to the activity of interferon-gamma, providing a clear distinction in etiology</w:t>
      </w:r>
      <w:r>
        <w:rPr>
          <w:rFonts w:ascii="Times New Roman" w:hAnsi="Times New Roman" w:cs="Times New Roman"/>
        </w:rPr>
        <w:fldChar w:fldCharType="begin"/>
      </w:r>
      <w:r w:rsidR="00B41ACC">
        <w:rPr>
          <w:rFonts w:ascii="Times New Roman" w:hAnsi="Times New Roman" w:cs="Times New Roman"/>
        </w:rPr>
        <w:instrText xml:space="preserve"> ADDIN ZOTERO_ITEM CSL_CITATION {"citationID":"hq6CtvxZ","properties":{"formattedCitation":"\\super 259,260\\nosupersub{}","plainCitation":"259,260","noteIndex":0},"citationItems":[{"id":719,"uris":["http://zotero.org/users/local/BfzbJtgR/items/5UKL6RCT"],"itemData":{"id":719,"type":"article-journal","abstract":"This review aims to provide physicians with an overview of the potential of procalcitonin to guide antibiotic therapy in respiratory tract infections and in sepsis. Knowledge of the strengths and weaknesses of procalcitonin are prerequisites for a rational and safe use in clinical routine. In most infections a true gold standard for diagnosis does not exist, therefore physicians must remain sceptical towards observational studies evaluating procalcitonin. Interpretation of procalcitonin levels must always include the clinical setting and knowledge of assay characteristics, particularly the setting of specific cut-off ranges and functional assay sensitivities. Highly sensitive procalcitonin measurements, embedded in a clearly defined setting and prospectively validated with clinical algorithms were repeatedly effective in markedly reducing the (over)-utilisation of antimicrobial therapy. Today, this concept has been proven for lower respiratory tract infections and in pilot studies for meningitis and critically ill patients with sepsis. The higher the absolute risk for adverse outcome of a patient, the more cautious physicians must remain and empirical antibiotic therapies must be considered despite initial low procalcitonin levels at the initial presentation. In these patients a procalcitonin-guided shortening of antibiotic courses seems appropriate. The prognostic utility of initial procalcitonin measurement in respiratory tract infections is suboptimal. Other biomarkers including cortisol, human growth hormone and prohormones from adrenomedullin and vasopressin (\"copeptin\") have a superior predictive potential to estimate the risk for short and long term mortality and other adverse outcomes in different diseases. An accurate prognostic assessment has the potential to optimise the management of patients and the allocation of our limited health care resources by lowering unnecessary hospitalisations and associated cost. Future intervention studies must prove if these biomarkers indeed improve clinical decision making and thus the overall medical management of patients.","container-title":"Swiss Medical Weekly","DOI":"10.4414/smw.2009.12584","ISSN":"1424-7860","issue":"23-24","journalAbbreviation":"Swiss Med Wkly","language":"eng","note":"PMID: 19529989","page":"318-326","source":"PubMed","title":"Procalcitonin and other biomarkers to improve assessment and antibiotic stewardship in infections--hope for hype?","volume":"139","author":[{"family":"Schuetz","given":"Philipp"},{"family":"Christ-Crain","given":"Mirjam"},{"family":"Müller","given":"Beat"}],"issued":{"date-parts":[["2009",6,13]]}}},{"id":716,"uris":["http://zotero.org/users/local/BfzbJtgR/items/7VF34F8H"],"itemData":{"id":716,"type":"article-journal","container-title":"Clinical Infectious Diseases","DOI":"10.1086/421997","ISSN":"1058-4838, 1537-6591","issue":"2","journalAbbreviation":"Clinical Infectious Diseases","language":"en","page":"206-217","source":"DOI.org (Crossref)","title":"Serum Procalcitonin and C-Reactive Protein Levels as Markers of Bacterial Infection: A Systematic Review and Meta-analysis","title-short":"Serum Procalcitonin and C-Reactive Protein Levels as Markers of Bacterial Infection","volume":"39","author":[{"family":"Simon","given":"L."},{"family":"Gauvin","given":"F."},{"family":"Amre","given":"D. K."},{"family":"Saint-Louis","given":"P."},{"family":"Lacroix","given":"J."}],"issued":{"date-parts":[["2004",7,15]]}}}],"schema":"https://github.com/citation-style-language/schema/raw/master/csl-citation.json"} </w:instrText>
      </w:r>
      <w:r>
        <w:rPr>
          <w:rFonts w:ascii="Times New Roman" w:hAnsi="Times New Roman" w:cs="Times New Roman"/>
        </w:rPr>
        <w:fldChar w:fldCharType="separate"/>
      </w:r>
      <w:r w:rsidR="00B41ACC" w:rsidRPr="00B41ACC">
        <w:rPr>
          <w:rFonts w:ascii="Times New Roman" w:hAnsi="Times New Roman" w:cs="Times New Roman"/>
          <w:vertAlign w:val="superscript"/>
        </w:rPr>
        <w:t>259,260</w:t>
      </w:r>
      <w:r>
        <w:rPr>
          <w:rFonts w:ascii="Times New Roman" w:hAnsi="Times New Roman" w:cs="Times New Roman"/>
        </w:rPr>
        <w:fldChar w:fldCharType="end"/>
      </w:r>
      <w:r>
        <w:rPr>
          <w:shd w:val="clear" w:color="auto" w:fill="FFFFFF"/>
        </w:rPr>
        <w:t>. Clinical studies show that in situations like sepsis, PCT levels correspond with the severity of bacterial infections and help to gauge treatment response</w:t>
      </w:r>
      <w:r w:rsidR="00287976">
        <w:rPr>
          <w:shd w:val="clear" w:color="auto" w:fill="FFFFFF"/>
        </w:rPr>
        <w:t xml:space="preserve"> </w:t>
      </w:r>
      <w:r>
        <w:rPr>
          <w:rFonts w:ascii="Times New Roman" w:hAnsi="Times New Roman" w:cs="Times New Roman"/>
        </w:rPr>
        <w:fldChar w:fldCharType="begin"/>
      </w:r>
      <w:r w:rsidR="00B41ACC">
        <w:rPr>
          <w:rFonts w:ascii="Times New Roman" w:hAnsi="Times New Roman" w:cs="Times New Roman"/>
        </w:rPr>
        <w:instrText xml:space="preserve"> ADDIN ZOTERO_ITEM CSL_CITATION {"citationID":"D20fuoaD","properties":{"formattedCitation":"\\super 261\\nosupersub{}","plainCitation":"261","noteIndex":0},"citationItems":[{"id":722,"uris":["http://zotero.org/users/local/BfzbJtgR/items/D2LTWR9B"],"itemData":{"id":722,"type":"article-journal","abstract":"Abstract\n            \n              Background\n              Procalcitonin (PCT)-guided antibiotic stewardship (ABS) has been shown to reduce antibiotics (ABxs), with lower side-effects and an improvement in clinical outcomes. The aim of this experts workshop was to derive a PCT algorithm ABS for easier implementation into clinical routine across different clinical settings.\n            \n            \n              Methods\n              Clinical evidence and practical experience with PCT-guided ABS was analyzed and discussed, with a focus on optimal PCT use in the clinical context and increased adherence to PCT protocols. Using a Delphi process, the experts group reached consensus on different PCT algorithms based on clinical severity of the patient and probability of bacterial infection.\n            \n            \n              Results\n              The group agreed that there is strong evidence that PCT-guided ABS supports individual decisions on initiation and duration of ABx treatment in patients with acute respiratory infections and sepsis from any source, thereby reducing overall ABx exposure and associated side effects, and improving clinical outcomes. To simplify practical application, the expert group refined the established PCT algorithms by incorporating severity of illness and probability of bacterial infection and reducing the fixed cut-offs to only one for mild to moderate and one for severe disease (0.25 μg/L and 0.5 μg/L, respectively). Further, guidance on interpretation of PCT results to initiate, withhold or discontinue ABx treatment was included.\n            \n            \n              Conclusions\n              A combination of clinical patient assessment with PCT levels in well-defined ABS algorithms, in context with continuous education and regular feedback to all ABS stakeholders, has the potential to improve the diagnostic and therapeutic management of patients suspected of bacterial infection, thereby improving ABS effectiveness.","container-title":"Clinical Chemistry and Laboratory Medicine (CCLM)","DOI":"10.1515/cclm-2018-1181","ISSN":"1437-4331, 1434-6621","issue":"9","language":"en","license":"http://creativecommons.org/licenses/by-nc-nd/4.0","page":"1308-1318","source":"DOI.org (Crossref)","title":"Procalcitonin (PCT)-guided antibiotic stewardship: an international experts consensus on optimized clinical use","title-short":"Procalcitonin (PCT)-guided antibiotic stewardship","volume":"57","author":[{"family":"Schuetz","given":"Philipp"},{"family":"Beishuizen","given":"Albertus"},{"family":"Broyles","given":"Michael"},{"family":"Ferrer","given":"Ricard"},{"family":"Gavazzi","given":"Gaetan"},{"family":"Gluck","given":"Eric Howard"},{"family":"González Del Castillo","given":"Juan"},{"family":"Jensen","given":"Jens-Ulrik"},{"family":"Kanizsai","given":"Peter Laszlo"},{"family":"Kwa","given":"Andrea Lay Hoon"},{"family":"Krueger","given":"Stefan"},{"family":"Luyt","given":"Charles-Edouard"},{"family":"Oppert","given":"Michael"},{"family":"Plebani","given":"Mario"},{"family":"Shlyapnikov","given":"Sergey A."},{"family":"Toccafondi","given":"Giulio"},{"family":"Townsend","given":"Jennifer"},{"family":"Welte","given":"Tobias"},{"family":"Saeed","given":"Kordo"}],"issued":{"date-parts":[["2019",8,27]]}}}],"schema":"https://github.com/citation-style-language/schema/raw/master/csl-citation.json"} </w:instrText>
      </w:r>
      <w:r>
        <w:rPr>
          <w:rFonts w:ascii="Times New Roman" w:hAnsi="Times New Roman" w:cs="Times New Roman"/>
        </w:rPr>
        <w:fldChar w:fldCharType="separate"/>
      </w:r>
      <w:r w:rsidR="00B41ACC" w:rsidRPr="00B41ACC">
        <w:rPr>
          <w:rFonts w:ascii="Times New Roman" w:hAnsi="Times New Roman" w:cs="Times New Roman"/>
          <w:vertAlign w:val="superscript"/>
        </w:rPr>
        <w:t>261</w:t>
      </w:r>
      <w:r>
        <w:rPr>
          <w:rFonts w:ascii="Times New Roman" w:hAnsi="Times New Roman" w:cs="Times New Roman"/>
        </w:rPr>
        <w:fldChar w:fldCharType="end"/>
      </w:r>
      <w:r>
        <w:rPr>
          <w:shd w:val="clear" w:color="auto" w:fill="FFFFFF"/>
        </w:rPr>
        <w:t xml:space="preserve">. PCT has also shown potential in distinguishing bacterial from fungal co-infections </w:t>
      </w:r>
      <w:r>
        <w:rPr>
          <w:rFonts w:ascii="Times New Roman" w:hAnsi="Times New Roman" w:cs="Times New Roman"/>
          <w:vertAlign w:val="superscript"/>
        </w:rPr>
        <w:t xml:space="preserve">242 </w:t>
      </w:r>
      <w:r>
        <w:rPr>
          <w:shd w:val="clear" w:color="auto" w:fill="FFFFFF"/>
        </w:rPr>
        <w:t xml:space="preserve">and in spotting bloodstream disorders, lower respiratory tract infections, and even different kinds of disease. Its rapid kinetics and stability are particularly useful for guiding early treatments in infant and children populations. High-sensitivity tests have been used in point-of-care testing and international integration in antimicrobial consumption plans </w:t>
      </w:r>
      <w:r>
        <w:rPr>
          <w:rFonts w:ascii="Times New Roman" w:hAnsi="Times New Roman" w:cs="Times New Roman"/>
        </w:rPr>
        <w:fldChar w:fldCharType="begin"/>
      </w:r>
      <w:r w:rsidR="00B41ACC">
        <w:rPr>
          <w:rFonts w:ascii="Times New Roman" w:hAnsi="Times New Roman" w:cs="Times New Roman"/>
        </w:rPr>
        <w:instrText xml:space="preserve"> ADDIN ZOTERO_ITEM CSL_CITATION {"citationID":"xpsMfNWl","properties":{"formattedCitation":"\\super 262\\nosupersub{}","plainCitation":"262","noteIndex":0},"citationItems":[{"id":726,"uris":["http://zotero.org/users/local/BfzbJtgR/items/9TXQRTNP"],"itemData":{"id":726,"type":"article-journal","abstract":"BACKGROUND: Up to 60% of the antibiotics prescribed to patients hospitalized with seasonal influenza are unnecessary. Procalcitonin (PCT) has the potential as an antimicrobial stewardship program (ASP) tool because it can differentiate between viral and bacterial etiology. We aimed to explore the role of PCT as an ASP tool in hospitalized seasonal influenza patients.\nMETHODS: We prospectively included 116 adults with seasonal influenza from two influenza seasons, 2018-2020. All data was obtained from a single clinical setting and analyzed by descriptive statistics and regression models.\nRESULTS: In regression analyses, we found a positive association of PCT with 30 days mortality and the amount of antibiotics used. Influenza diagnosis was associated with less antibiotic use if the PCT value was low. Patients with a low initial PCT (&lt;0.25 µg/L) had fewer hospital and intensive care unit (ICU) days and fewer positive chest X-rays. PCT had a negative predictive value of 94% for ICU care stay, 98% for 30 days mortality, and 88% for bacterial coinfection.\nCONCLUSION: PCT can be a safe rule-out test for bacterial coinfection. Routine PCT use in seasonal influenza patients with an uncertain clinical picture, and rapid influenza PCR testing, may be efficient as ASP tools.","container-title":"Antibiotics (Basel, Switzerland)","DOI":"10.3390/antibiotics12030573","ISSN":"2079-6382","issue":"3","journalAbbreviation":"Antibiotics (Basel)","language":"eng","note":"PMID: 36978440\nPMCID: PMC10044820","page":"573","source":"PubMed","title":"The Role of Procalcitonin as an Antimicrobial Stewardship Tool in Patients Hospitalized with Seasonal Influenza","volume":"12","author":[{"family":"Christensen","given":"Ingrid"},{"family":"Berild","given":"Dag"},{"family":"Bjørnholt","given":"Jørgen Vildershøj"},{"family":"Jelsness-Jørgensen","given":"Lars-Petter"},{"family":"Debes","given":"Sara Molvig"},{"family":"Haug","given":"Jon Birger"}],"issued":{"date-parts":[["2023",3,14]]}}}],"schema":"https://github.com/citation-style-language/schema/raw/master/csl-citation.json"} </w:instrText>
      </w:r>
      <w:r>
        <w:rPr>
          <w:rFonts w:ascii="Times New Roman" w:hAnsi="Times New Roman" w:cs="Times New Roman"/>
        </w:rPr>
        <w:fldChar w:fldCharType="separate"/>
      </w:r>
      <w:r w:rsidR="00B41ACC" w:rsidRPr="00B41ACC">
        <w:rPr>
          <w:rFonts w:ascii="Times New Roman" w:hAnsi="Times New Roman" w:cs="Times New Roman"/>
          <w:vertAlign w:val="superscript"/>
        </w:rPr>
        <w:t>262</w:t>
      </w:r>
      <w:r>
        <w:rPr>
          <w:rFonts w:ascii="Times New Roman" w:hAnsi="Times New Roman" w:cs="Times New Roman"/>
        </w:rPr>
        <w:fldChar w:fldCharType="end"/>
      </w:r>
      <w:r w:rsidRPr="00A750AD">
        <w:rPr>
          <w:rFonts w:ascii="Times New Roman" w:hAnsi="Times New Roman" w:cs="Times New Roman"/>
        </w:rPr>
        <w:t>.</w:t>
      </w:r>
    </w:p>
    <w:p w:rsidR="00376925" w:rsidRPr="00376925" w:rsidRDefault="003D4F71" w:rsidP="00376925">
      <w:pPr>
        <w:pStyle w:val="Heading2"/>
        <w:numPr>
          <w:ilvl w:val="1"/>
          <w:numId w:val="28"/>
        </w:numPr>
        <w:rPr>
          <w:rFonts w:ascii="Times New Roman" w:eastAsia="Times New Roman" w:hAnsi="Times New Roman" w:cs="Times New Roman"/>
          <w:b/>
          <w:color w:val="auto"/>
          <w:sz w:val="24"/>
        </w:rPr>
      </w:pPr>
      <w:bookmarkStart w:id="28" w:name="_Toc193802139"/>
      <w:r w:rsidRPr="00376925">
        <w:rPr>
          <w:rFonts w:ascii="Times New Roman" w:eastAsia="Times New Roman" w:hAnsi="Times New Roman" w:cs="Times New Roman"/>
          <w:b/>
          <w:color w:val="auto"/>
          <w:sz w:val="24"/>
        </w:rPr>
        <w:t>C-reactive</w:t>
      </w:r>
      <w:r w:rsidR="00376925" w:rsidRPr="00376925">
        <w:rPr>
          <w:rFonts w:ascii="Times New Roman" w:eastAsia="Times New Roman" w:hAnsi="Times New Roman" w:cs="Times New Roman"/>
          <w:b/>
          <w:color w:val="auto"/>
          <w:sz w:val="24"/>
        </w:rPr>
        <w:t xml:space="preserve"> protein (CRP)</w:t>
      </w:r>
      <w:bookmarkEnd w:id="28"/>
    </w:p>
    <w:p w:rsidR="00287976" w:rsidRPr="006B4901" w:rsidRDefault="00287976" w:rsidP="00F861EB">
      <w:pPr>
        <w:pStyle w:val="Standard"/>
        <w:suppressAutoHyphens w:val="0"/>
        <w:spacing w:before="280" w:after="280" w:line="276" w:lineRule="auto"/>
        <w:jc w:val="both"/>
        <w:textAlignment w:val="auto"/>
        <w:rPr>
          <w:rFonts w:ascii="Times New Roman" w:hAnsi="Times New Roman" w:cs="Times New Roman"/>
        </w:rPr>
      </w:pPr>
      <w:r>
        <w:rPr>
          <w:shd w:val="clear" w:color="auto" w:fill="FFFFFF"/>
        </w:rPr>
        <w:t xml:space="preserve">Among the most often used biomarkers for </w:t>
      </w:r>
      <w:r w:rsidR="00105D9E">
        <w:rPr>
          <w:shd w:val="clear" w:color="auto" w:fill="FFFFFF"/>
        </w:rPr>
        <w:t>diagnosing</w:t>
      </w:r>
      <w:r>
        <w:rPr>
          <w:shd w:val="clear" w:color="auto" w:fill="FFFFFF"/>
        </w:rPr>
        <w:t xml:space="preserve"> infection and inflammation is C-reactive protein (CRP), a widely known acute-phase reactant. Generated in great part by hepatocytes in reaction to interleukin-6 (IL-6) stimulation, CRP levels can soar sharply within six to twelve hours after a wound or infection starts, peaking </w:t>
      </w:r>
      <w:r w:rsidR="00105D9E">
        <w:rPr>
          <w:shd w:val="clear" w:color="auto" w:fill="FFFFFF"/>
        </w:rPr>
        <w:t>within</w:t>
      </w:r>
      <w:r>
        <w:rPr>
          <w:shd w:val="clear" w:color="auto" w:fill="FFFFFF"/>
        </w:rPr>
        <w:t xml:space="preserve"> 48 hours. Rising in both bacterial and viral diseases, CRP levels are higher and more persistent</w:t>
      </w:r>
      <w:r w:rsidR="00105D9E">
        <w:rPr>
          <w:shd w:val="clear" w:color="auto" w:fill="FFFFFF"/>
        </w:rPr>
        <w:t>,</w:t>
      </w:r>
      <w:r>
        <w:rPr>
          <w:shd w:val="clear" w:color="auto" w:fill="FFFFFF"/>
        </w:rPr>
        <w:t xml:space="preserve"> notably in severe bact</w:t>
      </w:r>
      <w:r w:rsidR="00105D9E">
        <w:rPr>
          <w:shd w:val="clear" w:color="auto" w:fill="FFFFFF"/>
        </w:rPr>
        <w:t xml:space="preserve">erial pneumonia or sepsis </w:t>
      </w:r>
      <w:r w:rsidR="00105D9E">
        <w:rPr>
          <w:rFonts w:ascii="Times New Roman" w:hAnsi="Times New Roman" w:cs="Times New Roman"/>
        </w:rPr>
        <w:fldChar w:fldCharType="begin"/>
      </w:r>
      <w:r w:rsidR="00B41ACC">
        <w:rPr>
          <w:rFonts w:ascii="Times New Roman" w:hAnsi="Times New Roman" w:cs="Times New Roman"/>
        </w:rPr>
        <w:instrText xml:space="preserve"> ADDIN ZOTERO_ITEM CSL_CITATION {"citationID":"Si9AP10f","properties":{"formattedCitation":"\\super 133,248\\nosupersub{}","plainCitation":"133,248","noteIndex":0},"citationItems":[{"id":657,"uris":["http://zotero.org/users/local/BfzbJtgR/items/9GPIBLHV"],"itemData":{"id":657,"type":"article-journal","container-title":"The Journal of Clinical Investigation","DOI":"10.1172/JCI18921","ISSN":"0021-9738","issue":"12","journalAbbreviation":"J Clin Invest","language":"eng","note":"PMID: 12813013\nPMCID: PMC161431","page":"1805-1812","source":"PubMed","title":"C-reactive protein: a critical update","title-short":"C-reactive protein","volume":"111","author":[{"family":"Pepys","given":"Mark B."},{"family":"Hirschfield","given":"Gideon M."}],"issued":{"date-parts":[["2003",6]]}}},{"id":689,"uris":["http://zotero.org/users/local/BfzbJtgR/items/43ZZQGMN"],"itemData":{"id":689,"type":"article-journal","abstract":"Abstract\n            \n              Introduction\n              Biomarkers can be useful for identifying or ruling out sepsis, identifying patients who may benefit from specific therapies or assessing the response to therapy.\n            \n            \n              Methods\n              We used an electronic search of the PubMed database using the key words \"sepsis\" and \"biomarker\" to identify clinical and experimental studies which evaluated a biomarker in sepsis.\n            \n            \n              Results\n              The search retrieved 3370 references covering 178 different biomarkers.\n            \n            \n              Conclusions\n              Many biomarkers have been evaluated for use in sepsis. Most of the biomarkers had been tested clinically, primarily as prognostic markers in sepsis; relatively few have been used for diagnosis. None has sufficient specificity or sensitivity to be routinely employed in clinical practice. PCT and CRP have been most widely used, but even these have limited ability to distinguish sepsis from other inflammatory conditions or to predict outcome.","container-title":"Critical Care","DOI":"10.1186/cc8872","ISSN":"1364-8535","issue":"1","journalAbbreviation":"Crit Care","language":"en","page":"R15","source":"DOI.org (Crossref)","title":"Sepsis biomarkers: a review","title-short":"Sepsis biomarkers","volume":"14","author":[{"family":"Pierrakos","given":"Charalampos"},{"family":"Vincent","given":"Jean-Louis"}],"issued":{"date-parts":[["2010",2,9]]}}}],"schema":"https://github.com/citation-style-language/schema/raw/master/csl-citation.json"} </w:instrText>
      </w:r>
      <w:r w:rsidR="00105D9E">
        <w:rPr>
          <w:rFonts w:ascii="Times New Roman" w:hAnsi="Times New Roman" w:cs="Times New Roman"/>
        </w:rPr>
        <w:fldChar w:fldCharType="separate"/>
      </w:r>
      <w:r w:rsidR="00B41ACC" w:rsidRPr="00B41ACC">
        <w:rPr>
          <w:rFonts w:ascii="Times New Roman" w:hAnsi="Times New Roman" w:cs="Times New Roman"/>
          <w:vertAlign w:val="superscript"/>
        </w:rPr>
        <w:t>133,248</w:t>
      </w:r>
      <w:r w:rsidR="00105D9E">
        <w:rPr>
          <w:rFonts w:ascii="Times New Roman" w:hAnsi="Times New Roman" w:cs="Times New Roman"/>
        </w:rPr>
        <w:fldChar w:fldCharType="end"/>
      </w:r>
      <w:r>
        <w:rPr>
          <w:shd w:val="clear" w:color="auto" w:fill="FFFFFF"/>
        </w:rPr>
        <w:t>. The main drawback of CRP, on the other hand, is its lack of specificity; it can be elevated in many non-infectious inflammatory diseases</w:t>
      </w:r>
      <w:r w:rsidR="00105D9E">
        <w:rPr>
          <w:shd w:val="clear" w:color="auto" w:fill="FFFFFF"/>
        </w:rPr>
        <w:t>,</w:t>
      </w:r>
      <w:r>
        <w:rPr>
          <w:shd w:val="clear" w:color="auto" w:fill="FFFFFF"/>
        </w:rPr>
        <w:t xml:space="preserve"> including surgery, traum</w:t>
      </w:r>
      <w:r w:rsidR="00105D9E">
        <w:rPr>
          <w:shd w:val="clear" w:color="auto" w:fill="FFFFFF"/>
        </w:rPr>
        <w:t xml:space="preserve">a, and autoimmune conditions </w:t>
      </w:r>
      <w:r w:rsidR="00105D9E">
        <w:rPr>
          <w:rFonts w:ascii="Times New Roman" w:hAnsi="Times New Roman" w:cs="Times New Roman"/>
        </w:rPr>
        <w:fldChar w:fldCharType="begin"/>
      </w:r>
      <w:r w:rsidR="00B41ACC">
        <w:rPr>
          <w:rFonts w:ascii="Times New Roman" w:hAnsi="Times New Roman" w:cs="Times New Roman"/>
        </w:rPr>
        <w:instrText xml:space="preserve"> ADDIN ZOTERO_ITEM CSL_CITATION {"citationID":"pWcRhEh6","properties":{"formattedCitation":"\\super 263\\nosupersub{}","plainCitation":"263","noteIndex":0},"citationItems":[{"id":733,"uris":["http://zotero.org/users/local/BfzbJtgR/items/MVA5ZYCD"],"itemData":{"id":733,"type":"article-journal","container-title":"Frontiers in Immunology","DOI":"10.3389/fimmu.2018.00754","ISSN":"1664-3224","journalAbbreviation":"Front. Immunol.","page":"754","source":"DOI.org (Crossref)","title":"Role of C-Reactive Protein at Sites of Inflammation and Infection","volume":"9","author":[{"family":"Sproston","given":"Nicola R."},{"family":"Ashworth","given":"Jason J."}],"issued":{"date-parts":[["2018",4,13]]}}}],"schema":"https://github.com/citation-style-language/schema/raw/master/csl-citation.json"} </w:instrText>
      </w:r>
      <w:r w:rsidR="00105D9E">
        <w:rPr>
          <w:rFonts w:ascii="Times New Roman" w:hAnsi="Times New Roman" w:cs="Times New Roman"/>
        </w:rPr>
        <w:fldChar w:fldCharType="separate"/>
      </w:r>
      <w:r w:rsidR="00B41ACC" w:rsidRPr="00B41ACC">
        <w:rPr>
          <w:rFonts w:ascii="Times New Roman" w:hAnsi="Times New Roman" w:cs="Times New Roman"/>
          <w:vertAlign w:val="superscript"/>
        </w:rPr>
        <w:t>263</w:t>
      </w:r>
      <w:r w:rsidR="00105D9E">
        <w:rPr>
          <w:rFonts w:ascii="Times New Roman" w:hAnsi="Times New Roman" w:cs="Times New Roman"/>
        </w:rPr>
        <w:fldChar w:fldCharType="end"/>
      </w:r>
      <w:r>
        <w:rPr>
          <w:shd w:val="clear" w:color="auto" w:fill="FFFFFF"/>
        </w:rPr>
        <w:t>.</w:t>
      </w:r>
      <w:r w:rsidR="00105D9E">
        <w:rPr>
          <w:shd w:val="clear" w:color="auto" w:fill="FFFFFF"/>
        </w:rPr>
        <w:t xml:space="preserve"> </w:t>
      </w:r>
      <w:r>
        <w:rPr>
          <w:shd w:val="clear" w:color="auto" w:fill="FFFFFF"/>
        </w:rPr>
        <w:t>To enhance diagnostic accuracy, CRP is being more and more utilized in multi-biomarker panels</w:t>
      </w:r>
      <w:r w:rsidR="00105D9E">
        <w:rPr>
          <w:shd w:val="clear" w:color="auto" w:fill="FFFFFF"/>
        </w:rPr>
        <w:t>,</w:t>
      </w:r>
      <w:r>
        <w:rPr>
          <w:shd w:val="clear" w:color="auto" w:fill="FFFFFF"/>
        </w:rPr>
        <w:t xml:space="preserve"> together with sometimes</w:t>
      </w:r>
      <w:r w:rsidR="00105D9E">
        <w:rPr>
          <w:shd w:val="clear" w:color="auto" w:fill="FFFFFF"/>
        </w:rPr>
        <w:t>,</w:t>
      </w:r>
      <w:r>
        <w:rPr>
          <w:shd w:val="clear" w:color="auto" w:fill="FFFFFF"/>
        </w:rPr>
        <w:t xml:space="preserve"> markers TRAIL (tumor necrosis factor-related apoptosis-inducing ligand) and IP-10 (interferon gamma-induced protein 10)</w:t>
      </w:r>
      <w:r w:rsidR="00105D9E">
        <w:rPr>
          <w:shd w:val="clear" w:color="auto" w:fill="FFFFFF"/>
        </w:rPr>
        <w:t>,</w:t>
      </w:r>
      <w:r>
        <w:rPr>
          <w:shd w:val="clear" w:color="auto" w:fill="FFFFFF"/>
        </w:rPr>
        <w:t xml:space="preserve"> showing more </w:t>
      </w:r>
      <w:r w:rsidR="00105D9E">
        <w:rPr>
          <w:shd w:val="clear" w:color="auto" w:fill="FFFFFF"/>
        </w:rPr>
        <w:t>infection-specific</w:t>
      </w:r>
      <w:r>
        <w:rPr>
          <w:shd w:val="clear" w:color="auto" w:fill="FFFFFF"/>
        </w:rPr>
        <w:t xml:space="preserve"> responses</w:t>
      </w:r>
      <w:r w:rsidR="00105D9E">
        <w:rPr>
          <w:rFonts w:ascii="Times New Roman" w:hAnsi="Times New Roman" w:cs="Times New Roman"/>
        </w:rPr>
        <w:fldChar w:fldCharType="begin"/>
      </w:r>
      <w:r w:rsidR="00B41ACC">
        <w:rPr>
          <w:rFonts w:ascii="Times New Roman" w:hAnsi="Times New Roman" w:cs="Times New Roman"/>
        </w:rPr>
        <w:instrText xml:space="preserve"> ADDIN ZOTERO_ITEM CSL_CITATION {"citationID":"Igh8MbHn","properties":{"formattedCitation":"\\super 250\\nosupersub{}","plainCitation":"250","noteIndex":0},"citationItems":[{"id":691,"uris":["http://zotero.org/users/local/BfzbJtgR/items/NCQD3U8S"],"itemData":{"id":691,"type":"article-journal","container-title":"The Lancet Infectious Diseases","DOI":"10.1016/S1473-3099(16)30519-9","ISSN":"14733099","issue":"4","journalAbbreviation":"The Lancet Infectious Diseases","language":"en","page":"431-440","source":"DOI.org (Crossref)","title":"A host-protein based assay to differentiate between bacterial and viral infections in preschool children (OPPORTUNITY): a double-blind, multicentre, validation study","title-short":"A host-protein based assay to differentiate between bacterial and viral infections in preschool children (OPPORTUNITY)","volume":"17","author":[{"family":"Van Houten","given":"Chantal B"},{"family":"De Groot","given":"Joris A H"},{"family":"Klein","given":"Adi"},{"family":"Srugo","given":"Isaac"},{"family":"Chistyakov","given":"Irena"},{"family":"De Waal","given":"Wouter"},{"family":"Meijssen","given":"Clemens B"},{"family":"Avis","given":"Wim"},{"family":"Wolfs","given":"Tom F W"},{"family":"Shachor-Meyouhas","given":"Yael"},{"family":"Stein","given":"Michal"},{"family":"Sanders","given":"Elisabeth A M"},{"family":"Bont","given":"Louis J"}],"issued":{"date-parts":[["2017",4]]}}}],"schema":"https://github.com/citation-style-language/schema/raw/master/csl-citation.json"} </w:instrText>
      </w:r>
      <w:r w:rsidR="00105D9E">
        <w:rPr>
          <w:rFonts w:ascii="Times New Roman" w:hAnsi="Times New Roman" w:cs="Times New Roman"/>
        </w:rPr>
        <w:fldChar w:fldCharType="separate"/>
      </w:r>
      <w:r w:rsidR="00B41ACC" w:rsidRPr="00B41ACC">
        <w:rPr>
          <w:rFonts w:ascii="Times New Roman" w:hAnsi="Times New Roman" w:cs="Times New Roman"/>
          <w:vertAlign w:val="superscript"/>
        </w:rPr>
        <w:t>250</w:t>
      </w:r>
      <w:r w:rsidR="00105D9E">
        <w:rPr>
          <w:rFonts w:ascii="Times New Roman" w:hAnsi="Times New Roman" w:cs="Times New Roman"/>
        </w:rPr>
        <w:fldChar w:fldCharType="end"/>
      </w:r>
      <w:r>
        <w:rPr>
          <w:shd w:val="clear" w:color="auto" w:fill="FFFFFF"/>
        </w:rPr>
        <w:t>. Furthermore, by allowing more precise measurement at lower levels and thereby expanding their applicability in subclinical inflammation surveillance, high-sensitivity CRP (hs-CRP) tests have raised their usefulness in infectio</w:t>
      </w:r>
      <w:r w:rsidR="00105D9E">
        <w:rPr>
          <w:shd w:val="clear" w:color="auto" w:fill="FFFFFF"/>
        </w:rPr>
        <w:t xml:space="preserve">n risk classification </w:t>
      </w:r>
      <w:r w:rsidR="00105D9E">
        <w:rPr>
          <w:rFonts w:ascii="Times New Roman" w:hAnsi="Times New Roman" w:cs="Times New Roman"/>
        </w:rPr>
        <w:fldChar w:fldCharType="begin"/>
      </w:r>
      <w:r w:rsidR="00B41ACC">
        <w:rPr>
          <w:rFonts w:ascii="Times New Roman" w:hAnsi="Times New Roman" w:cs="Times New Roman"/>
        </w:rPr>
        <w:instrText xml:space="preserve"> ADDIN ZOTERO_ITEM CSL_CITATION {"citationID":"vgrOyV2n","properties":{"formattedCitation":"\\super 263\\nosupersub{}","plainCitation":"263","noteIndex":0},"citationItems":[{"id":733,"uris":["http://zotero.org/users/local/BfzbJtgR/items/MVA5ZYCD"],"itemData":{"id":733,"type":"article-journal","container-title":"Frontiers in Immunology","DOI":"10.3389/fimmu.2018.00754","ISSN":"1664-3224","journalAbbreviation":"Front. Immunol.","page":"754","source":"DOI.org (Crossref)","title":"Role of C-Reactive Protein at Sites of Inflammation and Infection","volume":"9","author":[{"family":"Sproston","given":"Nicola R."},{"family":"Ashworth","given":"Jason J."}],"issued":{"date-parts":[["2018",4,13]]}}}],"schema":"https://github.com/citation-style-language/schema/raw/master/csl-citation.json"} </w:instrText>
      </w:r>
      <w:r w:rsidR="00105D9E">
        <w:rPr>
          <w:rFonts w:ascii="Times New Roman" w:hAnsi="Times New Roman" w:cs="Times New Roman"/>
        </w:rPr>
        <w:fldChar w:fldCharType="separate"/>
      </w:r>
      <w:r w:rsidR="00B41ACC" w:rsidRPr="00B41ACC">
        <w:rPr>
          <w:rFonts w:ascii="Times New Roman" w:hAnsi="Times New Roman" w:cs="Times New Roman"/>
          <w:vertAlign w:val="superscript"/>
        </w:rPr>
        <w:t>263</w:t>
      </w:r>
      <w:r w:rsidR="00105D9E">
        <w:rPr>
          <w:rFonts w:ascii="Times New Roman" w:hAnsi="Times New Roman" w:cs="Times New Roman"/>
        </w:rPr>
        <w:fldChar w:fldCharType="end"/>
      </w:r>
      <w:r>
        <w:rPr>
          <w:shd w:val="clear" w:color="auto" w:fill="FFFFFF"/>
        </w:rPr>
        <w:t>. CRP's general availability, fast turnaround, and low cost</w:t>
      </w:r>
      <w:r w:rsidR="00105D9E">
        <w:rPr>
          <w:shd w:val="clear" w:color="auto" w:fill="FFFFFF"/>
        </w:rPr>
        <w:t xml:space="preserve">, </w:t>
      </w:r>
      <w:r>
        <w:rPr>
          <w:shd w:val="clear" w:color="auto" w:fill="FFFFFF"/>
        </w:rPr>
        <w:t>which assure that it remains a staple of infection diagnosis in both resource-rich and resource-poor environments</w:t>
      </w:r>
      <w:r w:rsidR="00105D9E">
        <w:rPr>
          <w:shd w:val="clear" w:color="auto" w:fill="FFFFFF"/>
        </w:rPr>
        <w:t>, offer</w:t>
      </w:r>
      <w:r>
        <w:rPr>
          <w:shd w:val="clear" w:color="auto" w:fill="FFFFFF"/>
        </w:rPr>
        <w:t xml:space="preserve"> </w:t>
      </w:r>
      <w:r w:rsidR="00105D9E">
        <w:rPr>
          <w:shd w:val="clear" w:color="auto" w:fill="FFFFFF"/>
        </w:rPr>
        <w:t>stability</w:t>
      </w:r>
      <w:r>
        <w:rPr>
          <w:shd w:val="clear" w:color="auto" w:fill="FFFFFF"/>
        </w:rPr>
        <w:t>.</w:t>
      </w:r>
    </w:p>
    <w:p w:rsidR="00076769" w:rsidRDefault="006A1E6F" w:rsidP="00F861EB">
      <w:pPr>
        <w:pStyle w:val="Textbody"/>
        <w:jc w:val="both"/>
        <w:rPr>
          <w:shd w:val="clear" w:color="auto" w:fill="FFFFFF"/>
        </w:rPr>
      </w:pPr>
      <w:r>
        <w:rPr>
          <w:shd w:val="clear" w:color="auto" w:fill="FFFFFF"/>
        </w:rPr>
        <w:t xml:space="preserve">One of the intriguing advances in CRP-based diagnostics is the estimation of CRP velocity (eCRPv), which is calculated on the time lapse since the onset of infection, to estimate the inflammatory kinetics associated with bacterial infections. A value of eCRPv less than 0.25 mg/L/h </w:t>
      </w:r>
      <w:r>
        <w:rPr>
          <w:shd w:val="clear" w:color="auto" w:fill="FFFFFF"/>
        </w:rPr>
        <w:lastRenderedPageBreak/>
        <w:t>is more commonly associated with viral infections, while greater than 1.1 mg/L/h strongly suggests a bacterial origin. Notably, eCRPv is particularly operational at distinguishing infections in individuals with intermediate CRP levels (100–150 mg/L), a range that often causes diagnostic ambiguity. One of the most promising improvements in CRP-based diagnostics is the use of estimated CRP velocity (eCRPv), which asses</w:t>
      </w:r>
      <w:r w:rsidR="00076769">
        <w:rPr>
          <w:shd w:val="clear" w:color="auto" w:fill="FFFFFF"/>
        </w:rPr>
        <w:t xml:space="preserve">ses the rate of CRP growth </w:t>
      </w:r>
      <w:r>
        <w:rPr>
          <w:shd w:val="clear" w:color="auto" w:fill="FFFFFF"/>
        </w:rPr>
        <w:t xml:space="preserve">use of estimated CRP velocity (eCRPv), which assesses the rate of CRP increase about time after symptom onset. </w:t>
      </w:r>
    </w:p>
    <w:p w:rsidR="006A1E6F" w:rsidRDefault="006A1E6F" w:rsidP="00F861EB">
      <w:pPr>
        <w:pStyle w:val="Textbody"/>
        <w:jc w:val="both"/>
        <w:rPr>
          <w:shd w:val="clear" w:color="auto" w:fill="FFFFFF"/>
        </w:rPr>
      </w:pPr>
      <w:r>
        <w:rPr>
          <w:shd w:val="clear" w:color="auto" w:fill="FFFFFF"/>
        </w:rPr>
        <w:t xml:space="preserve">High eCRPv is found in bacterial infections than in viral infections </w:t>
      </w:r>
      <w:r>
        <w:rPr>
          <w:rFonts w:ascii="Times New Roman" w:hAnsi="Times New Roman" w:cs="Times New Roman"/>
        </w:rPr>
        <w:fldChar w:fldCharType="begin"/>
      </w:r>
      <w:r w:rsidR="00B41ACC">
        <w:rPr>
          <w:rFonts w:ascii="Times New Roman" w:hAnsi="Times New Roman" w:cs="Times New Roman"/>
        </w:rPr>
        <w:instrText xml:space="preserve"> ADDIN ZOTERO_ITEM CSL_CITATION {"citationID":"ZpOv8OXA","properties":{"formattedCitation":"\\super 264,265\\nosupersub{}","plainCitation":"264,265","noteIndex":0},"citationItems":[{"id":735,"uris":["http://zotero.org/users/local/BfzbJtgR/items/BLI3RVQ5"],"itemData":{"id":735,"type":"article-journal","abstract":"BACKGROUND: Knowledge of predominant pathogens and their association with outcome are of importance for the management of lower respiratory tract infection (LRTI). As antibiotic therapy is indicated in pneumonia and not in acute bronchitis, a predictor of pneumonia is needed.\nAIM: To describe the aetiology and outcome of LRTI in adults with pneumonic and adults with non-pneumonic LRTI treated in general practice and to identify predictors of radiographic pneumonia.\nDESIGN OF STUDY: Prospective, observational study.\nSETTING: Forty-two general practices and an outpatient clinic at the Department of Infectious Diseases, Odense University Hospital, Denmark.\nMETHOD: A total of 364 adults diagnosed with community-acquired LRTI by their GP were studied with chest radiography, vital signs, biochemical markers of inflammation (C-reactive protein [CRP] and leukocyte count), and microbiological examinations. Primary outcome measure was hospitalisation within 4 weeks.\nRESULTS: Pneumonia was radiographically verified in 48 of 364 patients (13%). Bacterial infection was seen more often in patients with pneumonia (33% versus 17%, P&lt;0.001), and viral infection more often in non-pneumonic patients (26% versus 13%, P&lt;0.05). Hospitalisation was more common in patients with pneumonia compared to non-pneumonic patients (19 versus 3%, P&lt;0.001); and in patients with pneumococcal infection compared with patients without pneumococcal infection (26 versus 4%, P = 0.001). The positive predictive value of GPs' diagnosis of pneumonia was low (0.23), but the vital signs, CRP, and leukocyte count had comparably low positive predictive values (0.23-0.30).\nCONCLUSION: Streptococcus pneumoniae was the most common bacterial pathogen. The risk of hospitalisation was highest among patients with pneumonia or pneumococcal infection; this emphasises the importance of coverage of S. pneumoniae when treatment is indicated. CRP should not be introduced for diagnosis of radiographic pneumonia in general practice before its use has been investigated in prospective, controlled intervention trials using CRP-guided treatment algorithms.","container-title":"The British Journal of General Practice: The Journal of the Royal College of General Practitioners","ISSN":"0960-1643","issue":"540","journalAbbreviation":"Br J Gen Pract","language":"eng","note":"PMID: 17727747\nPMCID: PMC2099637","page":"547-554","source":"PubMed","title":"Aetiology and prediction of pneumonia in lower respiratory tract infection in primary care","volume":"57","author":[{"family":"Holm","given":"Anette"},{"family":"Nexoe","given":"Joergen"},{"family":"Bistrup","given":"Lene A."},{"family":"Pedersen","given":"Svend S."},{"family":"Obel","given":"Niels"},{"family":"Nielsen","given":"Lars P."},{"family":"Pedersen","given":"Court"}],"issued":{"date-parts":[["2007",7]]}}},{"id":737,"uris":["http://zotero.org/users/local/BfzbJtgR/items/TZY3NJWB"],"itemData":{"id":737,"type":"article-journal","abstract":"BACKGROUND: Procalcitonin is a promising marker for identification of bacterial infections. We assessed the accuracy and clinical value of procalcitonin for diagnosis of sepsis in critically ill patients.\nMETHODS: We searched Medline, Embase, ISI Web of Knowledge, the Cochrane Library, Scopus, BioMed Central, and Science Direct, from inception to Feb 21, 2012, and reference lists of identified primary studies. We included articles written in English, German, or French that investigated procalcitonin for differentiation of septic patients--those with sepsis, severe sepsis, or septic shock--from those with a systemic inflammatory response syndrome of non-infectious origin. Studies of healthy people, patients without probable infection, and children younger than 28 days were excluded. Two independent investigators extracted patient and study characteristics; discrepancies were resolved by consensus. We calculated individual and pooled sensitivities and specificities. We used I(2) to test heterogeneity and investigated the source of heterogeneity by metaregression.\nFINDINGS: Our search returned 3487 reports, of which 30 fulfilled the inclusion criteria, accounting for 3244 patients. Bivariate analysis yielded a mean sensitivity of 0 · 77 (95% CI 0 · 72-0 · 81) and specificity of 0 · 79 (95% CI 0 · 74-0 · 84). The area under the receiver operating characteristic curve was 0 · 85 (95% CI 0 · 81-0 · 88). The studies had substantial heterogeneity (I(2)=96%, 95% CI 94-99). None of the subgroups investigated--population, admission category, assay used, severity of disease, and description and masking of the reference standard--could account for the heterogeneity.\nINTERPRETATION: Procalcitonin is a helpful biomarker for early diagnosis of sepsis in critically ill patients. Nevertheless, the results of the test must be interpreted carefully in the context of medical history, physical examination, and microbiological assessment.\nFUNDING: Ministry of Education and Research, the Deutsche Forschungsgemeinschaft, Thuringian Ministry for Education, Science and Culture, the Thuringian Foundation for Technology, Innovation and Research, and the German Sepsis Society.","container-title":"The Lancet. Infectious Diseases","DOI":"10.1016/S1473-3099(12)70323-7","ISSN":"1474-4457","issue":"5","journalAbbreviation":"Lancet Infect Dis","language":"eng","note":"PMID: 23375419","page":"426-435","source":"PubMed","title":"Procalcitonin as a diagnostic marker for sepsis: a systematic review and meta-analysis","title-short":"Procalcitonin as a diagnostic marker for sepsis","volume":"13","author":[{"family":"Wacker","given":"Christina"},{"family":"Prkno","given":"Anna"},{"family":"Brunkhorst","given":"Frank M."},{"family":"Schlattmann","given":"Peter"}],"issued":{"date-parts":[["2013",5]]}}}],"schema":"https://github.com/citation-style-language/schema/raw/master/csl-citation.json"} </w:instrText>
      </w:r>
      <w:r>
        <w:rPr>
          <w:rFonts w:ascii="Times New Roman" w:hAnsi="Times New Roman" w:cs="Times New Roman"/>
        </w:rPr>
        <w:fldChar w:fldCharType="separate"/>
      </w:r>
      <w:r w:rsidR="00B41ACC" w:rsidRPr="00B41ACC">
        <w:rPr>
          <w:rFonts w:ascii="Times New Roman" w:hAnsi="Times New Roman" w:cs="Times New Roman"/>
          <w:vertAlign w:val="superscript"/>
        </w:rPr>
        <w:t>264,265</w:t>
      </w:r>
      <w:r>
        <w:rPr>
          <w:rFonts w:ascii="Times New Roman" w:hAnsi="Times New Roman" w:cs="Times New Roman"/>
        </w:rPr>
        <w:fldChar w:fldCharType="end"/>
      </w:r>
      <w:r>
        <w:rPr>
          <w:shd w:val="clear" w:color="auto" w:fill="FFFFFF"/>
        </w:rPr>
        <w:t xml:space="preserve">. High levels of eCRPv (&gt;1.1 mg/L per hour) suggest bacterial infections, while low levels (&lt;0.25 mg/L per hour) suggest viral infections or self-limiting inflammatory conditions </w:t>
      </w:r>
      <w:r>
        <w:rPr>
          <w:rFonts w:ascii="Times New Roman" w:hAnsi="Times New Roman" w:cs="Times New Roman"/>
        </w:rPr>
        <w:fldChar w:fldCharType="begin"/>
      </w:r>
      <w:r w:rsidR="008D52C4">
        <w:rPr>
          <w:rFonts w:ascii="Times New Roman" w:hAnsi="Times New Roman" w:cs="Times New Roman"/>
        </w:rPr>
        <w:instrText xml:space="preserve"> ADDIN ZOTERO_ITEM CSL_CITATION {"citationID":"VRt6vInj","properties":{"formattedCitation":"\\super 248,249\\nosupersub{}","plainCitation":"248,249","dontUpdate":true,"noteIndex":0},"citationItems":[{"id":735,"uris":["http://zotero.org/users/local/BfzbJtgR/items/BLI3RVQ5"],"itemData":{"id":735,"type":"article-journal","abstract":"BACKGROUND: Knowledge of predominant pathogens and their association with outcome are of importance for the management of lower respiratory tract infection (LRTI). As antibiotic therapy is indicated in pneumonia and not in acute bronchitis, a predictor of pneumonia is needed.\nAIM: To describe the aetiology and outcome of LRTI in adults with pneumonic and adults with non-pneumonic LRTI treated in general practice and to identify predictors of radiographic pneumonia.\nDESIGN OF STUDY: Prospective, observational study.\nSETTING: Forty-two general practices and an outpatient clinic at the Department of Infectious Diseases, Odense University Hospital, Denmark.\nMETHOD: A total of 364 adults diagnosed with community-acquired LRTI by their GP were studied with chest radiography, vital signs, biochemical markers of inflammation (C-reactive protein [CRP] and leukocyte count), and microbiological examinations. Primary outcome measure was hospitalisation within 4 weeks.\nRESULTS: Pneumonia was radiographically verified in 48 of 364 patients (13%). Bacterial infection was seen more often in patients with pneumonia (33% versus 17%, P&lt;0.001), and viral infection more often in non-pneumonic patients (26% versus 13%, P&lt;0.05). Hospitalisation was more common in patients with pneumonia compared to non-pneumonic patients (19 versus 3%, P&lt;0.001); and in patients with pneumococcal infection compared with patients without pneumococcal infection (26 versus 4%, P = 0.001). The positive predictive value of GPs' diagnosis of pneumonia was low (0.23), but the vital signs, CRP, and leukocyte count had comparably low positive predictive values (0.23-0.30).\nCONCLUSION: Streptococcus pneumoniae was the most common bacterial pathogen. The risk of hospitalisation was highest among patients with pneumonia or pneumococcal infection; this emphasises the importance of coverage of S. pneumoniae when treatment is indicated. CRP should not be introduced for diagnosis of radiographic pneumonia in general practice before its use has been investigated in prospective, controlled intervention trials using CRP-guided treatment algorithms.","container-title":"The British Journal of General Practice: The Journal of the Royal College of General Practitioners","ISSN":"0960-1643","issue":"540","journalAbbreviation":"Br J Gen Pract","language":"eng","note":"PMID: 17727747\nPMCID: PMC2099637","page":"547-554","source":"PubMed","title":"Aetiology and prediction of pneumonia in lower respiratory tract infection in primary care","volume":"57","author":[{"family":"Holm","given":"Anette"},{"family":"Nexoe","given":"Joergen"},{"family":"Bistrup","given":"Lene A."},{"family":"Pedersen","given":"Svend S."},{"family":"Obel","given":"Niels"},{"family":"Nielsen","given":"Lars P."},{"family":"Pedersen","given":"Court"}],"issued":{"date-parts":[["2007",7]]}}},{"id":737,"uris":["http://zotero.org/users/local/BfzbJtgR/items/TZY3NJWB"],"itemData":{"id":737,"type":"article-journal","abstract":"BACKGROUND: Procalcitonin is a promising marker for identification of bacterial infections. We assessed the accuracy and clinical value of procalcitonin for diagnosis of sepsis in critically ill patients.\nMETHODS: We searched Medline, Embase, ISI Web of Knowledge, the Cochrane Library, Scopus, BioMed Central, and Science Direct, from inception to Feb 21, 2012, and reference lists of identified primary studies. We included articles written in English, German, or French that investigated procalcitonin for differentiation of septic patients--those with sepsis, severe sepsis, or septic shock--from those with a systemic inflammatory response syndrome of non-infectious origin. Studies of healthy people, patients without probable infection, and children younger than 28 days were excluded. Two independent investigators extracted patient and study characteristics; discrepancies were resolved by consensus. We calculated individual and pooled sensitivities and specificities. We used I(2) to test heterogeneity and investigated the source of heterogeneity by metaregression.\nFINDINGS: Our search returned 3487 reports, of which 30 fulfilled the inclusion criteria, accounting for 3244 patients. Bivariate analysis yielded a mean sensitivity of 0 · 77 (95% CI 0 · 72-0 · 81) and specificity of 0 · 79 (95% CI 0 · 74-0 · 84). The area under the receiver operating characteristic curve was 0 · 85 (95% CI 0 · 81-0 · 88). The studies had substantial heterogeneity (I(2)=96%, 95% CI 94-99). None of the subgroups investigated--population, admission category, assay used, severity of disease, and description and masking of the reference standard--could account for the heterogeneity.\nINTERPRETATION: Procalcitonin is a helpful biomarker for early diagnosis of sepsis in critically ill patients. Nevertheless, the results of the test must be interpreted carefully in the context of medical history, physical examination, and microbiological assessment.\nFUNDING: Ministry of Education and Research, the Deutsche Forschungsgemeinschaft, Thuringian Ministry for Education, Science and Culture, the Thuringian Foundation for Technology, Innovation and Research, and the German Sepsis Society.","container-title":"The Lancet. Infectious Diseases","DOI":"10.1016/S1473-3099(12)70323-7","ISSN":"1474-4457","issue":"5","journalAbbreviation":"Lancet Infect Dis","language":"eng","note":"PMID: 23375419","page":"426-435","source":"PubMed","title":"Procalcitonin as a diagnostic marker for sepsis: a systematic review and meta-analysis","title-short":"Procalcitonin as a diagnostic marker for sepsis","volume":"13","author":[{"family":"Wacker","given":"Christina"},{"family":"Prkno","given":"Anna"},{"family":"Brunkhorst","given":"Frank M."},{"family":"Schlattmann","given":"Peter"}],"issued":{"date-parts":[["2013",5]]}}}],"schema":"https://github.com/citation-style-language/schema/raw/master/csl-citation.json"} </w:instrText>
      </w:r>
      <w:r>
        <w:rPr>
          <w:rFonts w:ascii="Times New Roman" w:hAnsi="Times New Roman" w:cs="Times New Roman"/>
        </w:rPr>
        <w:fldChar w:fldCharType="separate"/>
      </w:r>
      <w:r w:rsidRPr="000D4356">
        <w:rPr>
          <w:rFonts w:ascii="Times New Roman" w:hAnsi="Times New Roman" w:cs="Times New Roman"/>
          <w:vertAlign w:val="superscript"/>
        </w:rPr>
        <w:t>248</w:t>
      </w:r>
      <w:r>
        <w:rPr>
          <w:rFonts w:ascii="Times New Roman" w:hAnsi="Times New Roman" w:cs="Times New Roman"/>
        </w:rPr>
        <w:fldChar w:fldCharType="end"/>
      </w:r>
      <w:r>
        <w:rPr>
          <w:shd w:val="clear" w:color="auto" w:fill="FFFFFF"/>
        </w:rPr>
        <w:t xml:space="preserve">. This method is especially useful in individuals with intermediate CRP levels (100-150 mg/L), a diagnostic gray zone where discriminating between bacterial and viral illnesses is most difficult </w:t>
      </w:r>
      <w:r>
        <w:rPr>
          <w:rFonts w:ascii="Times New Roman" w:hAnsi="Times New Roman" w:cs="Times New Roman"/>
        </w:rPr>
        <w:fldChar w:fldCharType="begin"/>
      </w:r>
      <w:r w:rsidR="00B41ACC">
        <w:rPr>
          <w:rFonts w:ascii="Times New Roman" w:hAnsi="Times New Roman" w:cs="Times New Roman"/>
        </w:rPr>
        <w:instrText xml:space="preserve"> ADDIN ZOTERO_ITEM CSL_CITATION {"citationID":"aI816AqP","properties":{"formattedCitation":"\\super 266\\nosupersub{}","plainCitation":"266","noteIndex":0},"citationItems":[{"id":740,"uris":["http://zotero.org/users/local/BfzbJtgR/items/YI6TI3M6"],"itemData":{"id":740,"type":"article-journal","container-title":"BMJ","DOI":"10.1136/bmj.d3082","ISSN":"0959-8138, 1468-5833","issue":"jun08 2","journalAbbreviation":"BMJ","language":"en","page":"d3082-d3082","source":"DOI.org (Crossref)","title":"Diagnostic value of laboratory tests in identifying serious infections in febrile children: systematic review","title-short":"Diagnostic value of laboratory tests in identifying serious infections in febrile children","volume":"342","author":[{"family":"Van Den Bruel","given":"A."},{"family":"Thompson","given":"M. J."},{"family":"Haj-Hassan","given":"T."},{"family":"Stevens","given":"R."},{"family":"Moll","given":"H."},{"family":"Lakhanpaul","given":"M."},{"family":"Mant","given":"D."}],"issued":{"date-parts":[["2011",6,8]]}}}],"schema":"https://github.com/citation-style-language/schema/raw/master/csl-citation.json"} </w:instrText>
      </w:r>
      <w:r>
        <w:rPr>
          <w:rFonts w:ascii="Times New Roman" w:hAnsi="Times New Roman" w:cs="Times New Roman"/>
        </w:rPr>
        <w:fldChar w:fldCharType="separate"/>
      </w:r>
      <w:r w:rsidR="00B41ACC" w:rsidRPr="00B41ACC">
        <w:rPr>
          <w:rFonts w:ascii="Times New Roman" w:hAnsi="Times New Roman" w:cs="Times New Roman"/>
          <w:vertAlign w:val="superscript"/>
        </w:rPr>
        <w:t>266</w:t>
      </w:r>
      <w:r>
        <w:rPr>
          <w:rFonts w:ascii="Times New Roman" w:hAnsi="Times New Roman" w:cs="Times New Roman"/>
        </w:rPr>
        <w:fldChar w:fldCharType="end"/>
      </w:r>
      <w:r>
        <w:rPr>
          <w:shd w:val="clear" w:color="auto" w:fill="FFFFFF"/>
        </w:rPr>
        <w:t xml:space="preserve">. Combining eCRPv with clinical context and other biomarkers, such as </w:t>
      </w:r>
      <w:r w:rsidR="00076769">
        <w:rPr>
          <w:shd w:val="clear" w:color="auto" w:fill="FFFFFF"/>
        </w:rPr>
        <w:t>Procalcitonin</w:t>
      </w:r>
      <w:r>
        <w:rPr>
          <w:shd w:val="clear" w:color="auto" w:fill="FFFFFF"/>
        </w:rPr>
        <w:t xml:space="preserve"> (PCT) or host gene expression profiles, shows potential for precision diagnosis in acute febrile illness.</w:t>
      </w:r>
    </w:p>
    <w:p w:rsidR="00AD1579" w:rsidRDefault="00AD1579" w:rsidP="00F861EB">
      <w:pPr>
        <w:pStyle w:val="Textbody"/>
        <w:jc w:val="both"/>
        <w:rPr>
          <w:shd w:val="clear" w:color="auto" w:fill="FFFFFF"/>
        </w:rPr>
      </w:pPr>
      <w:r>
        <w:rPr>
          <w:shd w:val="clear" w:color="auto" w:fill="FFFFFF"/>
        </w:rPr>
        <w:t xml:space="preserve">Additionally, CRP is crucial for understanding the body's inflammatory response during serious infections. Its ability to bind to phosphorylcholine on bacterial surfaces and activate the complement system emphasizes its dual role as both a diagnostic and prognostic tool </w:t>
      </w:r>
      <w:r>
        <w:rPr>
          <w:rFonts w:ascii="Times New Roman" w:hAnsi="Times New Roman" w:cs="Times New Roman"/>
        </w:rPr>
        <w:fldChar w:fldCharType="begin"/>
      </w:r>
      <w:r w:rsidR="00B41ACC">
        <w:rPr>
          <w:rFonts w:ascii="Times New Roman" w:hAnsi="Times New Roman" w:cs="Times New Roman"/>
        </w:rPr>
        <w:instrText xml:space="preserve"> ADDIN ZOTERO_ITEM CSL_CITATION {"citationID":"Jrj9Nzb8","properties":{"formattedCitation":"\\super 133\\nosupersub{}","plainCitation":"133","noteIndex":0},"citationItems":[{"id":657,"uris":["http://zotero.org/users/local/BfzbJtgR/items/9GPIBLHV"],"itemData":{"id":657,"type":"article-journal","container-title":"The Journal of Clinical Investigation","DOI":"10.1172/JCI18921","ISSN":"0021-9738","issue":"12","journalAbbreviation":"J Clin Invest","language":"eng","note":"PMID: 12813013\nPMCID: PMC161431","page":"1805-1812","source":"PubMed","title":"C-reactive protein: a critical update","title-short":"C-reactive protein","volume":"111","author":[{"family":"Pepys","given":"Mark B."},{"family":"Hirschfield","given":"Gideon M."}],"issued":{"date-parts":[["2003",6]]}}}],"schema":"https://github.com/citation-style-language/schema/raw/master/csl-citation.json"} </w:instrText>
      </w:r>
      <w:r>
        <w:rPr>
          <w:rFonts w:ascii="Times New Roman" w:hAnsi="Times New Roman" w:cs="Times New Roman"/>
        </w:rPr>
        <w:fldChar w:fldCharType="separate"/>
      </w:r>
      <w:r w:rsidR="00B41ACC" w:rsidRPr="00B41ACC">
        <w:rPr>
          <w:rFonts w:ascii="Times New Roman" w:hAnsi="Times New Roman" w:cs="Times New Roman"/>
          <w:vertAlign w:val="superscript"/>
        </w:rPr>
        <w:t>133</w:t>
      </w:r>
      <w:r>
        <w:rPr>
          <w:rFonts w:ascii="Times New Roman" w:hAnsi="Times New Roman" w:cs="Times New Roman"/>
        </w:rPr>
        <w:fldChar w:fldCharType="end"/>
      </w:r>
      <w:r>
        <w:rPr>
          <w:shd w:val="clear" w:color="auto" w:fill="FFFFFF"/>
        </w:rPr>
        <w:t xml:space="preserve">. High CRP levels are a crucial marker for evaluating treatment response because of their relationship to disease severity and their link to bacterial infections </w:t>
      </w:r>
      <w:r>
        <w:rPr>
          <w:rFonts w:ascii="Times New Roman" w:hAnsi="Times New Roman" w:cs="Times New Roman"/>
        </w:rPr>
        <w:fldChar w:fldCharType="begin"/>
      </w:r>
      <w:r w:rsidR="00B41ACC">
        <w:rPr>
          <w:rFonts w:ascii="Times New Roman" w:hAnsi="Times New Roman" w:cs="Times New Roman"/>
        </w:rPr>
        <w:instrText xml:space="preserve"> ADDIN ZOTERO_ITEM CSL_CITATION {"citationID":"kFVQJ0ND","properties":{"formattedCitation":"\\super 267\\nosupersub{}","plainCitation":"267","noteIndex":0},"citationItems":[{"id":750,"uris":["http://zotero.org/users/local/BfzbJtgR/items/AQCG4P8L"],"itemData":{"id":750,"type":"article-journal","abstract":"OBJECTIVE: This study aimed to determine whether the C-reactive protein-to-albumin ratio (CAR) can serve as a prognostic marker in patients with sepsis.\nMETHODS: Chinese and English databases were searched to retrieve the included literature. The pooled sensitivity (SEN), specificity (SPE), positive likelihood ratio (PLR), negative likelihood ratio (NLR), diagnostic odds ratio (DOR), and area under the curve (AUC) of the summary receiver operating characteristic (SROC) with their 95% confidence interval (CI) were calculated using the bivariate model. Moreover, the hazard ratio (HR) and 95% CI were calculated using the random effect model.\nRESULTS: Nine articles comprising 3224 patients with sepsis were included in the meta-analysis. The pooled SEN was 0.73 (95% CI 0.65-0.80), the pooled SPE was 0.78 (95% CI 0.69-0.84), the pooled PLR was 3.29 (95% CI 2.15-5.03), the pooled NLR was 0.35 (95% CI 0.24-0.49), and the pooled DOR was 9.50 (95% CI 4.38-20.59). The AUC under the SROC was 0.82 (95% CI 0.78-0.85) for the prognostic meta-analysis. The pooled HR was 1.10 (95% CI 1.02-1.18).\nCONCLUSIONS: This meta-analysis suggests that a high CAR level is associated with increased mortality and a poor prognosis.","container-title":"The Aging Male: The Official Journal of the International Society for the Study of the Aging Male","DOI":"10.1080/13685538.2023.2261540","ISSN":"1473-0790","issue":"1","journalAbbreviation":"Aging Male","language":"eng","note":"PMID: 37752726","page":"2261540","source":"PubMed","title":"The prognostic value of C-reactive protein to albumin ratio in patients with sepsis: a systematic review and meta-analysis","title-short":"The prognostic value of C-reactive protein to albumin ratio in patients with sepsis","volume":"26","author":[{"family":"Liu","given":"Yuanming"},{"family":"Gao","given":"Yan"},{"family":"Liang","given":"Binmiao"},{"family":"Liang","given":"Zongan"}],"issued":{"date-parts":[["2023",12]]}}}],"schema":"https://github.com/citation-style-language/schema/raw/master/csl-citation.json"} </w:instrText>
      </w:r>
      <w:r>
        <w:rPr>
          <w:rFonts w:ascii="Times New Roman" w:hAnsi="Times New Roman" w:cs="Times New Roman"/>
        </w:rPr>
        <w:fldChar w:fldCharType="separate"/>
      </w:r>
      <w:r w:rsidR="00B41ACC" w:rsidRPr="00B41ACC">
        <w:rPr>
          <w:rFonts w:ascii="Times New Roman" w:hAnsi="Times New Roman" w:cs="Times New Roman"/>
          <w:vertAlign w:val="superscript"/>
        </w:rPr>
        <w:t>267</w:t>
      </w:r>
      <w:r>
        <w:rPr>
          <w:rFonts w:ascii="Times New Roman" w:hAnsi="Times New Roman" w:cs="Times New Roman"/>
        </w:rPr>
        <w:fldChar w:fldCharType="end"/>
      </w:r>
      <w:r>
        <w:rPr>
          <w:shd w:val="clear" w:color="auto" w:fill="FFFFFF"/>
        </w:rPr>
        <w:t>.</w:t>
      </w:r>
    </w:p>
    <w:p w:rsidR="00AD1579" w:rsidRDefault="008D52C4" w:rsidP="00F861EB">
      <w:pPr>
        <w:pStyle w:val="Textbody"/>
        <w:jc w:val="both"/>
        <w:rPr>
          <w:shd w:val="clear" w:color="auto" w:fill="FFFFFF"/>
        </w:rPr>
      </w:pPr>
      <w:r>
        <w:rPr>
          <w:shd w:val="clear" w:color="auto" w:fill="FFFFFF"/>
        </w:rPr>
        <w:t xml:space="preserve">Notably, new research combined </w:t>
      </w:r>
      <w:r w:rsidR="00AD1579">
        <w:rPr>
          <w:shd w:val="clear" w:color="auto" w:fill="FFFFFF"/>
        </w:rPr>
        <w:t xml:space="preserve">CRP measurements with </w:t>
      </w:r>
      <w:r w:rsidR="00AD1579" w:rsidRPr="003D0B9B">
        <w:rPr>
          <w:rFonts w:ascii="Times New Roman" w:hAnsi="Times New Roman" w:cs="Times New Roman"/>
          <w:bCs/>
        </w:rPr>
        <w:t xml:space="preserve">machine </w:t>
      </w:r>
      <w:r w:rsidR="00AD1579">
        <w:rPr>
          <w:shd w:val="clear" w:color="auto" w:fill="FFFFFF"/>
        </w:rPr>
        <w:t>learning algorithms, which further enhances the specificity and sensitivity of CRP data by combining it with other clinical and laboratory information</w:t>
      </w:r>
      <w:r>
        <w:rPr>
          <w:shd w:val="clear" w:color="auto" w:fill="FFFFFF"/>
        </w:rPr>
        <w:fldChar w:fldCharType="begin"/>
      </w:r>
      <w:r>
        <w:rPr>
          <w:shd w:val="clear" w:color="auto" w:fill="FFFFFF"/>
        </w:rPr>
        <w:instrText xml:space="preserve"> ADDIN ZOTERO_ITEM CSL_CITATION {"citationID":"4vbTDevr","properties":{"formattedCitation":"\\super 7\\nosupersub{}","plainCitation":"7","noteIndex":0},"citationItems":[{"id":396,"uris":["http://zotero.org/users/local/BfzbJtgR/items/B8EC7H5L"],"itemData":{"id":396,"type":"article-journal","container-title":"Heliyon","DOI":"10.1016/j.heliyon.2024.e29372","ISSN":"24058440","issue":"8","journalAbbreviation":"Heliyon","language":"en","page":"e29372","source":"DOI.org (Crossref)","title":"Differentiating viral and bacterial infections: A machine learning model based on routine blood test values","title-short":"Differentiating viral and bacterial infections","volume":"10","author":[{"family":"Guncar","given":"Gregor"},{"family":"Kukar","given":"Matjaž"},{"family":"Smole","given":"Tim"},{"family":"Moškon","given":"Sašo"},{"family":"Vovko","given":"Tomaž"},{"family":"Podnar","given":"Simon"},{"family":"Černelč","given":"Peter"},{"family":"Brvar","given":"Miran"},{"family":"Notar","given":"Mateja"},{"family":"Köster","given":"Manca"},{"family":"Jelenc","given":"Marjeta Tušek"},{"family":"Osterc","given":"Žiga"},{"family":"Notar","given":"Marko"}],"issued":{"date-parts":[["2024",4]]}}}],"schema":"https://github.com/citation-style-language/schema/raw/master/csl-citation.json"} </w:instrText>
      </w:r>
      <w:r>
        <w:rPr>
          <w:shd w:val="clear" w:color="auto" w:fill="FFFFFF"/>
        </w:rPr>
        <w:fldChar w:fldCharType="separate"/>
      </w:r>
      <w:r w:rsidRPr="008D52C4">
        <w:rPr>
          <w:rFonts w:cs="Times New Roman"/>
          <w:vertAlign w:val="superscript"/>
        </w:rPr>
        <w:t>7</w:t>
      </w:r>
      <w:r>
        <w:rPr>
          <w:shd w:val="clear" w:color="auto" w:fill="FFFFFF"/>
        </w:rPr>
        <w:fldChar w:fldCharType="end"/>
      </w:r>
      <w:r w:rsidR="00AD1579">
        <w:rPr>
          <w:shd w:val="clear" w:color="auto" w:fill="FFFFFF"/>
        </w:rPr>
        <w:t>. This advancement in CRP measurements aids in diagnosing patients at the point of care in real time in poor clinical and diagnostic settings</w:t>
      </w:r>
      <w:r w:rsidR="00AD1579">
        <w:rPr>
          <w:rFonts w:ascii="Times New Roman" w:hAnsi="Times New Roman" w:cs="Times New Roman"/>
        </w:rPr>
        <w:fldChar w:fldCharType="begin"/>
      </w:r>
      <w:r w:rsidR="00B41ACC">
        <w:rPr>
          <w:rFonts w:ascii="Times New Roman" w:hAnsi="Times New Roman" w:cs="Times New Roman"/>
        </w:rPr>
        <w:instrText xml:space="preserve"> ADDIN ZOTERO_ITEM CSL_CITATION {"citationID":"xx3N6PNi","properties":{"formattedCitation":"\\super 268\\nosupersub{}","plainCitation":"268","noteIndex":0},"citationItems":[{"id":755,"uris":["http://zotero.org/users/local/BfzbJtgR/items/XACEKE6P"],"itemData":{"id":755,"type":"article-journal","abstract":"BACKGROUND: Malaria accounts for a small fraction of febrile cases in increasingly large areas of the malaria endemic world. Point-of-care tests to improve the management of non-malarial fevers appropriate for primary care are few, consisting of either diagnostic tests for specific pathogens or testing for biomarkers of host response that indicate whether antibiotics might be required. The impact and cost-effectiveness of these approaches are relatively unexplored and methods to do so are not well-developed.\nMETHODS: We model the ability of dengue and scrub typhus rapid tests to inform antibiotic treatment, as compared with testing for elevated C-Reactive Protein (CRP), a biomarker of host-inflammation. Using data on causes of fever in rural Laos, we estimate the proportion of outpatients that would be correctly classified as requiring an antibiotic and the likely cost-effectiveness of the approaches.\nRESULTS: Use of either pathogen-specific test slightly increased the proportion of patients correctly classified as requiring antibiotics. CRP testing was consistently superior to the pathogen-specific tests, despite heterogeneity in causes of fever. All testing strategies are likely to result in higher average costs, but only the scrub typhus and CRP tests are likely to be cost-effective when considering direct health benefits, with median cost per disability adjusted life year averted of approximately $48 USD and $94 USD, respectively.\nCONCLUSIONS: Testing for viral infections is unlikely to be cost-effective when considering only direct health benefits to patients. Testing for prevalent bacterial pathogens can be cost-effective, having the benefit of informing not only whether treatment is required, but also as to the most appropriate antibiotic; this advantage, however, varies widely in response to heterogeneity in causes of fever. Testing for biomarkers of host inflammation is likely to be consistently cost-effective despite high heterogeneity, and can also offer substantial reductions in over-use of antimicrobials in viral infections.","container-title":"PloS One","DOI":"10.1371/journal.pone.0152420","ISSN":"1932-6203","issue":"3","journalAbbreviation":"PLoS One","language":"eng","note":"PMID: 27027303\nPMCID: PMC4814092","page":"e0152420","source":"PubMed","title":"Modelling the Impact and Cost-Effectiveness of Biomarker Tests as Compared with Pathogen-Specific Diagnostics in the Management of Undifferentiated Fever in Remote Tropical Settings","volume":"11","author":[{"family":"Lubell","given":"Yoel"},{"family":"Althaus","given":"Thomas"},{"family":"Blacksell","given":"Stuart D."},{"family":"Paris","given":"Daniel H."},{"family":"Mayxay","given":"Mayfong"},{"family":"Pan-Ngum","given":"Wirichada"},{"family":"White","given":"Lisa J."},{"family":"Day","given":"Nicholas P. J."},{"family":"Newton","given":"Paul N."}],"issued":{"date-parts":[["2016"]]}}}],"schema":"https://github.com/citation-style-language/schema/raw/master/csl-citation.json"} </w:instrText>
      </w:r>
      <w:r w:rsidR="00AD1579">
        <w:rPr>
          <w:rFonts w:ascii="Times New Roman" w:hAnsi="Times New Roman" w:cs="Times New Roman"/>
        </w:rPr>
        <w:fldChar w:fldCharType="separate"/>
      </w:r>
      <w:r w:rsidR="00B41ACC" w:rsidRPr="00B41ACC">
        <w:rPr>
          <w:rFonts w:ascii="Times New Roman" w:hAnsi="Times New Roman" w:cs="Times New Roman"/>
          <w:vertAlign w:val="superscript"/>
        </w:rPr>
        <w:t>268</w:t>
      </w:r>
      <w:r w:rsidR="00AD1579">
        <w:rPr>
          <w:rFonts w:ascii="Times New Roman" w:hAnsi="Times New Roman" w:cs="Times New Roman"/>
        </w:rPr>
        <w:fldChar w:fldCharType="end"/>
      </w:r>
      <w:r w:rsidR="00AD1579">
        <w:rPr>
          <w:shd w:val="clear" w:color="auto" w:fill="FFFFFF"/>
        </w:rPr>
        <w:t xml:space="preserve">. </w:t>
      </w:r>
    </w:p>
    <w:p w:rsidR="002138EF" w:rsidRDefault="00CA6A9F" w:rsidP="002138EF">
      <w:pPr>
        <w:pStyle w:val="Textbody"/>
        <w:spacing w:after="0"/>
        <w:jc w:val="both"/>
        <w:rPr>
          <w:shd w:val="clear" w:color="auto" w:fill="FFFFFF"/>
        </w:rPr>
      </w:pPr>
      <w:r>
        <w:rPr>
          <w:shd w:val="clear" w:color="auto" w:fill="FFFFFF"/>
        </w:rPr>
        <w:t>Although bacterial infections typically result in a greater increase but CRP levels are increased during both viral and bacterial infections. However, the diagnostic utility of CRP measurements has been enhanced by advancements in CRP measurement, such as high-sensitivity assays.</w:t>
      </w:r>
      <w:r>
        <w:rPr>
          <w:shd w:val="clear" w:color="auto" w:fill="FFFFFF"/>
        </w:rPr>
        <w:br/>
      </w:r>
    </w:p>
    <w:p w:rsidR="00CA6A9F" w:rsidRDefault="00CA6A9F" w:rsidP="002138EF">
      <w:pPr>
        <w:pStyle w:val="Textbody"/>
        <w:spacing w:after="0"/>
        <w:jc w:val="both"/>
        <w:rPr>
          <w:shd w:val="clear" w:color="auto" w:fill="FFFFFF"/>
        </w:rPr>
      </w:pPr>
      <w:r>
        <w:rPr>
          <w:shd w:val="clear" w:color="auto" w:fill="FFFFFF"/>
        </w:rPr>
        <w:t>CRP continues to be among the most commonly utilized biomarkers for differentiating bacterial infections from viral ones. However, CRP levels may be raised in bacterial and viral infections, but bacterial infections result in high levels of CRP</w:t>
      </w:r>
      <w:r w:rsidRPr="002F30D8">
        <w:rPr>
          <w:rFonts w:ascii="Times New Roman" w:hAnsi="Times New Roman" w:cs="Times New Roman"/>
        </w:rPr>
        <w:fldChar w:fldCharType="begin"/>
      </w:r>
      <w:r w:rsidR="00B41ACC">
        <w:rPr>
          <w:rFonts w:ascii="Times New Roman" w:hAnsi="Times New Roman" w:cs="Times New Roman"/>
        </w:rPr>
        <w:instrText xml:space="preserve"> ADDIN ZOTERO_ITEM CSL_CITATION {"citationID":"utOeCVSR","properties":{"formattedCitation":"\\super 269\\nosupersub{}","plainCitation":"269","noteIndex":0},"citationItems":[{"id":758,"uris":["http://zotero.org/users/local/BfzbJtgR/items/6J9PDDVL"],"itemData":{"id":758,"type":"article-journal","abstract":"PURPOSE: Antibiotics are only beneficial for subgroups of patients with acute lower respiratory tract infections (LRTI) and rhinosinusitis in family practice, yet overprescribing for these conditions is common. C-reactive protein (CRP) point-of-care testing and delayed prescribing are useful strategies to reduce antibiotic prescribing, but both have limitations. We evaluated the effect of CRP assistance in antibiotic prescribing strategies-including delayed prescribing-in the management of LRTI and rhinosinusitis.\nMETHODS: We conducted a randomized controlled trial in which 258 patients were enrolled (107 LRTI and 151 rhinosinusitis) by 32 family physicians. Patients were individually randomized to CRP assistance or routine care (control). Primary outcome was antibiotic use after the index consultation. Secondary outcomes included antibiotic use during the 28-day follow-up, patient satisfaction, and clinical recovery.\nRESULTS: Patients in the CRP-assisted group used fewer antibiotics (43.4%) than control patients (56.6%) after the index consultation (relative risk [RR] = 0.77; 95% confidence interval [CI], 0.56-0.98). This difference remained significant during follow-up (52.7% vs 65.1%; RR = 0.81; 95% CI, 0.62-0.99). Delayed prescriptions in the CRP-assisted group were filled only in a minority of cases (23% vs 72% in control group, P &lt; .001). Recovery was similar across groups. Satisfaction with care was higher in patients managed with CRP assistance (P = .03).\nCONCLUSIONS: CRP point-of-care testing to assist in prescribing decisions, including delayed prescribing, for LRTI and rhinosinusitis may be a useful strategy to decrease antibiotic use and increase patient satisfaction without compromising patient recovery.","container-title":"Annals of Family Medicine","DOI":"10.1370/afm.1090","ISSN":"1544-1717","issue":"2","journalAbbreviation":"Ann Fam Med","language":"eng","note":"PMID: 20212299\nPMCID: PMC2834719","page":"124-133","source":"PubMed","title":"Point-of-care C-reactive protein testing and antibiotic prescribing for respiratory tract infections: a randomized controlled trial","title-short":"Point-of-care C-reactive protein testing and antibiotic prescribing for respiratory tract infections","volume":"8","author":[{"family":"Cals","given":"Jochen W. L."},{"family":"Schot","given":"Marjolein J. C."},{"family":"Jong","given":"Sanne A. M.","non-dropping-particle":"de"},{"family":"Dinant","given":"Geert-Jan"},{"family":"Hopstaken","given":"Rogier M."}],"issued":{"date-parts":[["2010"]]}}}],"schema":"https://github.com/citation-style-language/schema/raw/master/csl-citation.json"} </w:instrText>
      </w:r>
      <w:r w:rsidRPr="002F30D8">
        <w:rPr>
          <w:rFonts w:ascii="Times New Roman" w:hAnsi="Times New Roman" w:cs="Times New Roman"/>
        </w:rPr>
        <w:fldChar w:fldCharType="separate"/>
      </w:r>
      <w:r w:rsidR="00B41ACC" w:rsidRPr="00B41ACC">
        <w:rPr>
          <w:rFonts w:ascii="Times New Roman" w:hAnsi="Times New Roman" w:cs="Times New Roman"/>
          <w:vertAlign w:val="superscript"/>
        </w:rPr>
        <w:t>269</w:t>
      </w:r>
      <w:r w:rsidRPr="002F30D8">
        <w:rPr>
          <w:rFonts w:ascii="Times New Roman" w:hAnsi="Times New Roman" w:cs="Times New Roman"/>
        </w:rPr>
        <w:fldChar w:fldCharType="end"/>
      </w:r>
      <w:r>
        <w:rPr>
          <w:shd w:val="clear" w:color="auto" w:fill="FFFFFF"/>
        </w:rPr>
        <w:t>. The advancement in high-sensitivity CRP (hsCRP) test has readily enabled the detection and identification of early inflammatory reactions</w:t>
      </w:r>
      <w:r w:rsidRPr="002F30D8">
        <w:rPr>
          <w:rFonts w:ascii="Times New Roman" w:hAnsi="Times New Roman" w:cs="Times New Roman"/>
          <w:bCs/>
        </w:rPr>
        <w:fldChar w:fldCharType="begin"/>
      </w:r>
      <w:r w:rsidR="00B41ACC">
        <w:rPr>
          <w:rFonts w:ascii="Times New Roman" w:hAnsi="Times New Roman" w:cs="Times New Roman"/>
          <w:bCs/>
        </w:rPr>
        <w:instrText xml:space="preserve"> ADDIN ZOTERO_ITEM CSL_CITATION {"citationID":"RG9CdxM5","properties":{"formattedCitation":"\\super 263\\nosupersub{}","plainCitation":"263","noteIndex":0},"citationItems":[{"id":733,"uris":["http://zotero.org/users/local/BfzbJtgR/items/MVA5ZYCD"],"itemData":{"id":733,"type":"article-journal","container-title":"Frontiers in Immunology","DOI":"10.3389/fimmu.2018.00754","ISSN":"1664-3224","journalAbbreviation":"Front. Immunol.","page":"754","source":"DOI.org (Crossref)","title":"Role of C-Reactive Protein at Sites of Inflammation and Infection","volume":"9","author":[{"family":"Sproston","given":"Nicola R."},{"family":"Ashworth","given":"Jason J."}],"issued":{"date-parts":[["2018",4,13]]}}}],"schema":"https://github.com/citation-style-language/schema/raw/master/csl-citation.json"} </w:instrText>
      </w:r>
      <w:r w:rsidRPr="002F30D8">
        <w:rPr>
          <w:rFonts w:ascii="Times New Roman" w:hAnsi="Times New Roman" w:cs="Times New Roman"/>
          <w:bCs/>
        </w:rPr>
        <w:fldChar w:fldCharType="separate"/>
      </w:r>
      <w:r w:rsidR="00B41ACC" w:rsidRPr="00B41ACC">
        <w:rPr>
          <w:rFonts w:ascii="Times New Roman" w:hAnsi="Times New Roman" w:cs="Times New Roman"/>
          <w:vertAlign w:val="superscript"/>
        </w:rPr>
        <w:t>263</w:t>
      </w:r>
      <w:r w:rsidRPr="002F30D8">
        <w:rPr>
          <w:rFonts w:ascii="Times New Roman" w:hAnsi="Times New Roman" w:cs="Times New Roman"/>
          <w:bCs/>
        </w:rPr>
        <w:fldChar w:fldCharType="end"/>
      </w:r>
      <w:r>
        <w:rPr>
          <w:shd w:val="clear" w:color="auto" w:fill="FFFFFF"/>
        </w:rPr>
        <w:t xml:space="preserve">. </w:t>
      </w:r>
    </w:p>
    <w:p w:rsidR="00376925" w:rsidRPr="00376925" w:rsidRDefault="00CB1D8E" w:rsidP="00403A4C">
      <w:pPr>
        <w:pStyle w:val="Heading2"/>
        <w:numPr>
          <w:ilvl w:val="1"/>
          <w:numId w:val="28"/>
        </w:numPr>
        <w:spacing w:before="240"/>
        <w:rPr>
          <w:rFonts w:ascii="Times New Roman" w:eastAsia="Times New Roman" w:hAnsi="Times New Roman" w:cs="Times New Roman"/>
          <w:b/>
          <w:color w:val="auto"/>
          <w:sz w:val="24"/>
        </w:rPr>
      </w:pPr>
      <w:bookmarkStart w:id="29" w:name="_Toc193802140"/>
      <w:r w:rsidRPr="00376925">
        <w:rPr>
          <w:rFonts w:ascii="Times New Roman" w:eastAsia="Times New Roman" w:hAnsi="Times New Roman" w:cs="Times New Roman"/>
          <w:b/>
          <w:color w:val="auto"/>
          <w:sz w:val="24"/>
        </w:rPr>
        <w:t>Int</w:t>
      </w:r>
      <w:r w:rsidR="00376925" w:rsidRPr="00376925">
        <w:rPr>
          <w:rFonts w:ascii="Times New Roman" w:eastAsia="Times New Roman" w:hAnsi="Times New Roman" w:cs="Times New Roman"/>
          <w:b/>
          <w:color w:val="auto"/>
          <w:sz w:val="24"/>
        </w:rPr>
        <w:t>erferon-Stimulated Genes (ISGs)</w:t>
      </w:r>
      <w:bookmarkEnd w:id="29"/>
    </w:p>
    <w:p w:rsidR="00FC0619" w:rsidRPr="00A750AD" w:rsidRDefault="00FC0619" w:rsidP="00F861EB">
      <w:pPr>
        <w:pStyle w:val="Standard"/>
        <w:suppressAutoHyphens w:val="0"/>
        <w:spacing w:before="280" w:after="280" w:line="276" w:lineRule="auto"/>
        <w:jc w:val="both"/>
        <w:textAlignment w:val="auto"/>
        <w:rPr>
          <w:rFonts w:ascii="Times New Roman" w:hAnsi="Times New Roman" w:cs="Times New Roman"/>
        </w:rPr>
      </w:pPr>
      <w:r>
        <w:rPr>
          <w:rStyle w:val="match"/>
        </w:rPr>
        <w:t>Viral infection induces interferon, which activates a cascade of interferon-stimulated genes (ISGs) essential for the host's antiviral defense. In this context, important biomarkers: IP-10 and TRAIL (tumour necrosis factor-related apoptosis-inducing ligand) play a pivotal role in immune modulation and entry of the pathogen</w:t>
      </w:r>
      <w:r>
        <w:rPr>
          <w:rFonts w:ascii="Times New Roman" w:eastAsia="Times New Roman" w:hAnsi="Times New Roman" w:cs="Times New Roman"/>
          <w:kern w:val="0"/>
          <w:lang w:eastAsia="en-US" w:bidi="ar-SA"/>
        </w:rPr>
        <w:fldChar w:fldCharType="begin"/>
      </w:r>
      <w:r w:rsidR="00B41ACC">
        <w:rPr>
          <w:rFonts w:ascii="Times New Roman" w:eastAsia="Times New Roman" w:hAnsi="Times New Roman" w:cs="Times New Roman"/>
          <w:kern w:val="0"/>
          <w:lang w:eastAsia="en-US" w:bidi="ar-SA"/>
        </w:rPr>
        <w:instrText xml:space="preserve"> ADDIN ZOTERO_ITEM CSL_CITATION {"citationID":"DgpjnncE","properties":{"formattedCitation":"\\super 270\\nosupersub{}","plainCitation":"270","noteIndex":0},"citationItems":[{"id":764,"uris":["http://zotero.org/users/local/BfzbJtgR/items/R7PXLAXU"],"itemData":{"id":764,"type":"article-journal","abstract":"Interferon-stimulated gene (ISG) products take on a number of diverse roles. Collectively, they are highly effective at resisting and controlling pathogens. In this review, we begin by introducing interferon (IFN) and the JAK-STAT signaling pathway to highlight features that impact ISG production. Next, we describe ways in which ISGs both enhance innate pathogen-sensing capabilities and negatively regulate signaling through the JAK-STAT pathway. Several ISGs that directly inhibit virus infection are described with an emphasis on those that impact early and late stages of the virus life cycle. Finally, we describe ongoing efforts to identify and characterize antiviral ISGs, and we provide a forward-looking perspective on the ISG landscape.","container-title":"Annual Review of Immunology","DOI":"10.1146/annurev-immunol-032713-120231","ISSN":"1545-3278","journalAbbreviation":"Annu Rev Immunol","language":"eng","note":"PMID: 24555472\nPMCID: PMC4313732","page":"513-545","source":"PubMed","title":"Interferon-stimulated genes: a complex web of host defenses","title-short":"Interferon-stimulated genes","volume":"32","author":[{"family":"Schneider","given":"William M."},{"family":"Chevillotte","given":"Meike Dittmann"},{"family":"Rice","given":"Charles M."}],"issued":{"date-parts":[["2014"]]}}}],"schema":"https://github.com/citation-style-language/schema/raw/master/csl-citation.json"} </w:instrText>
      </w:r>
      <w:r>
        <w:rPr>
          <w:rFonts w:ascii="Times New Roman" w:eastAsia="Times New Roman" w:hAnsi="Times New Roman" w:cs="Times New Roman"/>
          <w:kern w:val="0"/>
          <w:lang w:eastAsia="en-US" w:bidi="ar-SA"/>
        </w:rPr>
        <w:fldChar w:fldCharType="separate"/>
      </w:r>
      <w:r w:rsidR="00B41ACC" w:rsidRPr="00B41ACC">
        <w:rPr>
          <w:rFonts w:ascii="Times New Roman" w:hAnsi="Times New Roman" w:cs="Times New Roman"/>
          <w:vertAlign w:val="superscript"/>
        </w:rPr>
        <w:t>270</w:t>
      </w:r>
      <w:r>
        <w:rPr>
          <w:rFonts w:ascii="Times New Roman" w:eastAsia="Times New Roman" w:hAnsi="Times New Roman" w:cs="Times New Roman"/>
          <w:kern w:val="0"/>
          <w:lang w:eastAsia="en-US" w:bidi="ar-SA"/>
        </w:rPr>
        <w:fldChar w:fldCharType="end"/>
      </w:r>
      <w:r>
        <w:rPr>
          <w:rStyle w:val="match"/>
        </w:rPr>
        <w:t xml:space="preserve">. </w:t>
      </w:r>
      <w:r>
        <w:rPr>
          <w:shd w:val="clear" w:color="auto" w:fill="FFFFFF"/>
        </w:rPr>
        <w:t xml:space="preserve">An increase in IP-10 is highly associated with virus-mediated infections by stimulating the Th1 immune response. On the other hand, TRAIL facilitates </w:t>
      </w:r>
      <w:r>
        <w:rPr>
          <w:shd w:val="clear" w:color="auto" w:fill="FFFFFF"/>
        </w:rPr>
        <w:lastRenderedPageBreak/>
        <w:t>apoptosis in the infected cells</w:t>
      </w:r>
      <w:r>
        <w:rPr>
          <w:rFonts w:ascii="Times New Roman" w:eastAsia="Times New Roman" w:hAnsi="Times New Roman" w:cs="Times New Roman"/>
          <w:kern w:val="0"/>
          <w:lang w:eastAsia="en-US" w:bidi="ar-SA"/>
        </w:rPr>
        <w:fldChar w:fldCharType="begin"/>
      </w:r>
      <w:r w:rsidR="00B41ACC">
        <w:rPr>
          <w:rFonts w:ascii="Times New Roman" w:eastAsia="Times New Roman" w:hAnsi="Times New Roman" w:cs="Times New Roman"/>
          <w:kern w:val="0"/>
          <w:lang w:eastAsia="en-US" w:bidi="ar-SA"/>
        </w:rPr>
        <w:instrText xml:space="preserve"> ADDIN ZOTERO_ITEM CSL_CITATION {"citationID":"lCS9FXot","properties":{"formattedCitation":"\\super 270\\uc0\\u8211{}272\\nosupersub{}","plainCitation":"270–272","noteIndex":0},"citationItems":[{"id":767,"uris":["http://zotero.org/users/local/BfzbJtgR/items/6UM9WJ2S"],"itemData":{"id":767,"type":"article-journal","container-title":"Cytokine &amp; Growth Factor Reviews","DOI":"10.1016/j.cytogfr.2011.06.001","ISSN":"13596101","journalAbbreviation":"Cytokine &amp; Growth Factor Reviews","language":"en","license":"https://www.elsevier.com/tdm/userlicense/1.0/","page":"S1359610111000293","source":"DOI.org (Crossref)","title":"CXCL10/IP-10 in infectious diseases pathogenesis and potential therapeutic implications","author":[{"family":"Liu","given":"Mingli"},{"family":"Guo","given":"Shanchun"},{"family":"Hibbert","given":"Jacqueline M."},{"family":"Jain","given":"Vidhan"},{"family":"Singh","given":"Neeru"},{"family":"Wilson","given":"Nana O."},{"family":"Stiles","given":"Jonathan K."}],"issued":{"date-parts":[["2011",7]]}}},{"id":764,"uris":["http://zotero.org/users/local/BfzbJtgR/items/R7PXLAXU"],"itemData":{"id":764,"type":"article-journal","abstract":"Interferon-stimulated gene (ISG) products take on a number of diverse roles. Collectively, they are highly effective at resisting and controlling pathogens. In this review, we begin by introducing interferon (IFN) and the JAK-STAT signaling pathway to highlight features that impact ISG production. Next, we describe ways in which ISGs both enhance innate pathogen-sensing capabilities and negatively regulate signaling through the JAK-STAT pathway. Several ISGs that directly inhibit virus infection are described with an emphasis on those that impact early and late stages of the virus life cycle. Finally, we describe ongoing efforts to identify and characterize antiviral ISGs, and we provide a forward-looking perspective on the ISG landscape.","container-title":"Annual Review of Immunology","DOI":"10.1146/annurev-immunol-032713-120231","ISSN":"1545-3278","journalAbbreviation":"Annu Rev Immunol","language":"eng","note":"PMID: 24555472\nPMCID: PMC4313732","page":"513-545","source":"PubMed","title":"Interferon-stimulated genes: a complex web of host defenses","title-short":"Interferon-stimulated genes","volume":"32","author":[{"family":"Schneider","given":"William M."},{"family":"Chevillotte","given":"Meike Dittmann"},{"family":"Rice","given":"Charles M."}],"issued":{"date-parts":[["2014"]]}}},{"id":769,"uris":["http://zotero.org/users/local/BfzbJtgR/items/3BTTPUUB"],"itemData":{"id":769,"type":"article-journal","container-title":"Cytokine &amp; Growth Factor Reviews","DOI":"10.1016/j.cytogfr.2014.01.003","ISSN":"13596101","issue":"2","journalAbbreviation":"Cytokine &amp; Growth Factor Reviews","language":"en","page":"125-137","source":"DOI.org (Crossref)","title":"The role of lymphotoxin signaling in the development of autoimmune pancreatitis and associated secondary extra-pancreatic pathologies","volume":"25","author":[{"family":"Seleznik","given":"Gitta Maria"},{"family":"Zoller","given":"Jessica"},{"family":"O’Connor","given":"Tracy"},{"family":"Graf","given":"Rolf"},{"family":"Heikenwalder","given":"Mathias"}],"issued":{"date-parts":[["2014",4]]}}}],"schema":"https://github.com/citation-style-language/schema/raw/master/csl-citation.json"} </w:instrText>
      </w:r>
      <w:r>
        <w:rPr>
          <w:rFonts w:ascii="Times New Roman" w:eastAsia="Times New Roman" w:hAnsi="Times New Roman" w:cs="Times New Roman"/>
          <w:kern w:val="0"/>
          <w:lang w:eastAsia="en-US" w:bidi="ar-SA"/>
        </w:rPr>
        <w:fldChar w:fldCharType="separate"/>
      </w:r>
      <w:r w:rsidR="00B41ACC" w:rsidRPr="00B41ACC">
        <w:rPr>
          <w:rFonts w:ascii="Times New Roman" w:hAnsi="Times New Roman" w:cs="Times New Roman"/>
          <w:vertAlign w:val="superscript"/>
        </w:rPr>
        <w:t>270–272</w:t>
      </w:r>
      <w:r>
        <w:rPr>
          <w:rFonts w:ascii="Times New Roman" w:eastAsia="Times New Roman" w:hAnsi="Times New Roman" w:cs="Times New Roman"/>
          <w:kern w:val="0"/>
          <w:lang w:eastAsia="en-US" w:bidi="ar-SA"/>
        </w:rPr>
        <w:fldChar w:fldCharType="end"/>
      </w:r>
      <w:r>
        <w:rPr>
          <w:shd w:val="clear" w:color="auto" w:fill="FFFFFF"/>
        </w:rPr>
        <w:t>. These biomarkers are included in the diagnostic panel, enabling their utilization in the differentiation of viral and bacterial infections</w:t>
      </w:r>
    </w:p>
    <w:p w:rsidR="00996057" w:rsidRDefault="00996057" w:rsidP="00F861EB">
      <w:pPr>
        <w:pStyle w:val="Textbody"/>
        <w:jc w:val="both"/>
        <w:rPr>
          <w:rFonts w:ascii="Times New Roman" w:hAnsi="Times New Roman" w:cs="Times New Roman"/>
        </w:rPr>
      </w:pPr>
      <w:r>
        <w:rPr>
          <w:shd w:val="clear" w:color="auto" w:fill="FFFFFF"/>
        </w:rPr>
        <w:t>Additionally, specific viral pathogens such as influenza and coronaviruses have been identified using ISGs like MX1 (myxovirus resistance protein 1) and OAS1 (2'-5'-oligoadenylate synthetase 1). Several recent studies have shown that combining conventional inflammatory markers with ISG biomarkers greatly enhances diagnostic precision.</w:t>
      </w:r>
      <w:r>
        <w:t xml:space="preserve"> The vibrant profiling of these biomarkers facilitates readily diagnostic information and supports prognostic evaluations, including predicting the seriousness of viral illnesses like COVID-19, suggesting a framework for differentiating infections while enhancing bacterial-focused indicators such </w:t>
      </w:r>
      <w:r w:rsidR="00892EF2">
        <w:t xml:space="preserve">as </w:t>
      </w:r>
      <w:r>
        <w:t xml:space="preserve">PCT and CRP </w:t>
      </w:r>
      <w:r>
        <w:rPr>
          <w:rFonts w:ascii="Times New Roman" w:hAnsi="Times New Roman" w:cs="Times New Roman"/>
        </w:rPr>
        <w:fldChar w:fldCharType="begin"/>
      </w:r>
      <w:r w:rsidR="00B41ACC">
        <w:rPr>
          <w:rFonts w:ascii="Times New Roman" w:hAnsi="Times New Roman" w:cs="Times New Roman"/>
        </w:rPr>
        <w:instrText xml:space="preserve"> ADDIN ZOTERO_ITEM CSL_CITATION {"citationID":"UfQmttcz","properties":{"formattedCitation":"\\super 273,274\\nosupersub{}","plainCitation":"273,274","noteIndex":0},"citationItems":[{"id":772,"uris":["http://zotero.org/users/local/BfzbJtgR/items/K4RR6C2T"],"itemData":{"id":772,"type":"article-journal","container-title":"Nature Reviews Immunology","DOI":"10.1038/s41577-020-00429-3","ISSN":"1474-1733, 1474-1741","issue":"10","journalAbbreviation":"Nat Rev Immunol","language":"en","page":"585-586","source":"DOI.org (Crossref)","title":"The type I interferon response in COVID-19: implications for treatment","title-short":"The type I interferon response in COVID-19","volume":"20","author":[{"family":"Lee","given":"Jeong Seok"},{"family":"Shin","given":"Eui-Cheol"}],"issued":{"date-parts":[["2020",10]]}}},{"id":770,"uris":["http://zotero.org/users/local/BfzbJtgR/items/IHQFBCG8"],"itemData":{"id":770,"type":"article-journal","abstract":"Abstract\n            \n              A new global pandemic of coronavirus disease 2019 (COVID-19) has resulted in high mortality and morbidity. Currently numerous drugs are under expedited investigations without well-established safety or efficacy data. Pharmacogenomics may allow individualization of these drugs thereby improving efficacy and safety. In this review, we summarized the pharmacogenomic literature available for COVID-19 drug therapies including hydroxychloroquine, chloroquine, azithromycin, remdesivir, favipiravir, ribavirin, lopinavir/ritonavir, darunavir/cobicistat, interferon beta-1b, tocilizumab, ruxolitinib, baricitinib, and corticosteroids. We searched PubMed, reviewed the Pharmacogenomics Knowledgebase (PharmGKB\n              ®\n              ) website, Clinical Pharmacogenetics Implementation Consortium (CPIC) guidelines, the U.S. Food and Drug Administration (FDA) pharmacogenomics information in the product labeling, and the FDA pharmacogenomics association table. We found several drug-gene variant pairs that may alter the pharmacokinetics of hydroxychloroquine/chloroquine (CYP2C8, CYP2D6, SLCO1A2, and SLCO1B1); azithromycin (ABCB1); ribavirin (SLC29A1, SLC28A2, and SLC28A3); and lopinavir/ritonavir (SLCO1B1, ABCC2, CYP3A). We also identified other variants, that are associated with adverse effects, most notable in hydroxychloroquine/chloroquine (G6PD; hemolysis), ribavirin (ITPA; hemolysis), and interferon β -1b (IRF6; liver toxicity). We also describe the complexity of the risk for QT prolongation in this setting because of additive effects of combining more than one QT-prolonging drug (i.e., hydroxychloroquine/chloroquine and azithromycin), increased concentrations of the drugs due to genetic variants, along with the risk of also combining therapy with potent inhibitors. In conclusion, although direct evidence in COVID-19 patients is lacking, we identified potential actionable genetic markers in COVID-19 therapies. Clinical studies in COVID-19 patients are deemed warranted to assess potential roles of these markers.","container-title":"npj Genomic Medicine","DOI":"10.1038/s41525-020-00143-y","ISSN":"2056-7944","issue":"1","journalAbbreviation":"npj Genom. Med.","language":"en","page":"35","source":"DOI.org (Crossref)","title":"Pharmacogenomics of COVID-19 therapies","volume":"5","author":[{"family":"Takahashi","given":"Takuto"},{"family":"Luzum","given":"Jasmine A."},{"family":"Nicol","given":"Melanie R."},{"family":"Jacobson","given":"Pamala A."}],"issued":{"date-parts":[["2020",8,18]]}}}],"schema":"https://github.com/citation-style-language/schema/raw/master/csl-citation.json"} </w:instrText>
      </w:r>
      <w:r>
        <w:rPr>
          <w:rFonts w:ascii="Times New Roman" w:hAnsi="Times New Roman" w:cs="Times New Roman"/>
        </w:rPr>
        <w:fldChar w:fldCharType="separate"/>
      </w:r>
      <w:r w:rsidR="00B41ACC" w:rsidRPr="00B41ACC">
        <w:rPr>
          <w:rFonts w:ascii="Times New Roman" w:hAnsi="Times New Roman" w:cs="Times New Roman"/>
          <w:vertAlign w:val="superscript"/>
        </w:rPr>
        <w:t>273,274</w:t>
      </w:r>
      <w:r>
        <w:rPr>
          <w:rFonts w:ascii="Times New Roman" w:hAnsi="Times New Roman" w:cs="Times New Roman"/>
        </w:rPr>
        <w:fldChar w:fldCharType="end"/>
      </w:r>
      <w:r>
        <w:t>.</w:t>
      </w:r>
    </w:p>
    <w:p w:rsidR="00F12385" w:rsidRDefault="00F12385" w:rsidP="00F861EB">
      <w:pPr>
        <w:pStyle w:val="Textbody"/>
        <w:jc w:val="both"/>
        <w:rPr>
          <w:rFonts w:ascii="Times New Roman" w:hAnsi="Times New Roman" w:cs="Times New Roman"/>
        </w:rPr>
      </w:pPr>
      <w:r w:rsidRPr="00F12385">
        <w:rPr>
          <w:rFonts w:ascii="Times New Roman" w:hAnsi="Times New Roman" w:cs="Times New Roman"/>
        </w:rPr>
        <w:t>For the proper administration of antibiotics and patient care, it is essential to accurately distinguish between bacterial and viral infections. Key biomarkers utilized in clinical practice and research are summarized in the table below</w:t>
      </w:r>
      <w:r>
        <w:rPr>
          <w:rFonts w:ascii="Times New Roman" w:hAnsi="Times New Roman" w:cs="Times New Roman"/>
        </w:rPr>
        <w:t xml:space="preserve"> (Table 6)</w:t>
      </w:r>
      <w:r w:rsidRPr="00F12385">
        <w:rPr>
          <w:rFonts w:ascii="Times New Roman" w:hAnsi="Times New Roman" w:cs="Times New Roman"/>
        </w:rPr>
        <w:t>:</w:t>
      </w:r>
    </w:p>
    <w:p w:rsidR="00F12385" w:rsidRPr="00C34909" w:rsidRDefault="00F12385" w:rsidP="00C34909">
      <w:pPr>
        <w:rPr>
          <w:rFonts w:ascii="Times New Roman" w:eastAsia="Noto Serif CJK SC" w:hAnsi="Times New Roman" w:cs="Times New Roman"/>
          <w:sz w:val="24"/>
          <w:lang w:eastAsia="zh-CN" w:bidi="hi-IN"/>
        </w:rPr>
      </w:pPr>
      <w:r w:rsidRPr="00C34909">
        <w:rPr>
          <w:rFonts w:ascii="Times New Roman" w:eastAsia="Noto Serif CJK SC" w:hAnsi="Times New Roman" w:cs="Times New Roman"/>
          <w:sz w:val="24"/>
          <w:lang w:eastAsia="zh-CN" w:bidi="hi-IN"/>
        </w:rPr>
        <w:t>Table 6: The important biomarkers Differentiating Bacterial vs. Viral Infections</w:t>
      </w:r>
      <w:r w:rsidR="002950F8" w:rsidRPr="00C34909">
        <w:rPr>
          <w:rFonts w:ascii="Times New Roman" w:eastAsia="Noto Serif CJK SC" w:hAnsi="Times New Roman" w:cs="Times New Roman"/>
          <w:sz w:val="24"/>
          <w:lang w:eastAsia="zh-CN" w:bidi="hi-IN"/>
        </w:rPr>
        <w:t xml:space="preserve"> </w:t>
      </w:r>
      <w:r w:rsidR="002950F8" w:rsidRPr="00C34909">
        <w:rPr>
          <w:rFonts w:ascii="Times New Roman" w:eastAsia="Noto Serif CJK SC" w:hAnsi="Times New Roman" w:cs="Times New Roman"/>
          <w:sz w:val="24"/>
          <w:lang w:eastAsia="zh-CN" w:bidi="hi-IN"/>
        </w:rPr>
        <w:fldChar w:fldCharType="begin"/>
      </w:r>
      <w:r w:rsidR="00B41ACC">
        <w:rPr>
          <w:rFonts w:ascii="Times New Roman" w:eastAsia="Noto Serif CJK SC" w:hAnsi="Times New Roman" w:cs="Times New Roman"/>
          <w:sz w:val="24"/>
          <w:lang w:eastAsia="zh-CN" w:bidi="hi-IN"/>
        </w:rPr>
        <w:instrText xml:space="preserve"> ADDIN ZOTERO_ITEM CSL_CITATION {"citationID":"jyteTIJm","properties":{"formattedCitation":"\\super 275\\uc0\\u8211{}277\\nosupersub{}","plainCitation":"275–277","noteIndex":0},"citationItems":[{"id":1123,"uris":["http://zotero.org/users/local/BfzbJtgR/items/2FADGKMT"],"itemData":{"id":1123,"type":"article-journal","abstract":"This review aims to provide physicians with an overview of the potential of procalcitonin to guide antibiotic therapy in respiratory tract infections and in sepsis. Knowledge of the strengths and weaknesses of procalcitonin are prerequisites for a rational and safe use in clinical routine. In most infections a true gold standard for diagnosis does not exist, therefore physicians must remain sceptical towards observational studies evaluating procalcitonin. Interpretation of procalcitonin levels must always include the clinical setting and knowledge of assay characteristics, particularly the setting of specific cut-off ranges and functional assay sensitivities. Highly sensitive procalcitonin measurements, embedded in a clearly defined setting and prospectively validated with clinical algorithms were repeatedly effective in markedly reducing the (over)-utilisation of antimicrobial therapy. Today, this concept has been proven for lower respiratory tract infections and in pilot studies for meningitis and critically ill patients with sepsis. The higher the absolute risk for adverse outcome of a patient, the more cautious physicians must remain and empirical antibiotic therapies must be considered despite initial low procalcitonin levels at the initial presentation. In these patients a procalcitonin-guided shortening of antibiotic courses seems appropriate. The prognostic utility of initial procalcitonin measurement in respiratory tract infections is suboptimal. Other biomarkers including cortisol, human growth hormone and prohormones from adrenomedullin and vasopressin (\"copeptin\") have a superior predictive potential to estimate the risk for short and long term mortality and other adverse outcomes in different diseases. An accurate prognostic assessment has the potential to optimise the management of patients and the allocation of our limited health care resources by lowering unnecessary hospitalisations and associated cost. Future intervention studies must prove if these biomarkers indeed improve clinical decision making and thus the overall medical management of patients.","container-title":"Swiss Medical Weekly","DOI":"10.4414/smw.2009.12584","ISSN":"1424-7860","issue":"23-24","journalAbbreviation":"Swiss Med Wkly","language":"eng","note":"PMID: 19529989","page":"318-326","source":"PubMed","title":"Procalcitonin and other biomarkers to improve assessment and antibiotic stewardship in infections--hope for hype?","volume":"139","author":[{"family":"Schuetz","given":"Philipp"},{"family":"Christ-Crain","given":"Mirjam"},{"family":"Müller","given":"Beat"}],"issued":{"date-parts":[["2009",6,13]]}}},{"id":1126,"uris":["http://zotero.org/users/local/BfzbJtgR/items/7SJV58RL"],"itemData":{"id":1126,"type":"article-journal","container-title":"The Lancet Infectious Diseases","DOI":"10.1016/S1473-3099(16)30519-9","ISSN":"14733099","issue":"4","journalAbbreviation":"The Lancet Infectious Diseases","language":"en","page":"431-440","source":"DOI.org (Crossref)","title":"A host-protein based assay to differentiate between bacterial and viral infections in preschool children (OPPORTUNITY): a double-blind, multicentre, validation study","title-short":"A host-protein based assay to differentiate between bacterial and viral infections in preschool children (OPPORTUNITY)","volume":"17","author":[{"family":"Van Houten","given":"Chantal B"},{"family":"De Groot","given":"Joris A H"},{"family":"Klein","given":"Adi"},{"family":"Srugo","given":"Isaac"},{"family":"Chistyakov","given":"Irena"},{"family":"De Waal","given":"Wouter"},{"family":"Meijssen","given":"Clemens B"},{"family":"Avis","given":"Wim"},{"family":"Wolfs","given":"Tom F W"},{"family":"Shachor-Meyouhas","given":"Yael"},{"family":"Stein","given":"Michal"},{"family":"Sanders","given":"Elisabeth A M"},{"family":"Bont","given":"Louis J"}],"issued":{"date-parts":[["2017",4]]}}},{"id":1127,"uris":["http://zotero.org/users/local/BfzbJtgR/items/3MMFPMH9"],"itemData":{"id":1127,"type":"article-journal","abstract":"Differentiating viral from bacterial infections in febrile children is challenging and often leads to an unnecessary use of antibiotics. There is a great need for more accurate diagnostic tools. New molecular methods have improved the particular diagnostics of viral respiratory tract infections, but defining etiology can still be challenging, as certain viruses are frequently detected in asymptomatic children. For the detection of bacterial infections, time consuming cultures with limited sensitivity are still the gold standard. As a response to infection, the immune system elicits a cascade of events, which aims to eliminate the invading pathogen. Recent studies have focused on these host-pathogen interactions to identify pathogen-specific biomarkers (gene expression profiles), or \"pathogen signatures\", as potential future diagnostic tools. Other studies have assessed combinations of traditional bacterial and viral biomarkers (C-reactive protein, interleukins, myxovirus resistance protein A, procalcitonin, tumor necrosis factor-related apoptosis-inducing ligand) to establish etiology. In this review we discuss the performance of such novel diagnostics and their potential role in clinical praxis. In conclusion, there are several promising novel biomarkers in the pipeline, but well-designed randomized controlled trials are needed to evaluate the safety of using these novel biomarkers to guide clinical decisions.","container-title":"Children (Basel, Switzerland)","DOI":"10.3390/children8111070","ISSN":"2227-9067","issue":"11","journalAbbreviation":"Children (Basel)","language":"eng","note":"PMID: 34828783\nPMCID: PMC8623137","page":"1070","source":"PubMed","title":"Novel Biomarkers Differentiating Viral from Bacterial Infection in Febrile Children: Future Perspectives for Management in Clinical Praxis","title-short":"Novel Biomarkers Differentiating Viral from Bacterial Infection in Febrile Children","volume":"8","author":[{"family":"Rhedin","given":"Samuel"},{"family":"Elfving","given":"Kristina"},{"family":"Berggren","given":"Anna"}],"issued":{"date-parts":[["2021",11,20]]}}}],"schema":"https://github.com/citation-style-language/schema/raw/master/csl-citation.json"} </w:instrText>
      </w:r>
      <w:r w:rsidR="002950F8" w:rsidRPr="00C34909">
        <w:rPr>
          <w:rFonts w:ascii="Times New Roman" w:eastAsia="Noto Serif CJK SC" w:hAnsi="Times New Roman" w:cs="Times New Roman"/>
          <w:sz w:val="24"/>
          <w:lang w:eastAsia="zh-CN" w:bidi="hi-IN"/>
        </w:rPr>
        <w:fldChar w:fldCharType="separate"/>
      </w:r>
      <w:r w:rsidR="00B41ACC" w:rsidRPr="00B41ACC">
        <w:rPr>
          <w:rFonts w:ascii="Times New Roman" w:hAnsi="Times New Roman" w:cs="Times New Roman"/>
          <w:sz w:val="24"/>
          <w:szCs w:val="24"/>
          <w:vertAlign w:val="superscript"/>
        </w:rPr>
        <w:t>275–277</w:t>
      </w:r>
      <w:r w:rsidR="002950F8" w:rsidRPr="00C34909">
        <w:rPr>
          <w:rFonts w:ascii="Times New Roman" w:eastAsia="Noto Serif CJK SC" w:hAnsi="Times New Roman" w:cs="Times New Roman"/>
          <w:sz w:val="24"/>
          <w:lang w:eastAsia="zh-CN" w:bidi="hi-IN"/>
        </w:rPr>
        <w:fldChar w:fldCharType="end"/>
      </w:r>
    </w:p>
    <w:tbl>
      <w:tblPr>
        <w:tblStyle w:val="TableGrid"/>
        <w:tblW w:w="11520" w:type="dxa"/>
        <w:tblInd w:w="-995" w:type="dxa"/>
        <w:tblLook w:val="04A0" w:firstRow="1" w:lastRow="0" w:firstColumn="1" w:lastColumn="0" w:noHBand="0" w:noVBand="1"/>
      </w:tblPr>
      <w:tblGrid>
        <w:gridCol w:w="2700"/>
        <w:gridCol w:w="2160"/>
        <w:gridCol w:w="1530"/>
        <w:gridCol w:w="2085"/>
        <w:gridCol w:w="3045"/>
      </w:tblGrid>
      <w:tr w:rsidR="00FA58B2" w:rsidRPr="002950F8" w:rsidTr="00F57508">
        <w:tc>
          <w:tcPr>
            <w:tcW w:w="2700" w:type="dxa"/>
          </w:tcPr>
          <w:p w:rsidR="00FA58B2" w:rsidRPr="002950F8" w:rsidRDefault="00FA58B2" w:rsidP="00403A4C">
            <w:pPr>
              <w:pStyle w:val="Textbody"/>
              <w:spacing w:after="0" w:line="240" w:lineRule="auto"/>
              <w:rPr>
                <w:rFonts w:ascii="Times New Roman" w:hAnsi="Times New Roman" w:cs="Times New Roman"/>
                <w:b/>
                <w:sz w:val="22"/>
                <w:szCs w:val="22"/>
              </w:rPr>
            </w:pPr>
            <w:r w:rsidRPr="002950F8">
              <w:rPr>
                <w:rFonts w:ascii="Times New Roman" w:hAnsi="Times New Roman" w:cs="Times New Roman"/>
                <w:b/>
                <w:sz w:val="22"/>
                <w:szCs w:val="22"/>
              </w:rPr>
              <w:t>Biomarker</w:t>
            </w:r>
          </w:p>
        </w:tc>
        <w:tc>
          <w:tcPr>
            <w:tcW w:w="2160" w:type="dxa"/>
          </w:tcPr>
          <w:p w:rsidR="00FA58B2" w:rsidRPr="002950F8" w:rsidRDefault="00FA58B2" w:rsidP="00403A4C">
            <w:pPr>
              <w:pStyle w:val="Textbody"/>
              <w:spacing w:after="0" w:line="240" w:lineRule="auto"/>
              <w:rPr>
                <w:rFonts w:ascii="Times New Roman" w:hAnsi="Times New Roman" w:cs="Times New Roman"/>
                <w:b/>
                <w:sz w:val="22"/>
                <w:szCs w:val="22"/>
              </w:rPr>
            </w:pPr>
            <w:r w:rsidRPr="002950F8">
              <w:rPr>
                <w:rFonts w:ascii="Times New Roman" w:hAnsi="Times New Roman" w:cs="Times New Roman"/>
                <w:b/>
                <w:sz w:val="22"/>
                <w:szCs w:val="22"/>
              </w:rPr>
              <w:t>Functions</w:t>
            </w:r>
          </w:p>
        </w:tc>
        <w:tc>
          <w:tcPr>
            <w:tcW w:w="1530" w:type="dxa"/>
          </w:tcPr>
          <w:p w:rsidR="00FA58B2" w:rsidRPr="002950F8" w:rsidRDefault="00FA58B2" w:rsidP="00403A4C">
            <w:pPr>
              <w:pStyle w:val="Textbody"/>
              <w:spacing w:after="0" w:line="240" w:lineRule="auto"/>
              <w:rPr>
                <w:rFonts w:ascii="Times New Roman" w:hAnsi="Times New Roman" w:cs="Times New Roman"/>
                <w:b/>
                <w:sz w:val="22"/>
                <w:szCs w:val="22"/>
              </w:rPr>
            </w:pPr>
            <w:r w:rsidRPr="002950F8">
              <w:rPr>
                <w:rFonts w:ascii="Times New Roman" w:hAnsi="Times New Roman" w:cs="Times New Roman"/>
                <w:b/>
                <w:sz w:val="22"/>
                <w:szCs w:val="22"/>
              </w:rPr>
              <w:t>Bacterial Infection</w:t>
            </w:r>
          </w:p>
        </w:tc>
        <w:tc>
          <w:tcPr>
            <w:tcW w:w="2085" w:type="dxa"/>
          </w:tcPr>
          <w:p w:rsidR="00FA58B2" w:rsidRPr="002950F8" w:rsidRDefault="00FA58B2" w:rsidP="00403A4C">
            <w:pPr>
              <w:pStyle w:val="Textbody"/>
              <w:spacing w:after="0" w:line="240" w:lineRule="auto"/>
              <w:rPr>
                <w:rFonts w:ascii="Times New Roman" w:hAnsi="Times New Roman" w:cs="Times New Roman"/>
                <w:b/>
                <w:sz w:val="22"/>
                <w:szCs w:val="22"/>
              </w:rPr>
            </w:pPr>
            <w:r w:rsidRPr="002950F8">
              <w:rPr>
                <w:rFonts w:ascii="Times New Roman" w:hAnsi="Times New Roman" w:cs="Times New Roman"/>
                <w:b/>
                <w:sz w:val="22"/>
                <w:szCs w:val="22"/>
              </w:rPr>
              <w:t>Viral infection</w:t>
            </w:r>
          </w:p>
        </w:tc>
        <w:tc>
          <w:tcPr>
            <w:tcW w:w="3045" w:type="dxa"/>
          </w:tcPr>
          <w:p w:rsidR="00FA58B2" w:rsidRPr="002950F8" w:rsidRDefault="00FA58B2" w:rsidP="00403A4C">
            <w:pPr>
              <w:pStyle w:val="Textbody"/>
              <w:spacing w:after="0" w:line="240" w:lineRule="auto"/>
              <w:rPr>
                <w:rFonts w:ascii="Times New Roman" w:hAnsi="Times New Roman" w:cs="Times New Roman"/>
                <w:b/>
                <w:sz w:val="22"/>
                <w:szCs w:val="22"/>
              </w:rPr>
            </w:pPr>
            <w:r w:rsidRPr="002950F8">
              <w:rPr>
                <w:rFonts w:ascii="Times New Roman" w:hAnsi="Times New Roman" w:cs="Times New Roman"/>
                <w:b/>
                <w:sz w:val="22"/>
                <w:szCs w:val="22"/>
              </w:rPr>
              <w:t>Clinical importance</w:t>
            </w:r>
          </w:p>
        </w:tc>
      </w:tr>
      <w:tr w:rsidR="00FA58B2" w:rsidRPr="002950F8" w:rsidTr="00F57508">
        <w:trPr>
          <w:trHeight w:val="944"/>
        </w:trPr>
        <w:tc>
          <w:tcPr>
            <w:tcW w:w="2700" w:type="dxa"/>
          </w:tcPr>
          <w:p w:rsidR="00FA58B2" w:rsidRPr="002950F8" w:rsidRDefault="00FA58B2"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Procalcitonin (PCT)</w:t>
            </w:r>
          </w:p>
        </w:tc>
        <w:tc>
          <w:tcPr>
            <w:tcW w:w="2160" w:type="dxa"/>
          </w:tcPr>
          <w:p w:rsidR="00FA58B2" w:rsidRPr="002950F8" w:rsidRDefault="00FA58B2"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Immune cells' release in reaction to bacterial toxins</w:t>
            </w:r>
          </w:p>
        </w:tc>
        <w:tc>
          <w:tcPr>
            <w:tcW w:w="1530" w:type="dxa"/>
          </w:tcPr>
          <w:p w:rsidR="00FA58B2" w:rsidRPr="002950F8" w:rsidRDefault="00FA58B2" w:rsidP="00403A4C">
            <w:pPr>
              <w:pStyle w:val="Textbody"/>
              <w:spacing w:after="0" w:line="240" w:lineRule="auto"/>
              <w:rPr>
                <w:rFonts w:ascii="Times New Roman" w:hAnsi="Times New Roman" w:cs="Times New Roman"/>
                <w:sz w:val="22"/>
                <w:szCs w:val="22"/>
              </w:rPr>
            </w:pPr>
          </w:p>
          <w:p w:rsidR="00FA58B2" w:rsidRPr="002950F8" w:rsidRDefault="00FA58B2"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High</w:t>
            </w:r>
          </w:p>
        </w:tc>
        <w:tc>
          <w:tcPr>
            <w:tcW w:w="2085" w:type="dxa"/>
          </w:tcPr>
          <w:p w:rsidR="00FA58B2" w:rsidRPr="002950F8" w:rsidRDefault="00FA58B2" w:rsidP="00403A4C">
            <w:pPr>
              <w:pStyle w:val="Textbody"/>
              <w:spacing w:after="0" w:line="240" w:lineRule="auto"/>
              <w:rPr>
                <w:rFonts w:ascii="Times New Roman" w:hAnsi="Times New Roman" w:cs="Times New Roman"/>
                <w:sz w:val="22"/>
                <w:szCs w:val="22"/>
              </w:rPr>
            </w:pPr>
          </w:p>
          <w:p w:rsidR="00FA58B2" w:rsidRPr="002950F8" w:rsidRDefault="00FA58B2"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Normal or mild</w:t>
            </w:r>
          </w:p>
        </w:tc>
        <w:tc>
          <w:tcPr>
            <w:tcW w:w="3045" w:type="dxa"/>
          </w:tcPr>
          <w:p w:rsidR="00FA58B2" w:rsidRPr="002950F8" w:rsidRDefault="00FA58B2"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Highly specific for bacterial infection, facilitates  antibiotic treatment</w:t>
            </w:r>
          </w:p>
        </w:tc>
      </w:tr>
      <w:tr w:rsidR="00FA58B2" w:rsidRPr="002950F8" w:rsidTr="00F57508">
        <w:tc>
          <w:tcPr>
            <w:tcW w:w="2700" w:type="dxa"/>
          </w:tcPr>
          <w:p w:rsidR="00FA58B2" w:rsidRPr="002950F8" w:rsidRDefault="00892EF2" w:rsidP="00892EF2">
            <w:pPr>
              <w:pStyle w:val="Textbody"/>
              <w:spacing w:after="0" w:line="240" w:lineRule="auto"/>
              <w:rPr>
                <w:rFonts w:ascii="Times New Roman" w:hAnsi="Times New Roman" w:cs="Times New Roman"/>
                <w:sz w:val="22"/>
                <w:szCs w:val="22"/>
              </w:rPr>
            </w:pPr>
            <w:r>
              <w:rPr>
                <w:rFonts w:ascii="Times New Roman" w:hAnsi="Times New Roman" w:cs="Times New Roman"/>
                <w:sz w:val="22"/>
                <w:szCs w:val="22"/>
              </w:rPr>
              <w:t>C-reactive</w:t>
            </w:r>
            <w:r w:rsidR="00FA58B2" w:rsidRPr="002950F8">
              <w:rPr>
                <w:rFonts w:ascii="Times New Roman" w:hAnsi="Times New Roman" w:cs="Times New Roman"/>
                <w:sz w:val="22"/>
                <w:szCs w:val="22"/>
              </w:rPr>
              <w:t xml:space="preserve"> proteins</w:t>
            </w:r>
          </w:p>
        </w:tc>
        <w:tc>
          <w:tcPr>
            <w:tcW w:w="2160" w:type="dxa"/>
          </w:tcPr>
          <w:p w:rsidR="00FA58B2" w:rsidRPr="002950F8" w:rsidRDefault="00FA58B2"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Increases in inflammation, acute phase protein</w:t>
            </w:r>
          </w:p>
        </w:tc>
        <w:tc>
          <w:tcPr>
            <w:tcW w:w="1530" w:type="dxa"/>
          </w:tcPr>
          <w:p w:rsidR="00FA58B2" w:rsidRPr="002950F8" w:rsidRDefault="00FA58B2" w:rsidP="00403A4C">
            <w:pPr>
              <w:pStyle w:val="Textbody"/>
              <w:spacing w:after="0" w:line="240" w:lineRule="auto"/>
              <w:rPr>
                <w:rFonts w:ascii="Times New Roman" w:hAnsi="Times New Roman" w:cs="Times New Roman"/>
                <w:sz w:val="22"/>
                <w:szCs w:val="22"/>
              </w:rPr>
            </w:pPr>
          </w:p>
          <w:p w:rsidR="00FA58B2" w:rsidRPr="002950F8" w:rsidRDefault="00FA58B2"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Moderate to high</w:t>
            </w:r>
          </w:p>
        </w:tc>
        <w:tc>
          <w:tcPr>
            <w:tcW w:w="2085" w:type="dxa"/>
          </w:tcPr>
          <w:p w:rsidR="00FA58B2" w:rsidRPr="002950F8" w:rsidRDefault="00FA58B2" w:rsidP="00403A4C">
            <w:pPr>
              <w:pStyle w:val="Textbody"/>
              <w:spacing w:after="0" w:line="240" w:lineRule="auto"/>
              <w:rPr>
                <w:rFonts w:ascii="Times New Roman" w:hAnsi="Times New Roman" w:cs="Times New Roman"/>
                <w:sz w:val="22"/>
                <w:szCs w:val="22"/>
              </w:rPr>
            </w:pPr>
          </w:p>
          <w:p w:rsidR="00FA58B2" w:rsidRPr="002950F8" w:rsidRDefault="00FA58B2"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Mild to Moderate</w:t>
            </w:r>
          </w:p>
        </w:tc>
        <w:tc>
          <w:tcPr>
            <w:tcW w:w="3045" w:type="dxa"/>
          </w:tcPr>
          <w:p w:rsidR="00FA58B2" w:rsidRPr="002950F8" w:rsidRDefault="00FA58B2"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Raised in both infections; highly induced in bacterial infections</w:t>
            </w:r>
          </w:p>
        </w:tc>
      </w:tr>
      <w:tr w:rsidR="00FA58B2" w:rsidRPr="002950F8" w:rsidTr="00F57508">
        <w:trPr>
          <w:trHeight w:val="782"/>
        </w:trPr>
        <w:tc>
          <w:tcPr>
            <w:tcW w:w="2700" w:type="dxa"/>
          </w:tcPr>
          <w:p w:rsidR="00FA58B2" w:rsidRPr="002950F8" w:rsidRDefault="00FA58B2"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Serum Amyloid A ( SAA)</w:t>
            </w:r>
          </w:p>
        </w:tc>
        <w:tc>
          <w:tcPr>
            <w:tcW w:w="2160" w:type="dxa"/>
          </w:tcPr>
          <w:p w:rsidR="00FA58B2" w:rsidRPr="002950F8" w:rsidRDefault="00FA58B2"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Acute phase protein; inflammation</w:t>
            </w:r>
          </w:p>
        </w:tc>
        <w:tc>
          <w:tcPr>
            <w:tcW w:w="1530" w:type="dxa"/>
          </w:tcPr>
          <w:p w:rsidR="00FA58B2" w:rsidRPr="002950F8" w:rsidRDefault="00FA58B2"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High</w:t>
            </w:r>
          </w:p>
        </w:tc>
        <w:tc>
          <w:tcPr>
            <w:tcW w:w="2085" w:type="dxa"/>
          </w:tcPr>
          <w:p w:rsidR="00FA58B2" w:rsidRPr="002950F8" w:rsidRDefault="00FA58B2"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Mild</w:t>
            </w:r>
          </w:p>
        </w:tc>
        <w:tc>
          <w:tcPr>
            <w:tcW w:w="3045" w:type="dxa"/>
          </w:tcPr>
          <w:p w:rsidR="00FA58B2" w:rsidRPr="002950F8" w:rsidRDefault="00FA58B2"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 xml:space="preserve">Higher in bacterial infections; not </w:t>
            </w:r>
            <w:r w:rsidR="008C071F" w:rsidRPr="002950F8">
              <w:rPr>
                <w:rFonts w:ascii="Times New Roman" w:hAnsi="Times New Roman" w:cs="Times New Roman"/>
                <w:sz w:val="22"/>
                <w:szCs w:val="22"/>
              </w:rPr>
              <w:t xml:space="preserve">entirely </w:t>
            </w:r>
            <w:r w:rsidRPr="002950F8">
              <w:rPr>
                <w:rFonts w:ascii="Times New Roman" w:hAnsi="Times New Roman" w:cs="Times New Roman"/>
                <w:sz w:val="22"/>
                <w:szCs w:val="22"/>
              </w:rPr>
              <w:t>specific</w:t>
            </w:r>
          </w:p>
        </w:tc>
      </w:tr>
      <w:tr w:rsidR="00FA58B2" w:rsidRPr="002950F8" w:rsidTr="00F57508">
        <w:tc>
          <w:tcPr>
            <w:tcW w:w="2700" w:type="dxa"/>
          </w:tcPr>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eastAsia="Times New Roman" w:hAnsi="Times New Roman" w:cs="Times New Roman"/>
                <w:bCs/>
                <w:sz w:val="22"/>
                <w:szCs w:val="22"/>
              </w:rPr>
              <w:t>Interferon-Gamma-Induced Protein 10 (IP-10/CXCL10)</w:t>
            </w:r>
          </w:p>
        </w:tc>
        <w:tc>
          <w:tcPr>
            <w:tcW w:w="2160" w:type="dxa"/>
          </w:tcPr>
          <w:p w:rsidR="008C071F" w:rsidRPr="002950F8" w:rsidRDefault="008C071F" w:rsidP="00403A4C">
            <w:pPr>
              <w:pStyle w:val="Textbody"/>
              <w:spacing w:after="0" w:line="240" w:lineRule="auto"/>
              <w:rPr>
                <w:rFonts w:ascii="Times New Roman" w:hAnsi="Times New Roman" w:cs="Times New Roman"/>
                <w:sz w:val="22"/>
                <w:szCs w:val="22"/>
              </w:rPr>
            </w:pPr>
          </w:p>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Chemokines, associated with infection</w:t>
            </w:r>
          </w:p>
        </w:tc>
        <w:tc>
          <w:tcPr>
            <w:tcW w:w="1530" w:type="dxa"/>
          </w:tcPr>
          <w:p w:rsidR="008C071F" w:rsidRPr="002950F8" w:rsidRDefault="008C071F" w:rsidP="00403A4C">
            <w:pPr>
              <w:pStyle w:val="Textbody"/>
              <w:spacing w:after="0" w:line="240" w:lineRule="auto"/>
              <w:rPr>
                <w:rFonts w:ascii="Times New Roman" w:hAnsi="Times New Roman" w:cs="Times New Roman"/>
                <w:sz w:val="22"/>
                <w:szCs w:val="22"/>
              </w:rPr>
            </w:pPr>
          </w:p>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Normal or mild</w:t>
            </w:r>
          </w:p>
        </w:tc>
        <w:tc>
          <w:tcPr>
            <w:tcW w:w="2085" w:type="dxa"/>
          </w:tcPr>
          <w:p w:rsidR="008C071F" w:rsidRPr="002950F8" w:rsidRDefault="008C071F" w:rsidP="00403A4C">
            <w:pPr>
              <w:pStyle w:val="Textbody"/>
              <w:spacing w:after="0" w:line="240" w:lineRule="auto"/>
              <w:rPr>
                <w:rFonts w:ascii="Times New Roman" w:hAnsi="Times New Roman" w:cs="Times New Roman"/>
                <w:sz w:val="22"/>
                <w:szCs w:val="22"/>
              </w:rPr>
            </w:pPr>
          </w:p>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High</w:t>
            </w:r>
          </w:p>
        </w:tc>
        <w:tc>
          <w:tcPr>
            <w:tcW w:w="3045" w:type="dxa"/>
          </w:tcPr>
          <w:p w:rsidR="008C071F" w:rsidRPr="002950F8" w:rsidRDefault="008C071F" w:rsidP="00403A4C">
            <w:pPr>
              <w:pStyle w:val="Textbody"/>
              <w:spacing w:after="0" w:line="240" w:lineRule="auto"/>
              <w:rPr>
                <w:rFonts w:ascii="Times New Roman" w:hAnsi="Times New Roman" w:cs="Times New Roman"/>
                <w:sz w:val="22"/>
                <w:szCs w:val="22"/>
              </w:rPr>
            </w:pPr>
          </w:p>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Robust biomarkers for viral infections.</w:t>
            </w:r>
          </w:p>
        </w:tc>
      </w:tr>
      <w:tr w:rsidR="00FA58B2" w:rsidRPr="002950F8" w:rsidTr="00F57508">
        <w:trPr>
          <w:trHeight w:val="737"/>
        </w:trPr>
        <w:tc>
          <w:tcPr>
            <w:tcW w:w="2700" w:type="dxa"/>
          </w:tcPr>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eastAsia="Times New Roman" w:hAnsi="Times New Roman" w:cs="Times New Roman"/>
                <w:bCs/>
                <w:sz w:val="22"/>
                <w:szCs w:val="22"/>
              </w:rPr>
              <w:t>Interleukin-6 (IL-6)</w:t>
            </w:r>
          </w:p>
        </w:tc>
        <w:tc>
          <w:tcPr>
            <w:tcW w:w="2160" w:type="dxa"/>
          </w:tcPr>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Pro-inflammatory Cytokine</w:t>
            </w:r>
          </w:p>
        </w:tc>
        <w:tc>
          <w:tcPr>
            <w:tcW w:w="1530" w:type="dxa"/>
          </w:tcPr>
          <w:p w:rsidR="008C071F" w:rsidRPr="002950F8" w:rsidRDefault="008C071F" w:rsidP="00403A4C">
            <w:pPr>
              <w:pStyle w:val="Textbody"/>
              <w:spacing w:after="0" w:line="240" w:lineRule="auto"/>
              <w:rPr>
                <w:rFonts w:ascii="Times New Roman" w:hAnsi="Times New Roman" w:cs="Times New Roman"/>
                <w:sz w:val="22"/>
                <w:szCs w:val="22"/>
              </w:rPr>
            </w:pPr>
          </w:p>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High</w:t>
            </w:r>
          </w:p>
        </w:tc>
        <w:tc>
          <w:tcPr>
            <w:tcW w:w="2085" w:type="dxa"/>
          </w:tcPr>
          <w:p w:rsidR="008C071F" w:rsidRPr="002950F8" w:rsidRDefault="008C071F" w:rsidP="00403A4C">
            <w:pPr>
              <w:pStyle w:val="Textbody"/>
              <w:spacing w:after="0" w:line="240" w:lineRule="auto"/>
              <w:rPr>
                <w:rFonts w:ascii="Times New Roman" w:hAnsi="Times New Roman" w:cs="Times New Roman"/>
                <w:sz w:val="22"/>
                <w:szCs w:val="22"/>
              </w:rPr>
            </w:pPr>
          </w:p>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Mild to Moderate</w:t>
            </w:r>
          </w:p>
        </w:tc>
        <w:tc>
          <w:tcPr>
            <w:tcW w:w="3045" w:type="dxa"/>
          </w:tcPr>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Early infection recognition, raised in both infections</w:t>
            </w:r>
          </w:p>
        </w:tc>
      </w:tr>
      <w:tr w:rsidR="00FA58B2" w:rsidRPr="002950F8" w:rsidTr="00F57508">
        <w:tc>
          <w:tcPr>
            <w:tcW w:w="2700" w:type="dxa"/>
          </w:tcPr>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eastAsia="Times New Roman" w:hAnsi="Times New Roman" w:cs="Times New Roman"/>
                <w:bCs/>
                <w:sz w:val="22"/>
                <w:szCs w:val="22"/>
              </w:rPr>
              <w:t>Tumor Necrosis Factor-α (TNF-α)</w:t>
            </w:r>
          </w:p>
        </w:tc>
        <w:tc>
          <w:tcPr>
            <w:tcW w:w="2160" w:type="dxa"/>
          </w:tcPr>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Pro-inflammatory Cytokine</w:t>
            </w:r>
          </w:p>
        </w:tc>
        <w:tc>
          <w:tcPr>
            <w:tcW w:w="1530" w:type="dxa"/>
          </w:tcPr>
          <w:p w:rsidR="008C071F" w:rsidRPr="002950F8" w:rsidRDefault="008C071F" w:rsidP="00403A4C">
            <w:pPr>
              <w:pStyle w:val="Textbody"/>
              <w:spacing w:after="0" w:line="240" w:lineRule="auto"/>
              <w:rPr>
                <w:rFonts w:ascii="Times New Roman" w:hAnsi="Times New Roman" w:cs="Times New Roman"/>
                <w:sz w:val="22"/>
                <w:szCs w:val="22"/>
              </w:rPr>
            </w:pPr>
          </w:p>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High</w:t>
            </w:r>
          </w:p>
          <w:p w:rsidR="008C071F" w:rsidRPr="002950F8" w:rsidRDefault="008C071F" w:rsidP="00403A4C">
            <w:pPr>
              <w:pStyle w:val="Textbody"/>
              <w:spacing w:after="0" w:line="240" w:lineRule="auto"/>
              <w:rPr>
                <w:rFonts w:ascii="Times New Roman" w:hAnsi="Times New Roman" w:cs="Times New Roman"/>
                <w:sz w:val="22"/>
                <w:szCs w:val="22"/>
              </w:rPr>
            </w:pPr>
          </w:p>
        </w:tc>
        <w:tc>
          <w:tcPr>
            <w:tcW w:w="2085" w:type="dxa"/>
          </w:tcPr>
          <w:p w:rsidR="008C071F" w:rsidRPr="002950F8" w:rsidRDefault="008C071F" w:rsidP="00403A4C">
            <w:pPr>
              <w:pStyle w:val="Textbody"/>
              <w:spacing w:after="0" w:line="240" w:lineRule="auto"/>
              <w:rPr>
                <w:rFonts w:ascii="Times New Roman" w:hAnsi="Times New Roman" w:cs="Times New Roman"/>
                <w:sz w:val="22"/>
                <w:szCs w:val="22"/>
              </w:rPr>
            </w:pPr>
          </w:p>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Mild</w:t>
            </w:r>
          </w:p>
        </w:tc>
        <w:tc>
          <w:tcPr>
            <w:tcW w:w="3045" w:type="dxa"/>
          </w:tcPr>
          <w:p w:rsidR="008C071F" w:rsidRPr="002950F8" w:rsidRDefault="008C071F" w:rsidP="00403A4C">
            <w:pPr>
              <w:pStyle w:val="Textbody"/>
              <w:spacing w:after="0" w:line="240" w:lineRule="auto"/>
              <w:rPr>
                <w:rFonts w:ascii="Times New Roman" w:hAnsi="Times New Roman" w:cs="Times New Roman"/>
                <w:sz w:val="22"/>
                <w:szCs w:val="22"/>
              </w:rPr>
            </w:pPr>
          </w:p>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Elevated in bacterial infections, not specific</w:t>
            </w:r>
          </w:p>
        </w:tc>
      </w:tr>
      <w:tr w:rsidR="00FA58B2" w:rsidRPr="002950F8" w:rsidTr="00F57508">
        <w:tc>
          <w:tcPr>
            <w:tcW w:w="2700" w:type="dxa"/>
          </w:tcPr>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eastAsia="Times New Roman" w:hAnsi="Times New Roman" w:cs="Times New Roman"/>
                <w:bCs/>
                <w:sz w:val="22"/>
                <w:szCs w:val="22"/>
              </w:rPr>
              <w:t>Soluble CD14 (Presepsin)</w:t>
            </w:r>
          </w:p>
        </w:tc>
        <w:tc>
          <w:tcPr>
            <w:tcW w:w="2160" w:type="dxa"/>
          </w:tcPr>
          <w:p w:rsidR="00FA58B2" w:rsidRPr="002950F8" w:rsidRDefault="008C071F" w:rsidP="00996057">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 xml:space="preserve">Biomarker for Monocyte </w:t>
            </w:r>
            <w:r w:rsidR="00996057">
              <w:rPr>
                <w:rFonts w:ascii="Times New Roman" w:hAnsi="Times New Roman" w:cs="Times New Roman"/>
                <w:sz w:val="22"/>
                <w:szCs w:val="22"/>
              </w:rPr>
              <w:t>activation</w:t>
            </w:r>
          </w:p>
        </w:tc>
        <w:tc>
          <w:tcPr>
            <w:tcW w:w="1530" w:type="dxa"/>
          </w:tcPr>
          <w:p w:rsidR="008C071F" w:rsidRPr="002950F8" w:rsidRDefault="008C071F" w:rsidP="00403A4C">
            <w:pPr>
              <w:pStyle w:val="Textbody"/>
              <w:spacing w:after="0" w:line="240" w:lineRule="auto"/>
              <w:rPr>
                <w:rFonts w:ascii="Times New Roman" w:hAnsi="Times New Roman" w:cs="Times New Roman"/>
                <w:sz w:val="22"/>
                <w:szCs w:val="22"/>
              </w:rPr>
            </w:pPr>
          </w:p>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High</w:t>
            </w:r>
          </w:p>
        </w:tc>
        <w:tc>
          <w:tcPr>
            <w:tcW w:w="2085" w:type="dxa"/>
          </w:tcPr>
          <w:p w:rsidR="008C071F" w:rsidRPr="002950F8" w:rsidRDefault="008C071F" w:rsidP="00403A4C">
            <w:pPr>
              <w:pStyle w:val="Textbody"/>
              <w:spacing w:after="0" w:line="240" w:lineRule="auto"/>
              <w:rPr>
                <w:rFonts w:ascii="Times New Roman" w:hAnsi="Times New Roman" w:cs="Times New Roman"/>
                <w:sz w:val="22"/>
                <w:szCs w:val="22"/>
              </w:rPr>
            </w:pPr>
          </w:p>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Normal</w:t>
            </w:r>
          </w:p>
        </w:tc>
        <w:tc>
          <w:tcPr>
            <w:tcW w:w="3045" w:type="dxa"/>
          </w:tcPr>
          <w:p w:rsidR="008C071F" w:rsidRPr="002950F8" w:rsidRDefault="008C071F" w:rsidP="00403A4C">
            <w:pPr>
              <w:pStyle w:val="Textbody"/>
              <w:spacing w:after="0" w:line="240" w:lineRule="auto"/>
              <w:rPr>
                <w:rFonts w:ascii="Times New Roman" w:hAnsi="Times New Roman" w:cs="Times New Roman"/>
                <w:sz w:val="22"/>
                <w:szCs w:val="22"/>
              </w:rPr>
            </w:pPr>
          </w:p>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Highly specific for bacterial sepsis</w:t>
            </w:r>
          </w:p>
        </w:tc>
      </w:tr>
      <w:tr w:rsidR="00FA58B2" w:rsidRPr="002950F8" w:rsidTr="00F57508">
        <w:tc>
          <w:tcPr>
            <w:tcW w:w="2700" w:type="dxa"/>
          </w:tcPr>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eastAsia="Times New Roman" w:hAnsi="Times New Roman" w:cs="Times New Roman"/>
                <w:bCs/>
                <w:sz w:val="22"/>
                <w:szCs w:val="22"/>
              </w:rPr>
              <w:t>Myxovirus Resistance Protein A (MxA)</w:t>
            </w:r>
          </w:p>
        </w:tc>
        <w:tc>
          <w:tcPr>
            <w:tcW w:w="2160" w:type="dxa"/>
          </w:tcPr>
          <w:p w:rsidR="00F12385" w:rsidRPr="002950F8" w:rsidRDefault="00F12385" w:rsidP="00403A4C">
            <w:pPr>
              <w:pStyle w:val="Textbody"/>
              <w:spacing w:after="0" w:line="240" w:lineRule="auto"/>
              <w:rPr>
                <w:rFonts w:ascii="Times New Roman" w:hAnsi="Times New Roman" w:cs="Times New Roman"/>
                <w:sz w:val="22"/>
                <w:szCs w:val="22"/>
              </w:rPr>
            </w:pPr>
          </w:p>
          <w:p w:rsidR="00FA58B2" w:rsidRPr="002950F8" w:rsidRDefault="00F12385"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Interferon-stimulated protein against viruses</w:t>
            </w:r>
          </w:p>
        </w:tc>
        <w:tc>
          <w:tcPr>
            <w:tcW w:w="1530" w:type="dxa"/>
          </w:tcPr>
          <w:p w:rsidR="00F12385" w:rsidRPr="002950F8" w:rsidRDefault="00F12385" w:rsidP="00403A4C">
            <w:pPr>
              <w:pStyle w:val="Textbody"/>
              <w:spacing w:after="0" w:line="240" w:lineRule="auto"/>
              <w:rPr>
                <w:rFonts w:ascii="Times New Roman" w:hAnsi="Times New Roman" w:cs="Times New Roman"/>
                <w:sz w:val="22"/>
                <w:szCs w:val="22"/>
              </w:rPr>
            </w:pPr>
          </w:p>
          <w:p w:rsidR="00FA58B2" w:rsidRPr="002950F8" w:rsidRDefault="00F12385"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Normal</w:t>
            </w:r>
          </w:p>
        </w:tc>
        <w:tc>
          <w:tcPr>
            <w:tcW w:w="2085" w:type="dxa"/>
          </w:tcPr>
          <w:p w:rsidR="00F12385" w:rsidRPr="002950F8" w:rsidRDefault="00F12385" w:rsidP="00403A4C">
            <w:pPr>
              <w:pStyle w:val="Textbody"/>
              <w:spacing w:after="0" w:line="240" w:lineRule="auto"/>
              <w:rPr>
                <w:rFonts w:ascii="Times New Roman" w:hAnsi="Times New Roman" w:cs="Times New Roman"/>
                <w:sz w:val="22"/>
                <w:szCs w:val="22"/>
              </w:rPr>
            </w:pPr>
          </w:p>
          <w:p w:rsidR="00FA58B2" w:rsidRPr="002950F8" w:rsidRDefault="00F12385"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High</w:t>
            </w:r>
          </w:p>
        </w:tc>
        <w:tc>
          <w:tcPr>
            <w:tcW w:w="3045" w:type="dxa"/>
          </w:tcPr>
          <w:p w:rsidR="00F12385" w:rsidRPr="002950F8" w:rsidRDefault="00F12385" w:rsidP="00403A4C">
            <w:pPr>
              <w:pStyle w:val="Textbody"/>
              <w:spacing w:after="0" w:line="240" w:lineRule="auto"/>
              <w:rPr>
                <w:rFonts w:ascii="Times New Roman" w:hAnsi="Times New Roman" w:cs="Times New Roman"/>
                <w:sz w:val="22"/>
                <w:szCs w:val="22"/>
              </w:rPr>
            </w:pPr>
          </w:p>
          <w:p w:rsidR="00FA58B2" w:rsidRPr="002950F8" w:rsidRDefault="00F12385"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Highly Specific for viral infections</w:t>
            </w:r>
          </w:p>
        </w:tc>
      </w:tr>
      <w:tr w:rsidR="00FA58B2" w:rsidRPr="002950F8" w:rsidTr="00F57508">
        <w:tc>
          <w:tcPr>
            <w:tcW w:w="2700" w:type="dxa"/>
          </w:tcPr>
          <w:p w:rsidR="00FA58B2" w:rsidRPr="002950F8" w:rsidRDefault="00F12385" w:rsidP="00403A4C">
            <w:pPr>
              <w:pStyle w:val="Textbody"/>
              <w:spacing w:after="0" w:line="240" w:lineRule="auto"/>
              <w:rPr>
                <w:rFonts w:ascii="Times New Roman" w:hAnsi="Times New Roman" w:cs="Times New Roman"/>
                <w:sz w:val="22"/>
                <w:szCs w:val="22"/>
              </w:rPr>
            </w:pPr>
            <w:r w:rsidRPr="002950F8">
              <w:rPr>
                <w:rFonts w:ascii="Times New Roman" w:eastAsia="Times New Roman" w:hAnsi="Times New Roman" w:cs="Times New Roman"/>
                <w:bCs/>
                <w:sz w:val="22"/>
                <w:szCs w:val="22"/>
              </w:rPr>
              <w:lastRenderedPageBreak/>
              <w:t>Neutrophil-to-Lymphocyte Ratio (NLR)</w:t>
            </w:r>
          </w:p>
        </w:tc>
        <w:tc>
          <w:tcPr>
            <w:tcW w:w="2160" w:type="dxa"/>
          </w:tcPr>
          <w:p w:rsidR="00F12385" w:rsidRPr="002950F8" w:rsidRDefault="00F12385" w:rsidP="00403A4C">
            <w:pPr>
              <w:rPr>
                <w:rFonts w:ascii="Times New Roman" w:eastAsia="Times New Roman" w:hAnsi="Times New Roman" w:cs="Times New Roman"/>
              </w:rPr>
            </w:pPr>
          </w:p>
          <w:p w:rsidR="00F12385" w:rsidRPr="002950F8" w:rsidRDefault="00F12385" w:rsidP="00403A4C">
            <w:pPr>
              <w:rPr>
                <w:rFonts w:ascii="Times New Roman" w:eastAsia="Times New Roman" w:hAnsi="Times New Roman" w:cs="Times New Roman"/>
              </w:rPr>
            </w:pPr>
            <w:r w:rsidRPr="002950F8">
              <w:rPr>
                <w:rFonts w:ascii="Times New Roman" w:eastAsia="Times New Roman" w:hAnsi="Times New Roman" w:cs="Times New Roman"/>
              </w:rPr>
              <w:t xml:space="preserve"> Immune cell ratio</w:t>
            </w:r>
          </w:p>
          <w:p w:rsidR="00FA58B2" w:rsidRPr="002950F8" w:rsidRDefault="00FA58B2" w:rsidP="00403A4C">
            <w:pPr>
              <w:pStyle w:val="Textbody"/>
              <w:spacing w:after="0" w:line="240" w:lineRule="auto"/>
              <w:rPr>
                <w:rFonts w:ascii="Times New Roman" w:hAnsi="Times New Roman" w:cs="Times New Roman"/>
                <w:sz w:val="22"/>
                <w:szCs w:val="22"/>
              </w:rPr>
            </w:pPr>
          </w:p>
        </w:tc>
        <w:tc>
          <w:tcPr>
            <w:tcW w:w="1530" w:type="dxa"/>
          </w:tcPr>
          <w:p w:rsidR="00FA58B2" w:rsidRPr="002950F8" w:rsidRDefault="00F12385" w:rsidP="00403A4C">
            <w:pPr>
              <w:pStyle w:val="Textbody"/>
              <w:spacing w:after="0" w:line="240" w:lineRule="auto"/>
              <w:rPr>
                <w:rFonts w:ascii="Times New Roman" w:hAnsi="Times New Roman" w:cs="Times New Roman"/>
                <w:sz w:val="22"/>
                <w:szCs w:val="22"/>
              </w:rPr>
            </w:pPr>
            <w:r w:rsidRPr="002950F8">
              <w:rPr>
                <w:rFonts w:ascii="Times New Roman" w:eastAsia="Times New Roman" w:hAnsi="Times New Roman" w:cs="Times New Roman"/>
                <w:bCs/>
                <w:sz w:val="22"/>
                <w:szCs w:val="22"/>
              </w:rPr>
              <w:t>High (Neutrophilia, Lymphopenia)</w:t>
            </w:r>
          </w:p>
        </w:tc>
        <w:tc>
          <w:tcPr>
            <w:tcW w:w="2085" w:type="dxa"/>
          </w:tcPr>
          <w:p w:rsidR="00F12385" w:rsidRPr="002950F8" w:rsidRDefault="00F12385" w:rsidP="00403A4C">
            <w:pPr>
              <w:pStyle w:val="Textbody"/>
              <w:spacing w:after="0" w:line="240" w:lineRule="auto"/>
              <w:rPr>
                <w:rFonts w:ascii="Times New Roman" w:eastAsia="Times New Roman" w:hAnsi="Times New Roman" w:cs="Times New Roman"/>
                <w:b/>
                <w:bCs/>
                <w:sz w:val="22"/>
                <w:szCs w:val="22"/>
              </w:rPr>
            </w:pPr>
            <w:r w:rsidRPr="002950F8">
              <w:rPr>
                <w:rFonts w:ascii="Times New Roman" w:eastAsia="Times New Roman" w:hAnsi="Times New Roman" w:cs="Times New Roman"/>
                <w:b/>
                <w:bCs/>
                <w:sz w:val="22"/>
                <w:szCs w:val="22"/>
              </w:rPr>
              <w:t xml:space="preserve"> </w:t>
            </w:r>
          </w:p>
          <w:p w:rsidR="00FA58B2" w:rsidRPr="002950F8" w:rsidRDefault="00F12385" w:rsidP="00403A4C">
            <w:pPr>
              <w:pStyle w:val="Textbody"/>
              <w:spacing w:after="0" w:line="240" w:lineRule="auto"/>
              <w:rPr>
                <w:rFonts w:ascii="Times New Roman" w:hAnsi="Times New Roman" w:cs="Times New Roman"/>
                <w:sz w:val="22"/>
                <w:szCs w:val="22"/>
              </w:rPr>
            </w:pPr>
            <w:r w:rsidRPr="002950F8">
              <w:rPr>
                <w:rFonts w:ascii="Times New Roman" w:eastAsia="Times New Roman" w:hAnsi="Times New Roman" w:cs="Times New Roman"/>
                <w:bCs/>
                <w:sz w:val="22"/>
                <w:szCs w:val="22"/>
              </w:rPr>
              <w:t>Low or Normal</w:t>
            </w:r>
          </w:p>
        </w:tc>
        <w:tc>
          <w:tcPr>
            <w:tcW w:w="3045" w:type="dxa"/>
          </w:tcPr>
          <w:p w:rsidR="00FA58B2" w:rsidRPr="002950F8" w:rsidRDefault="00F12385" w:rsidP="00403A4C">
            <w:pPr>
              <w:pStyle w:val="Textbody"/>
              <w:spacing w:after="0" w:line="240" w:lineRule="auto"/>
              <w:rPr>
                <w:rFonts w:ascii="Times New Roman" w:hAnsi="Times New Roman" w:cs="Times New Roman"/>
                <w:sz w:val="22"/>
                <w:szCs w:val="22"/>
              </w:rPr>
            </w:pPr>
            <w:r w:rsidRPr="002950F8">
              <w:rPr>
                <w:rFonts w:ascii="Times New Roman" w:eastAsia="Times New Roman" w:hAnsi="Times New Roman" w:cs="Times New Roman"/>
                <w:sz w:val="22"/>
                <w:szCs w:val="22"/>
              </w:rPr>
              <w:t xml:space="preserve">Bacterial infections </w:t>
            </w:r>
            <w:r w:rsidR="00730EB2" w:rsidRPr="002950F8">
              <w:rPr>
                <w:rFonts w:ascii="Times New Roman" w:eastAsia="Times New Roman" w:hAnsi="Times New Roman" w:cs="Times New Roman"/>
                <w:sz w:val="22"/>
                <w:szCs w:val="22"/>
              </w:rPr>
              <w:t>originate</w:t>
            </w:r>
            <w:r w:rsidRPr="002950F8">
              <w:rPr>
                <w:rFonts w:ascii="Times New Roman" w:eastAsia="Times New Roman" w:hAnsi="Times New Roman" w:cs="Times New Roman"/>
                <w:sz w:val="22"/>
                <w:szCs w:val="22"/>
              </w:rPr>
              <w:t xml:space="preserve"> </w:t>
            </w:r>
            <w:r w:rsidR="00730EB2" w:rsidRPr="002950F8">
              <w:rPr>
                <w:rFonts w:ascii="Times New Roman" w:eastAsia="Times New Roman" w:hAnsi="Times New Roman" w:cs="Times New Roman"/>
                <w:sz w:val="22"/>
                <w:szCs w:val="22"/>
              </w:rPr>
              <w:t>from</w:t>
            </w:r>
            <w:r w:rsidRPr="002950F8">
              <w:rPr>
                <w:rFonts w:ascii="Times New Roman" w:eastAsia="Times New Roman" w:hAnsi="Times New Roman" w:cs="Times New Roman"/>
                <w:sz w:val="22"/>
                <w:szCs w:val="22"/>
              </w:rPr>
              <w:t xml:space="preserve"> neutrophilia, while viral infections cause lymphocytosis</w:t>
            </w:r>
          </w:p>
        </w:tc>
      </w:tr>
      <w:tr w:rsidR="00F12385" w:rsidRPr="002950F8" w:rsidTr="00F57508">
        <w:tc>
          <w:tcPr>
            <w:tcW w:w="2700" w:type="dxa"/>
          </w:tcPr>
          <w:p w:rsidR="00F12385" w:rsidRPr="002950F8" w:rsidRDefault="00F12385" w:rsidP="00403A4C">
            <w:pPr>
              <w:pStyle w:val="Textbody"/>
              <w:spacing w:after="0" w:line="240" w:lineRule="auto"/>
              <w:rPr>
                <w:rFonts w:ascii="Times New Roman" w:eastAsia="Times New Roman" w:hAnsi="Times New Roman" w:cs="Times New Roman"/>
                <w:bCs/>
                <w:sz w:val="22"/>
                <w:szCs w:val="22"/>
              </w:rPr>
            </w:pPr>
            <w:r w:rsidRPr="002950F8">
              <w:rPr>
                <w:rFonts w:ascii="Times New Roman" w:eastAsia="Times New Roman" w:hAnsi="Times New Roman" w:cs="Times New Roman"/>
                <w:bCs/>
                <w:sz w:val="22"/>
                <w:szCs w:val="22"/>
              </w:rPr>
              <w:t>Lipocalin-2 (LCN2)</w:t>
            </w:r>
          </w:p>
        </w:tc>
        <w:tc>
          <w:tcPr>
            <w:tcW w:w="2160" w:type="dxa"/>
          </w:tcPr>
          <w:p w:rsidR="00F12385" w:rsidRPr="002950F8" w:rsidRDefault="00F12385" w:rsidP="00403A4C">
            <w:pPr>
              <w:rPr>
                <w:rFonts w:ascii="Times New Roman" w:eastAsia="Times New Roman" w:hAnsi="Times New Roman" w:cs="Times New Roman"/>
              </w:rPr>
            </w:pPr>
            <w:r w:rsidRPr="002950F8">
              <w:rPr>
                <w:rFonts w:ascii="Times New Roman" w:eastAsia="Times New Roman" w:hAnsi="Times New Roman" w:cs="Times New Roman"/>
              </w:rPr>
              <w:t>Iron transport and immune modulation</w:t>
            </w:r>
          </w:p>
        </w:tc>
        <w:tc>
          <w:tcPr>
            <w:tcW w:w="1530" w:type="dxa"/>
          </w:tcPr>
          <w:p w:rsidR="00F12385" w:rsidRPr="002950F8" w:rsidRDefault="00F12385" w:rsidP="00403A4C">
            <w:pPr>
              <w:pStyle w:val="Textbody"/>
              <w:spacing w:after="0" w:line="240" w:lineRule="auto"/>
              <w:rPr>
                <w:rFonts w:ascii="Times New Roman" w:eastAsia="Times New Roman" w:hAnsi="Times New Roman" w:cs="Times New Roman"/>
                <w:bCs/>
                <w:sz w:val="22"/>
                <w:szCs w:val="22"/>
              </w:rPr>
            </w:pPr>
            <w:r w:rsidRPr="002950F8">
              <w:rPr>
                <w:rFonts w:ascii="Times New Roman" w:eastAsia="Times New Roman" w:hAnsi="Times New Roman" w:cs="Times New Roman"/>
                <w:bCs/>
                <w:sz w:val="22"/>
                <w:szCs w:val="22"/>
              </w:rPr>
              <w:t>High</w:t>
            </w:r>
          </w:p>
        </w:tc>
        <w:tc>
          <w:tcPr>
            <w:tcW w:w="2085" w:type="dxa"/>
          </w:tcPr>
          <w:p w:rsidR="00F12385" w:rsidRPr="002950F8" w:rsidRDefault="00F12385" w:rsidP="00403A4C">
            <w:pPr>
              <w:pStyle w:val="Textbody"/>
              <w:spacing w:after="0" w:line="240" w:lineRule="auto"/>
              <w:rPr>
                <w:rFonts w:ascii="Times New Roman" w:eastAsia="Times New Roman" w:hAnsi="Times New Roman" w:cs="Times New Roman"/>
                <w:bCs/>
                <w:sz w:val="22"/>
                <w:szCs w:val="22"/>
              </w:rPr>
            </w:pPr>
            <w:r w:rsidRPr="002950F8">
              <w:rPr>
                <w:rFonts w:ascii="Times New Roman" w:eastAsia="Times New Roman" w:hAnsi="Times New Roman" w:cs="Times New Roman"/>
                <w:bCs/>
                <w:sz w:val="22"/>
                <w:szCs w:val="22"/>
              </w:rPr>
              <w:t>Normal or mild</w:t>
            </w:r>
          </w:p>
        </w:tc>
        <w:tc>
          <w:tcPr>
            <w:tcW w:w="3045" w:type="dxa"/>
          </w:tcPr>
          <w:p w:rsidR="00F12385" w:rsidRPr="002950F8" w:rsidRDefault="00F12385" w:rsidP="00403A4C">
            <w:pPr>
              <w:pStyle w:val="Textbody"/>
              <w:spacing w:after="0" w:line="240" w:lineRule="auto"/>
              <w:rPr>
                <w:rFonts w:ascii="Times New Roman" w:eastAsia="Times New Roman" w:hAnsi="Times New Roman" w:cs="Times New Roman"/>
                <w:sz w:val="22"/>
                <w:szCs w:val="22"/>
              </w:rPr>
            </w:pPr>
            <w:r w:rsidRPr="002950F8">
              <w:rPr>
                <w:rFonts w:ascii="Times New Roman" w:eastAsia="Times New Roman" w:hAnsi="Times New Roman" w:cs="Times New Roman"/>
                <w:sz w:val="22"/>
                <w:szCs w:val="22"/>
              </w:rPr>
              <w:t>More pronounced in bacterial infections</w:t>
            </w:r>
          </w:p>
        </w:tc>
      </w:tr>
      <w:tr w:rsidR="00986E63" w:rsidRPr="002950F8" w:rsidTr="00F57508">
        <w:tc>
          <w:tcPr>
            <w:tcW w:w="2700" w:type="dxa"/>
          </w:tcPr>
          <w:p w:rsidR="00986E63" w:rsidRDefault="00986E63" w:rsidP="00403A4C">
            <w:pPr>
              <w:pStyle w:val="Textbody"/>
              <w:suppressAutoHyphens w:val="0"/>
              <w:spacing w:before="280" w:after="0"/>
              <w:rPr>
                <w:rFonts w:ascii="Times New Roman" w:hAnsi="Times New Roman" w:cs="Times New Roman"/>
              </w:rPr>
            </w:pPr>
            <w:r w:rsidRPr="00003C7E">
              <w:rPr>
                <w:rFonts w:ascii="Times New Roman" w:eastAsia="Times New Roman" w:hAnsi="Times New Roman" w:cs="Times New Roman"/>
                <w:bCs/>
                <w:sz w:val="22"/>
                <w:szCs w:val="22"/>
              </w:rPr>
              <w:t xml:space="preserve">TRAIL </w:t>
            </w:r>
            <w:r w:rsidRPr="00986E63">
              <w:rPr>
                <w:rStyle w:val="StrongEmphasis"/>
                <w:rFonts w:ascii="Times New Roman" w:eastAsia="Times New Roman" w:hAnsi="Times New Roman" w:cs="Times New Roman"/>
                <w:b w:val="0"/>
                <w:kern w:val="0"/>
                <w:lang w:eastAsia="en-US" w:bidi="ar-SA"/>
              </w:rPr>
              <w:t>(Tumor Necrosis Factor-Related Apoptosis-Inducing Ligand</w:t>
            </w:r>
            <w:r>
              <w:rPr>
                <w:rStyle w:val="StrongEmphasis"/>
                <w:rFonts w:ascii="Times New Roman" w:eastAsia="Times New Roman" w:hAnsi="Times New Roman" w:cs="Times New Roman"/>
                <w:kern w:val="0"/>
                <w:lang w:eastAsia="en-US" w:bidi="ar-SA"/>
              </w:rPr>
              <w:t>)</w:t>
            </w:r>
          </w:p>
          <w:p w:rsidR="00986E63" w:rsidRPr="002950F8" w:rsidRDefault="00986E63" w:rsidP="00403A4C">
            <w:pPr>
              <w:pStyle w:val="Textbody"/>
              <w:spacing w:after="0" w:line="240" w:lineRule="auto"/>
              <w:rPr>
                <w:rFonts w:ascii="Times New Roman" w:eastAsia="Times New Roman" w:hAnsi="Times New Roman" w:cs="Times New Roman"/>
                <w:bCs/>
                <w:sz w:val="22"/>
                <w:szCs w:val="22"/>
              </w:rPr>
            </w:pPr>
          </w:p>
        </w:tc>
        <w:tc>
          <w:tcPr>
            <w:tcW w:w="2160" w:type="dxa"/>
          </w:tcPr>
          <w:p w:rsidR="00986E63" w:rsidRDefault="00986E63" w:rsidP="00403A4C">
            <w:pPr>
              <w:jc w:val="center"/>
              <w:rPr>
                <w:rFonts w:ascii="Times New Roman" w:hAnsi="Times New Roman" w:cs="Times New Roman"/>
              </w:rPr>
            </w:pPr>
          </w:p>
          <w:p w:rsidR="00986E63" w:rsidRDefault="00986E63" w:rsidP="00403A4C">
            <w:pPr>
              <w:jc w:val="center"/>
              <w:rPr>
                <w:rFonts w:ascii="Times New Roman" w:hAnsi="Times New Roman" w:cs="Times New Roman"/>
              </w:rPr>
            </w:pPr>
          </w:p>
          <w:p w:rsidR="00986E63" w:rsidRPr="002950F8" w:rsidRDefault="00986E63" w:rsidP="00403A4C">
            <w:pPr>
              <w:jc w:val="center"/>
              <w:rPr>
                <w:rFonts w:ascii="Times New Roman" w:eastAsia="Times New Roman" w:hAnsi="Times New Roman" w:cs="Times New Roman"/>
              </w:rPr>
            </w:pPr>
            <w:r>
              <w:rPr>
                <w:rFonts w:ascii="Times New Roman" w:hAnsi="Times New Roman" w:cs="Times New Roman"/>
              </w:rPr>
              <w:t>cytokine uniquely upregulated in response to viral infections</w:t>
            </w:r>
          </w:p>
        </w:tc>
        <w:tc>
          <w:tcPr>
            <w:tcW w:w="1530" w:type="dxa"/>
          </w:tcPr>
          <w:p w:rsidR="00986E63" w:rsidRDefault="00986E63" w:rsidP="00403A4C">
            <w:pPr>
              <w:pStyle w:val="Textbody"/>
              <w:spacing w:after="0" w:line="240" w:lineRule="auto"/>
              <w:rPr>
                <w:rFonts w:ascii="Times New Roman" w:eastAsia="Times New Roman" w:hAnsi="Times New Roman" w:cs="Times New Roman"/>
                <w:bCs/>
                <w:sz w:val="22"/>
                <w:szCs w:val="22"/>
              </w:rPr>
            </w:pPr>
          </w:p>
          <w:p w:rsidR="00986E63" w:rsidRPr="002950F8" w:rsidRDefault="00986E63" w:rsidP="00403A4C">
            <w:pPr>
              <w:pStyle w:val="Textbody"/>
              <w:spacing w:after="0" w:line="240" w:lineRule="auto"/>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Low levels or unchanged in bacterial infection</w:t>
            </w:r>
          </w:p>
        </w:tc>
        <w:tc>
          <w:tcPr>
            <w:tcW w:w="2085" w:type="dxa"/>
          </w:tcPr>
          <w:p w:rsidR="00986E63" w:rsidRDefault="00986E63" w:rsidP="00403A4C">
            <w:pPr>
              <w:pStyle w:val="Textbody"/>
              <w:spacing w:after="0" w:line="240" w:lineRule="auto"/>
              <w:jc w:val="center"/>
            </w:pPr>
          </w:p>
          <w:p w:rsidR="00986E63" w:rsidRPr="002950F8" w:rsidRDefault="00986E63" w:rsidP="00403A4C">
            <w:pPr>
              <w:pStyle w:val="Textbody"/>
              <w:spacing w:after="0" w:line="240" w:lineRule="auto"/>
              <w:jc w:val="center"/>
              <w:rPr>
                <w:rFonts w:ascii="Times New Roman" w:eastAsia="Times New Roman" w:hAnsi="Times New Roman" w:cs="Times New Roman"/>
                <w:bCs/>
                <w:sz w:val="22"/>
                <w:szCs w:val="22"/>
              </w:rPr>
            </w:pPr>
            <w:r>
              <w:t>Elevated levels in viral infections, especially in respiratory viruses like influenza and COVID-19</w:t>
            </w:r>
          </w:p>
        </w:tc>
        <w:tc>
          <w:tcPr>
            <w:tcW w:w="3045" w:type="dxa"/>
          </w:tcPr>
          <w:p w:rsidR="00986E63" w:rsidRDefault="00986E63" w:rsidP="00403A4C">
            <w:pPr>
              <w:pStyle w:val="Textbody"/>
              <w:spacing w:after="0" w:line="240" w:lineRule="auto"/>
              <w:rPr>
                <w:rFonts w:ascii="Times New Roman" w:eastAsia="Times New Roman" w:hAnsi="Times New Roman" w:cs="Times New Roman"/>
                <w:sz w:val="22"/>
                <w:szCs w:val="22"/>
              </w:rPr>
            </w:pPr>
          </w:p>
          <w:p w:rsidR="00986E63" w:rsidRDefault="00986E63" w:rsidP="00403A4C">
            <w:pPr>
              <w:pStyle w:val="Textbody"/>
              <w:spacing w:after="0" w:line="240" w:lineRule="auto"/>
            </w:pPr>
            <w:r>
              <w:t>Used for distinguishing bacterial from viral respiratory infections, especially in febrile illnesses</w:t>
            </w:r>
          </w:p>
          <w:p w:rsidR="00986E63" w:rsidRPr="002950F8" w:rsidRDefault="00986E63" w:rsidP="00403A4C">
            <w:pPr>
              <w:pStyle w:val="Textbody"/>
              <w:spacing w:after="0" w:line="240" w:lineRule="auto"/>
              <w:rPr>
                <w:rFonts w:ascii="Times New Roman" w:eastAsia="Times New Roman" w:hAnsi="Times New Roman" w:cs="Times New Roman"/>
                <w:sz w:val="22"/>
                <w:szCs w:val="22"/>
              </w:rPr>
            </w:pPr>
            <w:r>
              <w:t>Key biomarker for viral infections, such as influenza, COVID-19, and other viral respiratory illnesses</w:t>
            </w:r>
          </w:p>
        </w:tc>
      </w:tr>
    </w:tbl>
    <w:p w:rsidR="004535B4" w:rsidRDefault="004535B4" w:rsidP="00F861EB">
      <w:pPr>
        <w:pStyle w:val="Textbody"/>
        <w:jc w:val="both"/>
        <w:rPr>
          <w:shd w:val="clear" w:color="auto" w:fill="FFFFFF"/>
        </w:rPr>
      </w:pPr>
    </w:p>
    <w:p w:rsidR="00FA58B2" w:rsidRDefault="007122BD" w:rsidP="00F861EB">
      <w:pPr>
        <w:pStyle w:val="Textbody"/>
        <w:jc w:val="both"/>
        <w:rPr>
          <w:rFonts w:ascii="Times New Roman" w:hAnsi="Times New Roman" w:cs="Times New Roman"/>
        </w:rPr>
      </w:pPr>
      <w:r>
        <w:rPr>
          <w:shd w:val="clear" w:color="auto" w:fill="FFFFFF"/>
        </w:rPr>
        <w:t>Recent, antibiotic treatment is followed by PCT and CRP measurement. On the other hand, MxA and IP-10 are specific to viral infections, leading to a reduction in the misuse of antibiotics. NLR may serve as a swift and cost-effective method, especially in poor clinical and diagnostic settings.</w:t>
      </w:r>
    </w:p>
    <w:p w:rsidR="0046482C" w:rsidRDefault="0046482C" w:rsidP="00DA4431">
      <w:pPr>
        <w:pStyle w:val="Heading2"/>
        <w:numPr>
          <w:ilvl w:val="1"/>
          <w:numId w:val="28"/>
        </w:numPr>
        <w:spacing w:before="0"/>
        <w:rPr>
          <w:rStyle w:val="StrongEmphasis"/>
          <w:rFonts w:ascii="Times New Roman" w:hAnsi="Times New Roman" w:cs="Times New Roman"/>
          <w:bCs w:val="0"/>
          <w:color w:val="auto"/>
          <w:sz w:val="24"/>
        </w:rPr>
      </w:pPr>
      <w:bookmarkStart w:id="30" w:name="_Toc193802141"/>
      <w:r w:rsidRPr="002431CA">
        <w:rPr>
          <w:rStyle w:val="StrongEmphasis"/>
          <w:rFonts w:ascii="Times New Roman" w:hAnsi="Times New Roman" w:cs="Times New Roman"/>
          <w:bCs w:val="0"/>
          <w:color w:val="auto"/>
          <w:sz w:val="24"/>
        </w:rPr>
        <w:t>TRAIL (Tumor Necrosis Factor-Related Apoptosis-Inducing Ligand)</w:t>
      </w:r>
      <w:bookmarkEnd w:id="30"/>
    </w:p>
    <w:p w:rsidR="00B13BA9" w:rsidRPr="00B13BA9" w:rsidRDefault="00B13BA9" w:rsidP="00B13BA9"/>
    <w:p w:rsidR="00842A00" w:rsidRDefault="007122BD" w:rsidP="00DA4431">
      <w:pPr>
        <w:pStyle w:val="Textbody"/>
        <w:spacing w:after="0"/>
        <w:jc w:val="both"/>
        <w:rPr>
          <w:rFonts w:ascii="Times New Roman" w:hAnsi="Times New Roman" w:cs="Times New Roman"/>
        </w:rPr>
      </w:pPr>
      <w:r>
        <w:rPr>
          <w:shd w:val="clear" w:color="auto" w:fill="FFFFFF"/>
        </w:rPr>
        <w:t>TRAIL is a cytokine that is particularly elevated in response to viral infections, making it an accurate biomarker for distinguishing between viral and bacterial origins. TRAIL, showing more than 85% sensitivity and specificity, has been incorporated into diagnostic panels together with biomarkers such as CRP. This integrated approach significantly improves the diagnostic accuracy for febrile illnesses, particularly in cases w</w:t>
      </w:r>
      <w:r w:rsidR="002F320A">
        <w:rPr>
          <w:shd w:val="clear" w:color="auto" w:fill="FFFFFF"/>
        </w:rPr>
        <w:t>ith ambiguous clinical signs</w:t>
      </w:r>
      <w:r w:rsidR="002F320A">
        <w:rPr>
          <w:rFonts w:ascii="Times New Roman" w:hAnsi="Times New Roman" w:cs="Times New Roman"/>
        </w:rPr>
        <w:fldChar w:fldCharType="begin"/>
      </w:r>
      <w:r w:rsidR="00B41ACC">
        <w:rPr>
          <w:rFonts w:ascii="Times New Roman" w:hAnsi="Times New Roman" w:cs="Times New Roman"/>
        </w:rPr>
        <w:instrText xml:space="preserve"> ADDIN ZOTERO_ITEM CSL_CITATION {"citationID":"xvLttNUH","properties":{"formattedCitation":"\\super 278\\nosupersub{}","plainCitation":"278","noteIndex":0},"citationItems":[{"id":1130,"uris":["http://zotero.org/users/local/BfzbJtgR/items/RMCNNS5R"],"itemData":{"id":1130,"type":"article-journal","abstract":"OBJECTIVES: Identifying infection aetiology is essential for appropriate antibiotic use. Previous studies have shown that a host-protein signature consisting of TNF-related apoptosis-induced ligand (TRAIL), interferon-γ-induced protein-10 (IP-10), and C-reactive protein (CRP) can accurately differentiate bacterial from viral infections.\nMETHODS: This prospective, multicentre cohort study, entitled AutoPilot-Dx, aimed to validate signature performance and to estimate its potential impact on antibiotic use across a broad paediatric population (&gt;90 days to 18 years) with respiratory tract infections, or fever without source, at emergency departments and wards in Italy and Germany. Infection aetiology was adjudicated by experts based on clinical and laboratory investigations, including multiplex PCR and follow-up data.\nRESULTS: In total, 1140 patients were recruited (February 2017-December 2018), of which 1008 met the eligibility criteria (mean age 3.5 years, 41.9% female). Viral and bacterial infections were adjudicated for 628 (85.8%) and 104 (14.2%) children, respectively; 276 patients were assigned an indeterminate reference standard outcome. For the 732 children with reference standard aetiology, the signature discriminated bacterial from viral infections with a sensitivity of 93.7% (95%CI 88.7-98.7), a specificity of 94.2% (92.2-96.1), positive predictive value of 73.0% (65.0-81.0), and negative predictive value of 98.9% (98.0-99.8); in 9.8% the test results were equivocal. The signature performed consistently across different patient subgroups and detected bacterial immune responses in viral PCR-positive patients.\nCONCLUSIONS: The findings validate the high diagnostic performance of the TRAIL/IP-10/CRP signature in a broad paediatric cohort, and support its potential to reduce antibiotic overuse in children with viral infections.","container-title":"Clinical Microbiology and Infection: The Official Publication of the European Society of Clinical Microbiology and Infectious Diseases","DOI":"10.1016/j.cmi.2021.10.019","ISSN":"1469-0691","issue":"5","journalAbbreviation":"Clin Microbiol Infect","language":"eng","note":"PMID: 34768022","page":"723-730","source":"PubMed","title":"A host signature based on TRAIL, IP-10, and CRP for reducing antibiotic overuse in children by differentiating bacterial from viral infections: a prospective, multicentre cohort study","title-short":"A host signature based on TRAIL, IP-10, and CRP for reducing antibiotic overuse in children by differentiating bacterial from viral infections","volume":"28","author":[{"family":"Papan","given":"Cihan"},{"family":"Argentiero","given":"Alberto"},{"family":"Porwoll","given":"Marian"},{"family":"Hakim","given":"Ummaya"},{"family":"Farinelli","given":"Edoardo"},{"family":"Testa","given":"Ilaria"},{"family":"Pasticci","given":"Maria Bruna"},{"family":"Mezzetti","given":"Daniele"},{"family":"Perruccio","given":"Katia"},{"family":"Etshtein","given":"Liat"},{"family":"Mastboim","given":"Niv"},{"family":"Moscoviz","given":"Einat"},{"family":"Ber","given":"Tahel Ilan"},{"family":"Cohen","given":"Asi"},{"family":"Simon","given":"Einav"},{"family":"Boico","given":"Olga"},{"family":"Shani","given":"Liran"},{"family":"Gottlieb","given":"Tanya M."},{"family":"Navon","given":"Roy"},{"family":"Barash","given":"Eran"},{"family":"Oved","given":"Kfir"},{"family":"Eden","given":"Eran"},{"family":"Simon","given":"Arne"},{"family":"Liese","given":"Johannes G."},{"family":"Knuf","given":"Markus"},{"family":"Stein","given":"Michal"},{"family":"Yacobov","given":"Renata"},{"family":"Bamberger","given":"Ellen"},{"family":"Schneider","given":"Sven"},{"family":"Esposito","given":"Susanna"},{"family":"Tenenbaum","given":"Tobias"}],"issued":{"date-parts":[["2022",5]]}}}],"schema":"https://github.com/citation-style-language/schema/raw/master/csl-citation.json"} </w:instrText>
      </w:r>
      <w:r w:rsidR="002F320A">
        <w:rPr>
          <w:rFonts w:ascii="Times New Roman" w:hAnsi="Times New Roman" w:cs="Times New Roman"/>
        </w:rPr>
        <w:fldChar w:fldCharType="separate"/>
      </w:r>
      <w:r w:rsidR="00B41ACC" w:rsidRPr="00B41ACC">
        <w:rPr>
          <w:rFonts w:ascii="Times New Roman" w:hAnsi="Times New Roman" w:cs="Times New Roman"/>
          <w:vertAlign w:val="superscript"/>
        </w:rPr>
        <w:t>278</w:t>
      </w:r>
      <w:r w:rsidR="002F320A">
        <w:rPr>
          <w:rFonts w:ascii="Times New Roman" w:hAnsi="Times New Roman" w:cs="Times New Roman"/>
        </w:rPr>
        <w:fldChar w:fldCharType="end"/>
      </w:r>
      <w:r>
        <w:rPr>
          <w:shd w:val="clear" w:color="auto" w:fill="FFFFFF"/>
        </w:rPr>
        <w:t>.</w:t>
      </w:r>
      <w:r w:rsidR="00842A00">
        <w:rPr>
          <w:shd w:val="clear" w:color="auto" w:fill="FFFFFF"/>
        </w:rPr>
        <w:t xml:space="preserve"> This combined strategy greatly enhances the diagnostic precision for febrile diseases, especially in instances with unclear clinical indicators </w:t>
      </w:r>
      <w:r w:rsidR="00842A00">
        <w:rPr>
          <w:rFonts w:ascii="Times New Roman" w:hAnsi="Times New Roman" w:cs="Times New Roman"/>
        </w:rPr>
        <w:fldChar w:fldCharType="begin"/>
      </w:r>
      <w:r w:rsidR="00B41ACC">
        <w:rPr>
          <w:rFonts w:ascii="Times New Roman" w:hAnsi="Times New Roman" w:cs="Times New Roman"/>
        </w:rPr>
        <w:instrText xml:space="preserve"> ADDIN ZOTERO_ITEM CSL_CITATION {"citationID":"NL0vuPpt","properties":{"formattedCitation":"\\super 278\\nosupersub{}","plainCitation":"278","noteIndex":0},"citationItems":[{"id":1130,"uris":["http://zotero.org/users/local/BfzbJtgR/items/RMCNNS5R"],"itemData":{"id":1130,"type":"article-journal","abstract":"OBJECTIVES: Identifying infection aetiology is essential for appropriate antibiotic use. Previous studies have shown that a host-protein signature consisting of TNF-related apoptosis-induced ligand (TRAIL), interferon-γ-induced protein-10 (IP-10), and C-reactive protein (CRP) can accurately differentiate bacterial from viral infections.\nMETHODS: This prospective, multicentre cohort study, entitled AutoPilot-Dx, aimed to validate signature performance and to estimate its potential impact on antibiotic use across a broad paediatric population (&gt;90 days to 18 years) with respiratory tract infections, or fever without source, at emergency departments and wards in Italy and Germany. Infection aetiology was adjudicated by experts based on clinical and laboratory investigations, including multiplex PCR and follow-up data.\nRESULTS: In total, 1140 patients were recruited (February 2017-December 2018), of which 1008 met the eligibility criteria (mean age 3.5 years, 41.9% female). Viral and bacterial infections were adjudicated for 628 (85.8%) and 104 (14.2%) children, respectively; 276 patients were assigned an indeterminate reference standard outcome. For the 732 children with reference standard aetiology, the signature discriminated bacterial from viral infections with a sensitivity of 93.7% (95%CI 88.7-98.7), a specificity of 94.2% (92.2-96.1), positive predictive value of 73.0% (65.0-81.0), and negative predictive value of 98.9% (98.0-99.8); in 9.8% the test results were equivocal. The signature performed consistently across different patient subgroups and detected bacterial immune responses in viral PCR-positive patients.\nCONCLUSIONS: The findings validate the high diagnostic performance of the TRAIL/IP-10/CRP signature in a broad paediatric cohort, and support its potential to reduce antibiotic overuse in children with viral infections.","container-title":"Clinical Microbiology and Infection: The Official Publication of the European Society of Clinical Microbiology and Infectious Diseases","DOI":"10.1016/j.cmi.2021.10.019","ISSN":"1469-0691","issue":"5","journalAbbreviation":"Clin Microbiol Infect","language":"eng","note":"PMID: 34768022","page":"723-730","source":"PubMed","title":"A host signature based on TRAIL, IP-10, and CRP for reducing antibiotic overuse in children by differentiating bacterial from viral infections: a prospective, multicentre cohort study","title-short":"A host signature based on TRAIL, IP-10, and CRP for reducing antibiotic overuse in children by differentiating bacterial from viral infections","volume":"28","author":[{"family":"Papan","given":"Cihan"},{"family":"Argentiero","given":"Alberto"},{"family":"Porwoll","given":"Marian"},{"family":"Hakim","given":"Ummaya"},{"family":"Farinelli","given":"Edoardo"},{"family":"Testa","given":"Ilaria"},{"family":"Pasticci","given":"Maria Bruna"},{"family":"Mezzetti","given":"Daniele"},{"family":"Perruccio","given":"Katia"},{"family":"Etshtein","given":"Liat"},{"family":"Mastboim","given":"Niv"},{"family":"Moscoviz","given":"Einat"},{"family":"Ber","given":"Tahel Ilan"},{"family":"Cohen","given":"Asi"},{"family":"Simon","given":"Einav"},{"family":"Boico","given":"Olga"},{"family":"Shani","given":"Liran"},{"family":"Gottlieb","given":"Tanya M."},{"family":"Navon","given":"Roy"},{"family":"Barash","given":"Eran"},{"family":"Oved","given":"Kfir"},{"family":"Eden","given":"Eran"},{"family":"Simon","given":"Arne"},{"family":"Liese","given":"Johannes G."},{"family":"Knuf","given":"Markus"},{"family":"Stein","given":"Michal"},{"family":"Yacobov","given":"Renata"},{"family":"Bamberger","given":"Ellen"},{"family":"Schneider","given":"Sven"},{"family":"Esposito","given":"Susanna"},{"family":"Tenenbaum","given":"Tobias"}],"issued":{"date-parts":[["2022",5]]}}}],"schema":"https://github.com/citation-style-language/schema/raw/master/csl-citation.json"} </w:instrText>
      </w:r>
      <w:r w:rsidR="00842A00">
        <w:rPr>
          <w:rFonts w:ascii="Times New Roman" w:hAnsi="Times New Roman" w:cs="Times New Roman"/>
        </w:rPr>
        <w:fldChar w:fldCharType="separate"/>
      </w:r>
      <w:r w:rsidR="00B41ACC" w:rsidRPr="00B41ACC">
        <w:rPr>
          <w:rFonts w:ascii="Times New Roman" w:hAnsi="Times New Roman" w:cs="Times New Roman"/>
          <w:vertAlign w:val="superscript"/>
        </w:rPr>
        <w:t>278</w:t>
      </w:r>
      <w:r w:rsidR="00842A00">
        <w:rPr>
          <w:rFonts w:ascii="Times New Roman" w:hAnsi="Times New Roman" w:cs="Times New Roman"/>
        </w:rPr>
        <w:fldChar w:fldCharType="end"/>
      </w:r>
      <w:r w:rsidR="00842A00">
        <w:rPr>
          <w:shd w:val="clear" w:color="auto" w:fill="FFFFFF"/>
        </w:rPr>
        <w:t>.</w:t>
      </w:r>
      <w:r w:rsidR="00842A00">
        <w:rPr>
          <w:shd w:val="clear" w:color="auto" w:fill="FFFFFF"/>
        </w:rPr>
        <w:br/>
      </w:r>
      <w:r w:rsidR="00842A00">
        <w:rPr>
          <w:shd w:val="clear" w:color="auto" w:fill="FFFFFF"/>
        </w:rPr>
        <w:br/>
        <w:t xml:space="preserve">Since it slows viral replication, assists in disease resolution by inducing apoptosis in infected cells, and thus helps to manage viral copy, TRAIL is therefore critical for the immune system. Essentially, it has been discovered to be a major biological marker for differentiating viral respiratory diseases, from flu and COVID-19, from those of bacterial </w:t>
      </w:r>
      <w:r w:rsidR="00B55B92">
        <w:rPr>
          <w:shd w:val="clear" w:color="auto" w:fill="FFFFFF"/>
        </w:rPr>
        <w:t xml:space="preserve">origin. </w:t>
      </w:r>
      <w:r w:rsidR="00842A00">
        <w:rPr>
          <w:shd w:val="clear" w:color="auto" w:fill="FFFFFF"/>
        </w:rPr>
        <w:t>Among numerous patient categories, including tiny children and those with weakened immune systems, TRAIL also increases the sensitivity of ImmunoXperts™ in a multi-marker system</w:t>
      </w:r>
      <w:r w:rsidR="00B55B92">
        <w:rPr>
          <w:rFonts w:ascii="Times New Roman" w:hAnsi="Times New Roman" w:cs="Times New Roman"/>
        </w:rPr>
        <w:fldChar w:fldCharType="begin"/>
      </w:r>
      <w:r w:rsidR="00B41ACC">
        <w:rPr>
          <w:rFonts w:ascii="Times New Roman" w:hAnsi="Times New Roman" w:cs="Times New Roman"/>
        </w:rPr>
        <w:instrText xml:space="preserve"> ADDIN ZOTERO_ITEM CSL_CITATION {"citationID":"uN8wluW8","properties":{"formattedCitation":"\\super 279\\nosupersub{}","plainCitation":"279","noteIndex":0},"citationItems":[{"id":1133,"uris":["http://zotero.org/users/local/BfzbJtgR/items/87CEYXDS"],"itemData":{"id":1133,"type":"article-journal","abstract":"Bacterial and viral infections often present with similar symptoms. Etiologic misdiagnosis can alter the trajectory of patient care, including antibiotic overuse. A host-protein signature comprising tumor necrosis factor-related apoptosis-inducing ligand (TRAIL), interferon gamma-induced protein-10 (IP-10), and C-reactive protein (CRP) was validated recently for differentiating bacterial from viral disease. However, a focused head-to-head comparison of its diagnostic performance against other biomarker candidates for this indication was lacking in patients with respiratory infection and fever without source. We compared the signature to other biomarkers and prediction rules using specimens collected prospectively at two secondary medical centers from children and adults. Inclusion criteria included fever &gt; 37.5 °C, symptom duration ≤ 12 days, and presentation with respiratory infection or fever without source. Comparator method was based on expert panel adjudication. Signature and biomarker cutoffs and prediction rules were predefined. Of 493 potentially eligible patients, 314 were assigned unanimous expert panel diagnosis and also had sufficient specimen volume. The resulting cohort comprised 175 (56%) viral and 139 (44%) bacterial infections. Signature sensitivity 93.5% (95% CI 89.1-97.9%), specificity 94.3% (95% CI 90.7-98.0%), or both were significantly higher (all p values &lt; 0.01) than for CRP, procalcitonin, interleukin-6, human neutrophil lipocalin, white blood cell count, absolute neutrophil count, and prediction rules. Signature identified as viral 50/57 viral patients prescribed antibiotics, suggesting potential to reduce antibiotic overuse by 88%. The host-protein signature demonstrated superior diagnostic performance in differentiating viral from bacterial respiratory infections and fever without source. Future utility studies are warranted to validate potential to reduce antibiotic overuse.","container-title":"European Journal of Clinical Microbiology &amp; Infectious Diseases: Official Publication of the European Society of Clinical Microbiology","DOI":"10.1007/s10096-018-3261-3","ISSN":"1435-4373","issue":"7","journalAbbreviation":"Eur J Clin Microbiol Infect Dis","language":"eng","note":"PMID: 29700762\nPMCID: PMC6015097","page":"1361-1371","source":"PubMed","title":"A host-protein signature is superior to other biomarkers for differentiating between bacterial and viral disease in patients with respiratory infection and fever without source: a prospective observational study","title-short":"A host-protein signature is superior to other biomarkers for differentiating between bacterial and viral disease in patients with respiratory infection and fever without source","volume":"37","author":[{"family":"Ashkenazi-Hoffnung","given":"Liat"},{"family":"Oved","given":"Kfir"},{"family":"Navon","given":"Roy"},{"family":"Friedman","given":"Tom"},{"family":"Boico","given":"Olga"},{"family":"Paz","given":"Meital"},{"family":"Kronenfeld","given":"Gali"},{"family":"Etshtein","given":"Liat"},{"family":"Cohen","given":"Asi"},{"family":"Gottlieb","given":"Tanya M."},{"family":"Eden","given":"Eran"},{"family":"Chistyakov","given":"Irina"},{"family":"Srugo","given":"Isaac"},{"family":"Klein","given":"Adi"},{"family":"Ashkenazi","given":"Shai"},{"family":"Scheuerman","given":"Oded"}],"issued":{"date-parts":[["2018",7]]}}}],"schema":"https://github.com/citation-style-language/schema/raw/master/csl-citation.json"} </w:instrText>
      </w:r>
      <w:r w:rsidR="00B55B92">
        <w:rPr>
          <w:rFonts w:ascii="Times New Roman" w:hAnsi="Times New Roman" w:cs="Times New Roman"/>
        </w:rPr>
        <w:fldChar w:fldCharType="separate"/>
      </w:r>
      <w:r w:rsidR="00B41ACC" w:rsidRPr="00B41ACC">
        <w:rPr>
          <w:rFonts w:ascii="Times New Roman" w:hAnsi="Times New Roman" w:cs="Times New Roman"/>
          <w:vertAlign w:val="superscript"/>
        </w:rPr>
        <w:t>279</w:t>
      </w:r>
      <w:r w:rsidR="00B55B92">
        <w:rPr>
          <w:rFonts w:ascii="Times New Roman" w:hAnsi="Times New Roman" w:cs="Times New Roman"/>
        </w:rPr>
        <w:fldChar w:fldCharType="end"/>
      </w:r>
      <w:r w:rsidR="00842A00">
        <w:rPr>
          <w:shd w:val="clear" w:color="auto" w:fill="FFFFFF"/>
        </w:rPr>
        <w:t>.</w:t>
      </w:r>
      <w:r w:rsidR="00842A00">
        <w:rPr>
          <w:shd w:val="clear" w:color="auto" w:fill="FFFFFF"/>
        </w:rPr>
        <w:br/>
      </w:r>
      <w:r w:rsidR="00842A00">
        <w:rPr>
          <w:shd w:val="clear" w:color="auto" w:fill="FFFFFF"/>
        </w:rPr>
        <w:br/>
        <w:t xml:space="preserve">The future of TRAIL-based diagnostics depends on its integration with cutting edge tools including multiplex assays and machine learning. Real-time point-of-care testing will let these developments totally unfold, therefore allowing doctors to quickly produce evidence-based judgments that optimize patient results </w:t>
      </w:r>
      <w:r w:rsidR="00B55B92">
        <w:rPr>
          <w:shd w:val="clear" w:color="auto" w:fill="FFFFFF"/>
        </w:rPr>
        <w:t>and antibacterial management</w:t>
      </w:r>
      <w:r w:rsidR="00B55B92">
        <w:rPr>
          <w:rFonts w:ascii="Times New Roman" w:hAnsi="Times New Roman" w:cs="Times New Roman"/>
        </w:rPr>
        <w:fldChar w:fldCharType="begin"/>
      </w:r>
      <w:r w:rsidR="00B41ACC">
        <w:rPr>
          <w:rFonts w:ascii="Times New Roman" w:hAnsi="Times New Roman" w:cs="Times New Roman"/>
        </w:rPr>
        <w:instrText xml:space="preserve"> ADDIN ZOTERO_ITEM CSL_CITATION {"citationID":"lxFrCOQL","properties":{"formattedCitation":"\\super 280\\nosupersub{}","plainCitation":"280","noteIndex":0},"citationItems":[{"id":1136,"uris":["http://zotero.org/users/local/BfzbJtgR/items/X8EH3K79"],"itemData":{"id":1136,"type":"article-journal","abstract":"Multiplex assays that provide simultaneous measurement of multiple analytes in biological samples have now developed into widely used technologies in the study of diseases, drug discovery, and other medical areas. These approaches span multiple assay systems and can provide readouts of specific assay components with similar accuracy as the respective single assay measurements. Multiplexing allows the consumption of lower sample volumes, lower costs, and higher throughput compared with carrying out single assays. A number of recent studies have demonstrated the impact of multiplex assays in the study of the SARS-CoV-2 virus, the infectious agent responsible for the current COVID-19 pandemic. In this respect, machine learning techniques have proven to be highly valuable in capturing complex disease phenotypes and converting these insights into models which can be applied in real-world settings. This chapter gives an overview of opportunities and challenges of multiplexed biomarker analysis, with a focus on the use of machine learning aimed at identification of biological signatures for increasing our understanding of COVID-19 disease, and for improved diagnostics and prediction of disease outcomes.","container-title":"Methods in Molecular Biology (Clifton, N.J.)","DOI":"10.1007/978-1-0716-2395-4_3","ISSN":"1940-6029","journalAbbreviation":"Methods Mol Biol","language":"eng","note":"PMID: 35838950","page":"37-50","source":"PubMed","title":"Challenges of Multiplex Assays for COVID-19 Research: A Machine Learning Perspective","title-short":"Challenges of Multiplex Assays for COVID-19 Research","volume":"2511","author":[{"family":"Guest","given":"Paul C."},{"family":"Popovic","given":"David"},{"family":"Steiner","given":"Johann"}],"issued":{"date-parts":[["2022"]]}}}],"schema":"https://github.com/citation-style-language/schema/raw/master/csl-citation.json"} </w:instrText>
      </w:r>
      <w:r w:rsidR="00B55B92">
        <w:rPr>
          <w:rFonts w:ascii="Times New Roman" w:hAnsi="Times New Roman" w:cs="Times New Roman"/>
        </w:rPr>
        <w:fldChar w:fldCharType="separate"/>
      </w:r>
      <w:r w:rsidR="00B41ACC" w:rsidRPr="00B41ACC">
        <w:rPr>
          <w:rFonts w:ascii="Times New Roman" w:hAnsi="Times New Roman" w:cs="Times New Roman"/>
          <w:vertAlign w:val="superscript"/>
        </w:rPr>
        <w:t>280</w:t>
      </w:r>
      <w:r w:rsidR="00B55B92">
        <w:rPr>
          <w:rFonts w:ascii="Times New Roman" w:hAnsi="Times New Roman" w:cs="Times New Roman"/>
        </w:rPr>
        <w:fldChar w:fldCharType="end"/>
      </w:r>
      <w:r w:rsidR="00B55B92">
        <w:rPr>
          <w:rFonts w:ascii="Times New Roman" w:hAnsi="Times New Roman" w:cs="Times New Roman"/>
        </w:rPr>
        <w:t>.</w:t>
      </w:r>
    </w:p>
    <w:p w:rsidR="00AF392F" w:rsidRDefault="00AF392F" w:rsidP="00DA4431">
      <w:pPr>
        <w:pStyle w:val="Textbody"/>
        <w:spacing w:after="0"/>
        <w:jc w:val="both"/>
        <w:rPr>
          <w:rFonts w:ascii="Times New Roman" w:hAnsi="Times New Roman" w:cs="Times New Roman"/>
        </w:rPr>
      </w:pPr>
    </w:p>
    <w:p w:rsidR="00AF392F" w:rsidRDefault="00AF392F" w:rsidP="00DA4431">
      <w:pPr>
        <w:pStyle w:val="Textbody"/>
        <w:spacing w:after="0"/>
        <w:jc w:val="both"/>
        <w:rPr>
          <w:shd w:val="clear" w:color="auto" w:fill="FFFFFF"/>
        </w:rPr>
      </w:pPr>
    </w:p>
    <w:p w:rsidR="00231DB0" w:rsidRDefault="00231DB0" w:rsidP="00840BE0">
      <w:pPr>
        <w:pStyle w:val="Heading2"/>
        <w:numPr>
          <w:ilvl w:val="1"/>
          <w:numId w:val="28"/>
        </w:numPr>
        <w:spacing w:before="0"/>
        <w:rPr>
          <w:rFonts w:ascii="Times New Roman" w:eastAsia="Times New Roman" w:hAnsi="Times New Roman" w:cs="Times New Roman"/>
          <w:b/>
          <w:color w:val="auto"/>
          <w:sz w:val="24"/>
        </w:rPr>
      </w:pPr>
      <w:bookmarkStart w:id="31" w:name="_Toc193802142"/>
      <w:r w:rsidRPr="002431CA">
        <w:rPr>
          <w:rFonts w:ascii="Times New Roman" w:eastAsia="Times New Roman" w:hAnsi="Times New Roman" w:cs="Times New Roman"/>
          <w:b/>
          <w:color w:val="auto"/>
          <w:sz w:val="24"/>
        </w:rPr>
        <w:lastRenderedPageBreak/>
        <w:t>IP-10</w:t>
      </w:r>
      <w:bookmarkEnd w:id="31"/>
    </w:p>
    <w:p w:rsidR="00D0258E" w:rsidRPr="00D0258E" w:rsidRDefault="00D0258E" w:rsidP="00D0258E"/>
    <w:p w:rsidR="00C20AE6" w:rsidRDefault="00C20AE6" w:rsidP="00840BE0">
      <w:pPr>
        <w:pStyle w:val="Textbody"/>
        <w:spacing w:after="0"/>
        <w:jc w:val="both"/>
        <w:rPr>
          <w:shd w:val="clear" w:color="auto" w:fill="FFFFFF"/>
        </w:rPr>
      </w:pPr>
      <w:r>
        <w:rPr>
          <w:shd w:val="clear" w:color="auto" w:fill="FFFFFF"/>
        </w:rPr>
        <w:t>A chemokine, IP-10, plays an important role in the immune response, as a potent chemoattractant for immune cells and facilitates the recruitment of these cells to the site of infection. This chemokine is induced by interferon-gamma (IFN-γ) in response to viral infection. This chemokine significantly increased in such an infection, making this chemokine as a biomarker for viral infection. This chemokine is seen as a viral disease marker since its levels are significantly elevated in viral infections</w:t>
      </w:r>
      <w:r>
        <w:rPr>
          <w:rFonts w:ascii="Times New Roman" w:eastAsia="Times New Roman" w:hAnsi="Times New Roman" w:cs="Times New Roman"/>
          <w:kern w:val="0"/>
          <w:lang w:eastAsia="en-US" w:bidi="ar-SA"/>
        </w:rPr>
        <w:fldChar w:fldCharType="begin"/>
      </w:r>
      <w:r w:rsidR="00B41ACC">
        <w:rPr>
          <w:rFonts w:ascii="Times New Roman" w:eastAsia="Times New Roman" w:hAnsi="Times New Roman" w:cs="Times New Roman"/>
          <w:kern w:val="0"/>
          <w:lang w:eastAsia="en-US" w:bidi="ar-SA"/>
        </w:rPr>
        <w:instrText xml:space="preserve"> ADDIN ZOTERO_ITEM CSL_CITATION {"citationID":"nziklY6m","properties":{"formattedCitation":"\\super 281\\nosupersub{}","plainCitation":"281","noteIndex":0},"citationItems":[{"id":1138,"uris":["http://zotero.org/users/local/BfzbJtgR/items/3YDKU3W9"],"itemData":{"id":1138,"type":"article-journal","abstract":"C-X-C motif chemokine 10 (CXCL10) also known as interferon γ-induced protein 10 kDa (IP-10) or small-inducible cytokine B10 is a cytokine belonging to the CXC chemokine family. CXCL10 binds CXCR3 receptor to induce chemotaxis, apoptosis, cell growth and angiostasis. Alterations in CXCL10 expression levels have been associated with inflammatory diseases including infectious diseases, immune dysfunction and tumor development. CXCL10 is also recognized as a biomarker that predicts severity of various diseases. A review of the emerging role of CXCL10 in pathogenesis of infectious diseases revealed diverse roles of CXCL10 in disease initiation and progression. The potential utilization of CXCL10 as a therapeutic target for infectious diseases is discussed.","container-title":"Cytokine &amp; Growth Factor Reviews","DOI":"10.1016/j.cytogfr.2011.06.001","ISSN":"1879-0305","issue":"3","journalAbbreviation":"Cytokine Growth Factor Rev","language":"eng","note":"PMID: 21802343\nPMCID: PMC3203691","page":"121-130","source":"PubMed","title":"CXCL10/IP-10 in infectious diseases pathogenesis and potential therapeutic implications","volume":"22","author":[{"family":"Liu","given":"Mingli"},{"family":"Guo","given":"Shanchun"},{"family":"Hibbert","given":"Jacqueline M."},{"family":"Jain","given":"Vidhan"},{"family":"Singh","given":"Neeru"},{"family":"Wilson","given":"Nana O."},{"family":"Stiles","given":"Jonathan K."}],"issued":{"date-parts":[["2011",6]]}}}],"schema":"https://github.com/citation-style-language/schema/raw/master/csl-citation.json"} </w:instrText>
      </w:r>
      <w:r>
        <w:rPr>
          <w:rFonts w:ascii="Times New Roman" w:eastAsia="Times New Roman" w:hAnsi="Times New Roman" w:cs="Times New Roman"/>
          <w:kern w:val="0"/>
          <w:lang w:eastAsia="en-US" w:bidi="ar-SA"/>
        </w:rPr>
        <w:fldChar w:fldCharType="separate"/>
      </w:r>
      <w:r w:rsidR="00B41ACC" w:rsidRPr="00B41ACC">
        <w:rPr>
          <w:rFonts w:ascii="Times New Roman" w:hAnsi="Times New Roman" w:cs="Times New Roman"/>
          <w:vertAlign w:val="superscript"/>
        </w:rPr>
        <w:t>281</w:t>
      </w:r>
      <w:r>
        <w:rPr>
          <w:rFonts w:ascii="Times New Roman" w:eastAsia="Times New Roman" w:hAnsi="Times New Roman" w:cs="Times New Roman"/>
          <w:kern w:val="0"/>
          <w:lang w:eastAsia="en-US" w:bidi="ar-SA"/>
        </w:rPr>
        <w:fldChar w:fldCharType="end"/>
      </w:r>
      <w:r>
        <w:rPr>
          <w:rFonts w:ascii="Times New Roman" w:eastAsia="Times New Roman" w:hAnsi="Times New Roman" w:cs="Times New Roman"/>
          <w:kern w:val="0"/>
          <w:lang w:eastAsia="en-US" w:bidi="ar-SA"/>
        </w:rPr>
        <w:t>.</w:t>
      </w:r>
      <w:r>
        <w:rPr>
          <w:shd w:val="clear" w:color="auto" w:fill="FFFFFF"/>
        </w:rPr>
        <w:t xml:space="preserve"> .</w:t>
      </w:r>
      <w:r>
        <w:rPr>
          <w:shd w:val="clear" w:color="auto" w:fill="FFFFFF"/>
        </w:rPr>
        <w:br/>
      </w:r>
    </w:p>
    <w:p w:rsidR="00C20AE6" w:rsidRDefault="00C20AE6" w:rsidP="00231DB0">
      <w:pPr>
        <w:pStyle w:val="Textbody"/>
        <w:jc w:val="both"/>
        <w:rPr>
          <w:rFonts w:ascii="Times New Roman" w:hAnsi="Times New Roman" w:cs="Times New Roman"/>
        </w:rPr>
      </w:pPr>
      <w:r>
        <w:rPr>
          <w:shd w:val="clear" w:color="auto" w:fill="FFFFFF"/>
        </w:rPr>
        <w:t xml:space="preserve">Based on thorough studies and verification in both adult and pediatric populations, IP-10 is said to be useful for differentiating viral respiratory disorders from bacterial or other non-viral ones. Another term for IP-10 (Interferon gamma-induced protein 10) is CXCL10; it is a compound essential for immune system operation. One of the main players is interferon-gamma (IFN-γ), a cytokine manufactured in response to viral infections. Particularly T cells, IP-10 enables immune cell migration to sites of infection by acting as a strong chemoattractant </w:t>
      </w:r>
      <w:r>
        <w:rPr>
          <w:rFonts w:ascii="Times New Roman" w:hAnsi="Times New Roman" w:cs="Times New Roman"/>
        </w:rPr>
        <w:fldChar w:fldCharType="begin"/>
      </w:r>
      <w:r w:rsidR="00B41ACC">
        <w:rPr>
          <w:rFonts w:ascii="Times New Roman" w:hAnsi="Times New Roman" w:cs="Times New Roman"/>
        </w:rPr>
        <w:instrText xml:space="preserve"> ADDIN ZOTERO_ITEM CSL_CITATION {"citationID":"Z7GnoUjk","properties":{"formattedCitation":"\\super 282\\nosupersub{}","plainCitation":"282","noteIndex":0},"citationItems":[{"id":1141,"uris":["http://zotero.org/users/local/BfzbJtgR/items/IZZH9C88"],"itemData":{"id":1141,"type":"article-journal","abstract":"BACKGROUND: The inflammatory chemokine, interferon-gamma inducible protein of 10kDa (IP-10), is a biomarker associated with several conditions.\nOBJECTIVES: This study investigated serum concentrations of IP-10 in healthy individuals who developed acute respiratory infection (ARI). The hypothesis is that serum IP-10 concentrations correlate with ARI severity and detection of viral pathogens.\nSTUDY DESIGN: Data come from a randomized controlled trial measuring the effects of mindfulness meditation or exercise on ARI (Clinical Trials ID: NCT01654289). Healthy adults ages 30-69 were followed for a single season for ARI incidence and severity. This trial is ongoing, and the investigators are still blinded. When a participant reported ARI symptoms, nasal swab and lavage for PCR-based viral identification and blood samples were collected within the first 72h of ARI symptoms. Serum IP-10 concentrations were measured by ELISA (R&amp;D Systems, Inc., Quantikine ELISA, Minneapolis, MN). ARI severity was measured using the validated Wisconsin Upper Respiratory Symptom Survey (WURSS-24) until the ARI episode resolved.\nRESULTS: Serum IP-10 concentrations from 225 ARI episodes correlated with ARI global severity (rho 0.28 [95% CI: 0.15-0.39]; p&lt;0.001). IP-10 concentrations were higher with an ARI in which a viral pathogen was detected compared to no viral pathogen detected (median 366pg/ml [IQR: 227-486] vs 163pg/ml [IQR: 127-295], p&lt;0.0001). Influenza infections had higher IP-10 concentrations than coronavirus, enterovirus or rhinovirus, and paramyxovirus.\nCONCLUSION: Serum IP-10 concentration correlates with ARI global severity. Also, IP-10 concentration measured early in the course of the ARI correlates with the daily severity, duration, and illness symptoms.","container-title":"Journal of Clinical Virology: The Official Publication of the Pan American Society for Clinical Virology","DOI":"10.1016/j.jcv.2017.03.003","ISSN":"1873-5967","journalAbbreviation":"J Clin Virol","language":"eng","note":"PMID: 28334685\nPMCID: PMC5408957","page":"32-37","source":"PubMed","title":"Serum IFN-γ-induced protein 10 (IP-10) as a biomarker for severity of acute respiratory infection in healthy adults","volume":"90","author":[{"family":"Hayney","given":"Mary S."},{"family":"Henriquez","given":"Kelsey M."},{"family":"Barnet","given":"Jodi H."},{"family":"Ewers","given":"Tola"},{"family":"Champion","given":"Heather M."},{"family":"Flannery","given":"Sean"},{"family":"Barrett","given":"Bruce"}],"issued":{"date-parts":[["2017",5]]}}}],"schema":"https://github.com/citation-style-language/schema/raw/master/csl-citation.json"} </w:instrText>
      </w:r>
      <w:r>
        <w:rPr>
          <w:rFonts w:ascii="Times New Roman" w:hAnsi="Times New Roman" w:cs="Times New Roman"/>
        </w:rPr>
        <w:fldChar w:fldCharType="separate"/>
      </w:r>
      <w:r w:rsidR="00B41ACC" w:rsidRPr="00B41ACC">
        <w:rPr>
          <w:rFonts w:ascii="Times New Roman" w:hAnsi="Times New Roman" w:cs="Times New Roman"/>
          <w:vertAlign w:val="superscript"/>
        </w:rPr>
        <w:t>282</w:t>
      </w:r>
      <w:r>
        <w:rPr>
          <w:rFonts w:ascii="Times New Roman" w:hAnsi="Times New Roman" w:cs="Times New Roman"/>
        </w:rPr>
        <w:fldChar w:fldCharType="end"/>
      </w:r>
      <w:r>
        <w:rPr>
          <w:shd w:val="clear" w:color="auto" w:fill="FFFFFF"/>
        </w:rPr>
        <w:t>.</w:t>
      </w:r>
    </w:p>
    <w:p w:rsidR="001E42C4" w:rsidRPr="00533C59" w:rsidRDefault="001E42C4" w:rsidP="00533C59">
      <w:pPr>
        <w:pStyle w:val="Heading2"/>
        <w:numPr>
          <w:ilvl w:val="1"/>
          <w:numId w:val="28"/>
        </w:numPr>
        <w:rPr>
          <w:rFonts w:ascii="Times New Roman" w:hAnsi="Times New Roman" w:cs="Times New Roman"/>
          <w:b/>
          <w:color w:val="auto"/>
          <w:sz w:val="24"/>
        </w:rPr>
      </w:pPr>
      <w:bookmarkStart w:id="32" w:name="_Toc193802143"/>
      <w:r w:rsidRPr="00533C59">
        <w:rPr>
          <w:rFonts w:ascii="Times New Roman" w:eastAsia="Times New Roman" w:hAnsi="Times New Roman" w:cs="Times New Roman"/>
          <w:b/>
          <w:color w:val="auto"/>
          <w:sz w:val="24"/>
        </w:rPr>
        <w:t>Myxovirus Resistance Protein A</w:t>
      </w:r>
      <w:bookmarkEnd w:id="32"/>
    </w:p>
    <w:p w:rsidR="001E42C4" w:rsidRDefault="001E42C4" w:rsidP="001E42C4">
      <w:pPr>
        <w:pStyle w:val="Textbody"/>
        <w:suppressAutoHyphens w:val="0"/>
        <w:spacing w:before="280" w:after="280"/>
        <w:jc w:val="both"/>
        <w:rPr>
          <w:rFonts w:ascii="Times New Roman" w:hAnsi="Times New Roman" w:cs="Times New Roman"/>
        </w:rPr>
      </w:pPr>
      <w:r>
        <w:rPr>
          <w:rFonts w:ascii="Times New Roman" w:eastAsia="Times New Roman" w:hAnsi="Times New Roman" w:cs="Times New Roman"/>
          <w:kern w:val="0"/>
          <w:lang w:eastAsia="en-US" w:bidi="ar-SA"/>
        </w:rPr>
        <w:t>MxA (Myxovirus resistance protein A) is an interferon-induced protein that plays a critical role in the body's defense against viral infections. It is specifically upregulated in response to type I and type II interferons, which are released during viral exposure. MxA functions as an antiviral protein by inhibiting the replication of various viruses, including influenza and other RNA viruses, by interacting with viral components and preventing their ability to replicate within host cells</w:t>
      </w:r>
      <w:r>
        <w:rPr>
          <w:rFonts w:ascii="Times New Roman" w:eastAsia="Times New Roman" w:hAnsi="Times New Roman" w:cs="Times New Roman"/>
          <w:kern w:val="0"/>
          <w:lang w:eastAsia="en-US" w:bidi="ar-SA"/>
        </w:rPr>
        <w:fldChar w:fldCharType="begin"/>
      </w:r>
      <w:r w:rsidR="00B41ACC">
        <w:rPr>
          <w:rFonts w:ascii="Times New Roman" w:eastAsia="Times New Roman" w:hAnsi="Times New Roman" w:cs="Times New Roman"/>
          <w:kern w:val="0"/>
          <w:lang w:eastAsia="en-US" w:bidi="ar-SA"/>
        </w:rPr>
        <w:instrText xml:space="preserve"> ADDIN ZOTERO_ITEM CSL_CITATION {"citationID":"vQxNZQfM","properties":{"formattedCitation":"\\super 283\\nosupersub{}","plainCitation":"283","noteIndex":0},"citationItems":[{"id":1147,"uris":["http://zotero.org/users/local/BfzbJtgR/items/P9BZFV5L"],"itemData":{"id":1147,"type":"article-journal","abstract":"Mx proteins are key components of the antiviral state induced by interferons in many species. They belong to the class of dynamin-like large guanosine triphosphatases (GTPases) known to be involved in intracellular vesicle trafficking and organelle homeostasis. Mx GTPases share structural and functional properties with dynamin, such as self-assembly and association with intracellular membranes. A unique property of some Mx GTPases is their antiviral activity against a wide range of RNA viruses, including influenza viruses and members of the bunyavirus family. These viruses are inhibited at an early stage in their life cycle, soon after host cell entry and before genome amplification. The mouse Mx1 GTPase accumulates in the cell nucleus where it associates with components of the PML nuclear bodies and inhibits influenza and Thogoto viruses known to replicate in the nucleus. The human MxA GTPase accumulates in the cytoplasm and is partly associated with a COP-I-positive subcompartment of the endoplasmic reticulum. This membrane compartment seems to provide an interaction platform that facilitates viral target recognition. In the case of bunyaviruses, MxA recognizes the viral nucleocapsid protein and interferes with its role in viral genome replication. In the case of Thogoto virus, MxA recognizes the viral nucleoprotein and prevents the incoming viral nucleocapsids from being transported into the nucleus, the site of viral transcription and replication. In both cases, GTP-binding and carboxy-terminal effector functions of MxA are required for target recognition. In general, Mx GTPases appear to detect viral infection by sensing nucleocapsid-like structures. As a consequence, these viral components are trapped and sorted to locations where they become unavailable for the generation of new virus particles.","container-title":"Biochimie","DOI":"10.1016/j.biochi.2007.04.015","ISSN":"0300-9084","issue":"6-7","journalAbbreviation":"Biochimie","language":"eng","note":"PMID: 17570575","page":"812-818","source":"PubMed","title":"Interferon-induced Mx proteins in antiviral host defense","volume":"89","author":[{"family":"Haller","given":"Otto"},{"family":"Staeheli","given":"Peter"},{"family":"Kochs","given":"Georg"}],"issued":{"date-parts":[["2007"]]}}}],"schema":"https://github.com/citation-style-language/schema/raw/master/csl-citation.json"} </w:instrText>
      </w:r>
      <w:r>
        <w:rPr>
          <w:rFonts w:ascii="Times New Roman" w:eastAsia="Times New Roman" w:hAnsi="Times New Roman" w:cs="Times New Roman"/>
          <w:kern w:val="0"/>
          <w:lang w:eastAsia="en-US" w:bidi="ar-SA"/>
        </w:rPr>
        <w:fldChar w:fldCharType="separate"/>
      </w:r>
      <w:r w:rsidR="00B41ACC" w:rsidRPr="00B41ACC">
        <w:rPr>
          <w:rFonts w:ascii="Times New Roman" w:hAnsi="Times New Roman" w:cs="Times New Roman"/>
          <w:vertAlign w:val="superscript"/>
        </w:rPr>
        <w:t>283</w:t>
      </w:r>
      <w:r>
        <w:rPr>
          <w:rFonts w:ascii="Times New Roman" w:eastAsia="Times New Roman" w:hAnsi="Times New Roman" w:cs="Times New Roman"/>
          <w:kern w:val="0"/>
          <w:lang w:eastAsia="en-US" w:bidi="ar-SA"/>
        </w:rPr>
        <w:fldChar w:fldCharType="end"/>
      </w:r>
      <w:r>
        <w:rPr>
          <w:rFonts w:ascii="Times New Roman" w:eastAsia="Times New Roman" w:hAnsi="Times New Roman" w:cs="Times New Roman"/>
          <w:kern w:val="0"/>
          <w:lang w:eastAsia="en-US" w:bidi="ar-SA"/>
        </w:rPr>
        <w:t>.</w:t>
      </w:r>
    </w:p>
    <w:p w:rsidR="00213863" w:rsidRPr="00AC1D43" w:rsidRDefault="001E42C4" w:rsidP="00BC726F">
      <w:pPr>
        <w:pStyle w:val="Textbody"/>
        <w:spacing w:before="240" w:after="0"/>
        <w:jc w:val="both"/>
        <w:rPr>
          <w:rFonts w:ascii="Times New Roman" w:hAnsi="Times New Roman" w:cs="Times New Roman"/>
        </w:rPr>
      </w:pPr>
      <w:r>
        <w:rPr>
          <w:rFonts w:ascii="Times New Roman" w:hAnsi="Times New Roman" w:cs="Times New Roman"/>
        </w:rPr>
        <w:t xml:space="preserve">Due to its strong association with viral infections, MxA has become a valuable biomarker for distinguishing viral from bacterial infections. It is a key component of the FebriDx assay, a diagnostic test that combines MxA and C-reactive protein (CRP) to rapidly differentiate between viral and bacterial respiratory infections. The FebriDx assay leverages the elevated levels of MxA during viral infections and the inflammatory response indicated by CRP to provide a quick and accurate distinction, aiding clinicians in making more informed decisions regarding treatment </w:t>
      </w:r>
      <w:r>
        <w:rPr>
          <w:rFonts w:ascii="Times New Roman" w:hAnsi="Times New Roman" w:cs="Times New Roman"/>
        </w:rPr>
        <w:fldChar w:fldCharType="begin"/>
      </w:r>
      <w:r w:rsidR="00B41ACC">
        <w:rPr>
          <w:rFonts w:ascii="Times New Roman" w:hAnsi="Times New Roman" w:cs="Times New Roman"/>
        </w:rPr>
        <w:instrText xml:space="preserve"> ADDIN ZOTERO_ITEM CSL_CITATION {"citationID":"UNRGDK1A","properties":{"formattedCitation":"\\super 284\\nosupersub{}","plainCitation":"284","noteIndex":0},"citationItems":[{"id":1152,"uris":["http://zotero.org/users/local/BfzbJtgR/items/UAKV342M"],"itemData":{"id":1152,"type":"article-journal","abstract":"FebriDx® is a rapid, point-of-care diagnostic test that is designed to aid in the differentiation of bacterial and viral acute respiratory infections (ARIs), thus helping to guide decisions regarding the prescription of antibiotics in the outpatient setting. FebriDx carries a CE mark for use in the EU and is also approved in several other countries, including Canada, Saudi Arabia and Singapore. It is indicated for use in patients &gt; 2 years old with symptoms consistent with a community-acquired ARI. The test involves the use of an immunoassay on a fingerstick blood sample to provide simultaneous, qualitative measurement of elevated levels of C-reactive protein (CRP) and myxovirus resistance protein A (MxA). In two prospective, multicentre studies in patients with acute upper respiratory tract infections, FebriDx was shown to be both sensitive and specific in identifying patients with a clinically significant infection and in differentiating between infections of bacterial and viral aetiology. The test is simple, requires no additional equipment and produces actionable results in ~ 10 min. As was demonstrated in a small, retrospective analysis, FebriDx results can help guide (improve) antibiotic prescribing decisions. Reducing the unnecessary or inappropriate prescription of antibiotics for ARIs of probable viral aetiology is important for antibiotic stewardship and can also reduce the unnecessary exposure of patients to the risk of antibiotic-related adverse events. FebriDx thus represents a useful diagnostic tool in the outpatient setting.","container-title":"Molecular Diagnosis &amp; Therapy","DOI":"10.1007/s40291-019-00433-x","ISSN":"1179-2000","issue":"6","journalAbbreviation":"Mol Diagn Ther","language":"eng","note":"PMID: 31691924\nPMCID: PMC7099706","page":"803-809","source":"PubMed","title":"FebriDx®: A Rapid Diagnostic Test for Differentiating Bacterial and Viral Aetiologies in Acute Respiratory Infections","title-short":"FebriDx®","volume":"23","author":[{"family":"Shirley","given":"Matt"}],"issued":{"date-parts":[["2019",12]]}}}],"schema":"https://github.com/citation-style-language/schema/raw/master/csl-citation.json"} </w:instrText>
      </w:r>
      <w:r>
        <w:rPr>
          <w:rFonts w:ascii="Times New Roman" w:hAnsi="Times New Roman" w:cs="Times New Roman"/>
        </w:rPr>
        <w:fldChar w:fldCharType="separate"/>
      </w:r>
      <w:r w:rsidR="00B41ACC" w:rsidRPr="00B41ACC">
        <w:rPr>
          <w:rFonts w:ascii="Times New Roman" w:hAnsi="Times New Roman" w:cs="Times New Roman"/>
          <w:vertAlign w:val="superscript"/>
        </w:rPr>
        <w:t>284</w:t>
      </w:r>
      <w:r>
        <w:rPr>
          <w:rFonts w:ascii="Times New Roman" w:hAnsi="Times New Roman" w:cs="Times New Roman"/>
        </w:rPr>
        <w:fldChar w:fldCharType="end"/>
      </w:r>
      <w:r w:rsidR="00AC1D43">
        <w:rPr>
          <w:rFonts w:ascii="Times New Roman" w:hAnsi="Times New Roman" w:cs="Times New Roman"/>
        </w:rPr>
        <w:t>.</w:t>
      </w:r>
    </w:p>
    <w:p w:rsidR="00213863" w:rsidRDefault="00213863" w:rsidP="00BC726F">
      <w:pPr>
        <w:pStyle w:val="Heading1"/>
        <w:numPr>
          <w:ilvl w:val="0"/>
          <w:numId w:val="28"/>
        </w:numPr>
        <w:spacing w:before="240" w:after="0"/>
        <w:rPr>
          <w:rFonts w:ascii="Times New Roman" w:eastAsia="Times New Roman" w:hAnsi="Times New Roman" w:cs="Times New Roman"/>
          <w:b/>
          <w:color w:val="auto"/>
          <w:sz w:val="28"/>
        </w:rPr>
      </w:pPr>
      <w:bookmarkStart w:id="33" w:name="_Toc193802144"/>
      <w:r w:rsidRPr="00AC1D43">
        <w:rPr>
          <w:rFonts w:ascii="Times New Roman" w:eastAsia="Times New Roman" w:hAnsi="Times New Roman" w:cs="Times New Roman"/>
          <w:b/>
          <w:color w:val="auto"/>
          <w:sz w:val="28"/>
        </w:rPr>
        <w:t>Application in distinguishing between bacterial and viral infections</w:t>
      </w:r>
      <w:bookmarkEnd w:id="33"/>
    </w:p>
    <w:p w:rsidR="00AC1D43" w:rsidRPr="00AC1D43" w:rsidRDefault="00AC1D43" w:rsidP="00AC1D43">
      <w:pPr>
        <w:spacing w:after="0"/>
      </w:pPr>
    </w:p>
    <w:p w:rsidR="00213863" w:rsidRDefault="00213863" w:rsidP="00AC1D43">
      <w:pPr>
        <w:pStyle w:val="Heading2"/>
        <w:numPr>
          <w:ilvl w:val="1"/>
          <w:numId w:val="28"/>
        </w:numPr>
        <w:spacing w:before="0"/>
        <w:rPr>
          <w:rFonts w:ascii="Times New Roman" w:hAnsi="Times New Roman" w:cs="Times New Roman"/>
          <w:b/>
          <w:color w:val="auto"/>
          <w:sz w:val="24"/>
        </w:rPr>
      </w:pPr>
      <w:bookmarkStart w:id="34" w:name="_Toc193802145"/>
      <w:r w:rsidRPr="00AC1D43">
        <w:rPr>
          <w:rFonts w:ascii="Times New Roman" w:hAnsi="Times New Roman" w:cs="Times New Roman"/>
          <w:b/>
          <w:color w:val="auto"/>
          <w:sz w:val="24"/>
        </w:rPr>
        <w:t>RNA Transcriptome Profiling</w:t>
      </w:r>
      <w:bookmarkEnd w:id="34"/>
    </w:p>
    <w:p w:rsidR="00AC1D43" w:rsidRPr="00AC1D43" w:rsidRDefault="00AC1D43" w:rsidP="00AC1D43">
      <w:pPr>
        <w:spacing w:after="0"/>
      </w:pPr>
    </w:p>
    <w:p w:rsidR="00213863" w:rsidRDefault="00213863" w:rsidP="00AC1D43">
      <w:pPr>
        <w:pStyle w:val="Textbody"/>
        <w:spacing w:before="40" w:after="240"/>
        <w:jc w:val="both"/>
        <w:rPr>
          <w:rFonts w:ascii="Times New Roman" w:hAnsi="Times New Roman" w:cs="Times New Roman"/>
        </w:rPr>
      </w:pPr>
      <w:r>
        <w:rPr>
          <w:rFonts w:ascii="Times New Roman" w:hAnsi="Times New Roman" w:cs="Times New Roman"/>
        </w:rPr>
        <w:t>Emerging diagnostic techniques utilizing RNA Transcriptome profiles have shown remarkable potential in differentiating bacterial and viral infections. These approaches leverage host RNA signatures that reflect the distinct transcriptional responses elicited by bacterial and viral pathogens. Notably, two-transcript RNA signatures have demonstrated approximately 94% sensitivity and specificity in identifying bacterial infections, making them a highly reliable diagnostic tool.</w:t>
      </w:r>
    </w:p>
    <w:p w:rsidR="00213863" w:rsidRDefault="00213863" w:rsidP="00213863">
      <w:pPr>
        <w:pStyle w:val="Textbody"/>
        <w:jc w:val="both"/>
        <w:rPr>
          <w:rFonts w:ascii="Times New Roman" w:hAnsi="Times New Roman" w:cs="Times New Roman"/>
        </w:rPr>
      </w:pPr>
      <w:r>
        <w:rPr>
          <w:rFonts w:ascii="Times New Roman" w:hAnsi="Times New Roman" w:cs="Times New Roman"/>
        </w:rPr>
        <w:lastRenderedPageBreak/>
        <w:t>A prominent example is the use of blood transcriptomics in febrile children, which has consistently provided accurate identification of infection types, reducing diagnostic uncertainty in pediatric populations. Furthermore, studies employing RNA and protein biomarker profiling in adults with lower respiratory tract infections (LRTIs) have revealed significant advancements in optimizing treatment strategies and minimizing unnecessary antibiotic usage.</w:t>
      </w:r>
    </w:p>
    <w:p w:rsidR="00213863" w:rsidRDefault="00213863" w:rsidP="00213863">
      <w:pPr>
        <w:pStyle w:val="Textbody"/>
        <w:jc w:val="both"/>
        <w:rPr>
          <w:rFonts w:ascii="Times New Roman" w:hAnsi="Times New Roman" w:cs="Times New Roman"/>
        </w:rPr>
      </w:pPr>
      <w:r>
        <w:rPr>
          <w:rFonts w:ascii="Times New Roman" w:hAnsi="Times New Roman" w:cs="Times New Roman"/>
        </w:rPr>
        <w:t>These RNA-based approaches not only complement traditional diagnostics but also open new avenues for integrating transcriptomics into real-time, point-of-care diagnostics. The precision and speed offered by RNA transcriptome profiling hold promise for revolutionizing infection management and advancing personalized medicine</w:t>
      </w:r>
      <w:r w:rsidR="00253CC1">
        <w:rPr>
          <w:rFonts w:ascii="Times New Roman" w:hAnsi="Times New Roman" w:cs="Times New Roman"/>
        </w:rPr>
        <w:t xml:space="preserve"> </w:t>
      </w:r>
      <w:r w:rsidR="00253CC1">
        <w:rPr>
          <w:rFonts w:ascii="Times New Roman" w:hAnsi="Times New Roman" w:cs="Times New Roman"/>
        </w:rPr>
        <w:fldChar w:fldCharType="begin"/>
      </w:r>
      <w:r w:rsidR="00B41ACC">
        <w:rPr>
          <w:rFonts w:ascii="Times New Roman" w:hAnsi="Times New Roman" w:cs="Times New Roman"/>
        </w:rPr>
        <w:instrText xml:space="preserve"> ADDIN ZOTERO_ITEM CSL_CITATION {"citationID":"e0IFU5fX","properties":{"formattedCitation":"\\super 285\\nosupersub{}","plainCitation":"285","noteIndex":0},"citationItems":[{"id":1155,"uris":["http://zotero.org/users/local/BfzbJtgR/items/XPM83A39"],"itemData":{"id":1155,"type":"article-journal","abstract":"Recently, a biomarker signature consisting of 2-transcript host RNAs was proposed for discriminating bacterial from viral infections in febrile children. We evaluated the performance of this signature in a different disease scenario, namely a cohort of Mexican children (n = 174) suffering from acute diarrhea of different infectious etiologies. We first examined the admixed background of the patients, indicating that most of them have a predominantly Native American genetic ancestry with a variable amount of European background (ranging from 0% to 57%). The results confirm that the RNA test can discriminate between viral and bacterial causes of infection (t-test; P-value = 6.94×10-11; AUC = 80%; sensitivity: 68% [95% CI: 55%-79%]; specificity: 84% [95% CI: 78%-90%]), but the strength of the signal differs substantially depending on the causal pathogen, with the stronger signal being that of Shigella (P-value = 3.14 × 10-12; AUC = 89; sensitivity: 70% [95% CI: 57%-83%]; specificity: 100% [95% CI: 100%-100%]). The accuracy of this test improves significantly when excluding mild cases (P-value = 2.13 × 10-6; AUC = 85%; sensitivity: 79% [95% CI: 58%-95%]; specificity: 78% [95% CI: 65%-88%]). The results broaden the scope of previous studies by incorporating different pathogens, variable levels of disease severity, and different ancestral background of patients, and add confirmatory support to the clinical utility of these 2-transcript biomarkers.","container-title":"Scientific Reports","DOI":"10.1038/s41598-018-26239-1","ISSN":"2045-2322","issue":"1","journalAbbreviation":"Sci Rep","language":"eng","note":"PMID: 29795312\nPMCID: PMC5966427","page":"8043","source":"PubMed","title":"A 2-transcript host cell signature distinguishes viral from bacterial diarrhea and it is influenced by the severity of symptoms","volume":"8","author":[{"family":"Barral-Arca","given":"R."},{"family":"Pardo-Seco","given":"J."},{"family":"Martinón-Torres","given":"F."},{"family":"Salas","given":"A."}],"issued":{"date-parts":[["2018",5,23]]}}}],"schema":"https://github.com/citation-style-language/schema/raw/master/csl-citation.json"} </w:instrText>
      </w:r>
      <w:r w:rsidR="00253CC1">
        <w:rPr>
          <w:rFonts w:ascii="Times New Roman" w:hAnsi="Times New Roman" w:cs="Times New Roman"/>
        </w:rPr>
        <w:fldChar w:fldCharType="separate"/>
      </w:r>
      <w:r w:rsidR="00B41ACC" w:rsidRPr="00B41ACC">
        <w:rPr>
          <w:rFonts w:ascii="Times New Roman" w:hAnsi="Times New Roman" w:cs="Times New Roman"/>
          <w:vertAlign w:val="superscript"/>
        </w:rPr>
        <w:t>285</w:t>
      </w:r>
      <w:r w:rsidR="00253CC1">
        <w:rPr>
          <w:rFonts w:ascii="Times New Roman" w:hAnsi="Times New Roman" w:cs="Times New Roman"/>
        </w:rPr>
        <w:fldChar w:fldCharType="end"/>
      </w:r>
      <w:r>
        <w:rPr>
          <w:rFonts w:ascii="Times New Roman" w:hAnsi="Times New Roman" w:cs="Times New Roman"/>
        </w:rPr>
        <w:t>.</w:t>
      </w:r>
    </w:p>
    <w:p w:rsidR="00253CC1" w:rsidRPr="00B26AB3" w:rsidRDefault="00253CC1" w:rsidP="00D87C2B">
      <w:pPr>
        <w:pStyle w:val="Heading2"/>
        <w:numPr>
          <w:ilvl w:val="1"/>
          <w:numId w:val="28"/>
        </w:numPr>
        <w:spacing w:after="240"/>
        <w:rPr>
          <w:color w:val="auto"/>
          <w:sz w:val="24"/>
        </w:rPr>
      </w:pPr>
      <w:bookmarkStart w:id="35" w:name="_Toc193802146"/>
      <w:r w:rsidRPr="00B26AB3">
        <w:rPr>
          <w:rStyle w:val="StrongEmphasis"/>
          <w:rFonts w:ascii="Times New Roman" w:eastAsia="Times New Roman" w:hAnsi="Times New Roman" w:cs="Times New Roman"/>
          <w:color w:val="auto"/>
          <w:sz w:val="24"/>
        </w:rPr>
        <w:t>Proteomics</w:t>
      </w:r>
      <w:bookmarkEnd w:id="35"/>
    </w:p>
    <w:p w:rsidR="00253CC1" w:rsidRDefault="00253CC1" w:rsidP="00D87C2B">
      <w:pPr>
        <w:pStyle w:val="Textbody"/>
        <w:spacing w:after="240"/>
        <w:jc w:val="both"/>
        <w:rPr>
          <w:rFonts w:ascii="Times New Roman" w:hAnsi="Times New Roman" w:cs="Times New Roman"/>
        </w:rPr>
      </w:pPr>
      <w:r>
        <w:rPr>
          <w:rFonts w:ascii="Times New Roman" w:hAnsi="Times New Roman" w:cs="Times New Roman"/>
        </w:rPr>
        <w:t>Proteomics has emerged as a powerful tool in the quest to enhance diagnostic precision for bacterial and viral infections. By leveraging multiplex protein assays, proteomics enables the simultaneous analysis of multiple biomarkers, increasing the sensitivity and specificity of diagnostics. For instance, combining well-established markers such as procalcitonin (PCT) with novel proteins like lactoferrin has demonstrated significant improvements in diagnostic accuracy.</w:t>
      </w:r>
    </w:p>
    <w:p w:rsidR="00253CC1" w:rsidRDefault="00253CC1" w:rsidP="00253CC1">
      <w:pPr>
        <w:pStyle w:val="Textbody"/>
        <w:jc w:val="both"/>
        <w:rPr>
          <w:rFonts w:ascii="Times New Roman" w:hAnsi="Times New Roman" w:cs="Times New Roman"/>
        </w:rPr>
      </w:pPr>
      <w:r>
        <w:rPr>
          <w:rFonts w:ascii="Times New Roman" w:hAnsi="Times New Roman" w:cs="Times New Roman"/>
        </w:rPr>
        <w:t>Studies have highlighted those proteomic approaches achieve approximately 87% sensitivity and 91% specificity in distinguishing bacterial from viral infections. One notable example is the application of proteomic profiling in patients with sepsis, where unique protein signatures are identified to guide targeted interventions. Additionally, the use of these techniques in lower respiratory tract infections (LRTIs) has shown promise in optimizing treatment strategies and minimizing unnecessary antibiotic use.</w:t>
      </w:r>
    </w:p>
    <w:p w:rsidR="00253CC1" w:rsidRDefault="00253CC1" w:rsidP="00D87C2B">
      <w:pPr>
        <w:pStyle w:val="Textbody"/>
        <w:spacing w:before="240"/>
        <w:jc w:val="both"/>
        <w:rPr>
          <w:rFonts w:ascii="Times New Roman" w:hAnsi="Times New Roman" w:cs="Times New Roman"/>
        </w:rPr>
      </w:pPr>
      <w:r>
        <w:rPr>
          <w:rFonts w:ascii="Times New Roman" w:hAnsi="Times New Roman" w:cs="Times New Roman"/>
        </w:rPr>
        <w:t xml:space="preserve">Advancements in mass spectrometry and bioinformatics have further enhanced the potential of proteomics. These technologies allow the identification of pathogen-specific protein signatures and host-response patterns, providing a comprehensive view of the infection landscape. As proteomics continues to evolve, its integration with other omics approaches, such as transcriptomics and metabolomics, promises to revolutionize infection diagnostics and support personalized medicine strategies </w:t>
      </w:r>
      <w:r>
        <w:rPr>
          <w:rFonts w:ascii="Times New Roman" w:hAnsi="Times New Roman" w:cs="Times New Roman"/>
        </w:rPr>
        <w:fldChar w:fldCharType="begin"/>
      </w:r>
      <w:r w:rsidR="00B41ACC">
        <w:rPr>
          <w:rFonts w:ascii="Times New Roman" w:hAnsi="Times New Roman" w:cs="Times New Roman"/>
        </w:rPr>
        <w:instrText xml:space="preserve"> ADDIN ZOTERO_ITEM CSL_CITATION {"citationID":"Jj5rVPfW","properties":{"formattedCitation":"\\super 286,287\\nosupersub{}","plainCitation":"286,287","noteIndex":0},"citationItems":[{"id":1158,"uris":["http://zotero.org/users/local/BfzbJtgR/items/RH6E3ZT7"],"itemData":{"id":1158,"type":"article-journal","abstract":"Introduction: Nosocomial lower respiratory tract infections (nLRTIs), including hospital-acquired pneumonia (HAP) and ventilator-associated pneumonia (VAP), remain significant challenges due to high mortality, morbidity, and healthcare costs. Implementing accurate and timely diagnostic strategies is pivotal for guiding optimized antimicrobial therapy and addressing the growing threat of antimicrobial resistance. Areas Covered: This review examines emerging microbiological diagnostic methods for nLRTIs. Although widely utilized, traditional culture-based techniques are hindered by prolonged processing times, limiting their clinical utility in timely decision-making. Advanced molecular tools, such as real-time PCR and multiplex PCR, allow rapid pathogen identification but are constrained by predefined panels. Metagenomic next-generation sequencing (mNGS) provides comprehensive pathogen detection and resistance profiling yet faces cost, complexity, and interpretation challenges. Non-invasive methods, including exhaled breath analysis using electronic nose (e-nose) technology, gene expression profiling, and biomarker detection, hold promise for rapid and bedside diagnostics but require further validation to establish clinical applicability. Expert Opinion: Integrating molecular, metagenomic, biomarker-associated, and traditional diagnostics is essential for overcoming limitations. Continued technological refinements and cost reductions will enable broader clinical implementation. These innovations promise to enhance diagnostic accuracy, facilitate targeted therapy, and improve patient outcomes while contributing to global efforts to mitigate antimicrobial resistance.","container-title":"Diagnostics","DOI":"10.3390/diagnostics15030265","ISSN":"2075-4418","issue":"3","journalAbbreviation":"Diagnostics","language":"en","license":"https://creativecommons.org/licenses/by/4.0/","page":"265","source":"DOI.org (Crossref)","title":"Transforming Microbiological Diagnostics in Nosocomial Lower Respiratory Tract Infections: Innovations Shaping the Future","title-short":"Transforming Microbiological Diagnostics in Nosocomial Lower Respiratory Tract Infections","volume":"15","author":[{"family":"Bustos","given":"Ingrid G."},{"family":"Martinez-Lemus","given":"Lina F."},{"family":"Reyes","given":"Luis Felipe"},{"family":"Martin-Loeches","given":"Ignacio"}],"issued":{"date-parts":[["2025",1,23]]}}},{"id":1160,"uris":["http://zotero.org/users/local/BfzbJtgR/items/5XHUTX3Y"],"itemData":{"id":1160,"type":"article-journal","abstract":"Sepsis, the dysregulated host response to infection causing life-threatening organ dysfunction, is a global health challenge requiring better understanding of pathophysiology and new therapeutic approaches. Here, we applied high-throughput tandem mass spectrometry to delineate the plasma proteome for sepsis and comparator groups (noninfected critical illness, postoperative inflammation, and healthy volunteers) involving 2612 samples (from 1611 patients) and 4553 liquid chromatography–mass spectrometry analyses acquired through a single batch of continuous measurements, with a throughput of 100 samples per day. We show how this scale of data can delineate proteins, pathways, and coexpression modules in sepsis and be integrated with paired leukocyte transcriptomic data (837 samples from\n              n\n              = 649 patients). We mapped the plasma proteomic landscape of the host response in sepsis, including changes over time, and identified features relating to etiology, clinical phenotypes (including organ failures), and severity. This work reveals subphenotypes informative for sepsis response state, disease processes, and outcome; identifies potential biomarkers; and advances opportunities for a precision medicine approach to sepsis.\n            \n          , \n            Affordable high-throughput proteomics using mass spectrometry delineates the sepsis plasma proteome and stratifies host response states.\n          , \n            Editor’s summary\n            \n              Sepsis is caused by an extreme immune response to infection and can damage organs and potentially lead to death. To better understand what happens to the body during sepsis, Mi\n              et al.\n              comprehensively profiled the plasma proteomes of ICU patients with sepsis. The longitudinal nature of their sampling allowed the authors to assess changes in the plasma proteome over time and to assess heterogeneity in patient responses. The group also profiled relevant comparator groups, including noninfected ICU patients, individuals with postoperative inflammation, and healthy individuals, allowing for the detection of sepsis-specific responses. This study offers insights into sepsis biology and a valuable resource for further research. —Catherine Charneski","container-title":"Science Translational Medicine","DOI":"10.1126/scitranslmed.adh0185","ISSN":"1946-6234, 1946-6242","issue":"750","journalAbbreviation":"Sci. Transl. Med.","language":"en","page":"eadh0185","source":"DOI.org (Crossref)","title":"High-throughput mass spectrometry maps the sepsis plasma proteome and differences in patient response","volume":"16","author":[{"family":"Mi","given":"Yuxin"},{"family":"Burnham","given":"Katie L."},{"family":"Charles","given":"Philip D."},{"family":"Heilig","given":"Raphael"},{"family":"Vendrell","given":"Iolanda"},{"family":"Whalley","given":"Justin"},{"family":"Torrance","given":"Hew D."},{"family":"Antcliffe","given":"David B."},{"family":"May","given":"Shaun M."},{"family":"Neville","given":"Matt J."},{"family":"Berridge","given":"Georgina"},{"family":"Hutton","given":"Paula"},{"family":"Geoghegan","given":"Cyndi G."},{"family":"Radhakrishnan","given":"Jayachandran"},{"family":"Nesvizhskii","given":"Alexey I."},{"family":"Yu","given":"Fengchao"},{"literal":"GAinS Investigators"},{"family":"Davenport","given":"Emma E."},{"family":"McKechnie","given":"Stuart"},{"family":"Davies","given":"Roger"},{"family":"O’Callaghan","given":"David J. P."},{"family":"Patel","given":"Parind"},{"family":"Del Arroyo","given":"Ana G."},{"family":"Karpe","given":"Fredrik"},{"family":"Gordon","given":"Anthony C."},{"family":"Ackland","given":"Gareth L."},{"family":"Hinds","given":"Charles J."},{"family":"Fischer","given":"Roman"},{"family":"Knight","given":"Julian C."},{"family":"Webster","given":"Nigel"},{"family":"Galley","given":"Helen"},{"family":"Taylor","given":"Jane"},{"family":"Hall","given":"Sally"},{"family":"Addison","given":"Jenni"},{"family":"Roughton","given":"Sian"},{"family":"Tennant","given":"Heather"},{"family":"Guleri","given":"Achyut"},{"family":"Waddington","given":"Natalia"},{"family":"Arawwawala","given":"Dilshan"},{"family":"Durcan","given":"John"},{"family":"Short","given":"Alasdair"},{"family":"Swan","given":"Karen"},{"family":"Williams","given":"Sarah"},{"family":"Smolen","given":"Susan"},{"family":"Mitchell-Inwang","given":"Christine"},{"family":"Errington","given":"Emily"},{"family":"Templeton","given":"Maie"},{"family":"Venatesh","given":"Pyda"},{"family":"Ward","given":"Geraldine"},{"family":"McCauley","given":"Marie"},{"family":"Baudouin","given":"Simon"},{"family":"Higham","given":"Charley"},{"family":"Soar","given":"Jasmeet"},{"family":"Grier","given":"Sally"},{"family":"Hall","given":"Elaine"},{"family":"Brett","given":"Stephen"},{"family":"Kitson","given":"David"},{"family":"Wilson","given":"Robert"},{"family":"Mountford","given":"Laura"},{"family":"Moreno","given":"Juan"},{"family":"Hall","given":"Peter"},{"family":"Hewlett","given":"Jackie"},{"family":"Garrard","given":"Christopher"},{"family":"Millo","given":"Julian"},{"family":"Young","given":"Duncan"},{"family":"Parsons","given":"Penny"},{"family":"Smiths","given":"Alex"},{"family":"Faras-Arraya","given":"Roser"},{"family":"Soar","given":"Jasmeet"},{"family":"Raymode","given":"Parizade"},{"family":"Thompson","given":"Jonathan"},{"family":"Bowrey","given":"Sarah"},{"family":"Kazembe","given":"Sandra"},{"family":"Rich","given":"Natalie"},{"family":"Andreou","given":"Prem"},{"family":"Hales","given":"Dawn"},{"family":"Roberts","given":"Emma"},{"family":"Fletcher","given":"Simon"},{"family":"Rosbergen","given":"Melissa"},{"family":"Glister","given":"Georgina"},{"family":"Cuesta","given":"Jeronimo Moreno"},{"family":"Bion","given":"Julian"},{"family":"Millar","given":"Joanne"},{"family":"Perry","given":"Elsa Jane"},{"family":"Willis","given":"Heather"},{"family":"Mitchell","given":"Natalie"},{"family":"Ruel","given":"Sebastian"},{"family":"Carrera","given":"Ronald"},{"family":"Wilde","given":"Jude"},{"family":"Nilson","given":"Annette"},{"family":"Lees","given":"Sarah"},{"family":"Kapila","given":"Atul"},{"family":"Jacques","given":"Nicola"},{"family":"Atkinson","given":"Jane"},{"family":"Brown","given":"Abby"},{"family":"Prowse","given":"Heather"},{"family":"Krige","given":"Anton"},{"family":"Bland","given":"Martin"},{"family":"Bullock","given":"Lynne"},{"family":"Harrison","given":"Donna"},{"family":"Mills","given":"Gary"},{"family":"Humphreys","given":"John"},{"family":"Armitage","given":"Kelsey"},{"family":"Laha","given":"Shond"},{"family":"Baldwin","given":"Jacqueline"},{"family":"Walsh","given":"Angela"},{"family":"Doherty","given":"Nicola"},{"family":"Drage","given":"Stephen"},{"family":"De Gordoa","given":"Laura Ortiz-Ruiz"},{"family":"Lowes","given":"Sarah"},{"family":"Higham","given":"Charley"},{"family":"Walsh","given":"Helen"},{"family":"Calder","given":"Verity"},{"family":"Swan","given":"Catherine"},{"family":"Payne","given":"Heather"},{"family":"Higgins","given":"David"},{"family":"Andrews","given":"Sarah"},{"family":"Mappleback","given":"Sarah"},{"family":"Garrard","given":"Chris"},{"family":"Watson","given":"D."},{"family":"McLees","given":"Eleanor"},{"family":"Purdy","given":"Alice"},{"family":"Stotz","given":"Martin"},{"family":"Ochelli-Okpue","given":"Adaeze"},{"family":"Bonner","given":"Stephen"},{"family":"Whitehead","given":"Iain"},{"family":"Hugil","given":"Keith"},{"family":"Goodridge","given":"Victoria"},{"family":"Cawthor","given":"Louisa"},{"family":"Kuper","given":"Martin"},{"family":"Pahary","given":"Sheik"},{"family":"Bellingan","given":"Geoffrey"},{"family":"Marshall","given":"Richard"},{"family":"Montgomery","given":"Hugh"},{"family":"Ryu","given":"Jung Hyun"},{"family":"Bercades","given":"Georgia"},{"family":"Boluda","given":"Susan"},{"family":"Bentley","given":"Andrew"},{"family":"Mccalman","given":"Katie"},{"family":"Jefferies","given":"Fiona"},{"family":"Kwok","given":"Andrew"},{"family":"Maugeri","given":"Narelle"},{"family":"Radhakrishnan","given":"Jayachandran"},{"family":"Allcock","given":"Alice"}],"issued":{"date-parts":[["2024",6,5]]}}}],"schema":"https://github.com/citation-style-language/schema/raw/master/csl-citation.json"} </w:instrText>
      </w:r>
      <w:r>
        <w:rPr>
          <w:rFonts w:ascii="Times New Roman" w:hAnsi="Times New Roman" w:cs="Times New Roman"/>
        </w:rPr>
        <w:fldChar w:fldCharType="separate"/>
      </w:r>
      <w:r w:rsidR="00B41ACC" w:rsidRPr="00B41ACC">
        <w:rPr>
          <w:rFonts w:ascii="Times New Roman" w:hAnsi="Times New Roman" w:cs="Times New Roman"/>
          <w:vertAlign w:val="superscript"/>
        </w:rPr>
        <w:t>286,287</w:t>
      </w:r>
      <w:r>
        <w:rPr>
          <w:rFonts w:ascii="Times New Roman" w:hAnsi="Times New Roman" w:cs="Times New Roman"/>
        </w:rPr>
        <w:fldChar w:fldCharType="end"/>
      </w:r>
      <w:r>
        <w:rPr>
          <w:rFonts w:ascii="Times New Roman" w:hAnsi="Times New Roman" w:cs="Times New Roman"/>
        </w:rPr>
        <w:t>.</w:t>
      </w:r>
    </w:p>
    <w:p w:rsidR="00D7363A" w:rsidRPr="00D87C2B" w:rsidRDefault="00D7363A" w:rsidP="00D87C2B">
      <w:pPr>
        <w:pStyle w:val="Heading2"/>
        <w:numPr>
          <w:ilvl w:val="1"/>
          <w:numId w:val="28"/>
        </w:numPr>
        <w:spacing w:before="240"/>
        <w:rPr>
          <w:rFonts w:ascii="Times New Roman" w:hAnsi="Times New Roman" w:cs="Times New Roman"/>
          <w:b/>
          <w:color w:val="auto"/>
          <w:sz w:val="24"/>
        </w:rPr>
      </w:pPr>
      <w:bookmarkStart w:id="36" w:name="_Toc193802147"/>
      <w:r w:rsidRPr="00D87C2B">
        <w:rPr>
          <w:rFonts w:ascii="Times New Roman" w:eastAsia="Times New Roman" w:hAnsi="Times New Roman" w:cs="Times New Roman"/>
          <w:b/>
          <w:color w:val="auto"/>
          <w:sz w:val="24"/>
        </w:rPr>
        <w:t>Multi-Marker Approaches</w:t>
      </w:r>
      <w:bookmarkEnd w:id="36"/>
    </w:p>
    <w:p w:rsidR="00D7363A" w:rsidRDefault="00D7363A" w:rsidP="00D7363A">
      <w:pPr>
        <w:pStyle w:val="Textbody"/>
        <w:suppressAutoHyphens w:val="0"/>
        <w:spacing w:before="280" w:after="280"/>
        <w:jc w:val="both"/>
        <w:rPr>
          <w:rFonts w:ascii="Times New Roman" w:hAnsi="Times New Roman" w:cs="Times New Roman"/>
        </w:rPr>
      </w:pPr>
      <w:r>
        <w:rPr>
          <w:rFonts w:ascii="Times New Roman" w:eastAsia="Times New Roman" w:hAnsi="Times New Roman" w:cs="Times New Roman"/>
          <w:kern w:val="0"/>
          <w:lang w:eastAsia="en-US" w:bidi="ar-SA"/>
        </w:rPr>
        <w:t>Single biomarkers, while valuable in providing insights into disease processes, often lack the specificity or sensitivity needed for a definitive diagnosis. A single biomarker may be elevated in multiple conditions, leading to potential misdiagnosis or limitations in distinguishing between different disease etiologies. Furthermore, some biomarkers may not provide sufficient sensitivity in early-stage or mild infections, resulting in false negatives. These challenges highlight the need for more comprehensive diagnostic approaches.</w:t>
      </w:r>
    </w:p>
    <w:p w:rsidR="00D7363A" w:rsidRDefault="00D7363A" w:rsidP="00D7363A">
      <w:pPr>
        <w:pStyle w:val="Textbody"/>
        <w:jc w:val="both"/>
        <w:rPr>
          <w:rFonts w:ascii="Times New Roman" w:hAnsi="Times New Roman" w:cs="Times New Roman"/>
        </w:rPr>
      </w:pPr>
      <w:r>
        <w:rPr>
          <w:rFonts w:ascii="Times New Roman" w:hAnsi="Times New Roman" w:cs="Times New Roman"/>
        </w:rPr>
        <w:lastRenderedPageBreak/>
        <w:t xml:space="preserve">Multi-marker panels combine complementary biomarkers, each providing unique information about different aspects of disease pathology. By evaluating multiple biomarkers simultaneously, multi-marker panels enhance diagnostic accuracy, improving the ability to differentiate between disease states, identify the underlying cause, and even assess disease severity. This approach can be particularly useful in complex clinical situations, such as differentiating between bacterial and viral infections, where the clinical presentation may overlap. For example, the combination of biomarkers like MxA and CRP in the FebriDx assay allows for rapid and reliable differentiation between viral and bacterial respiratory infections. Such panels not only increase the precision of diagnostic testing but also enable more personalized treatment strategies, helping clinicians make well-informed decisions and reducing the unnecessary use of antibiotics or other treatments </w:t>
      </w:r>
      <w:r>
        <w:rPr>
          <w:rFonts w:ascii="Times New Roman" w:hAnsi="Times New Roman" w:cs="Times New Roman"/>
        </w:rPr>
        <w:fldChar w:fldCharType="begin"/>
      </w:r>
      <w:r w:rsidR="00B41ACC">
        <w:rPr>
          <w:rFonts w:ascii="Times New Roman" w:hAnsi="Times New Roman" w:cs="Times New Roman"/>
        </w:rPr>
        <w:instrText xml:space="preserve"> ADDIN ZOTERO_ITEM CSL_CITATION {"citationID":"RwgyqYh9","properties":{"formattedCitation":"\\super 288,289\\nosupersub{}","plainCitation":"288,289","noteIndex":0},"citationItems":[{"id":1161,"uris":["http://zotero.org/users/local/BfzbJtgR/items/5ME9SZLY"],"itemData":{"id":1161,"type":"article-journal","abstract":"C-reactive protein (CRP) and myxovirus resistance protein A (MxA) are associated with bacterial and viral infections, respectively. We conducted a prospective, multicenter, cross-sectional study of adults and children with febrile upper respiratory tract infections (URIs) to evaluate the diagnostic accuracy of a rapid CRP/MxA immunoassay to identify clinically significant bacterial infection with host response and acute pathogenic viral infection. The reference standard for classifying URI etiology was an algorithm that included throat bacterial culture, upper respiratory PCR for viral and atypical pathogens, procalcitonin, white blood cell count, and bandemia. The algorithm also allowed for physician override. Among 205 patients, 25 (12.2%) were classified as bacterial, 53 (25.9%) as viral, and 127 (62.0%) negative by the reference standard. For bacterial detection, agreement between FebriDx and the reference standard was 91.7%, with FebriDx having a sensitivity of 80% (95% CI: 59-93%), specificity of 93% (89-97%), positive predictive value (PPV) of 63% (45-79%), and a negative predictive value (NPV) of 97% (94-99%). For viral detection, agreement was 84%, with a sensitivity of 87% (75-95%), specificity of 83% (76-89%), PPV of 64% (63-75%), and NPV of 95% (90-98%). FebriDx may help to identify clinically significant immune responses associated with bacterial and viral URIs that are more likely to require clinical management or therapeutic intervention, and has potential to assist with antibiotic stewardship.","container-title":"Journal of Clinical Medicine","DOI":"10.3390/jcm6100094","ISSN":"2077-0383","issue":"10","journalAbbreviation":"J Clin Med","language":"eng","note":"PMID: 28991170\nPMCID: PMC5664009","page":"94","source":"PubMed","title":"Diagnostic Accuracy of FebriDx: A Rapid Test to Detect Immune Responses to Viral and Bacterial Upper Respiratory Infections","title-short":"Diagnostic Accuracy of FebriDx","volume":"6","author":[{"family":"Self","given":"Wesley H."},{"family":"Rosen","given":"Jeffrey"},{"family":"Sharp","given":"Stephan C."},{"family":"Filbin","given":"Michael R."},{"family":"Hou","given":"Peter C."},{"family":"Parekh","given":"Amisha D."},{"family":"Kurz","given":"Michael C."},{"family":"Shapiro","given":"Nathan I."}],"issued":{"date-parts":[["2017",10,7]]}}},{"id":1164,"uris":["http://zotero.org/users/local/BfzbJtgR/items/P3RE2G84"],"itemData":{"id":1164,"type":"article-journal","abstract":"FebriDx is a rapid point-of-care test combining qualitative measurements of C-reactive protein (CRP) and Myxovirus Resistance Protein A (MxA) using a disposable test device to detect and differentiate acute bacterial from viral respiratory tract infections. The goal of this study was to investigate the diagnostic accuracy of FebriDx in patients with suspected respiratory tract infections in the emergency department (ED). This was an observational cohort study, performed in the ED of an academic hospital. Patients were included if they had a suspected infection. The primary outcome was the presence of a bacterial or viral infection, determined by clinical adjudication by an expert panel. The sensitivity, specificity, and positive and negative predictive value of FebriDx for the presence of bacterial versus non-bacterial infections, and viral versus non-viral infections were calculated. Between March 2019 and November 2020, 244 patients were included. A bacterial infection was present in 41%, viral infection was present in 24%, and 4% of the patients had both viral and bacterial pathogens. FebriDx demonstrated high sensitivity in the detection of bacterial infection (87%), high NPV (91%) to rule out bacterial infection, and high specificity (94%) for viral infection in patients with a suspected infection in the ED.","container-title":"Journal of Clinical Medicine","DOI":"10.3390/jcm13010163","ISSN":"2077-0383","issue":"1","journalAbbreviation":"JCM","language":"en","license":"https://creativecommons.org/licenses/by/4.0/","page":"163","source":"DOI.org (Crossref)","title":"Performance of the FebriDx Rapid Point-of-Care Test for Differentiating Bacterial and Viral Respiratory Tract Infections in Patients with a Suspected Respiratory Tract Infection in the Emergency Department","volume":"13","author":[{"family":"Tong-Minh","given":"Kirby"},{"family":"Daenen","given":"Katrijn"},{"family":"Endeman","given":"Henrik"},{"family":"Ramakers","given":"Christian"},{"family":"Gommers","given":"Diederik"},{"family":"Van Gorp","given":"Eric"},{"family":"Van Der Does","given":"Yuri"}],"issued":{"date-parts":[["2023",12,27]]}}}],"schema":"https://github.com/citation-style-language/schema/raw/master/csl-citation.json"} </w:instrText>
      </w:r>
      <w:r>
        <w:rPr>
          <w:rFonts w:ascii="Times New Roman" w:hAnsi="Times New Roman" w:cs="Times New Roman"/>
        </w:rPr>
        <w:fldChar w:fldCharType="separate"/>
      </w:r>
      <w:r w:rsidR="00B41ACC" w:rsidRPr="00B41ACC">
        <w:rPr>
          <w:rFonts w:ascii="Times New Roman" w:hAnsi="Times New Roman" w:cs="Times New Roman"/>
          <w:vertAlign w:val="superscript"/>
        </w:rPr>
        <w:t>288,289</w:t>
      </w:r>
      <w:r>
        <w:rPr>
          <w:rFonts w:ascii="Times New Roman" w:hAnsi="Times New Roman" w:cs="Times New Roman"/>
        </w:rPr>
        <w:fldChar w:fldCharType="end"/>
      </w:r>
      <w:r>
        <w:rPr>
          <w:rFonts w:ascii="Times New Roman" w:hAnsi="Times New Roman" w:cs="Times New Roman"/>
        </w:rPr>
        <w:t>.</w:t>
      </w:r>
    </w:p>
    <w:p w:rsidR="00D7363A" w:rsidRPr="00636CEE" w:rsidRDefault="00D7363A" w:rsidP="00636CEE">
      <w:pPr>
        <w:pStyle w:val="Heading1"/>
        <w:numPr>
          <w:ilvl w:val="0"/>
          <w:numId w:val="28"/>
        </w:numPr>
        <w:rPr>
          <w:rFonts w:ascii="Times New Roman" w:hAnsi="Times New Roman" w:cs="Times New Roman"/>
          <w:b/>
          <w:color w:val="auto"/>
          <w:sz w:val="28"/>
        </w:rPr>
      </w:pPr>
      <w:bookmarkStart w:id="37" w:name="_Toc193802148"/>
      <w:r w:rsidRPr="00636CEE">
        <w:rPr>
          <w:rFonts w:ascii="Times New Roman" w:eastAsia="Times New Roman" w:hAnsi="Times New Roman" w:cs="Times New Roman"/>
          <w:b/>
          <w:color w:val="auto"/>
          <w:sz w:val="28"/>
        </w:rPr>
        <w:t>Future Directions</w:t>
      </w:r>
      <w:bookmarkEnd w:id="37"/>
    </w:p>
    <w:p w:rsidR="00D7363A" w:rsidRDefault="00D7363A" w:rsidP="00D7363A">
      <w:pPr>
        <w:pStyle w:val="Standard"/>
        <w:suppressAutoHyphens w:val="0"/>
        <w:spacing w:before="280" w:after="280"/>
        <w:rPr>
          <w:rFonts w:ascii="Times New Roman" w:hAnsi="Times New Roman" w:cs="Times New Roman"/>
        </w:rPr>
      </w:pPr>
      <w:r>
        <w:rPr>
          <w:rFonts w:ascii="Times New Roman" w:eastAsia="Times New Roman" w:hAnsi="Times New Roman" w:cs="Times New Roman"/>
          <w:kern w:val="0"/>
          <w:lang w:eastAsia="en-US" w:bidi="ar-SA"/>
        </w:rPr>
        <w:t>The future of host biomarker-based diagnostics lies in integration and innovation. Emerging trends include:</w:t>
      </w:r>
    </w:p>
    <w:p w:rsidR="00636CEE" w:rsidRPr="00636CEE" w:rsidRDefault="00D7363A" w:rsidP="00636CEE">
      <w:pPr>
        <w:pStyle w:val="Heading2"/>
        <w:numPr>
          <w:ilvl w:val="1"/>
          <w:numId w:val="28"/>
        </w:numPr>
        <w:rPr>
          <w:rFonts w:ascii="Times New Roman" w:eastAsia="Times New Roman" w:hAnsi="Times New Roman" w:cs="Times New Roman"/>
          <w:b/>
          <w:color w:val="auto"/>
          <w:sz w:val="24"/>
        </w:rPr>
      </w:pPr>
      <w:bookmarkStart w:id="38" w:name="_Toc193802149"/>
      <w:r w:rsidRPr="00636CEE">
        <w:rPr>
          <w:rFonts w:ascii="Times New Roman" w:eastAsia="Times New Roman" w:hAnsi="Times New Roman" w:cs="Times New Roman"/>
          <w:b/>
          <w:color w:val="auto"/>
          <w:sz w:val="24"/>
        </w:rPr>
        <w:t>Artificial Intelligence (AI) Integration</w:t>
      </w:r>
      <w:bookmarkEnd w:id="38"/>
    </w:p>
    <w:p w:rsidR="00D7363A" w:rsidRDefault="00D7363A" w:rsidP="00D7363A">
      <w:pPr>
        <w:pStyle w:val="Standard"/>
        <w:suppressAutoHyphens w:val="0"/>
        <w:spacing w:before="280" w:after="280" w:line="276" w:lineRule="auto"/>
        <w:jc w:val="both"/>
        <w:rPr>
          <w:rFonts w:ascii="Times New Roman" w:hAnsi="Times New Roman" w:cs="Times New Roman"/>
        </w:rPr>
      </w:pPr>
      <w:r>
        <w:rPr>
          <w:rFonts w:ascii="Times New Roman" w:eastAsia="Times New Roman" w:hAnsi="Times New Roman" w:cs="Times New Roman"/>
          <w:kern w:val="0"/>
          <w:lang w:eastAsia="en-US" w:bidi="ar-SA"/>
        </w:rPr>
        <w:t>The integration of machine learning (ML) algorithms into diagnostic frameworks is revolutionizing the way biomarker data is analyzed, particularly in the context of differentiating bacterial and viral infections. Machine learning models are increasingly being developed to process complex, multi-dimensional biomarker data, such as levels of MxA, CRP, and other inflammatory markers, enabling enhanced diagnostic accuracy and providing actionable insights that were previously unattainable through traditional methods. These algorithms can identify patterns and correlations that may not be immediately apparent to human clinicians, improving both the sensitivity and specificity of diagnostic tests.</w:t>
      </w:r>
    </w:p>
    <w:p w:rsidR="00D7363A" w:rsidRDefault="00D7363A" w:rsidP="00D7363A">
      <w:pPr>
        <w:pStyle w:val="Textbody"/>
        <w:jc w:val="both"/>
        <w:rPr>
          <w:rFonts w:ascii="Times New Roman" w:hAnsi="Times New Roman" w:cs="Times New Roman"/>
        </w:rPr>
      </w:pPr>
      <w:r>
        <w:rPr>
          <w:rFonts w:ascii="Times New Roman" w:hAnsi="Times New Roman" w:cs="Times New Roman"/>
        </w:rPr>
        <w:t>One of the most promising applications of AI in clinical diagnostics is its potential to integrate multiple blood parameters in a way that provides a comprehensive profile of a patient's immune response. This integration allows for more precise differentiation between bacterial and viral infections, conditions that often present with similar clinical symptoms but require vastly different treatment approaches. By leveraging machine learning to analyze not just single biomarkers, but a complex array of parameters, AI models can provide real-time, data-driven predictions that guide clinical decision-making. This not only reduces diagnostic errors but also aids in minimizing unnecessary antibiotic prescriptions, a crucial step in combating the growing threat of antimicrobial resistance (AMR).</w:t>
      </w:r>
    </w:p>
    <w:p w:rsidR="00D7363A" w:rsidRDefault="00D7363A" w:rsidP="00D7363A">
      <w:pPr>
        <w:pStyle w:val="Textbody"/>
        <w:jc w:val="both"/>
        <w:rPr>
          <w:rFonts w:ascii="Times New Roman" w:hAnsi="Times New Roman" w:cs="Times New Roman"/>
        </w:rPr>
      </w:pPr>
      <w:r>
        <w:rPr>
          <w:rFonts w:ascii="Times New Roman" w:hAnsi="Times New Roman" w:cs="Times New Roman"/>
        </w:rPr>
        <w:t>The promise of AI in this domain is vast, but there are still significant hurdles to overcome. Future research should focus on validating these AI models in diverse patient populations, taking into account variations in age, comorbidities, and geographic differences in pathogen prevalence. Additionally, further exploration of additional biomarkers</w:t>
      </w:r>
      <w:r w:rsidR="008F583A">
        <w:rPr>
          <w:rFonts w:ascii="Times New Roman" w:hAnsi="Times New Roman" w:cs="Times New Roman"/>
        </w:rPr>
        <w:t xml:space="preserve">, </w:t>
      </w:r>
      <w:r>
        <w:rPr>
          <w:rFonts w:ascii="Times New Roman" w:hAnsi="Times New Roman" w:cs="Times New Roman"/>
        </w:rPr>
        <w:t>such as cytokines, interferons, and other immune modulators</w:t>
      </w:r>
      <w:r w:rsidR="008F583A">
        <w:rPr>
          <w:rFonts w:ascii="Times New Roman" w:hAnsi="Times New Roman" w:cs="Times New Roman"/>
        </w:rPr>
        <w:t xml:space="preserve">, </w:t>
      </w:r>
      <w:r>
        <w:rPr>
          <w:rFonts w:ascii="Times New Roman" w:hAnsi="Times New Roman" w:cs="Times New Roman"/>
        </w:rPr>
        <w:t>could refine these models, enabling even more ac</w:t>
      </w:r>
      <w:bookmarkStart w:id="39" w:name="_GoBack"/>
      <w:bookmarkEnd w:id="39"/>
      <w:r>
        <w:rPr>
          <w:rFonts w:ascii="Times New Roman" w:hAnsi="Times New Roman" w:cs="Times New Roman"/>
        </w:rPr>
        <w:t xml:space="preserve">curate differentiation </w:t>
      </w:r>
      <w:r>
        <w:rPr>
          <w:rFonts w:ascii="Times New Roman" w:hAnsi="Times New Roman" w:cs="Times New Roman"/>
        </w:rPr>
        <w:lastRenderedPageBreak/>
        <w:t>between bacterial and viral infections. By continuously improving these AI systems, the medical community can achieve faster, more accurate diagnoses, reduce unnecessary healthcare costs, and make substantial progress in the fight against AMR. The potential for AI to transform diagnostic practices is vast, but it requires rigorous, ongoing research and validation to realize its full promise.</w:t>
      </w:r>
    </w:p>
    <w:p w:rsidR="003F66A0" w:rsidRPr="003F66A0" w:rsidRDefault="00D7363A" w:rsidP="003F66A0">
      <w:pPr>
        <w:pStyle w:val="Heading2"/>
        <w:numPr>
          <w:ilvl w:val="1"/>
          <w:numId w:val="28"/>
        </w:numPr>
        <w:rPr>
          <w:rFonts w:ascii="Times New Roman" w:eastAsia="Times New Roman" w:hAnsi="Times New Roman" w:cs="Times New Roman"/>
        </w:rPr>
      </w:pPr>
      <w:bookmarkStart w:id="40" w:name="_Toc193802150"/>
      <w:r w:rsidRPr="003F66A0">
        <w:rPr>
          <w:rStyle w:val="StrongEmphasis"/>
          <w:rFonts w:ascii="Times New Roman" w:eastAsia="Times New Roman" w:hAnsi="Times New Roman" w:cs="Times New Roman"/>
          <w:color w:val="auto"/>
          <w:sz w:val="24"/>
        </w:rPr>
        <w:t>Combining proteomics, transcriptomics, and metabolomics with host biomarker data</w:t>
      </w:r>
      <w:bookmarkEnd w:id="40"/>
    </w:p>
    <w:p w:rsidR="00D7363A" w:rsidRDefault="00D7363A" w:rsidP="00D7363A">
      <w:pPr>
        <w:pStyle w:val="Standard"/>
        <w:suppressAutoHyphens w:val="0"/>
        <w:spacing w:before="280" w:after="280" w:line="276" w:lineRule="auto"/>
        <w:jc w:val="both"/>
        <w:rPr>
          <w:rFonts w:ascii="Times New Roman" w:hAnsi="Times New Roman" w:cs="Times New Roman"/>
        </w:rPr>
      </w:pPr>
      <w:r>
        <w:rPr>
          <w:rFonts w:ascii="Times New Roman" w:eastAsia="Times New Roman" w:hAnsi="Times New Roman" w:cs="Times New Roman"/>
          <w:kern w:val="0"/>
          <w:lang w:eastAsia="en-US" w:bidi="ar-SA"/>
        </w:rPr>
        <w:t>The fusion of proteomics, transcriptomics, and metabolomics with host biomarker data holds the promise of unlocking an entirely new dimension of diagnostic power, especially in the nuanced task of distinguishing between bacterial and viral infections. These "omics" technologies provide multifaceted views into the biological processes occurring at various levels within the host. Proteomics, for instance, doesn’t just identify proteins; it illuminates the complex interplay of immune responses and cellular signaling pathways activated during infection. Transcriptomics, by analyzing gene expression, takes a deep dive into the genetic signatures, revealing how cells are responding, not just to the pathogen, but to the shifting dynamics of the infection. Meanwhile, metabolomics offers a glimpse into the metabolic reprogramming that occurs as a result of the infection—changes in the metabolites can reflect critical shifts in energy production, nutrient usage, and waste management, all of which may differ markedly between bacterial and viral invaders.</w:t>
      </w:r>
    </w:p>
    <w:p w:rsidR="00D7363A" w:rsidRDefault="00D7363A" w:rsidP="00D7363A">
      <w:pPr>
        <w:pStyle w:val="Textbody"/>
        <w:jc w:val="both"/>
        <w:rPr>
          <w:rFonts w:ascii="Times New Roman" w:hAnsi="Times New Roman" w:cs="Times New Roman"/>
        </w:rPr>
      </w:pPr>
      <w:r>
        <w:rPr>
          <w:rFonts w:ascii="Times New Roman" w:hAnsi="Times New Roman" w:cs="Times New Roman"/>
        </w:rPr>
        <w:t>Now, imagine combining these three powerhouses with traditional host biomarkers, such as cytokines and chemokines. What you get is a comprehensive map of the host’s immune response, metabolic activity, and genetic adaptation, all of which are intertwined in ways that traditional diagnostic methods cannot capture. This confluence of data offers unprecedented opportunities to identify novel biomarkers—ones that are potentially more accurate or sensitive than those currently used in routine clinical practice. For example, proteomics might reveal previously unknown viral or bacterial proteins that exhibit specific expression patterns during infection, while transcriptomics may uncover hidden signatures in gene expression that mark the host's immune response to viral or bacterial stimuli. Meanwhile, metabolomics could highlight subtle but critical shifts in the host’s metabolic pathways—alterations that could decisively point to the infection type.</w:t>
      </w:r>
    </w:p>
    <w:p w:rsidR="00BC726F" w:rsidRDefault="00D7363A" w:rsidP="00D7363A">
      <w:pPr>
        <w:pStyle w:val="Textbody"/>
        <w:jc w:val="both"/>
        <w:rPr>
          <w:rFonts w:ascii="Times New Roman" w:hAnsi="Times New Roman" w:cs="Times New Roman"/>
        </w:rPr>
      </w:pPr>
      <w:r>
        <w:rPr>
          <w:rFonts w:ascii="Times New Roman" w:hAnsi="Times New Roman" w:cs="Times New Roman"/>
        </w:rPr>
        <w:t xml:space="preserve">By weaving these omics together, we can refine existing diagnostic assays, creating a powerful, multi-dimensional diagnostic tool that doesn’t just detect infection, but understands the finer details of the host-pathogen interaction. This promises to reduce diagnostic ambiguity, accelerate the time to accurate diagnosis, and help clinicians make better-informed treatment decisions, particularly in the context of differentiating between viral and bacterial infections. What’s more, this approach could pave the way for precision medicine, allowing for individualized treatment strategies that target specific biomarker signatures or metabolic pathways unique to the infection at hand. </w:t>
      </w:r>
      <w:r w:rsidR="003D0BC9">
        <w:rPr>
          <w:rFonts w:ascii="Times New Roman" w:hAnsi="Times New Roman" w:cs="Times New Roman"/>
        </w:rPr>
        <w:t>Shortly</w:t>
      </w:r>
      <w:r>
        <w:rPr>
          <w:rFonts w:ascii="Times New Roman" w:hAnsi="Times New Roman" w:cs="Times New Roman"/>
        </w:rPr>
        <w:t>, combining proteomics, transcriptomics, and metabolomics with host biomarker data could become the gold standard for infectious disease diagnostics—more accurate, faster, and more personalized than anything we've seen before.</w:t>
      </w:r>
    </w:p>
    <w:p w:rsidR="00A037E8" w:rsidRDefault="00C6178D" w:rsidP="003F66A0">
      <w:pPr>
        <w:pStyle w:val="Heading1"/>
        <w:numPr>
          <w:ilvl w:val="0"/>
          <w:numId w:val="28"/>
        </w:numPr>
        <w:spacing w:before="0" w:after="0"/>
        <w:rPr>
          <w:rFonts w:ascii="Times New Roman" w:hAnsi="Times New Roman" w:cs="Times New Roman"/>
          <w:b/>
          <w:color w:val="auto"/>
          <w:sz w:val="28"/>
        </w:rPr>
      </w:pPr>
      <w:bookmarkStart w:id="41" w:name="_Toc193802151"/>
      <w:r w:rsidRPr="003F66A0">
        <w:rPr>
          <w:rFonts w:ascii="Times New Roman" w:hAnsi="Times New Roman" w:cs="Times New Roman"/>
          <w:b/>
          <w:color w:val="auto"/>
          <w:sz w:val="28"/>
        </w:rPr>
        <w:lastRenderedPageBreak/>
        <w:t>A</w:t>
      </w:r>
      <w:r>
        <w:rPr>
          <w:rFonts w:ascii="Times New Roman" w:hAnsi="Times New Roman" w:cs="Times New Roman"/>
          <w:b/>
          <w:color w:val="auto"/>
          <w:sz w:val="28"/>
        </w:rPr>
        <w:t>dvantages</w:t>
      </w:r>
      <w:r w:rsidR="003F66A0" w:rsidRPr="003F66A0">
        <w:rPr>
          <w:rFonts w:ascii="Times New Roman" w:hAnsi="Times New Roman" w:cs="Times New Roman"/>
          <w:b/>
          <w:color w:val="auto"/>
          <w:sz w:val="28"/>
        </w:rPr>
        <w:t xml:space="preserve"> and Limitations</w:t>
      </w:r>
      <w:bookmarkEnd w:id="41"/>
    </w:p>
    <w:p w:rsidR="003F66A0" w:rsidRPr="003F66A0" w:rsidRDefault="003F66A0" w:rsidP="003F66A0">
      <w:pPr>
        <w:spacing w:after="0"/>
      </w:pPr>
    </w:p>
    <w:p w:rsidR="003F66A0" w:rsidRDefault="003F66A0" w:rsidP="003F66A0">
      <w:pPr>
        <w:pStyle w:val="Heading2"/>
        <w:numPr>
          <w:ilvl w:val="1"/>
          <w:numId w:val="28"/>
        </w:numPr>
        <w:spacing w:before="0"/>
        <w:rPr>
          <w:rFonts w:ascii="Times New Roman" w:hAnsi="Times New Roman" w:cs="Times New Roman"/>
          <w:b/>
          <w:color w:val="auto"/>
          <w:sz w:val="24"/>
        </w:rPr>
      </w:pPr>
      <w:bookmarkStart w:id="42" w:name="_Toc193802152"/>
      <w:r w:rsidRPr="003F66A0">
        <w:rPr>
          <w:rFonts w:ascii="Times New Roman" w:hAnsi="Times New Roman" w:cs="Times New Roman"/>
          <w:b/>
          <w:color w:val="auto"/>
          <w:sz w:val="24"/>
        </w:rPr>
        <w:t>Advantages</w:t>
      </w:r>
      <w:bookmarkEnd w:id="42"/>
    </w:p>
    <w:p w:rsidR="003F66A0" w:rsidRPr="003F66A0" w:rsidRDefault="003F66A0" w:rsidP="003F66A0">
      <w:pPr>
        <w:spacing w:after="0"/>
      </w:pPr>
    </w:p>
    <w:p w:rsidR="001C2DEE" w:rsidRDefault="001C2DEE" w:rsidP="003F66A0">
      <w:pPr>
        <w:pStyle w:val="Textbody"/>
        <w:numPr>
          <w:ilvl w:val="0"/>
          <w:numId w:val="20"/>
        </w:numPr>
        <w:spacing w:after="0"/>
        <w:jc w:val="both"/>
        <w:rPr>
          <w:rStyle w:val="resultpara0"/>
        </w:rPr>
      </w:pPr>
      <w:r>
        <w:rPr>
          <w:rStyle w:val="resultpara0"/>
        </w:rPr>
        <w:t xml:space="preserve">Host biomarker detection offers numerous benefits across various sectors, particularly in diagnostics, disease management, and personalised treatment approaches.  </w:t>
      </w:r>
    </w:p>
    <w:p w:rsidR="001C2DEE" w:rsidRDefault="001C2DEE" w:rsidP="00400170">
      <w:pPr>
        <w:pStyle w:val="Textbody"/>
        <w:numPr>
          <w:ilvl w:val="0"/>
          <w:numId w:val="20"/>
        </w:numPr>
        <w:spacing w:after="0"/>
        <w:jc w:val="both"/>
        <w:rPr>
          <w:rStyle w:val="resultpara0"/>
        </w:rPr>
      </w:pPr>
      <w:r>
        <w:rPr>
          <w:rStyle w:val="resultpara0"/>
        </w:rPr>
        <w:t>Early disease detection can be improved by biomarkers that help identify conditions at their initial stages, often before symptoms appear. This is crucial for illnesses such as cancer, infections, or autoimmune disorders, where prompt intervention can significantly enhance outcomes.</w:t>
      </w:r>
    </w:p>
    <w:p w:rsidR="001C2DEE" w:rsidRDefault="001C2DEE" w:rsidP="00400170">
      <w:pPr>
        <w:pStyle w:val="Textbody"/>
        <w:numPr>
          <w:ilvl w:val="0"/>
          <w:numId w:val="20"/>
        </w:numPr>
        <w:spacing w:after="0"/>
        <w:jc w:val="both"/>
        <w:rPr>
          <w:rStyle w:val="resultpara0"/>
        </w:rPr>
      </w:pPr>
      <w:r>
        <w:rPr>
          <w:rStyle w:val="resultpara0"/>
        </w:rPr>
        <w:t xml:space="preserve">Non-invasive testing facilitates the detection of various biomarkers, which can be identified in bodily fluids like blood, urine, or saliva, making the process less invasive compared to traditional tissue biopsies or imaging techniques. This improves patient comfort and adherence. </w:t>
      </w:r>
    </w:p>
    <w:p w:rsidR="001C2DEE" w:rsidRDefault="001C2DEE" w:rsidP="001C2DEE">
      <w:pPr>
        <w:pStyle w:val="Textbody"/>
        <w:numPr>
          <w:ilvl w:val="0"/>
          <w:numId w:val="20"/>
        </w:numPr>
        <w:spacing w:after="0"/>
        <w:jc w:val="both"/>
        <w:rPr>
          <w:rStyle w:val="resultpara0"/>
        </w:rPr>
      </w:pPr>
      <w:r>
        <w:rPr>
          <w:rStyle w:val="resultpara0"/>
        </w:rPr>
        <w:t>Personalised medicine can be advanced through biomarkers, providing insights into an individual's specific disease characteristics, thus enabling customised treatments that are more effective and have fewer side effects. This aspect is particularly important in cancer treatment, where genetic biomarkers can guide the selection of targeted therapies.</w:t>
      </w:r>
    </w:p>
    <w:p w:rsidR="001C2DEE" w:rsidRDefault="001C2DEE" w:rsidP="001C2DEE">
      <w:pPr>
        <w:pStyle w:val="Textbody"/>
        <w:numPr>
          <w:ilvl w:val="0"/>
          <w:numId w:val="20"/>
        </w:numPr>
        <w:spacing w:after="0"/>
        <w:jc w:val="both"/>
        <w:rPr>
          <w:rStyle w:val="resultpara0"/>
        </w:rPr>
      </w:pPr>
      <w:r>
        <w:rPr>
          <w:rStyle w:val="resultpara0"/>
        </w:rPr>
        <w:t>Monitoring disease progression and treatment response involves tracking biomarker levels over time to assess the course of a disease or a patient’s response to treatment. This helps medical professionals adjust therapies as needed.</w:t>
      </w:r>
    </w:p>
    <w:p w:rsidR="001C2DEE" w:rsidRDefault="001C2DEE" w:rsidP="001C2DEE">
      <w:pPr>
        <w:pStyle w:val="Textbody"/>
        <w:numPr>
          <w:ilvl w:val="0"/>
          <w:numId w:val="20"/>
        </w:numPr>
        <w:spacing w:after="0"/>
        <w:jc w:val="both"/>
        <w:rPr>
          <w:rStyle w:val="resultpara0"/>
        </w:rPr>
      </w:pPr>
      <w:r>
        <w:rPr>
          <w:rStyle w:val="resultpara0"/>
        </w:rPr>
        <w:t>Recognising disease subtypes is critical, as certain conditions have distinct subtypes that may respond differently to therapy. Biomarker identification can aid in pinpointing these subtypes, which further informs more accurate treatment choices.</w:t>
      </w:r>
    </w:p>
    <w:p w:rsidR="001C2DEE" w:rsidRDefault="001C2DEE" w:rsidP="001C2DEE">
      <w:pPr>
        <w:pStyle w:val="Textbody"/>
        <w:numPr>
          <w:ilvl w:val="0"/>
          <w:numId w:val="20"/>
        </w:numPr>
        <w:spacing w:after="0"/>
        <w:jc w:val="both"/>
        <w:rPr>
          <w:rStyle w:val="resultpara0"/>
        </w:rPr>
      </w:pPr>
      <w:r>
        <w:rPr>
          <w:rStyle w:val="resultpara0"/>
        </w:rPr>
        <w:t>Additionally, disease outcome prediction is enhanced by biomarkers, as they can indicate how a patient may respond to therapy or how a disease is likely to progress. This supports decision-making and prognostication, including identifying the necessity for more intensive therapy.</w:t>
      </w:r>
    </w:p>
    <w:p w:rsidR="001C2DEE" w:rsidRDefault="001C2DEE" w:rsidP="001C2DEE">
      <w:pPr>
        <w:pStyle w:val="Textbody"/>
        <w:numPr>
          <w:ilvl w:val="0"/>
          <w:numId w:val="20"/>
        </w:numPr>
        <w:spacing w:after="0"/>
        <w:jc w:val="both"/>
        <w:rPr>
          <w:rStyle w:val="resultpara0"/>
        </w:rPr>
      </w:pPr>
      <w:r>
        <w:rPr>
          <w:rStyle w:val="resultpara0"/>
        </w:rPr>
        <w:t>Monitoring for recurrence or relapse involves biomarkers that can detect the return of diseases, such as cancer, well before imaging or clinical signs reveal it, allowing for earlier intervention.</w:t>
      </w:r>
    </w:p>
    <w:p w:rsidR="001C2DEE" w:rsidRDefault="001C2DEE" w:rsidP="001C2DEE">
      <w:pPr>
        <w:pStyle w:val="Textbody"/>
        <w:numPr>
          <w:ilvl w:val="0"/>
          <w:numId w:val="20"/>
        </w:numPr>
        <w:spacing w:after="0"/>
        <w:jc w:val="both"/>
        <w:rPr>
          <w:rStyle w:val="resultpara0"/>
        </w:rPr>
      </w:pPr>
      <w:r>
        <w:rPr>
          <w:rStyle w:val="resultpara0"/>
        </w:rPr>
        <w:t>Improved diagnostics in complex disease identification are offered by host biomarkers, which provide a more comprehensive insight into the disease process and help differentiate between related symptoms in intricate or multifactorial diseases (such as sepsis and autoimmune disorders).</w:t>
      </w:r>
    </w:p>
    <w:p w:rsidR="001C2DEE" w:rsidRDefault="001C2DEE" w:rsidP="001C2DEE">
      <w:pPr>
        <w:pStyle w:val="Textbody"/>
        <w:numPr>
          <w:ilvl w:val="0"/>
          <w:numId w:val="20"/>
        </w:numPr>
        <w:spacing w:after="0"/>
        <w:jc w:val="both"/>
      </w:pPr>
      <w:r>
        <w:rPr>
          <w:rStyle w:val="resultpara0"/>
        </w:rPr>
        <w:t>Cost-effectiveness is another benefit; compared to more invasive or resource-intensive diagnostic techniques like imaging, biopsies, or extended hospital stays, biomarker detection may often be less costly.</w:t>
      </w:r>
    </w:p>
    <w:p w:rsidR="001C2DEE" w:rsidRDefault="001C2DEE" w:rsidP="001C2DEE">
      <w:pPr>
        <w:pStyle w:val="Textbody"/>
        <w:spacing w:after="0"/>
        <w:ind w:left="720"/>
        <w:jc w:val="both"/>
      </w:pPr>
    </w:p>
    <w:p w:rsidR="001C2DEE" w:rsidRPr="00047F0F" w:rsidRDefault="001C2DEE" w:rsidP="00047F0F">
      <w:pPr>
        <w:pStyle w:val="Heading2"/>
        <w:numPr>
          <w:ilvl w:val="1"/>
          <w:numId w:val="28"/>
        </w:numPr>
        <w:rPr>
          <w:rFonts w:ascii="Times New Roman" w:hAnsi="Times New Roman" w:cs="Times New Roman"/>
          <w:b/>
          <w:color w:val="auto"/>
          <w:sz w:val="24"/>
        </w:rPr>
      </w:pPr>
      <w:bookmarkStart w:id="43" w:name="_Toc193802153"/>
      <w:r w:rsidRPr="00047F0F">
        <w:rPr>
          <w:rFonts w:ascii="Times New Roman" w:hAnsi="Times New Roman" w:cs="Times New Roman"/>
          <w:b/>
          <w:color w:val="auto"/>
          <w:sz w:val="24"/>
        </w:rPr>
        <w:t>Limitation</w:t>
      </w:r>
      <w:bookmarkEnd w:id="43"/>
      <w:r w:rsidR="00BC726F">
        <w:rPr>
          <w:rFonts w:ascii="Times New Roman" w:hAnsi="Times New Roman" w:cs="Times New Roman"/>
          <w:b/>
          <w:color w:val="auto"/>
          <w:sz w:val="24"/>
        </w:rPr>
        <w:t>s</w:t>
      </w:r>
    </w:p>
    <w:p w:rsidR="001C2DEE" w:rsidRDefault="001C2DEE" w:rsidP="001C2DEE">
      <w:pPr>
        <w:pStyle w:val="Textbody"/>
        <w:spacing w:after="0"/>
        <w:ind w:left="720"/>
        <w:jc w:val="both"/>
      </w:pPr>
    </w:p>
    <w:p w:rsidR="001C2DEE" w:rsidRDefault="001C2DEE" w:rsidP="001C2DEE">
      <w:pPr>
        <w:pStyle w:val="Textbody"/>
        <w:numPr>
          <w:ilvl w:val="0"/>
          <w:numId w:val="19"/>
        </w:numPr>
        <w:spacing w:after="0"/>
        <w:jc w:val="both"/>
      </w:pPr>
      <w:r>
        <w:t>Deficiency of Specificity: It's possible that some biomarkers aren't disease-specific. A biomarker's elevated levels can be observed in a variety of ailments, which might result in false positives and make it challenging to differentiate between various illnesses.</w:t>
      </w:r>
    </w:p>
    <w:p w:rsidR="001C2DEE" w:rsidRDefault="001C2DEE" w:rsidP="001C2DEE">
      <w:pPr>
        <w:pStyle w:val="Textbody"/>
        <w:numPr>
          <w:ilvl w:val="0"/>
          <w:numId w:val="19"/>
        </w:numPr>
        <w:spacing w:after="0"/>
        <w:jc w:val="both"/>
      </w:pPr>
      <w:r>
        <w:lastRenderedPageBreak/>
        <w:t>Problems with Sensitivity: A lot of biomarkers might not be sensitive enough to identify diseases at low concentrations or in their early stages, which could result in false negative results. For diseases like cancer, where early detection is essential, this can be very difficult.</w:t>
      </w:r>
    </w:p>
    <w:p w:rsidR="001C2DEE" w:rsidRDefault="001C2DEE" w:rsidP="001C2DEE">
      <w:pPr>
        <w:pStyle w:val="Textbody"/>
        <w:numPr>
          <w:ilvl w:val="0"/>
          <w:numId w:val="19"/>
        </w:numPr>
        <w:spacing w:after="0"/>
        <w:jc w:val="both"/>
      </w:pPr>
      <w:r>
        <w:t>Variability across Populations: Individuals' levels of biomarkers may differ according to comorbidities, age, sex, and ethnicity. It may be challenging to set uniform thresholds for disease monitoring or diagnosis because of this diversity.</w:t>
      </w:r>
    </w:p>
    <w:p w:rsidR="001C2DEE" w:rsidRDefault="001C2DEE" w:rsidP="001C2DEE">
      <w:pPr>
        <w:pStyle w:val="Textbody"/>
        <w:numPr>
          <w:ilvl w:val="0"/>
          <w:numId w:val="19"/>
        </w:numPr>
        <w:spacing w:after="0"/>
        <w:jc w:val="both"/>
      </w:pPr>
      <w:r>
        <w:t xml:space="preserve">Complexity of Interpretation: Biomarker data interpretation may not always be simple and may call </w:t>
      </w:r>
      <w:r w:rsidR="008F583A">
        <w:t xml:space="preserve">for </w:t>
      </w:r>
      <w:r>
        <w:t>highly sophisticated equipment and knowledge. Although their levels do not necessarily correspond with clinical results, several biomarkers might alter in response to treatment.</w:t>
      </w:r>
    </w:p>
    <w:p w:rsidR="001C2DEE" w:rsidRDefault="00D42680" w:rsidP="001C2DEE">
      <w:pPr>
        <w:pStyle w:val="Textbody"/>
        <w:numPr>
          <w:ilvl w:val="0"/>
          <w:numId w:val="19"/>
        </w:numPr>
        <w:spacing w:after="0"/>
        <w:jc w:val="both"/>
      </w:pPr>
      <w:r>
        <w:t>Ethical and confidentiality</w:t>
      </w:r>
      <w:r w:rsidR="001C2DEE">
        <w:t>: Because biomarkers frequently incorporate genetic data, there are ethical issues with consent, privacy, and possible abuse of private health data. Particularly, genetic indicators may give rise to privacy or discrimination concerns.</w:t>
      </w:r>
    </w:p>
    <w:p w:rsidR="001C2DEE" w:rsidRDefault="001C2DEE" w:rsidP="001C2DEE">
      <w:pPr>
        <w:pStyle w:val="Textbody"/>
        <w:numPr>
          <w:ilvl w:val="0"/>
          <w:numId w:val="19"/>
        </w:numPr>
        <w:spacing w:after="0"/>
        <w:jc w:val="both"/>
      </w:pPr>
      <w:r>
        <w:t>Population Variability: The levels of biomarkers can differ. High Costs: Although biomarker detection can occasionally be economical, the infrastructure and technology needed for detection can be costly. In environments with limited resources, testing may not be possible due to the need for specialized tools, chemicals, and skilled workers.</w:t>
      </w:r>
    </w:p>
    <w:p w:rsidR="001C2DEE" w:rsidRDefault="001C2DEE" w:rsidP="001C2DEE">
      <w:pPr>
        <w:pStyle w:val="Textbody"/>
        <w:numPr>
          <w:ilvl w:val="0"/>
          <w:numId w:val="19"/>
        </w:numPr>
        <w:spacing w:after="0"/>
        <w:jc w:val="both"/>
      </w:pPr>
      <w:r>
        <w:t>Limited Standardization: Biomarker detection techniques are frequently not standardized, which might produce variable results in various labs or medical settings. This restricts the data' repeatability and makes it more difficult for biomarker-based diagnostics to be widely used.</w:t>
      </w:r>
    </w:p>
    <w:p w:rsidR="001C2DEE" w:rsidRDefault="001C2DEE" w:rsidP="001C2DEE">
      <w:pPr>
        <w:pStyle w:val="Textbody"/>
        <w:numPr>
          <w:ilvl w:val="0"/>
          <w:numId w:val="19"/>
        </w:numPr>
        <w:spacing w:after="0"/>
        <w:jc w:val="both"/>
      </w:pPr>
      <w:r>
        <w:t>Regulatory and Validation Difficulties: A large number of biomarkers are still in the research stage and have not received full validation or clinical use approval. Implementing biomarker detection in standard clinical practice can be delayed by the drawn-out and complicated regulatory approval procedure.</w:t>
      </w:r>
    </w:p>
    <w:p w:rsidR="001C2DEE" w:rsidRDefault="001C2DEE" w:rsidP="001C2DEE">
      <w:pPr>
        <w:pStyle w:val="Textbody"/>
        <w:numPr>
          <w:ilvl w:val="0"/>
          <w:numId w:val="19"/>
        </w:numPr>
        <w:spacing w:after="0"/>
        <w:jc w:val="both"/>
      </w:pPr>
      <w:r>
        <w:t>False Positives and False Negatives: Biomarkers are not flawless, just like any other diagnostic instrument. False negatives (failing to identify disease when it exists) and false positives (indicating disease when none exists) can happen and may result in incorrect diagnoses, ineffective treatments, or lost chances for early intervention.</w:t>
      </w:r>
    </w:p>
    <w:p w:rsidR="00C6178D" w:rsidRDefault="00C6178D" w:rsidP="00C6178D">
      <w:pPr>
        <w:pStyle w:val="ListParagraph"/>
      </w:pPr>
    </w:p>
    <w:p w:rsidR="00C6178D" w:rsidRDefault="00C6178D" w:rsidP="00C6178D">
      <w:pPr>
        <w:pStyle w:val="Textbody"/>
        <w:spacing w:after="0"/>
        <w:jc w:val="both"/>
      </w:pPr>
    </w:p>
    <w:p w:rsidR="00C6178D" w:rsidRDefault="00C6178D" w:rsidP="00C6178D">
      <w:pPr>
        <w:pStyle w:val="Textbody"/>
        <w:spacing w:after="0"/>
        <w:jc w:val="both"/>
      </w:pPr>
    </w:p>
    <w:p w:rsidR="00C6178D" w:rsidRDefault="00C6178D" w:rsidP="00C6178D">
      <w:pPr>
        <w:pStyle w:val="Textbody"/>
        <w:spacing w:after="0"/>
        <w:jc w:val="both"/>
      </w:pPr>
    </w:p>
    <w:p w:rsidR="00C6178D" w:rsidRDefault="00C6178D" w:rsidP="00C6178D">
      <w:pPr>
        <w:pStyle w:val="Textbody"/>
        <w:spacing w:after="0"/>
        <w:jc w:val="both"/>
      </w:pPr>
    </w:p>
    <w:p w:rsidR="00C6178D" w:rsidRDefault="00C6178D" w:rsidP="00C6178D">
      <w:pPr>
        <w:pStyle w:val="Textbody"/>
        <w:spacing w:after="0"/>
        <w:jc w:val="both"/>
      </w:pPr>
    </w:p>
    <w:p w:rsidR="00C6178D" w:rsidRDefault="00C6178D" w:rsidP="00C6178D">
      <w:pPr>
        <w:pStyle w:val="Textbody"/>
        <w:spacing w:after="0"/>
        <w:jc w:val="both"/>
      </w:pPr>
    </w:p>
    <w:p w:rsidR="00C45075" w:rsidRDefault="00C45075" w:rsidP="00C6178D">
      <w:pPr>
        <w:pStyle w:val="Textbody"/>
        <w:spacing w:after="0"/>
        <w:jc w:val="both"/>
      </w:pPr>
    </w:p>
    <w:p w:rsidR="00C45075" w:rsidRDefault="00C45075" w:rsidP="00C6178D">
      <w:pPr>
        <w:pStyle w:val="Textbody"/>
        <w:spacing w:after="0"/>
        <w:jc w:val="both"/>
      </w:pPr>
    </w:p>
    <w:p w:rsidR="00A42A32" w:rsidRDefault="00A42A32" w:rsidP="00C6178D">
      <w:pPr>
        <w:pStyle w:val="Textbody"/>
        <w:spacing w:after="0"/>
        <w:jc w:val="both"/>
      </w:pPr>
    </w:p>
    <w:p w:rsidR="00C45075" w:rsidRDefault="00C45075" w:rsidP="00C6178D">
      <w:pPr>
        <w:pStyle w:val="Textbody"/>
        <w:spacing w:after="0"/>
        <w:jc w:val="both"/>
      </w:pPr>
    </w:p>
    <w:p w:rsidR="00C45075" w:rsidRDefault="00C45075" w:rsidP="00C6178D">
      <w:pPr>
        <w:pStyle w:val="Textbody"/>
        <w:spacing w:after="0"/>
        <w:jc w:val="both"/>
      </w:pPr>
    </w:p>
    <w:p w:rsidR="00C45075" w:rsidRPr="00A037E8" w:rsidRDefault="00C45075" w:rsidP="00C6178D">
      <w:pPr>
        <w:pStyle w:val="Textbody"/>
        <w:spacing w:after="0"/>
        <w:jc w:val="both"/>
      </w:pPr>
    </w:p>
    <w:p w:rsidR="00CB1D8E" w:rsidRDefault="0071328D" w:rsidP="0071328D">
      <w:pPr>
        <w:pStyle w:val="Heading1"/>
        <w:numPr>
          <w:ilvl w:val="0"/>
          <w:numId w:val="28"/>
        </w:numPr>
        <w:rPr>
          <w:rFonts w:ascii="Times New Roman" w:hAnsi="Times New Roman" w:cs="Times New Roman"/>
          <w:b/>
          <w:color w:val="auto"/>
          <w:sz w:val="28"/>
        </w:rPr>
      </w:pPr>
      <w:r w:rsidRPr="0071328D">
        <w:rPr>
          <w:rFonts w:ascii="Times New Roman" w:hAnsi="Times New Roman" w:cs="Times New Roman"/>
          <w:b/>
          <w:color w:val="auto"/>
          <w:sz w:val="28"/>
        </w:rPr>
        <w:t>REFERENCES</w:t>
      </w:r>
    </w:p>
    <w:p w:rsidR="009F451B" w:rsidRPr="009F451B" w:rsidRDefault="009F451B" w:rsidP="009F451B"/>
    <w:p w:rsidR="00AF392F" w:rsidRDefault="00AF392F" w:rsidP="00AF392F">
      <w:pPr>
        <w:pStyle w:val="Bibliography"/>
      </w:pPr>
      <w:r>
        <w:fldChar w:fldCharType="begin"/>
      </w:r>
      <w:r>
        <w:instrText xml:space="preserve"> ADDIN ZOTERO_BIBL {"uncited":[],"omitted":[],"custom":[]} CSL_BIBLIOGRAPHY </w:instrText>
      </w:r>
      <w:r>
        <w:fldChar w:fldCharType="separate"/>
      </w:r>
      <w:r>
        <w:t xml:space="preserve">1. Holmes KK, Bertozzi S, Bloom BR, Jha P eds. </w:t>
      </w:r>
      <w:r>
        <w:rPr>
          <w:i/>
          <w:iCs/>
        </w:rPr>
        <w:t>Disease Control Priorities, Third Edition (Volume 6): Major Infectious Diseases</w:t>
      </w:r>
      <w:r>
        <w:t>. The World Bank; 2017. Available at: http://elibrary.worldbank.org/doi/book/10.1596/978-1-4648-0524-0. Accessed February 16, 2025.</w:t>
      </w:r>
    </w:p>
    <w:p w:rsidR="00AF392F" w:rsidRDefault="00AF392F" w:rsidP="00AF392F">
      <w:pPr>
        <w:pStyle w:val="Bibliography"/>
      </w:pPr>
      <w:r>
        <w:t xml:space="preserve">2. Nuutila J, Lilius E-M. Distinction between bacterial and viral infections: </w:t>
      </w:r>
      <w:r>
        <w:rPr>
          <w:i/>
          <w:iCs/>
        </w:rPr>
        <w:t>Curr Opin Infect Dis</w:t>
      </w:r>
      <w:r>
        <w:t xml:space="preserve"> 2007; </w:t>
      </w:r>
      <w:r>
        <w:rPr>
          <w:b/>
          <w:bCs/>
        </w:rPr>
        <w:t>20</w:t>
      </w:r>
      <w:r>
        <w:t>: 304–10.</w:t>
      </w:r>
    </w:p>
    <w:p w:rsidR="00AF392F" w:rsidRDefault="00AF392F" w:rsidP="00AF392F">
      <w:pPr>
        <w:pStyle w:val="Bibliography"/>
      </w:pPr>
      <w:r>
        <w:t xml:space="preserve">3. Washington J. </w:t>
      </w:r>
      <w:r>
        <w:rPr>
          <w:i/>
          <w:iCs/>
        </w:rPr>
        <w:t>Principles of Diagnosis. In: Baron S, editor. Medical Microbiology.</w:t>
      </w:r>
      <w:r>
        <w:t xml:space="preserve"> 4th ed. Galveston (TX): University of Texas Medical Branch at Galveston; 1996. Available at: Chapter 10. Available from: https://www.ncbi.nlm.nih.gov/books/NBK8014/.</w:t>
      </w:r>
    </w:p>
    <w:p w:rsidR="00AF392F" w:rsidRDefault="00AF392F" w:rsidP="00AF392F">
      <w:pPr>
        <w:pStyle w:val="Bibliography"/>
      </w:pPr>
      <w:r>
        <w:t xml:space="preserve">4. Burnham C-AD, Leeds J, Nordmann P, O’Grady J, Patel J. Diagnosing antimicrobial resistance. </w:t>
      </w:r>
      <w:r>
        <w:rPr>
          <w:i/>
          <w:iCs/>
        </w:rPr>
        <w:t>Nat Rev Microbiol</w:t>
      </w:r>
      <w:r>
        <w:t xml:space="preserve"> 2017; </w:t>
      </w:r>
      <w:r>
        <w:rPr>
          <w:b/>
          <w:bCs/>
        </w:rPr>
        <w:t>15</w:t>
      </w:r>
      <w:r>
        <w:t>: 697–703.</w:t>
      </w:r>
    </w:p>
    <w:p w:rsidR="00AF392F" w:rsidRDefault="00AF392F" w:rsidP="00AF392F">
      <w:pPr>
        <w:pStyle w:val="Bibliography"/>
      </w:pPr>
      <w:r>
        <w:t xml:space="preserve">5. Liu C, Wang D, Duan L, Zhang X, Liu C. Coping With Diagnostic Uncertainty in Antibiotic Prescribing: A Latent Class Study of Primary Care Physicians in Hubei China. </w:t>
      </w:r>
      <w:r>
        <w:rPr>
          <w:i/>
          <w:iCs/>
        </w:rPr>
        <w:t>Front Public Health</w:t>
      </w:r>
      <w:r>
        <w:t xml:space="preserve"> 2021; </w:t>
      </w:r>
      <w:r>
        <w:rPr>
          <w:b/>
          <w:bCs/>
        </w:rPr>
        <w:t>9</w:t>
      </w:r>
      <w:r>
        <w:t>: 741345.</w:t>
      </w:r>
    </w:p>
    <w:p w:rsidR="00AF392F" w:rsidRDefault="00AF392F" w:rsidP="00AF392F">
      <w:pPr>
        <w:pStyle w:val="Bibliography"/>
      </w:pPr>
      <w:r>
        <w:t xml:space="preserve">6. Eldin C, Parola P, Raoult D. Limitations of diagnostic tests for bacterial infections. </w:t>
      </w:r>
      <w:r>
        <w:rPr>
          <w:i/>
          <w:iCs/>
        </w:rPr>
        <w:t>Médecine Mal Infect</w:t>
      </w:r>
      <w:r>
        <w:t xml:space="preserve"> 2019; </w:t>
      </w:r>
      <w:r>
        <w:rPr>
          <w:b/>
          <w:bCs/>
        </w:rPr>
        <w:t>49</w:t>
      </w:r>
      <w:r>
        <w:t>: 98–101.</w:t>
      </w:r>
    </w:p>
    <w:p w:rsidR="00AF392F" w:rsidRDefault="00AF392F" w:rsidP="00AF392F">
      <w:pPr>
        <w:pStyle w:val="Bibliography"/>
      </w:pPr>
      <w:r>
        <w:t xml:space="preserve">7. Guncar G, Kukar M, Smole T, </w:t>
      </w:r>
      <w:r>
        <w:rPr>
          <w:i/>
          <w:iCs/>
        </w:rPr>
        <w:t>et al.</w:t>
      </w:r>
      <w:r>
        <w:t xml:space="preserve"> Differentiating viral and bacterial infections: A machine learning model based on routine blood test values. </w:t>
      </w:r>
      <w:r>
        <w:rPr>
          <w:i/>
          <w:iCs/>
        </w:rPr>
        <w:t>Heliyon</w:t>
      </w:r>
      <w:r>
        <w:t xml:space="preserve"> 2024; </w:t>
      </w:r>
      <w:r>
        <w:rPr>
          <w:b/>
          <w:bCs/>
        </w:rPr>
        <w:t>10</w:t>
      </w:r>
      <w:r>
        <w:t>: e29372.</w:t>
      </w:r>
    </w:p>
    <w:p w:rsidR="00AF392F" w:rsidRDefault="00AF392F" w:rsidP="00AF392F">
      <w:pPr>
        <w:pStyle w:val="Bibliography"/>
      </w:pPr>
      <w:r>
        <w:t xml:space="preserve">8. Tan CD, van den Broek B, Womersley RS, </w:t>
      </w:r>
      <w:r>
        <w:rPr>
          <w:i/>
          <w:iCs/>
        </w:rPr>
        <w:t>et al.</w:t>
      </w:r>
      <w:r>
        <w:t xml:space="preserve"> A Novel Combination of Host Protein Biomarkers to Distinguish Bacterial From Viral Infections in Febrile Children in Emergency Care. </w:t>
      </w:r>
      <w:r>
        <w:rPr>
          <w:i/>
          <w:iCs/>
        </w:rPr>
        <w:t>Pediatr Infect Dis J</w:t>
      </w:r>
      <w:r>
        <w:t xml:space="preserve"> 2023; </w:t>
      </w:r>
      <w:r>
        <w:rPr>
          <w:b/>
          <w:bCs/>
        </w:rPr>
        <w:t>42</w:t>
      </w:r>
      <w:r>
        <w:t>: e235–42.</w:t>
      </w:r>
    </w:p>
    <w:p w:rsidR="00AF392F" w:rsidRDefault="00AF392F" w:rsidP="00AF392F">
      <w:pPr>
        <w:pStyle w:val="Bibliography"/>
      </w:pPr>
      <w:r>
        <w:t xml:space="preserve">9. Dinarello CA. Historical insights into cytokines. </w:t>
      </w:r>
      <w:r>
        <w:rPr>
          <w:i/>
          <w:iCs/>
        </w:rPr>
        <w:t>Eur J Immunol</w:t>
      </w:r>
      <w:r>
        <w:t xml:space="preserve"> 2007; </w:t>
      </w:r>
      <w:r>
        <w:rPr>
          <w:b/>
          <w:bCs/>
        </w:rPr>
        <w:t>37</w:t>
      </w:r>
      <w:r>
        <w:t>: S34–45.</w:t>
      </w:r>
    </w:p>
    <w:p w:rsidR="00AF392F" w:rsidRDefault="00AF392F" w:rsidP="00AF392F">
      <w:pPr>
        <w:pStyle w:val="Bibliography"/>
      </w:pPr>
      <w:r>
        <w:t xml:space="preserve">10. Idborg H, Oke V. Cytokines as Biomarkers in Systemic Lupus Erythematosus: Value for Diagnosis and Drug Therapy. </w:t>
      </w:r>
      <w:r>
        <w:rPr>
          <w:i/>
          <w:iCs/>
        </w:rPr>
        <w:t>Int J Mol Sci</w:t>
      </w:r>
      <w:r>
        <w:t xml:space="preserve"> 2021; </w:t>
      </w:r>
      <w:r>
        <w:rPr>
          <w:b/>
          <w:bCs/>
        </w:rPr>
        <w:t>22</w:t>
      </w:r>
      <w:r>
        <w:t>: 11327.</w:t>
      </w:r>
    </w:p>
    <w:p w:rsidR="00AF392F" w:rsidRDefault="00AF392F" w:rsidP="00AF392F">
      <w:pPr>
        <w:pStyle w:val="Bibliography"/>
      </w:pPr>
      <w:r>
        <w:t xml:space="preserve">11. Monastero RN, Pentyala S. Cytokines as Biomarkers and Their Respective Clinical Cutoff Levels. </w:t>
      </w:r>
      <w:r>
        <w:rPr>
          <w:i/>
          <w:iCs/>
        </w:rPr>
        <w:t>Int J Inflamm</w:t>
      </w:r>
      <w:r>
        <w:t xml:space="preserve"> 2017; </w:t>
      </w:r>
      <w:r>
        <w:rPr>
          <w:b/>
          <w:bCs/>
        </w:rPr>
        <w:t>2017</w:t>
      </w:r>
      <w:r>
        <w:t>: 1–11.</w:t>
      </w:r>
    </w:p>
    <w:p w:rsidR="00AF392F" w:rsidRDefault="00AF392F" w:rsidP="00AF392F">
      <w:pPr>
        <w:pStyle w:val="Bibliography"/>
      </w:pPr>
      <w:r>
        <w:t xml:space="preserve">12. Al-Qahtani AA, Alhamlan FS, Al-Qahtani AA. Pro-Inflammatory and Anti-Inflammatory Interleukins in Infectious Diseases: A Comprehensive Review. </w:t>
      </w:r>
      <w:r>
        <w:rPr>
          <w:i/>
          <w:iCs/>
        </w:rPr>
        <w:t>Trop Med Infect Dis</w:t>
      </w:r>
      <w:r>
        <w:t xml:space="preserve"> 2024; </w:t>
      </w:r>
      <w:r>
        <w:rPr>
          <w:b/>
          <w:bCs/>
        </w:rPr>
        <w:t>9</w:t>
      </w:r>
      <w:r>
        <w:t>: 13.</w:t>
      </w:r>
    </w:p>
    <w:p w:rsidR="00AF392F" w:rsidRDefault="00AF392F" w:rsidP="00AF392F">
      <w:pPr>
        <w:pStyle w:val="Bibliography"/>
      </w:pPr>
      <w:r>
        <w:t xml:space="preserve">13. Garcia MG, Parra-Medina R, Cardona A. </w:t>
      </w:r>
      <w:r>
        <w:rPr>
          <w:i/>
          <w:iCs/>
        </w:rPr>
        <w:t>Cytokines, chemokines and growth factors.</w:t>
      </w:r>
      <w:r>
        <w:t xml:space="preserve"> In: Anaya JM, Shoenfeld Y, Rojas-Villarraga A, et al., editors. Autoimmunity: From Bench to Bedside [Internet]. Bogota (Colombia): El Rosario University Press; 2013. Available at: https://www.ncbi.nlm.nih.gov/books/NBK459450/.</w:t>
      </w:r>
    </w:p>
    <w:p w:rsidR="00AF392F" w:rsidRDefault="00AF392F" w:rsidP="00AF392F">
      <w:pPr>
        <w:pStyle w:val="Bibliography"/>
      </w:pPr>
      <w:r>
        <w:lastRenderedPageBreak/>
        <w:t xml:space="preserve">14. Marie C, Pitton C, Fitting C, Cavaillon JM. Regulation by anti-inflammatory cytokines (IL-4, IL-10, IL-13, TGFbeta)of interleukin-8 production by LPS- and/ or TNFalpha-activated human polymorphonuclear cells. </w:t>
      </w:r>
      <w:r>
        <w:rPr>
          <w:i/>
          <w:iCs/>
        </w:rPr>
        <w:t>Mediators Inflamm</w:t>
      </w:r>
      <w:r>
        <w:t xml:space="preserve"> 1996; </w:t>
      </w:r>
      <w:r>
        <w:rPr>
          <w:b/>
          <w:bCs/>
        </w:rPr>
        <w:t>5</w:t>
      </w:r>
      <w:r>
        <w:t>: 334–40.</w:t>
      </w:r>
    </w:p>
    <w:p w:rsidR="00AF392F" w:rsidRDefault="00AF392F" w:rsidP="00AF392F">
      <w:pPr>
        <w:pStyle w:val="Bibliography"/>
      </w:pPr>
      <w:r>
        <w:t xml:space="preserve">15. Pinto LM, Oliveira SA, Braga EL, Nogueira RM, Kubelka CF. Increased pro-inflammatory cytokines (TNF-alpha and IL-6) and anti-inflammatory compounds (sTNFRp55 and sTNFRp75) in Brazilian patients during exanthematic dengue fever. </w:t>
      </w:r>
      <w:r>
        <w:rPr>
          <w:i/>
          <w:iCs/>
        </w:rPr>
        <w:t>Mem Inst Oswaldo Cruz</w:t>
      </w:r>
      <w:r>
        <w:t xml:space="preserve"> 1999; </w:t>
      </w:r>
      <w:r>
        <w:rPr>
          <w:b/>
          <w:bCs/>
        </w:rPr>
        <w:t>94</w:t>
      </w:r>
      <w:r>
        <w:t>: 387–94.</w:t>
      </w:r>
    </w:p>
    <w:p w:rsidR="00AF392F" w:rsidRDefault="00AF392F" w:rsidP="00AF392F">
      <w:pPr>
        <w:pStyle w:val="Bibliography"/>
      </w:pPr>
      <w:r>
        <w:t xml:space="preserve">16. Su D-L, Lu Z-M, Shen M-N, Li X, Sun L-Y. Roles of pro- and anti-inflammatory cytokines in the pathogenesis of SLE. </w:t>
      </w:r>
      <w:r>
        <w:rPr>
          <w:i/>
          <w:iCs/>
        </w:rPr>
        <w:t>J Biomed Biotechnol</w:t>
      </w:r>
      <w:r>
        <w:t xml:space="preserve"> 2012; </w:t>
      </w:r>
      <w:r>
        <w:rPr>
          <w:b/>
          <w:bCs/>
        </w:rPr>
        <w:t>2012</w:t>
      </w:r>
      <w:r>
        <w:t>: 347141.</w:t>
      </w:r>
    </w:p>
    <w:p w:rsidR="00AF392F" w:rsidRDefault="00AF392F" w:rsidP="00AF392F">
      <w:pPr>
        <w:pStyle w:val="Bibliography"/>
      </w:pPr>
      <w:r>
        <w:t xml:space="preserve">17. Tanaka T, Narazaki M, Kishimoto T. IL-6 in inflammation, immunity, and disease. </w:t>
      </w:r>
      <w:r>
        <w:rPr>
          <w:i/>
          <w:iCs/>
        </w:rPr>
        <w:t>Cold Spring Harb Perspect Biol</w:t>
      </w:r>
      <w:r>
        <w:t xml:space="preserve"> 2014; </w:t>
      </w:r>
      <w:r>
        <w:rPr>
          <w:b/>
          <w:bCs/>
        </w:rPr>
        <w:t>6</w:t>
      </w:r>
      <w:r>
        <w:t>: a016295.</w:t>
      </w:r>
    </w:p>
    <w:p w:rsidR="00AF392F" w:rsidRDefault="00AF392F" w:rsidP="00AF392F">
      <w:pPr>
        <w:pStyle w:val="Bibliography"/>
      </w:pPr>
      <w:r>
        <w:t xml:space="preserve">18. Xing Z, Gauldie J, Cox G, </w:t>
      </w:r>
      <w:r>
        <w:rPr>
          <w:i/>
          <w:iCs/>
        </w:rPr>
        <w:t>et al.</w:t>
      </w:r>
      <w:r>
        <w:t xml:space="preserve"> IL-6 is an antiinflammatory cytokine required for controlling local or systemic acute inflammatory responses. </w:t>
      </w:r>
      <w:r>
        <w:rPr>
          <w:i/>
          <w:iCs/>
        </w:rPr>
        <w:t>J Clin Invest</w:t>
      </w:r>
      <w:r>
        <w:t xml:space="preserve"> 1998; </w:t>
      </w:r>
      <w:r>
        <w:rPr>
          <w:b/>
          <w:bCs/>
        </w:rPr>
        <w:t>101</w:t>
      </w:r>
      <w:r>
        <w:t>: 311–20.</w:t>
      </w:r>
    </w:p>
    <w:p w:rsidR="00AF392F" w:rsidRDefault="00AF392F" w:rsidP="00AF392F">
      <w:pPr>
        <w:pStyle w:val="Bibliography"/>
      </w:pPr>
      <w:r>
        <w:t xml:space="preserve">19. Ungefroren H. TGF-β Signaling in Cancer: Control by Negative Regulators and Crosstalk with Proinflammatory and Fibrogenic Pathways. </w:t>
      </w:r>
      <w:r>
        <w:rPr>
          <w:i/>
          <w:iCs/>
        </w:rPr>
        <w:t>Cancers</w:t>
      </w:r>
      <w:r>
        <w:t xml:space="preserve"> 2019; </w:t>
      </w:r>
      <w:r>
        <w:rPr>
          <w:b/>
          <w:bCs/>
        </w:rPr>
        <w:t>11</w:t>
      </w:r>
      <w:r>
        <w:t>: 384.</w:t>
      </w:r>
    </w:p>
    <w:p w:rsidR="00AF392F" w:rsidRDefault="00AF392F" w:rsidP="00AF392F">
      <w:pPr>
        <w:pStyle w:val="Bibliography"/>
      </w:pPr>
      <w:r>
        <w:t xml:space="preserve">20. Yang L. TGFbeta and cancer metastasis: an inflammation link. </w:t>
      </w:r>
      <w:r>
        <w:rPr>
          <w:i/>
          <w:iCs/>
        </w:rPr>
        <w:t>Cancer Metastasis Rev</w:t>
      </w:r>
      <w:r>
        <w:t xml:space="preserve"> 2010; </w:t>
      </w:r>
      <w:r>
        <w:rPr>
          <w:b/>
          <w:bCs/>
        </w:rPr>
        <w:t>29</w:t>
      </w:r>
      <w:r>
        <w:t>: 263–71.</w:t>
      </w:r>
    </w:p>
    <w:p w:rsidR="00AF392F" w:rsidRDefault="00AF392F" w:rsidP="00AF392F">
      <w:pPr>
        <w:pStyle w:val="Bibliography"/>
      </w:pPr>
      <w:r>
        <w:t xml:space="preserve">21. Zhang S. The role of transforming growth factor β in T helper 17 differentiation. </w:t>
      </w:r>
      <w:r>
        <w:rPr>
          <w:i/>
          <w:iCs/>
        </w:rPr>
        <w:t>Immunology</w:t>
      </w:r>
      <w:r>
        <w:t xml:space="preserve"> 2018; </w:t>
      </w:r>
      <w:r>
        <w:rPr>
          <w:b/>
          <w:bCs/>
        </w:rPr>
        <w:t>155</w:t>
      </w:r>
      <w:r>
        <w:t>: 24–35.</w:t>
      </w:r>
    </w:p>
    <w:p w:rsidR="00AF392F" w:rsidRDefault="00AF392F" w:rsidP="00AF392F">
      <w:pPr>
        <w:pStyle w:val="Bibliography"/>
      </w:pPr>
      <w:r>
        <w:t xml:space="preserve">22. Pot C, Apetoh L, Kuchroo VK. Type 1 regulatory T cells (Tr1) in autoimmunity. </w:t>
      </w:r>
      <w:r>
        <w:rPr>
          <w:i/>
          <w:iCs/>
        </w:rPr>
        <w:t>Semin Immunol</w:t>
      </w:r>
      <w:r>
        <w:t xml:space="preserve"> 2011; </w:t>
      </w:r>
      <w:r>
        <w:rPr>
          <w:b/>
          <w:bCs/>
        </w:rPr>
        <w:t>23</w:t>
      </w:r>
      <w:r>
        <w:t>: 202–8.</w:t>
      </w:r>
    </w:p>
    <w:p w:rsidR="00AF392F" w:rsidRDefault="00AF392F" w:rsidP="00AF392F">
      <w:pPr>
        <w:pStyle w:val="Bibliography"/>
      </w:pPr>
      <w:r>
        <w:t xml:space="preserve">23. Hibbert L, Pflanz S, De Waal Malefyt R, Kastelein RA. IL-27 and IFN-alpha signal via Stat1 and Stat3 and induce T-Bet and IL-12Rbeta2 in naive T cells. </w:t>
      </w:r>
      <w:r>
        <w:rPr>
          <w:i/>
          <w:iCs/>
        </w:rPr>
        <w:t>J Interferon Cytokine Res Off J Int Soc Interferon Cytokine Res</w:t>
      </w:r>
      <w:r>
        <w:t xml:space="preserve"> 2003; </w:t>
      </w:r>
      <w:r>
        <w:rPr>
          <w:b/>
          <w:bCs/>
        </w:rPr>
        <w:t>23</w:t>
      </w:r>
      <w:r>
        <w:t>: 513–22.</w:t>
      </w:r>
    </w:p>
    <w:p w:rsidR="00AF392F" w:rsidRDefault="00AF392F" w:rsidP="00AF392F">
      <w:pPr>
        <w:pStyle w:val="Bibliography"/>
      </w:pPr>
      <w:r>
        <w:t xml:space="preserve">24. Kamiya S, Owaki T, Morishima N, Fukai F, Mizuguchi J, Yoshimoto T. An indispensable role for STAT1 in IL-27-induced T-bet expression but not proliferation of naive CD4+ T cells. </w:t>
      </w:r>
      <w:r>
        <w:rPr>
          <w:i/>
          <w:iCs/>
        </w:rPr>
        <w:t>J Immunol Baltim Md 1950</w:t>
      </w:r>
      <w:r>
        <w:t xml:space="preserve"> 2004; </w:t>
      </w:r>
      <w:r>
        <w:rPr>
          <w:b/>
          <w:bCs/>
        </w:rPr>
        <w:t>173</w:t>
      </w:r>
      <w:r>
        <w:t>: 3871–7.</w:t>
      </w:r>
    </w:p>
    <w:p w:rsidR="00AF392F" w:rsidRDefault="00AF392F" w:rsidP="00AF392F">
      <w:pPr>
        <w:pStyle w:val="Bibliography"/>
      </w:pPr>
      <w:r>
        <w:t xml:space="preserve">25. Iwasaki Y, Fujio K, Okamura T, Yamamoto K. Interleukin-27 in T cell immunity. </w:t>
      </w:r>
      <w:r>
        <w:rPr>
          <w:i/>
          <w:iCs/>
        </w:rPr>
        <w:t>Int J Mol Sci</w:t>
      </w:r>
      <w:r>
        <w:t xml:space="preserve"> 2015; </w:t>
      </w:r>
      <w:r>
        <w:rPr>
          <w:b/>
          <w:bCs/>
        </w:rPr>
        <w:t>16</w:t>
      </w:r>
      <w:r>
        <w:t>: 2851–63.</w:t>
      </w:r>
    </w:p>
    <w:p w:rsidR="00AF392F" w:rsidRDefault="00AF392F" w:rsidP="00AF392F">
      <w:pPr>
        <w:pStyle w:val="Bibliography"/>
      </w:pPr>
      <w:r>
        <w:t xml:space="preserve">26. Murugaiyan G, Mittal A, Lopez-Diego R, Maier LM, Anderson DE, Weiner HL. IL-27 is a key regulator of IL-10 and IL-17 production by human CD4+ T cells. </w:t>
      </w:r>
      <w:r>
        <w:rPr>
          <w:i/>
          <w:iCs/>
        </w:rPr>
        <w:t>J Immunol Baltim Md 1950</w:t>
      </w:r>
      <w:r>
        <w:t xml:space="preserve"> 2009; </w:t>
      </w:r>
      <w:r>
        <w:rPr>
          <w:b/>
          <w:bCs/>
        </w:rPr>
        <w:t>183</w:t>
      </w:r>
      <w:r>
        <w:t>: 2435–43.</w:t>
      </w:r>
    </w:p>
    <w:p w:rsidR="00AF392F" w:rsidRDefault="00AF392F" w:rsidP="00AF392F">
      <w:pPr>
        <w:pStyle w:val="Bibliography"/>
      </w:pPr>
      <w:r>
        <w:t xml:space="preserve">27. Yoshimoto T, Yoshimoto T, Yasuda K, Mizuguchi J, Nakanishi K. IL-27 suppresses Th2 cell development and Th2 cytokines production from polarized Th2 cells: a novel therapeutic way for Th2-mediated allergic inflammation. </w:t>
      </w:r>
      <w:r>
        <w:rPr>
          <w:i/>
          <w:iCs/>
        </w:rPr>
        <w:t>J Immunol Baltim Md 1950</w:t>
      </w:r>
      <w:r>
        <w:t xml:space="preserve"> 2007; </w:t>
      </w:r>
      <w:r>
        <w:rPr>
          <w:b/>
          <w:bCs/>
        </w:rPr>
        <w:t>179</w:t>
      </w:r>
      <w:r>
        <w:t>: 4415–23.</w:t>
      </w:r>
    </w:p>
    <w:p w:rsidR="00AF392F" w:rsidRDefault="00AF392F" w:rsidP="00AF392F">
      <w:pPr>
        <w:pStyle w:val="Bibliography"/>
      </w:pPr>
      <w:r>
        <w:t xml:space="preserve">28. Hu Q, Bian Q, Rong D, </w:t>
      </w:r>
      <w:r>
        <w:rPr>
          <w:i/>
          <w:iCs/>
        </w:rPr>
        <w:t>et al.</w:t>
      </w:r>
      <w:r>
        <w:t xml:space="preserve"> JAK/STAT pathway: Extracellular signals, diseases, immunity, and therapeutic regimens. </w:t>
      </w:r>
      <w:r>
        <w:rPr>
          <w:i/>
          <w:iCs/>
        </w:rPr>
        <w:t>Front Bioeng Biotechnol</w:t>
      </w:r>
      <w:r>
        <w:t xml:space="preserve"> 2023; </w:t>
      </w:r>
      <w:r>
        <w:rPr>
          <w:b/>
          <w:bCs/>
        </w:rPr>
        <w:t>11</w:t>
      </w:r>
      <w:r>
        <w:t>: 1110765.</w:t>
      </w:r>
    </w:p>
    <w:p w:rsidR="00AF392F" w:rsidRDefault="00AF392F" w:rsidP="00AF392F">
      <w:pPr>
        <w:pStyle w:val="Bibliography"/>
      </w:pPr>
      <w:r>
        <w:lastRenderedPageBreak/>
        <w:t xml:space="preserve">29. Hu X, Li J, Fu M, Zhao X, Wang W. The JAK/STAT signaling pathway: from bench to clinic. </w:t>
      </w:r>
      <w:r>
        <w:rPr>
          <w:i/>
          <w:iCs/>
        </w:rPr>
        <w:t>Signal Transduct Target Ther</w:t>
      </w:r>
      <w:r>
        <w:t xml:space="preserve"> 2021; </w:t>
      </w:r>
      <w:r>
        <w:rPr>
          <w:b/>
          <w:bCs/>
        </w:rPr>
        <w:t>6</w:t>
      </w:r>
      <w:r>
        <w:t>: 402.</w:t>
      </w:r>
    </w:p>
    <w:p w:rsidR="00AF392F" w:rsidRDefault="00AF392F" w:rsidP="00AF392F">
      <w:pPr>
        <w:pStyle w:val="Bibliography"/>
      </w:pPr>
      <w:r>
        <w:t xml:space="preserve">30. Xue C, Yao Q, Gu X, </w:t>
      </w:r>
      <w:r>
        <w:rPr>
          <w:i/>
          <w:iCs/>
        </w:rPr>
        <w:t>et al.</w:t>
      </w:r>
      <w:r>
        <w:t xml:space="preserve"> Evolving cognition of the JAK-STAT signaling pathway: autoimmune disorders and cancer. </w:t>
      </w:r>
      <w:r>
        <w:rPr>
          <w:i/>
          <w:iCs/>
        </w:rPr>
        <w:t>Signal Transduct Target Ther</w:t>
      </w:r>
      <w:r>
        <w:t xml:space="preserve"> 2023; </w:t>
      </w:r>
      <w:r>
        <w:rPr>
          <w:b/>
          <w:bCs/>
        </w:rPr>
        <w:t>8</w:t>
      </w:r>
      <w:r>
        <w:t>: 204.</w:t>
      </w:r>
    </w:p>
    <w:p w:rsidR="00AF392F" w:rsidRDefault="00AF392F" w:rsidP="00AF392F">
      <w:pPr>
        <w:pStyle w:val="Bibliography"/>
      </w:pPr>
      <w:r>
        <w:t xml:space="preserve">31. Bousoik E, Montazeri Aliabadi H. “Do We Know Jack” About JAK? A Closer Look at JAK/STAT Signaling Pathway. </w:t>
      </w:r>
      <w:r>
        <w:rPr>
          <w:i/>
          <w:iCs/>
        </w:rPr>
        <w:t>Front Oncol</w:t>
      </w:r>
      <w:r>
        <w:t xml:space="preserve"> 2018; </w:t>
      </w:r>
      <w:r>
        <w:rPr>
          <w:b/>
          <w:bCs/>
        </w:rPr>
        <w:t>8</w:t>
      </w:r>
      <w:r>
        <w:t>: 287.</w:t>
      </w:r>
    </w:p>
    <w:p w:rsidR="00AF392F" w:rsidRDefault="00AF392F" w:rsidP="00AF392F">
      <w:pPr>
        <w:pStyle w:val="Bibliography"/>
      </w:pPr>
      <w:r>
        <w:t xml:space="preserve">32. Schuliga M. NF-kappaB Signaling in Chronic Inflammatory Airway Disease. </w:t>
      </w:r>
      <w:r>
        <w:rPr>
          <w:i/>
          <w:iCs/>
        </w:rPr>
        <w:t>Biomolecules</w:t>
      </w:r>
      <w:r>
        <w:t xml:space="preserve"> 2015; </w:t>
      </w:r>
      <w:r>
        <w:rPr>
          <w:b/>
          <w:bCs/>
        </w:rPr>
        <w:t>5</w:t>
      </w:r>
      <w:r>
        <w:t>: 1266–83.</w:t>
      </w:r>
    </w:p>
    <w:p w:rsidR="00AF392F" w:rsidRDefault="00AF392F" w:rsidP="00AF392F">
      <w:pPr>
        <w:pStyle w:val="Bibliography"/>
      </w:pPr>
      <w:r>
        <w:t xml:space="preserve">33. Baeuerle PA, Henkel T. Function and Activation of NF-kappaB in the Immune System. </w:t>
      </w:r>
      <w:r>
        <w:rPr>
          <w:i/>
          <w:iCs/>
        </w:rPr>
        <w:t>Annu Rev Immunol</w:t>
      </w:r>
      <w:r>
        <w:t xml:space="preserve"> 1994; </w:t>
      </w:r>
      <w:r>
        <w:rPr>
          <w:b/>
          <w:bCs/>
        </w:rPr>
        <w:t>12</w:t>
      </w:r>
      <w:r>
        <w:t>: 141–79.</w:t>
      </w:r>
    </w:p>
    <w:p w:rsidR="00AF392F" w:rsidRDefault="00AF392F" w:rsidP="00AF392F">
      <w:pPr>
        <w:pStyle w:val="Bibliography"/>
      </w:pPr>
      <w:r>
        <w:t xml:space="preserve">34. Oh H, Ghosh S. NF-κB: roles and regulation in different CD4(+) T-cell subsets. </w:t>
      </w:r>
      <w:r>
        <w:rPr>
          <w:i/>
          <w:iCs/>
        </w:rPr>
        <w:t>Immunol Rev</w:t>
      </w:r>
      <w:r>
        <w:t xml:space="preserve"> 2013; </w:t>
      </w:r>
      <w:r>
        <w:rPr>
          <w:b/>
          <w:bCs/>
        </w:rPr>
        <w:t>252</w:t>
      </w:r>
      <w:r>
        <w:t>: 41–51.</w:t>
      </w:r>
    </w:p>
    <w:p w:rsidR="00AF392F" w:rsidRDefault="00AF392F" w:rsidP="00AF392F">
      <w:pPr>
        <w:pStyle w:val="Bibliography"/>
      </w:pPr>
      <w:r>
        <w:t xml:space="preserve">35. Cooper AM, Roberts AD, Rhoades ER, Callahan JE, Getzy DM, Orme IM. The role of interleukin-12 in acquired immunity to Mycobacterium tuberculosis infection. </w:t>
      </w:r>
      <w:r>
        <w:rPr>
          <w:i/>
          <w:iCs/>
        </w:rPr>
        <w:t>Immunology</w:t>
      </w:r>
      <w:r>
        <w:t xml:space="preserve"> 1995; </w:t>
      </w:r>
      <w:r>
        <w:rPr>
          <w:b/>
          <w:bCs/>
        </w:rPr>
        <w:t>84</w:t>
      </w:r>
      <w:r>
        <w:t>: 423–32.</w:t>
      </w:r>
    </w:p>
    <w:p w:rsidR="00AF392F" w:rsidRDefault="00AF392F" w:rsidP="00AF392F">
      <w:pPr>
        <w:pStyle w:val="Bibliography"/>
      </w:pPr>
      <w:r>
        <w:t xml:space="preserve">36. Trinchieri G. Interleukin-12 and the regulation of innate resistance and adaptive immunity. </w:t>
      </w:r>
      <w:r>
        <w:rPr>
          <w:i/>
          <w:iCs/>
        </w:rPr>
        <w:t>Nat Rev Immunol</w:t>
      </w:r>
      <w:r>
        <w:t xml:space="preserve"> 2003; </w:t>
      </w:r>
      <w:r>
        <w:rPr>
          <w:b/>
          <w:bCs/>
        </w:rPr>
        <w:t>3</w:t>
      </w:r>
      <w:r>
        <w:t>: 133–46.</w:t>
      </w:r>
    </w:p>
    <w:p w:rsidR="00AF392F" w:rsidRDefault="00AF392F" w:rsidP="00AF392F">
      <w:pPr>
        <w:pStyle w:val="Bibliography"/>
      </w:pPr>
      <w:r>
        <w:t xml:space="preserve">37. Marquardt DL, Walker LL. Dependence of mast cell IgE-mediated cytokine production on nuclear factor-kappaB activity. </w:t>
      </w:r>
      <w:r>
        <w:rPr>
          <w:i/>
          <w:iCs/>
        </w:rPr>
        <w:t>J Allergy Clin Immunol</w:t>
      </w:r>
      <w:r>
        <w:t xml:space="preserve"> 2000; </w:t>
      </w:r>
      <w:r>
        <w:rPr>
          <w:b/>
          <w:bCs/>
        </w:rPr>
        <w:t>105</w:t>
      </w:r>
      <w:r>
        <w:t>: 500–5.</w:t>
      </w:r>
    </w:p>
    <w:p w:rsidR="00AF392F" w:rsidRDefault="00AF392F" w:rsidP="00AF392F">
      <w:pPr>
        <w:pStyle w:val="Bibliography"/>
      </w:pPr>
      <w:r>
        <w:t xml:space="preserve">38. Metcalfe DD, Peavy RD, Gilfillan AM. Mechanisms of mast cell signaling in anaphylaxis. </w:t>
      </w:r>
      <w:r>
        <w:rPr>
          <w:i/>
          <w:iCs/>
        </w:rPr>
        <w:t>J Allergy Clin Immunol</w:t>
      </w:r>
      <w:r>
        <w:t xml:space="preserve"> 2009; </w:t>
      </w:r>
      <w:r>
        <w:rPr>
          <w:b/>
          <w:bCs/>
        </w:rPr>
        <w:t>124</w:t>
      </w:r>
      <w:r>
        <w:t>: 639–46; quiz 647–8.</w:t>
      </w:r>
    </w:p>
    <w:p w:rsidR="00AF392F" w:rsidRDefault="00AF392F" w:rsidP="00AF392F">
      <w:pPr>
        <w:pStyle w:val="Bibliography"/>
      </w:pPr>
      <w:r>
        <w:t xml:space="preserve">39. Moore KW, de Waal Malefyt R, Coffman RL, O’Garra A. Interleukin-10 and the interleukin-10 receptor. </w:t>
      </w:r>
      <w:r>
        <w:rPr>
          <w:i/>
          <w:iCs/>
        </w:rPr>
        <w:t>Annu Rev Immunol</w:t>
      </w:r>
      <w:r>
        <w:t xml:space="preserve"> 2001; </w:t>
      </w:r>
      <w:r>
        <w:rPr>
          <w:b/>
          <w:bCs/>
        </w:rPr>
        <w:t>19</w:t>
      </w:r>
      <w:r>
        <w:t>: 683–765.</w:t>
      </w:r>
    </w:p>
    <w:p w:rsidR="00AF392F" w:rsidRDefault="00AF392F" w:rsidP="00AF392F">
      <w:pPr>
        <w:pStyle w:val="Bibliography"/>
      </w:pPr>
      <w:r>
        <w:t xml:space="preserve">40. O’Garra A, Barrat FJ, Castro AG, Vicari A, Hawrylowicz C. Strategies for use of IL-10 or its antagonists in human disease. </w:t>
      </w:r>
      <w:r>
        <w:rPr>
          <w:i/>
          <w:iCs/>
        </w:rPr>
        <w:t>Immunol Rev</w:t>
      </w:r>
      <w:r>
        <w:t xml:space="preserve"> 2008; </w:t>
      </w:r>
      <w:r>
        <w:rPr>
          <w:b/>
          <w:bCs/>
        </w:rPr>
        <w:t>223</w:t>
      </w:r>
      <w:r>
        <w:t>: 114–31.</w:t>
      </w:r>
    </w:p>
    <w:p w:rsidR="00AF392F" w:rsidRDefault="00AF392F" w:rsidP="00AF392F">
      <w:pPr>
        <w:pStyle w:val="Bibliography"/>
      </w:pPr>
      <w:r>
        <w:t xml:space="preserve">41. Jones BE, Maerz MD, Buckner JH. IL-6: a cytokine at the crossroads of autoimmunity. </w:t>
      </w:r>
      <w:r>
        <w:rPr>
          <w:i/>
          <w:iCs/>
        </w:rPr>
        <w:t>Curr Opin Immunol</w:t>
      </w:r>
      <w:r>
        <w:t xml:space="preserve"> 2018; </w:t>
      </w:r>
      <w:r>
        <w:rPr>
          <w:b/>
          <w:bCs/>
        </w:rPr>
        <w:t>55</w:t>
      </w:r>
      <w:r>
        <w:t>: 9–14.</w:t>
      </w:r>
    </w:p>
    <w:p w:rsidR="00AF392F" w:rsidRDefault="00AF392F" w:rsidP="00AF392F">
      <w:pPr>
        <w:pStyle w:val="Bibliography"/>
      </w:pPr>
      <w:r>
        <w:t xml:space="preserve">42. Kyburz D, Corr M. Th17 cells generated in the absence of TGF-β induce experimental allergic encephalitis upon adoptive transfer. </w:t>
      </w:r>
      <w:r>
        <w:rPr>
          <w:i/>
          <w:iCs/>
        </w:rPr>
        <w:t>Expert Rev Clin Immunol</w:t>
      </w:r>
      <w:r>
        <w:t xml:space="preserve"> 2011; </w:t>
      </w:r>
      <w:r>
        <w:rPr>
          <w:b/>
          <w:bCs/>
        </w:rPr>
        <w:t>7</w:t>
      </w:r>
      <w:r>
        <w:t>: 283–5.</w:t>
      </w:r>
    </w:p>
    <w:p w:rsidR="00AF392F" w:rsidRDefault="00AF392F" w:rsidP="00AF392F">
      <w:pPr>
        <w:pStyle w:val="Bibliography"/>
      </w:pPr>
      <w:r>
        <w:t xml:space="preserve">43. Wei Z, Jiang W, Wang H, </w:t>
      </w:r>
      <w:r>
        <w:rPr>
          <w:i/>
          <w:iCs/>
        </w:rPr>
        <w:t>et al.</w:t>
      </w:r>
      <w:r>
        <w:t xml:space="preserve"> The IL-6/STAT3 pathway regulates adhesion molecules and cytoskeleton of endothelial cells in thromboangiitis obliterans. </w:t>
      </w:r>
      <w:r>
        <w:rPr>
          <w:i/>
          <w:iCs/>
        </w:rPr>
        <w:t>Cell Signal</w:t>
      </w:r>
      <w:r>
        <w:t xml:space="preserve"> 2018; </w:t>
      </w:r>
      <w:r>
        <w:rPr>
          <w:b/>
          <w:bCs/>
        </w:rPr>
        <w:t>44</w:t>
      </w:r>
      <w:r>
        <w:t>: 118–26.</w:t>
      </w:r>
    </w:p>
    <w:p w:rsidR="00AF392F" w:rsidRDefault="00AF392F" w:rsidP="00AF392F">
      <w:pPr>
        <w:pStyle w:val="Bibliography"/>
      </w:pPr>
      <w:r>
        <w:t xml:space="preserve">44. Liu C, Chu D, Kalantar-Zadeh K, George J, Young HA, Liu G. Cytokines: From Clinical Significance to Quantification. </w:t>
      </w:r>
      <w:r>
        <w:rPr>
          <w:i/>
          <w:iCs/>
        </w:rPr>
        <w:t>Adv Sci Weinh Baden-Wurtt Ger</w:t>
      </w:r>
      <w:r>
        <w:t xml:space="preserve"> 2021; </w:t>
      </w:r>
      <w:r>
        <w:rPr>
          <w:b/>
          <w:bCs/>
        </w:rPr>
        <w:t>8</w:t>
      </w:r>
      <w:r>
        <w:t>: e2004433.</w:t>
      </w:r>
    </w:p>
    <w:p w:rsidR="00AF392F" w:rsidRDefault="00AF392F" w:rsidP="00AF392F">
      <w:pPr>
        <w:pStyle w:val="Bibliography"/>
      </w:pPr>
      <w:r>
        <w:lastRenderedPageBreak/>
        <w:t xml:space="preserve">45. Liu C, Chu D, Kalantar‐Zadeh K, George J, Young HA, Liu G. Cytokines: From Clinical Significance to Quantification. </w:t>
      </w:r>
      <w:r>
        <w:rPr>
          <w:i/>
          <w:iCs/>
        </w:rPr>
        <w:t>Adv Sci</w:t>
      </w:r>
      <w:r>
        <w:t xml:space="preserve"> 2021; </w:t>
      </w:r>
      <w:r>
        <w:rPr>
          <w:b/>
          <w:bCs/>
        </w:rPr>
        <w:t>8</w:t>
      </w:r>
      <w:r>
        <w:t>: 2004433.</w:t>
      </w:r>
    </w:p>
    <w:p w:rsidR="00AF392F" w:rsidRDefault="00AF392F" w:rsidP="00AF392F">
      <w:pPr>
        <w:pStyle w:val="Bibliography"/>
      </w:pPr>
      <w:r>
        <w:t xml:space="preserve">46. Obeng-Aboagye E, Frimpong A, Amponsah JA, Danso SE, Owusu EDA, Ofori MF. Inflammatory cytokines as potential biomarkers for early diagnosis of severe malaria in children in Ghana. </w:t>
      </w:r>
      <w:r>
        <w:rPr>
          <w:i/>
          <w:iCs/>
        </w:rPr>
        <w:t>Malar J</w:t>
      </w:r>
      <w:r>
        <w:t xml:space="preserve"> 2023; </w:t>
      </w:r>
      <w:r>
        <w:rPr>
          <w:b/>
          <w:bCs/>
        </w:rPr>
        <w:t>22</w:t>
      </w:r>
      <w:r>
        <w:t>: 220.</w:t>
      </w:r>
    </w:p>
    <w:p w:rsidR="00AF392F" w:rsidRDefault="00AF392F" w:rsidP="00AF392F">
      <w:pPr>
        <w:pStyle w:val="Bibliography"/>
      </w:pPr>
      <w:r>
        <w:t xml:space="preserve">47. Jekarl DW, Kim JY, Ha JH, </w:t>
      </w:r>
      <w:r>
        <w:rPr>
          <w:i/>
          <w:iCs/>
        </w:rPr>
        <w:t>et al.</w:t>
      </w:r>
      <w:r>
        <w:t xml:space="preserve"> Diagnosis and Prognosis of Sepsis Based on Use of Cytokines, Chemokines, and Growth Factors. </w:t>
      </w:r>
      <w:r>
        <w:rPr>
          <w:i/>
          <w:iCs/>
        </w:rPr>
        <w:t>Dis Markers</w:t>
      </w:r>
      <w:r>
        <w:t xml:space="preserve"> 2019; </w:t>
      </w:r>
      <w:r>
        <w:rPr>
          <w:b/>
          <w:bCs/>
        </w:rPr>
        <w:t>2019</w:t>
      </w:r>
      <w:r>
        <w:t>: 1089107.</w:t>
      </w:r>
    </w:p>
    <w:p w:rsidR="00AF392F" w:rsidRDefault="00AF392F" w:rsidP="00AF392F">
      <w:pPr>
        <w:pStyle w:val="Bibliography"/>
      </w:pPr>
      <w:r>
        <w:t xml:space="preserve">48. Song J, Park DW, Moon S, </w:t>
      </w:r>
      <w:r>
        <w:rPr>
          <w:i/>
          <w:iCs/>
        </w:rPr>
        <w:t>et al.</w:t>
      </w:r>
      <w:r>
        <w:t xml:space="preserve"> Diagnostic and prognostic value of interleukin-6, pentraxin 3, and procalcitonin levels among sepsis and septic shock patients: a prospective controlled study according to the Sepsis-3 definitions. </w:t>
      </w:r>
      <w:r>
        <w:rPr>
          <w:i/>
          <w:iCs/>
        </w:rPr>
        <w:t>BMC Infect Dis</w:t>
      </w:r>
      <w:r>
        <w:t xml:space="preserve"> 2019; </w:t>
      </w:r>
      <w:r>
        <w:rPr>
          <w:b/>
          <w:bCs/>
        </w:rPr>
        <w:t>19</w:t>
      </w:r>
      <w:r>
        <w:t>: 968.</w:t>
      </w:r>
    </w:p>
    <w:p w:rsidR="00AF392F" w:rsidRDefault="00AF392F" w:rsidP="00AF392F">
      <w:pPr>
        <w:pStyle w:val="Bibliography"/>
      </w:pPr>
      <w:r>
        <w:t xml:space="preserve">49. Tessema B, Lippmann N, Willenberg A, Knüpfer M, Sack U, König B. The Diagnostic Performance of Interleukin-6 and C-Reactive Protein for Early Identification of Neonatal Sepsis. </w:t>
      </w:r>
      <w:r>
        <w:rPr>
          <w:i/>
          <w:iCs/>
        </w:rPr>
        <w:t>Diagn Basel Switz</w:t>
      </w:r>
      <w:r>
        <w:t xml:space="preserve"> 2020; </w:t>
      </w:r>
      <w:r>
        <w:rPr>
          <w:b/>
          <w:bCs/>
        </w:rPr>
        <w:t>10</w:t>
      </w:r>
      <w:r>
        <w:t>: 978.</w:t>
      </w:r>
    </w:p>
    <w:p w:rsidR="00AF392F" w:rsidRDefault="00AF392F" w:rsidP="00AF392F">
      <w:pPr>
        <w:pStyle w:val="Bibliography"/>
      </w:pPr>
      <w:r>
        <w:t xml:space="preserve">50. Sharma Y, Kumar N, Thakur D. Interleukin 6 in Patients with Rheumatoid Arthritis. In: Behzadi P, ed. </w:t>
      </w:r>
      <w:r>
        <w:rPr>
          <w:i/>
          <w:iCs/>
        </w:rPr>
        <w:t>Interleukins - The Immune and Non-Immune Systems’ Related Cytokines</w:t>
      </w:r>
      <w:r>
        <w:t>. IntechOpen, 2021. Available at: https://www.intechopen.com/books/interleukins-the-immune-and-non-immune-systems-related-cytokines/interleukin-6-in-patients-with-rheumatoid-arthritis. Accessed February 21, 2025.</w:t>
      </w:r>
    </w:p>
    <w:p w:rsidR="00AF392F" w:rsidRDefault="00AF392F" w:rsidP="00AF392F">
      <w:pPr>
        <w:pStyle w:val="Bibliography"/>
      </w:pPr>
      <w:r>
        <w:t xml:space="preserve">51. Siloşi I, Boldeanu L, Biciuşcă V, </w:t>
      </w:r>
      <w:r>
        <w:rPr>
          <w:i/>
          <w:iCs/>
        </w:rPr>
        <w:t>et al.</w:t>
      </w:r>
      <w:r>
        <w:t xml:space="preserve"> Serum Biomarkers for Discrimination between Hepatitis C-Related Arthropathy and Early Rheumatoid Arthritis. </w:t>
      </w:r>
      <w:r>
        <w:rPr>
          <w:i/>
          <w:iCs/>
        </w:rPr>
        <w:t>Int J Mol Sci</w:t>
      </w:r>
      <w:r>
        <w:t xml:space="preserve"> 2017; </w:t>
      </w:r>
      <w:r>
        <w:rPr>
          <w:b/>
          <w:bCs/>
        </w:rPr>
        <w:t>18</w:t>
      </w:r>
      <w:r>
        <w:t>: 1304.</w:t>
      </w:r>
    </w:p>
    <w:p w:rsidR="00AF392F" w:rsidRDefault="00AF392F" w:rsidP="00AF392F">
      <w:pPr>
        <w:pStyle w:val="Bibliography"/>
      </w:pPr>
      <w:r>
        <w:t xml:space="preserve">52. Tsai P-H, Fang Y-F, Chen Y-F, </w:t>
      </w:r>
      <w:r>
        <w:rPr>
          <w:i/>
          <w:iCs/>
        </w:rPr>
        <w:t>et al.</w:t>
      </w:r>
      <w:r>
        <w:t xml:space="preserve"> Predictors of Remission or Combined Remission and Low Disease Activity in Rheumatoid Arthritis Patients in Taiwan: A Prospective Cohort Study. </w:t>
      </w:r>
      <w:r>
        <w:rPr>
          <w:i/>
          <w:iCs/>
        </w:rPr>
        <w:t>J Clin Med</w:t>
      </w:r>
      <w:r>
        <w:t xml:space="preserve"> 2024; </w:t>
      </w:r>
      <w:r>
        <w:rPr>
          <w:b/>
          <w:bCs/>
        </w:rPr>
        <w:t>13</w:t>
      </w:r>
      <w:r>
        <w:t>: 2521.</w:t>
      </w:r>
    </w:p>
    <w:p w:rsidR="00AF392F" w:rsidRDefault="00AF392F" w:rsidP="00AF392F">
      <w:pPr>
        <w:pStyle w:val="Bibliography"/>
      </w:pPr>
      <w:r>
        <w:t xml:space="preserve">53. Wang D, Cui Y, Lei H, </w:t>
      </w:r>
      <w:r>
        <w:rPr>
          <w:i/>
          <w:iCs/>
        </w:rPr>
        <w:t>et al.</w:t>
      </w:r>
      <w:r>
        <w:t xml:space="preserve"> Diagnostic accuracy of 14‐3‐3 η protein in rheumatoid arthritis: A meta‐analysis. </w:t>
      </w:r>
      <w:r>
        <w:rPr>
          <w:i/>
          <w:iCs/>
        </w:rPr>
        <w:t>Int J Rheum Dis</w:t>
      </w:r>
      <w:r>
        <w:t xml:space="preserve"> 2020; </w:t>
      </w:r>
      <w:r>
        <w:rPr>
          <w:b/>
          <w:bCs/>
        </w:rPr>
        <w:t>23</w:t>
      </w:r>
      <w:r>
        <w:t>: 1443–51.</w:t>
      </w:r>
    </w:p>
    <w:p w:rsidR="00AF392F" w:rsidRDefault="00AF392F" w:rsidP="00AF392F">
      <w:pPr>
        <w:pStyle w:val="Bibliography"/>
      </w:pPr>
      <w:r>
        <w:t xml:space="preserve">54. Wei JC, Leong P, Liu G. Chaperone/scaffolding/adaptor protein 14‐3‐3η (eta): A diagnostic marker of rheumatoid arthritis. </w:t>
      </w:r>
      <w:r>
        <w:rPr>
          <w:i/>
          <w:iCs/>
        </w:rPr>
        <w:t>Int J Rheum Dis</w:t>
      </w:r>
      <w:r>
        <w:t xml:space="preserve"> 2020; </w:t>
      </w:r>
      <w:r>
        <w:rPr>
          <w:b/>
          <w:bCs/>
        </w:rPr>
        <w:t>23</w:t>
      </w:r>
      <w:r>
        <w:t>: 1439–42.</w:t>
      </w:r>
    </w:p>
    <w:p w:rsidR="00AF392F" w:rsidRDefault="00AF392F" w:rsidP="00AF392F">
      <w:pPr>
        <w:pStyle w:val="Bibliography"/>
      </w:pPr>
      <w:r>
        <w:t xml:space="preserve">55. Emad Y, Ragab Y, Hammam N, </w:t>
      </w:r>
      <w:r>
        <w:rPr>
          <w:i/>
          <w:iCs/>
        </w:rPr>
        <w:t>et al.</w:t>
      </w:r>
      <w:r>
        <w:t xml:space="preserve"> Autoantibodies to extractable nuclear antigens (ENAs) pattern in rheumatoid arthritis patients: Relevance and clinical implications. </w:t>
      </w:r>
      <w:r>
        <w:rPr>
          <w:i/>
          <w:iCs/>
        </w:rPr>
        <w:t>Reumatol Clin</w:t>
      </w:r>
      <w:r>
        <w:t xml:space="preserve"> 2021; </w:t>
      </w:r>
      <w:r>
        <w:rPr>
          <w:b/>
          <w:bCs/>
        </w:rPr>
        <w:t>17</w:t>
      </w:r>
      <w:r>
        <w:t>: 250–7.</w:t>
      </w:r>
    </w:p>
    <w:p w:rsidR="00AF392F" w:rsidRDefault="00AF392F" w:rsidP="00AF392F">
      <w:pPr>
        <w:pStyle w:val="Bibliography"/>
      </w:pPr>
      <w:r>
        <w:t xml:space="preserve">56. Nishimura S, Nishiya K, Hisakawa N, </w:t>
      </w:r>
      <w:r>
        <w:rPr>
          <w:i/>
          <w:iCs/>
        </w:rPr>
        <w:t>et al.</w:t>
      </w:r>
      <w:r>
        <w:t xml:space="preserve"> Positivity for antinuclear antibody in patients with advanced rheumatoid arthritis. </w:t>
      </w:r>
      <w:r>
        <w:rPr>
          <w:i/>
          <w:iCs/>
        </w:rPr>
        <w:t>Acta Med Okayama</w:t>
      </w:r>
      <w:r>
        <w:t xml:space="preserve"> 1996; </w:t>
      </w:r>
      <w:r>
        <w:rPr>
          <w:b/>
          <w:bCs/>
        </w:rPr>
        <w:t>50</w:t>
      </w:r>
      <w:r>
        <w:t>: 261–5.</w:t>
      </w:r>
    </w:p>
    <w:p w:rsidR="00AF392F" w:rsidRDefault="00AF392F" w:rsidP="00AF392F">
      <w:pPr>
        <w:pStyle w:val="Bibliography"/>
      </w:pPr>
      <w:r>
        <w:t xml:space="preserve">57. Knight CL, Nelson-Piercy C. Management of systemic lupus erythematosus during pregnancy: challenges and solutions. </w:t>
      </w:r>
      <w:r>
        <w:rPr>
          <w:i/>
          <w:iCs/>
        </w:rPr>
        <w:t>Open Access Rheumatol Res Rev</w:t>
      </w:r>
      <w:r>
        <w:t xml:space="preserve"> 2017; </w:t>
      </w:r>
      <w:r>
        <w:rPr>
          <w:b/>
          <w:bCs/>
        </w:rPr>
        <w:t>9</w:t>
      </w:r>
      <w:r>
        <w:t>: 37–53.</w:t>
      </w:r>
    </w:p>
    <w:p w:rsidR="00AF392F" w:rsidRDefault="00AF392F" w:rsidP="00AF392F">
      <w:pPr>
        <w:pStyle w:val="Bibliography"/>
      </w:pPr>
      <w:r>
        <w:t xml:space="preserve">58. Crow MK. Type I interferon in the pathogenesis of lupus. </w:t>
      </w:r>
      <w:r>
        <w:rPr>
          <w:i/>
          <w:iCs/>
        </w:rPr>
        <w:t>J Immunol Baltim Md 1950</w:t>
      </w:r>
      <w:r>
        <w:t xml:space="preserve"> 2014; </w:t>
      </w:r>
      <w:r>
        <w:rPr>
          <w:b/>
          <w:bCs/>
        </w:rPr>
        <w:t>192</w:t>
      </w:r>
      <w:r>
        <w:t>: 5459–68.</w:t>
      </w:r>
    </w:p>
    <w:p w:rsidR="00AF392F" w:rsidRDefault="00AF392F" w:rsidP="00AF392F">
      <w:pPr>
        <w:pStyle w:val="Bibliography"/>
      </w:pPr>
      <w:r>
        <w:lastRenderedPageBreak/>
        <w:t xml:space="preserve">59. Kirou KA, Lee C, George S, Louca K, Peterson MGE, Crow MK. Activation of the interferon-alpha pathway identifies a subgroup of systemic lupus erythematosus patients with distinct serologic features and active disease. </w:t>
      </w:r>
      <w:r>
        <w:rPr>
          <w:i/>
          <w:iCs/>
        </w:rPr>
        <w:t>Arthritis Rheum</w:t>
      </w:r>
      <w:r>
        <w:t xml:space="preserve"> 2005; </w:t>
      </w:r>
      <w:r>
        <w:rPr>
          <w:b/>
          <w:bCs/>
        </w:rPr>
        <w:t>52</w:t>
      </w:r>
      <w:r>
        <w:t>: 1491–503.</w:t>
      </w:r>
    </w:p>
    <w:p w:rsidR="00AF392F" w:rsidRDefault="00AF392F" w:rsidP="00AF392F">
      <w:pPr>
        <w:pStyle w:val="Bibliography"/>
      </w:pPr>
      <w:r>
        <w:t xml:space="preserve">60. Londe AC, Fernandez-Ruiz R, Julio PR, Appenzeller S, Niewold TB. Type I Interferons in Autoimmunity: Implications in Clinical Phenotypes and Treatment Response. </w:t>
      </w:r>
      <w:r>
        <w:rPr>
          <w:i/>
          <w:iCs/>
        </w:rPr>
        <w:t>J Rheumatol</w:t>
      </w:r>
      <w:r>
        <w:t xml:space="preserve"> 2023; </w:t>
      </w:r>
      <w:r>
        <w:rPr>
          <w:b/>
          <w:bCs/>
        </w:rPr>
        <w:t>50</w:t>
      </w:r>
      <w:r>
        <w:t>: 1103–13.</w:t>
      </w:r>
    </w:p>
    <w:p w:rsidR="00AF392F" w:rsidRDefault="00AF392F" w:rsidP="00AF392F">
      <w:pPr>
        <w:pStyle w:val="Bibliography"/>
      </w:pPr>
      <w:r>
        <w:t xml:space="preserve">61. Schreiber G, Piehler J. The molecular basis for functional plasticity in type I interferon signaling. </w:t>
      </w:r>
      <w:r>
        <w:rPr>
          <w:i/>
          <w:iCs/>
        </w:rPr>
        <w:t>Trends Immunol</w:t>
      </w:r>
      <w:r>
        <w:t xml:space="preserve"> 2015; </w:t>
      </w:r>
      <w:r>
        <w:rPr>
          <w:b/>
          <w:bCs/>
        </w:rPr>
        <w:t>36</w:t>
      </w:r>
      <w:r>
        <w:t>: 139–49.</w:t>
      </w:r>
    </w:p>
    <w:p w:rsidR="00AF392F" w:rsidRDefault="00AF392F" w:rsidP="00AF392F">
      <w:pPr>
        <w:pStyle w:val="Bibliography"/>
      </w:pPr>
      <w:r>
        <w:t xml:space="preserve">62. Capecchi R, Puxeddu I, Pratesi F, Migliorini P. New biomarkers in SLE: from bench to bedside. </w:t>
      </w:r>
      <w:r>
        <w:rPr>
          <w:i/>
          <w:iCs/>
        </w:rPr>
        <w:t>Rheumatology</w:t>
      </w:r>
      <w:r>
        <w:t xml:space="preserve"> 2020; </w:t>
      </w:r>
      <w:r>
        <w:rPr>
          <w:b/>
          <w:bCs/>
        </w:rPr>
        <w:t>59</w:t>
      </w:r>
      <w:r>
        <w:t>: v12–8.</w:t>
      </w:r>
    </w:p>
    <w:p w:rsidR="00AF392F" w:rsidRDefault="00AF392F" w:rsidP="00AF392F">
      <w:pPr>
        <w:pStyle w:val="Bibliography"/>
      </w:pPr>
      <w:r>
        <w:t xml:space="preserve">63. Maravillas-Montero JL, Reyes-Huerta RF. Update on novel blood-based biomarkers for lupus nephritis beyond diagnostic approaches. </w:t>
      </w:r>
      <w:r>
        <w:rPr>
          <w:i/>
          <w:iCs/>
        </w:rPr>
        <w:t>Rev Investig Cl</w:t>
      </w:r>
      <w:r>
        <w:rPr>
          <w:rFonts w:ascii="Tahoma" w:hAnsi="Tahoma" w:cs="Tahoma"/>
          <w:i/>
          <w:iCs/>
        </w:rPr>
        <w:t>�</w:t>
      </w:r>
      <w:r>
        <w:rPr>
          <w:i/>
          <w:iCs/>
        </w:rPr>
        <w:t>nica</w:t>
      </w:r>
      <w:r>
        <w:t xml:space="preserve"> 2022; </w:t>
      </w:r>
      <w:r>
        <w:rPr>
          <w:b/>
          <w:bCs/>
        </w:rPr>
        <w:t>74</w:t>
      </w:r>
      <w:r>
        <w:t>: 9461.</w:t>
      </w:r>
    </w:p>
    <w:p w:rsidR="00AF392F" w:rsidRDefault="00AF392F" w:rsidP="00AF392F">
      <w:pPr>
        <w:pStyle w:val="Bibliography"/>
      </w:pPr>
      <w:r>
        <w:t xml:space="preserve">64. Wang S, Cui Y. Clinical significance of serum CXCL9, CXCL10, and CXCL11 in patients with lupus nephritis. </w:t>
      </w:r>
      <w:r>
        <w:rPr>
          <w:i/>
          <w:iCs/>
        </w:rPr>
        <w:t>Immun Inflamm Dis</w:t>
      </w:r>
      <w:r>
        <w:t xml:space="preserve"> 2024; </w:t>
      </w:r>
      <w:r>
        <w:rPr>
          <w:b/>
          <w:bCs/>
        </w:rPr>
        <w:t>12</w:t>
      </w:r>
      <w:r>
        <w:t>: e1368.</w:t>
      </w:r>
    </w:p>
    <w:p w:rsidR="00AF392F" w:rsidRDefault="00AF392F" w:rsidP="00AF392F">
      <w:pPr>
        <w:pStyle w:val="Bibliography"/>
      </w:pPr>
      <w:r>
        <w:t xml:space="preserve">65. Italiani P, Manca ML, Angelotti F, </w:t>
      </w:r>
      <w:r>
        <w:rPr>
          <w:i/>
          <w:iCs/>
        </w:rPr>
        <w:t>et al.</w:t>
      </w:r>
      <w:r>
        <w:t xml:space="preserve"> IL-1 family cytokines and soluble receptors in systemic lupus erythematosus. </w:t>
      </w:r>
      <w:r>
        <w:rPr>
          <w:i/>
          <w:iCs/>
        </w:rPr>
        <w:t>Arthritis Res Ther</w:t>
      </w:r>
      <w:r>
        <w:t xml:space="preserve"> 2018; </w:t>
      </w:r>
      <w:r>
        <w:rPr>
          <w:b/>
          <w:bCs/>
        </w:rPr>
        <w:t>20</w:t>
      </w:r>
      <w:r>
        <w:t>: 27.</w:t>
      </w:r>
    </w:p>
    <w:p w:rsidR="00AF392F" w:rsidRDefault="00AF392F" w:rsidP="00AF392F">
      <w:pPr>
        <w:pStyle w:val="Bibliography"/>
      </w:pPr>
      <w:r>
        <w:t xml:space="preserve">66. Chu VT, Enghard P, Schürer S, </w:t>
      </w:r>
      <w:r>
        <w:rPr>
          <w:i/>
          <w:iCs/>
        </w:rPr>
        <w:t>et al.</w:t>
      </w:r>
      <w:r>
        <w:t xml:space="preserve"> Systemic activation of the immune system induces aberrant BAFF and APRIL expression in B cells in patients with systemic lupus erythematosus. </w:t>
      </w:r>
      <w:r>
        <w:rPr>
          <w:i/>
          <w:iCs/>
        </w:rPr>
        <w:t>Arthritis Rheum</w:t>
      </w:r>
      <w:r>
        <w:t xml:space="preserve"> 2009; </w:t>
      </w:r>
      <w:r>
        <w:rPr>
          <w:b/>
          <w:bCs/>
        </w:rPr>
        <w:t>60</w:t>
      </w:r>
      <w:r>
        <w:t>: 2083–93.</w:t>
      </w:r>
    </w:p>
    <w:p w:rsidR="00AF392F" w:rsidRDefault="00AF392F" w:rsidP="00AF392F">
      <w:pPr>
        <w:pStyle w:val="Bibliography"/>
      </w:pPr>
      <w:r>
        <w:t xml:space="preserve">67. Zollars E, Bienkowska J, Czerkowicz J, </w:t>
      </w:r>
      <w:r>
        <w:rPr>
          <w:i/>
          <w:iCs/>
        </w:rPr>
        <w:t>et al.</w:t>
      </w:r>
      <w:r>
        <w:t xml:space="preserve"> BAFF (B cell activating factor) transcript level in peripheral blood of patients with SLE is associated with same-day disease activity as well as global activity over the next year. </w:t>
      </w:r>
      <w:r>
        <w:rPr>
          <w:i/>
          <w:iCs/>
        </w:rPr>
        <w:t>Lupus Sci Med</w:t>
      </w:r>
      <w:r>
        <w:t xml:space="preserve"> 2015; </w:t>
      </w:r>
      <w:r>
        <w:rPr>
          <w:b/>
          <w:bCs/>
        </w:rPr>
        <w:t>2</w:t>
      </w:r>
      <w:r>
        <w:t>: e000063.</w:t>
      </w:r>
    </w:p>
    <w:p w:rsidR="00AF392F" w:rsidRDefault="00AF392F" w:rsidP="00AF392F">
      <w:pPr>
        <w:pStyle w:val="Bibliography"/>
      </w:pPr>
      <w:r>
        <w:t xml:space="preserve">68. Park MC, Park YB, Lee SK. Elevated interleukin-18 levels correlated with disease activity in systemic lupus erythematosus. </w:t>
      </w:r>
      <w:r>
        <w:rPr>
          <w:i/>
          <w:iCs/>
        </w:rPr>
        <w:t>Clin Rheumatol</w:t>
      </w:r>
      <w:r>
        <w:t xml:space="preserve"> 2004; </w:t>
      </w:r>
      <w:r>
        <w:rPr>
          <w:b/>
          <w:bCs/>
        </w:rPr>
        <w:t>23</w:t>
      </w:r>
      <w:r>
        <w:t>: 225–9.</w:t>
      </w:r>
    </w:p>
    <w:p w:rsidR="00AF392F" w:rsidRDefault="00AF392F" w:rsidP="00AF392F">
      <w:pPr>
        <w:pStyle w:val="Bibliography"/>
      </w:pPr>
      <w:r>
        <w:t xml:space="preserve">69. Reshkova V, Kyurkchiev D, Monov S. Evaluation of biomarkers for clinical activity of systemic lupus erhythematodes. </w:t>
      </w:r>
      <w:r>
        <w:rPr>
          <w:i/>
          <w:iCs/>
        </w:rPr>
        <w:t>Pharmacia</w:t>
      </w:r>
      <w:r>
        <w:t xml:space="preserve"> 2025; </w:t>
      </w:r>
      <w:r>
        <w:rPr>
          <w:b/>
          <w:bCs/>
        </w:rPr>
        <w:t>72</w:t>
      </w:r>
      <w:r>
        <w:t>: 1–6.</w:t>
      </w:r>
    </w:p>
    <w:p w:rsidR="00AF392F" w:rsidRDefault="00AF392F" w:rsidP="00AF392F">
      <w:pPr>
        <w:pStyle w:val="Bibliography"/>
      </w:pPr>
      <w:r>
        <w:t xml:space="preserve">70. Grygiel-Górniak B, Rogacka N, Puszczewicz M. Antinuclear antibodies in healthy people and non-rheumatic diseases - diagnostic and clinical implications. </w:t>
      </w:r>
      <w:r>
        <w:rPr>
          <w:i/>
          <w:iCs/>
        </w:rPr>
        <w:t>Reumatologia</w:t>
      </w:r>
      <w:r>
        <w:t xml:space="preserve"> 2018; </w:t>
      </w:r>
      <w:r>
        <w:rPr>
          <w:b/>
          <w:bCs/>
        </w:rPr>
        <w:t>56</w:t>
      </w:r>
      <w:r>
        <w:t>: 243–8.</w:t>
      </w:r>
    </w:p>
    <w:p w:rsidR="00AF392F" w:rsidRDefault="00AF392F" w:rsidP="00AF392F">
      <w:pPr>
        <w:pStyle w:val="Bibliography"/>
      </w:pPr>
      <w:r>
        <w:t xml:space="preserve">71. Duarte-Delgado NP, Segura K, Gómez O, </w:t>
      </w:r>
      <w:r>
        <w:rPr>
          <w:i/>
          <w:iCs/>
        </w:rPr>
        <w:t>et al.</w:t>
      </w:r>
      <w:r>
        <w:t xml:space="preserve"> Cytokine profiles and their correlation with clinical and blood parameters in rheumatoid arthritis and systemic lupus erythematosus. </w:t>
      </w:r>
      <w:r>
        <w:rPr>
          <w:i/>
          <w:iCs/>
        </w:rPr>
        <w:t>Sci Rep</w:t>
      </w:r>
      <w:r>
        <w:t xml:space="preserve"> 2024; </w:t>
      </w:r>
      <w:r>
        <w:rPr>
          <w:b/>
          <w:bCs/>
        </w:rPr>
        <w:t>14</w:t>
      </w:r>
      <w:r>
        <w:t>: 23475.</w:t>
      </w:r>
    </w:p>
    <w:p w:rsidR="00AF392F" w:rsidRDefault="00AF392F" w:rsidP="00AF392F">
      <w:pPr>
        <w:pStyle w:val="Bibliography"/>
      </w:pPr>
      <w:r>
        <w:t xml:space="preserve">72. Six I, Guillaume N, Jacob V, </w:t>
      </w:r>
      <w:r>
        <w:rPr>
          <w:i/>
          <w:iCs/>
        </w:rPr>
        <w:t>et al.</w:t>
      </w:r>
      <w:r>
        <w:t xml:space="preserve"> The Endothelium and COVID-19: An Increasingly Clear Link Brief Title: Endotheliopathy in COVID-19. </w:t>
      </w:r>
      <w:r>
        <w:rPr>
          <w:i/>
          <w:iCs/>
        </w:rPr>
        <w:t>Int J Mol Sci</w:t>
      </w:r>
      <w:r>
        <w:t xml:space="preserve"> 2022; </w:t>
      </w:r>
      <w:r>
        <w:rPr>
          <w:b/>
          <w:bCs/>
        </w:rPr>
        <w:t>23</w:t>
      </w:r>
      <w:r>
        <w:t>: 6196.</w:t>
      </w:r>
    </w:p>
    <w:p w:rsidR="00AF392F" w:rsidRDefault="00AF392F" w:rsidP="00AF392F">
      <w:pPr>
        <w:pStyle w:val="Bibliography"/>
      </w:pPr>
      <w:r>
        <w:t xml:space="preserve">73. Steyers C, Miller F. Endothelial Dysfunction in Chronic Inflammatory Diseases. </w:t>
      </w:r>
      <w:r>
        <w:rPr>
          <w:i/>
          <w:iCs/>
        </w:rPr>
        <w:t>Int J Mol Sci</w:t>
      </w:r>
      <w:r>
        <w:t xml:space="preserve"> 2014; </w:t>
      </w:r>
      <w:r>
        <w:rPr>
          <w:b/>
          <w:bCs/>
        </w:rPr>
        <w:t>15</w:t>
      </w:r>
      <w:r>
        <w:t>: 11324–49.</w:t>
      </w:r>
    </w:p>
    <w:p w:rsidR="00AF392F" w:rsidRDefault="00AF392F" w:rsidP="00AF392F">
      <w:pPr>
        <w:pStyle w:val="Bibliography"/>
      </w:pPr>
      <w:r>
        <w:lastRenderedPageBreak/>
        <w:t xml:space="preserve">74. Xu S-W, Ilyas I, Weng J-P. Endothelial dysfunction in COVID-19: an overview of evidence, biomarkers, mechanisms and potential therapies. </w:t>
      </w:r>
      <w:r>
        <w:rPr>
          <w:i/>
          <w:iCs/>
        </w:rPr>
        <w:t>Acta Pharmacol Sin</w:t>
      </w:r>
      <w:r>
        <w:t xml:space="preserve"> 2023; </w:t>
      </w:r>
      <w:r>
        <w:rPr>
          <w:b/>
          <w:bCs/>
        </w:rPr>
        <w:t>44</w:t>
      </w:r>
      <w:r>
        <w:t>: 695–709.</w:t>
      </w:r>
    </w:p>
    <w:p w:rsidR="00AF392F" w:rsidRDefault="00AF392F" w:rsidP="00AF392F">
      <w:pPr>
        <w:pStyle w:val="Bibliography"/>
      </w:pPr>
      <w:r>
        <w:t xml:space="preserve">75. Mardi A, Meidaninikjeh S, Nikfarjam S, Majidi Zolbanin N, Jafari R. Interleukin-1 in COVID-19 Infection: Immunopathogenesis and Possible Therapeutic Perspective. </w:t>
      </w:r>
      <w:r>
        <w:rPr>
          <w:i/>
          <w:iCs/>
        </w:rPr>
        <w:t>Viral Immunol</w:t>
      </w:r>
      <w:r>
        <w:t xml:space="preserve"> 2021; </w:t>
      </w:r>
      <w:r>
        <w:rPr>
          <w:b/>
          <w:bCs/>
        </w:rPr>
        <w:t>34</w:t>
      </w:r>
      <w:r>
        <w:t>: 679–88.</w:t>
      </w:r>
    </w:p>
    <w:p w:rsidR="00AF392F" w:rsidRDefault="00AF392F" w:rsidP="00AF392F">
      <w:pPr>
        <w:pStyle w:val="Bibliography"/>
      </w:pPr>
      <w:r>
        <w:t xml:space="preserve">76. Swartz TH, Gnjatic S, Aberg JA, Merad M, Sigel K. 510. Elevated IL-1β level as a predictor of inflammation and death in COVID-19. </w:t>
      </w:r>
      <w:r>
        <w:rPr>
          <w:i/>
          <w:iCs/>
        </w:rPr>
        <w:t>Open Forum Infect Dis</w:t>
      </w:r>
      <w:r>
        <w:t xml:space="preserve"> 2020; </w:t>
      </w:r>
      <w:r>
        <w:rPr>
          <w:b/>
          <w:bCs/>
        </w:rPr>
        <w:t>7</w:t>
      </w:r>
      <w:r>
        <w:t>: S320–1.</w:t>
      </w:r>
    </w:p>
    <w:p w:rsidR="00AF392F" w:rsidRDefault="00AF392F" w:rsidP="00AF392F">
      <w:pPr>
        <w:pStyle w:val="Bibliography"/>
      </w:pPr>
      <w:r>
        <w:t xml:space="preserve">77. Jiang J, Wang J, Yao L, Lai S, Zhang X. What do we know about IL-6 in COVID-19 so far? </w:t>
      </w:r>
      <w:r>
        <w:rPr>
          <w:i/>
          <w:iCs/>
        </w:rPr>
        <w:t>Biophys Rep</w:t>
      </w:r>
      <w:r>
        <w:t xml:space="preserve"> 2021; </w:t>
      </w:r>
      <w:r>
        <w:rPr>
          <w:b/>
          <w:bCs/>
        </w:rPr>
        <w:t>7</w:t>
      </w:r>
      <w:r>
        <w:t>: 193–206.</w:t>
      </w:r>
    </w:p>
    <w:p w:rsidR="00AF392F" w:rsidRDefault="00AF392F" w:rsidP="00AF392F">
      <w:pPr>
        <w:pStyle w:val="Bibliography"/>
      </w:pPr>
      <w:r>
        <w:t xml:space="preserve">78. Bouayed MZ, Laaribi I, Chatar CEM, </w:t>
      </w:r>
      <w:r>
        <w:rPr>
          <w:i/>
          <w:iCs/>
        </w:rPr>
        <w:t>et al.</w:t>
      </w:r>
      <w:r>
        <w:t xml:space="preserve"> C-Reactive Protein (CRP): A poor prognostic biomarker in COVID-19. </w:t>
      </w:r>
      <w:r>
        <w:rPr>
          <w:i/>
          <w:iCs/>
        </w:rPr>
        <w:t>Front Immunol</w:t>
      </w:r>
      <w:r>
        <w:t xml:space="preserve"> 2022; </w:t>
      </w:r>
      <w:r>
        <w:rPr>
          <w:b/>
          <w:bCs/>
        </w:rPr>
        <w:t>13</w:t>
      </w:r>
      <w:r>
        <w:t>: 1040024.</w:t>
      </w:r>
    </w:p>
    <w:p w:rsidR="00AF392F" w:rsidRDefault="00AF392F" w:rsidP="00AF392F">
      <w:pPr>
        <w:pStyle w:val="Bibliography"/>
      </w:pPr>
      <w:r>
        <w:t xml:space="preserve">79. Gadotti AC, de Castro Deus M, Telles JP, </w:t>
      </w:r>
      <w:r>
        <w:rPr>
          <w:i/>
          <w:iCs/>
        </w:rPr>
        <w:t>et al.</w:t>
      </w:r>
      <w:r>
        <w:t xml:space="preserve"> IFN-γ is an independent risk factor associated with mortality in patients with moderate and severe COVID-19 infection. </w:t>
      </w:r>
      <w:r>
        <w:rPr>
          <w:i/>
          <w:iCs/>
        </w:rPr>
        <w:t>Virus Res</w:t>
      </w:r>
      <w:r>
        <w:t xml:space="preserve"> 2020; </w:t>
      </w:r>
      <w:r>
        <w:rPr>
          <w:b/>
          <w:bCs/>
        </w:rPr>
        <w:t>289</w:t>
      </w:r>
      <w:r>
        <w:t>: 198171.</w:t>
      </w:r>
    </w:p>
    <w:p w:rsidR="00AF392F" w:rsidRDefault="00AF392F" w:rsidP="00AF392F">
      <w:pPr>
        <w:pStyle w:val="Bibliography"/>
      </w:pPr>
      <w:r>
        <w:t xml:space="preserve">80. Alroomi M, Rajan R, Omar AA, </w:t>
      </w:r>
      <w:r>
        <w:rPr>
          <w:i/>
          <w:iCs/>
        </w:rPr>
        <w:t>et al.</w:t>
      </w:r>
      <w:r>
        <w:t xml:space="preserve"> Ferritin level: A predictor of severity and mortality in hospitalized COVID-19 patients. </w:t>
      </w:r>
      <w:r>
        <w:rPr>
          <w:i/>
          <w:iCs/>
        </w:rPr>
        <w:t>Immun Inflamm Dis</w:t>
      </w:r>
      <w:r>
        <w:t xml:space="preserve"> 2021; </w:t>
      </w:r>
      <w:r>
        <w:rPr>
          <w:b/>
          <w:bCs/>
        </w:rPr>
        <w:t>9</w:t>
      </w:r>
      <w:r>
        <w:t>: 1648–55.</w:t>
      </w:r>
    </w:p>
    <w:p w:rsidR="00AF392F" w:rsidRDefault="00AF392F" w:rsidP="00AF392F">
      <w:pPr>
        <w:pStyle w:val="Bibliography"/>
      </w:pPr>
      <w:r>
        <w:t xml:space="preserve">81. Pieri M, Ciotti M, Nuccetelli M, </w:t>
      </w:r>
      <w:r>
        <w:rPr>
          <w:i/>
          <w:iCs/>
        </w:rPr>
        <w:t>et al.</w:t>
      </w:r>
      <w:r>
        <w:t xml:space="preserve"> Serum Amyloid A Protein as a useful biomarker to predict COVID-19 patients severity and prognosis. </w:t>
      </w:r>
      <w:r>
        <w:rPr>
          <w:i/>
          <w:iCs/>
        </w:rPr>
        <w:t>Int Immunopharmacol</w:t>
      </w:r>
      <w:r>
        <w:t xml:space="preserve"> 2021; </w:t>
      </w:r>
      <w:r>
        <w:rPr>
          <w:b/>
          <w:bCs/>
        </w:rPr>
        <w:t>95</w:t>
      </w:r>
      <w:r>
        <w:t>: 107512.</w:t>
      </w:r>
    </w:p>
    <w:p w:rsidR="00AF392F" w:rsidRDefault="00AF392F" w:rsidP="00AF392F">
      <w:pPr>
        <w:pStyle w:val="Bibliography"/>
      </w:pPr>
      <w:r>
        <w:t xml:space="preserve">82. Zinellu A, Paliogiannis P, Carru C, Mangoni AA. Serum amyloid A concentrations, COVID-19 severity and mortality: An updated systematic review and meta-analysis. </w:t>
      </w:r>
      <w:r>
        <w:rPr>
          <w:i/>
          <w:iCs/>
        </w:rPr>
        <w:t>Int J Infect Dis IJID Off Publ Int Soc Infect Dis</w:t>
      </w:r>
      <w:r>
        <w:t xml:space="preserve"> 2021; </w:t>
      </w:r>
      <w:r>
        <w:rPr>
          <w:b/>
          <w:bCs/>
        </w:rPr>
        <w:t>105</w:t>
      </w:r>
      <w:r>
        <w:t>: 668–74.</w:t>
      </w:r>
    </w:p>
    <w:p w:rsidR="00AF392F" w:rsidRDefault="00AF392F" w:rsidP="00AF392F">
      <w:pPr>
        <w:pStyle w:val="Bibliography"/>
      </w:pPr>
      <w:r>
        <w:t xml:space="preserve">83. Cowman K, Rossi J, Gendlina I, </w:t>
      </w:r>
      <w:r>
        <w:rPr>
          <w:i/>
          <w:iCs/>
        </w:rPr>
        <w:t>et al.</w:t>
      </w:r>
      <w:r>
        <w:t xml:space="preserve"> Elucidating the role of procalcitonin as a biomarker in hospitalized COVID-19 patients. </w:t>
      </w:r>
      <w:r>
        <w:rPr>
          <w:i/>
          <w:iCs/>
        </w:rPr>
        <w:t>Diagn Microbiol Infect Dis</w:t>
      </w:r>
      <w:r>
        <w:t xml:space="preserve"> 2022; </w:t>
      </w:r>
      <w:r>
        <w:rPr>
          <w:b/>
          <w:bCs/>
        </w:rPr>
        <w:t>103</w:t>
      </w:r>
      <w:r>
        <w:t>: 115721.</w:t>
      </w:r>
    </w:p>
    <w:p w:rsidR="00AF392F" w:rsidRDefault="00AF392F" w:rsidP="00AF392F">
      <w:pPr>
        <w:pStyle w:val="Bibliography"/>
      </w:pPr>
      <w:r>
        <w:t xml:space="preserve">84. Pirsalehi A, Salari S, Baghestani A, </w:t>
      </w:r>
      <w:r>
        <w:rPr>
          <w:i/>
          <w:iCs/>
        </w:rPr>
        <w:t>et al.</w:t>
      </w:r>
      <w:r>
        <w:t xml:space="preserve"> Neutrophil-to-lymphocyte ratio (NLR) greater than 6.5 may reflect the progression of COVID-19 towards an unfavorable clinical outcome. </w:t>
      </w:r>
      <w:r>
        <w:rPr>
          <w:i/>
          <w:iCs/>
        </w:rPr>
        <w:t>Iran J Microbiol</w:t>
      </w:r>
      <w:r>
        <w:t xml:space="preserve"> 2020; </w:t>
      </w:r>
      <w:r>
        <w:rPr>
          <w:b/>
          <w:bCs/>
        </w:rPr>
        <w:t>12</w:t>
      </w:r>
      <w:r>
        <w:t>: 466–74.</w:t>
      </w:r>
    </w:p>
    <w:p w:rsidR="00AF392F" w:rsidRDefault="00AF392F" w:rsidP="00AF392F">
      <w:pPr>
        <w:pStyle w:val="Bibliography"/>
      </w:pPr>
      <w:r>
        <w:t xml:space="preserve">85. Shahbaz S, Bozorgmehr N, Lu J, </w:t>
      </w:r>
      <w:r>
        <w:rPr>
          <w:i/>
          <w:iCs/>
        </w:rPr>
        <w:t>et al.</w:t>
      </w:r>
      <w:r>
        <w:t xml:space="preserve"> Analysis of SARS-CoV-2 isolates, namely the Wuhan strain, Delta variant, and Omicron variant, identifies differential immune profiles. </w:t>
      </w:r>
      <w:r>
        <w:rPr>
          <w:i/>
          <w:iCs/>
        </w:rPr>
        <w:t>Microbiol Spectr</w:t>
      </w:r>
      <w:r>
        <w:t xml:space="preserve"> 2023; </w:t>
      </w:r>
      <w:r>
        <w:rPr>
          <w:b/>
          <w:bCs/>
        </w:rPr>
        <w:t>11</w:t>
      </w:r>
      <w:r>
        <w:t>: e0125623.</w:t>
      </w:r>
    </w:p>
    <w:p w:rsidR="00AF392F" w:rsidRDefault="00AF392F" w:rsidP="00AF392F">
      <w:pPr>
        <w:pStyle w:val="Bibliography"/>
      </w:pPr>
      <w:r>
        <w:t xml:space="preserve">86. Oliveira DCD, Spiri BS, Schluga YC, Justus JLP, Lopes Neto FDN, Azambuja APD. Evaluation of lymphocyte count, T-cell subsets and neutrophil-to-lymphocyte ratio as early predictors for severity and outcome of COVID-19 disease–a report from a highly complex hospital in Brazil. </w:t>
      </w:r>
      <w:r>
        <w:rPr>
          <w:i/>
          <w:iCs/>
        </w:rPr>
        <w:t>Hematol Transfus Cell Ther</w:t>
      </w:r>
      <w:r>
        <w:t xml:space="preserve"> 2023; </w:t>
      </w:r>
      <w:r>
        <w:rPr>
          <w:b/>
          <w:bCs/>
        </w:rPr>
        <w:t>45</w:t>
      </w:r>
      <w:r>
        <w:t>: 330–7.</w:t>
      </w:r>
    </w:p>
    <w:p w:rsidR="00AF392F" w:rsidRDefault="00AF392F" w:rsidP="00AF392F">
      <w:pPr>
        <w:pStyle w:val="Bibliography"/>
      </w:pPr>
      <w:r>
        <w:t xml:space="preserve">87. Cidade JP, Souza-Dantas VC, Mamfrim RB, </w:t>
      </w:r>
      <w:r>
        <w:rPr>
          <w:i/>
          <w:iCs/>
        </w:rPr>
        <w:t>et al.</w:t>
      </w:r>
      <w:r>
        <w:t xml:space="preserve"> Advancing insights in critical COVID-19: unraveling lymphopenia through propensity score matching - Findings from the Multicenter LYMPH-COVID Study. </w:t>
      </w:r>
      <w:r>
        <w:rPr>
          <w:i/>
          <w:iCs/>
        </w:rPr>
        <w:t>Crit Care Sci</w:t>
      </w:r>
      <w:r>
        <w:t xml:space="preserve"> 2024; </w:t>
      </w:r>
      <w:r>
        <w:rPr>
          <w:b/>
          <w:bCs/>
        </w:rPr>
        <w:t>36</w:t>
      </w:r>
      <w:r>
        <w:t>: e20240236en.</w:t>
      </w:r>
    </w:p>
    <w:p w:rsidR="00AF392F" w:rsidRDefault="00AF392F" w:rsidP="00AF392F">
      <w:pPr>
        <w:pStyle w:val="Bibliography"/>
      </w:pPr>
      <w:r>
        <w:lastRenderedPageBreak/>
        <w:t xml:space="preserve">88. Hu D, Li L, Shi W, Zhang L. Less expression of CD4+ and CD8+ T cells might reflect the severity of infection and predict worse prognosis in patients with COVID-19: Evidence from a pooled analysis. </w:t>
      </w:r>
      <w:r>
        <w:rPr>
          <w:i/>
          <w:iCs/>
        </w:rPr>
        <w:t>Clin Chim Acta</w:t>
      </w:r>
      <w:r>
        <w:t xml:space="preserve"> 2020; </w:t>
      </w:r>
      <w:r>
        <w:rPr>
          <w:b/>
          <w:bCs/>
        </w:rPr>
        <w:t>510</w:t>
      </w:r>
      <w:r>
        <w:t>: 1–4.</w:t>
      </w:r>
    </w:p>
    <w:p w:rsidR="00AF392F" w:rsidRDefault="00AF392F" w:rsidP="00AF392F">
      <w:pPr>
        <w:pStyle w:val="Bibliography"/>
      </w:pPr>
      <w:r>
        <w:t xml:space="preserve">89. Wang L, Chen J, Zhao J, </w:t>
      </w:r>
      <w:r>
        <w:rPr>
          <w:i/>
          <w:iCs/>
        </w:rPr>
        <w:t>et al.</w:t>
      </w:r>
      <w:r>
        <w:t xml:space="preserve"> The predictive role of lymphocyte subsets and laboratory measurements in COVID-19 disease: a retrospective study. </w:t>
      </w:r>
      <w:r>
        <w:rPr>
          <w:i/>
          <w:iCs/>
        </w:rPr>
        <w:t>Ther Adv Respir Dis</w:t>
      </w:r>
      <w:r>
        <w:t xml:space="preserve"> 2021; </w:t>
      </w:r>
      <w:r>
        <w:rPr>
          <w:b/>
          <w:bCs/>
        </w:rPr>
        <w:t>15</w:t>
      </w:r>
      <w:r>
        <w:t>: 17534666211049739.</w:t>
      </w:r>
    </w:p>
    <w:p w:rsidR="00AF392F" w:rsidRDefault="00AF392F" w:rsidP="00AF392F">
      <w:pPr>
        <w:pStyle w:val="Bibliography"/>
      </w:pPr>
      <w:r>
        <w:t xml:space="preserve">90. Migliorini F, Torsiello E, Spiezia F, Oliva F, Tingart M, Maffulli N. Association between HLA genotypes and COVID-19 susceptibility, severity and progression: a comprehensive review of the literature. </w:t>
      </w:r>
      <w:r>
        <w:rPr>
          <w:i/>
          <w:iCs/>
        </w:rPr>
        <w:t>Eur J Med Res</w:t>
      </w:r>
      <w:r>
        <w:t xml:space="preserve"> 2021; </w:t>
      </w:r>
      <w:r>
        <w:rPr>
          <w:b/>
          <w:bCs/>
        </w:rPr>
        <w:t>26</w:t>
      </w:r>
      <w:r>
        <w:t>: 84.</w:t>
      </w:r>
    </w:p>
    <w:p w:rsidR="00AF392F" w:rsidRDefault="00AF392F" w:rsidP="00AF392F">
      <w:pPr>
        <w:pStyle w:val="Bibliography"/>
      </w:pPr>
      <w:r>
        <w:t xml:space="preserve">91. Abdelhafiz AS, Ali A, Fouda MA, </w:t>
      </w:r>
      <w:r>
        <w:rPr>
          <w:i/>
          <w:iCs/>
        </w:rPr>
        <w:t>et al.</w:t>
      </w:r>
      <w:r>
        <w:t xml:space="preserve"> HLA-B*15 predicts survival in Egyptian patients with COVID-19. </w:t>
      </w:r>
      <w:r>
        <w:rPr>
          <w:i/>
          <w:iCs/>
        </w:rPr>
        <w:t>Hum Immunol</w:t>
      </w:r>
      <w:r>
        <w:t xml:space="preserve"> 2022; </w:t>
      </w:r>
      <w:r>
        <w:rPr>
          <w:b/>
          <w:bCs/>
        </w:rPr>
        <w:t>83</w:t>
      </w:r>
      <w:r>
        <w:t>: 10–6.</w:t>
      </w:r>
    </w:p>
    <w:p w:rsidR="00AF392F" w:rsidRDefault="00AF392F" w:rsidP="00AF392F">
      <w:pPr>
        <w:pStyle w:val="Bibliography"/>
      </w:pPr>
      <w:r>
        <w:t xml:space="preserve">92. Allen M, Bailey C, Cahatol I, </w:t>
      </w:r>
      <w:r>
        <w:rPr>
          <w:i/>
          <w:iCs/>
        </w:rPr>
        <w:t>et al.</w:t>
      </w:r>
      <w:r>
        <w:t xml:space="preserve"> Mechanisms of Control of Mycobacterium tuberculosis by NK Cells: Role of Glutathione. </w:t>
      </w:r>
      <w:r>
        <w:rPr>
          <w:i/>
          <w:iCs/>
        </w:rPr>
        <w:t>Front Immunol</w:t>
      </w:r>
      <w:r>
        <w:t xml:space="preserve"> 2015; </w:t>
      </w:r>
      <w:r>
        <w:rPr>
          <w:b/>
          <w:bCs/>
        </w:rPr>
        <w:t>6</w:t>
      </w:r>
      <w:r>
        <w:t>: 508.</w:t>
      </w:r>
    </w:p>
    <w:p w:rsidR="00AF392F" w:rsidRDefault="00AF392F" w:rsidP="00AF392F">
      <w:pPr>
        <w:pStyle w:val="Bibliography"/>
      </w:pPr>
      <w:r>
        <w:t xml:space="preserve">93. Lai H-C, Chang C-J, Lin C-S, </w:t>
      </w:r>
      <w:r>
        <w:rPr>
          <w:i/>
          <w:iCs/>
        </w:rPr>
        <w:t>et al.</w:t>
      </w:r>
      <w:r>
        <w:t xml:space="preserve"> NK Cell-Derived IFN-γ Protects against Nontuberculous Mycobacterial Lung Infection. </w:t>
      </w:r>
      <w:r>
        <w:rPr>
          <w:i/>
          <w:iCs/>
        </w:rPr>
        <w:t>J Immunol Baltim Md 1950</w:t>
      </w:r>
      <w:r>
        <w:t xml:space="preserve"> 2018; </w:t>
      </w:r>
      <w:r>
        <w:rPr>
          <w:b/>
          <w:bCs/>
        </w:rPr>
        <w:t>201</w:t>
      </w:r>
      <w:r>
        <w:t>: 1478–90.</w:t>
      </w:r>
    </w:p>
    <w:p w:rsidR="00AF392F" w:rsidRDefault="00AF392F" w:rsidP="00AF392F">
      <w:pPr>
        <w:pStyle w:val="Bibliography"/>
      </w:pPr>
      <w:r>
        <w:t xml:space="preserve">94. Mundra A, Yegiazaryan A, Karsian H, </w:t>
      </w:r>
      <w:r>
        <w:rPr>
          <w:i/>
          <w:iCs/>
        </w:rPr>
        <w:t>et al.</w:t>
      </w:r>
      <w:r>
        <w:t xml:space="preserve"> Pathogenicity of Type I Interferons in Mycobacterium tuberculosis. </w:t>
      </w:r>
      <w:r>
        <w:rPr>
          <w:i/>
          <w:iCs/>
        </w:rPr>
        <w:t>Int J Mol Sci</w:t>
      </w:r>
      <w:r>
        <w:t xml:space="preserve"> 2023; </w:t>
      </w:r>
      <w:r>
        <w:rPr>
          <w:b/>
          <w:bCs/>
        </w:rPr>
        <w:t>24</w:t>
      </w:r>
      <w:r>
        <w:t>: 3919.</w:t>
      </w:r>
    </w:p>
    <w:p w:rsidR="00AF392F" w:rsidRDefault="00AF392F" w:rsidP="00AF392F">
      <w:pPr>
        <w:pStyle w:val="Bibliography"/>
      </w:pPr>
      <w:r>
        <w:t xml:space="preserve">95. Schluger NW, Rom WN. The host immune response to tuberculosis. </w:t>
      </w:r>
      <w:r>
        <w:rPr>
          <w:i/>
          <w:iCs/>
        </w:rPr>
        <w:t>Am J Respir Crit Care Med</w:t>
      </w:r>
      <w:r>
        <w:t xml:space="preserve"> 1998; </w:t>
      </w:r>
      <w:r>
        <w:rPr>
          <w:b/>
          <w:bCs/>
        </w:rPr>
        <w:t>157</w:t>
      </w:r>
      <w:r>
        <w:t>: 679–91.</w:t>
      </w:r>
    </w:p>
    <w:p w:rsidR="00AF392F" w:rsidRDefault="00AF392F" w:rsidP="00AF392F">
      <w:pPr>
        <w:pStyle w:val="Bibliography"/>
      </w:pPr>
      <w:r>
        <w:t xml:space="preserve">96. Shanmuganathan G, Orujyan D, Narinyan W, </w:t>
      </w:r>
      <w:r>
        <w:rPr>
          <w:i/>
          <w:iCs/>
        </w:rPr>
        <w:t>et al.</w:t>
      </w:r>
      <w:r>
        <w:t xml:space="preserve"> Role of Interferons in Mycobacterium tuberculosis Infection. </w:t>
      </w:r>
      <w:r>
        <w:rPr>
          <w:i/>
          <w:iCs/>
        </w:rPr>
        <w:t>Clin Pract</w:t>
      </w:r>
      <w:r>
        <w:t xml:space="preserve"> 2022; </w:t>
      </w:r>
      <w:r>
        <w:rPr>
          <w:b/>
          <w:bCs/>
        </w:rPr>
        <w:t>12</w:t>
      </w:r>
      <w:r>
        <w:t>: 788–96.</w:t>
      </w:r>
    </w:p>
    <w:p w:rsidR="00AF392F" w:rsidRDefault="00AF392F" w:rsidP="00AF392F">
      <w:pPr>
        <w:pStyle w:val="Bibliography"/>
      </w:pPr>
      <w:r>
        <w:t xml:space="preserve">97. David W K MD, FAAP, Ritu B MD, PhD, FAAP, Elizabeth D B MD, Ruth L MD, FAAP, Mark H . Sawyer MD, FAAP. </w:t>
      </w:r>
      <w:r>
        <w:rPr>
          <w:i/>
          <w:iCs/>
        </w:rPr>
        <w:t>‘Tuberculosis’, Red Book: 2024–2027 Report of the Committee on Infectious Diseases, Committee on Infectious Diseases, American Academy of Pediatrics</w:t>
      </w:r>
      <w:r>
        <w:t>. USA; 2024. Available at: https://publications.aap.org/redbook/book/755/chapter/14083107/Tuberculosis.</w:t>
      </w:r>
    </w:p>
    <w:p w:rsidR="00AF392F" w:rsidRDefault="00AF392F" w:rsidP="00AF392F">
      <w:pPr>
        <w:pStyle w:val="Bibliography"/>
      </w:pPr>
      <w:r>
        <w:t xml:space="preserve">98. Carrere-Kremer S, Kolia-Diafouka P, Pisoni A, </w:t>
      </w:r>
      <w:r>
        <w:rPr>
          <w:i/>
          <w:iCs/>
        </w:rPr>
        <w:t>et al.</w:t>
      </w:r>
      <w:r>
        <w:t xml:space="preserve"> QuantiFERON-TB Gold Plus Assay in Patients With Latent vs. Active Tuberculosis in a Low Incidence Setting: Level of IFN-γ, CD4/CD8 Responses, and Release of IL-2, IP-10, and MIG. </w:t>
      </w:r>
      <w:r>
        <w:rPr>
          <w:i/>
          <w:iCs/>
        </w:rPr>
        <w:t>Front Microbiol</w:t>
      </w:r>
      <w:r>
        <w:t xml:space="preserve"> 2022; </w:t>
      </w:r>
      <w:r>
        <w:rPr>
          <w:b/>
          <w:bCs/>
        </w:rPr>
        <w:t>13</w:t>
      </w:r>
      <w:r>
        <w:t>: 825021.</w:t>
      </w:r>
    </w:p>
    <w:p w:rsidR="00AF392F" w:rsidRDefault="00AF392F" w:rsidP="00AF392F">
      <w:pPr>
        <w:pStyle w:val="Bibliography"/>
      </w:pPr>
      <w:r>
        <w:t xml:space="preserve">99. Mamishi S, Pourakbari B, Teymuri M, </w:t>
      </w:r>
      <w:r>
        <w:rPr>
          <w:i/>
          <w:iCs/>
        </w:rPr>
        <w:t>et al.</w:t>
      </w:r>
      <w:r>
        <w:t xml:space="preserve"> Diagnostic accuracy of IL-2 for the diagnosis of latent tuberculosis: a systematic review and meta-analysis. </w:t>
      </w:r>
      <w:r>
        <w:rPr>
          <w:i/>
          <w:iCs/>
        </w:rPr>
        <w:t>Eur J Clin Microbiol Infect Dis Off Publ Eur Soc Clin Microbiol</w:t>
      </w:r>
      <w:r>
        <w:t xml:space="preserve"> 2014; </w:t>
      </w:r>
      <w:r>
        <w:rPr>
          <w:b/>
          <w:bCs/>
        </w:rPr>
        <w:t>33</w:t>
      </w:r>
      <w:r>
        <w:t>: 2111–9.</w:t>
      </w:r>
    </w:p>
    <w:p w:rsidR="00AF392F" w:rsidRDefault="00AF392F" w:rsidP="00AF392F">
      <w:pPr>
        <w:pStyle w:val="Bibliography"/>
      </w:pPr>
      <w:r>
        <w:t xml:space="preserve">100. Qiu B, Liu Q, Li Z, </w:t>
      </w:r>
      <w:r>
        <w:rPr>
          <w:i/>
          <w:iCs/>
        </w:rPr>
        <w:t>et al.</w:t>
      </w:r>
      <w:r>
        <w:t xml:space="preserve"> Evaluation of cytokines as a biomarker to distinguish active tuberculosis from latent tuberculosis infection: a diagnostic meta-analysis. </w:t>
      </w:r>
      <w:r>
        <w:rPr>
          <w:i/>
          <w:iCs/>
        </w:rPr>
        <w:t>BMJ Open</w:t>
      </w:r>
      <w:r>
        <w:t xml:space="preserve"> 2020; </w:t>
      </w:r>
      <w:r>
        <w:rPr>
          <w:b/>
          <w:bCs/>
        </w:rPr>
        <w:t>10</w:t>
      </w:r>
      <w:r>
        <w:t>: e039501.</w:t>
      </w:r>
    </w:p>
    <w:p w:rsidR="00AF392F" w:rsidRDefault="00AF392F" w:rsidP="00AF392F">
      <w:pPr>
        <w:pStyle w:val="Bibliography"/>
      </w:pPr>
      <w:r>
        <w:t xml:space="preserve">101. Correia JW, Freitas MV, Queiroz JA, PereiraPerrin M, Cavadas B. Interleukin-6 blood levels in sensitive and multiresistant tuberculosis. </w:t>
      </w:r>
      <w:r>
        <w:rPr>
          <w:i/>
          <w:iCs/>
        </w:rPr>
        <w:t>Infection</w:t>
      </w:r>
      <w:r>
        <w:t xml:space="preserve"> 2009; </w:t>
      </w:r>
      <w:r>
        <w:rPr>
          <w:b/>
          <w:bCs/>
        </w:rPr>
        <w:t>37</w:t>
      </w:r>
      <w:r>
        <w:t>: 138–41.</w:t>
      </w:r>
    </w:p>
    <w:p w:rsidR="00AF392F" w:rsidRDefault="00AF392F" w:rsidP="00AF392F">
      <w:pPr>
        <w:pStyle w:val="Bibliography"/>
      </w:pPr>
      <w:r>
        <w:lastRenderedPageBreak/>
        <w:t xml:space="preserve">102. Chowdhury IH, Ahmed AM, Choudhuri S, </w:t>
      </w:r>
      <w:r>
        <w:rPr>
          <w:i/>
          <w:iCs/>
        </w:rPr>
        <w:t>et al.</w:t>
      </w:r>
      <w:r>
        <w:t xml:space="preserve"> Alteration of serum inflammatory cytokines in active pulmonary tuberculosis following anti-tuberculosis drug therapy. </w:t>
      </w:r>
      <w:r>
        <w:rPr>
          <w:i/>
          <w:iCs/>
        </w:rPr>
        <w:t>Mol Immunol</w:t>
      </w:r>
      <w:r>
        <w:t xml:space="preserve"> 2014; </w:t>
      </w:r>
      <w:r>
        <w:rPr>
          <w:b/>
          <w:bCs/>
        </w:rPr>
        <w:t>62</w:t>
      </w:r>
      <w:r>
        <w:t>: 159–68.</w:t>
      </w:r>
    </w:p>
    <w:p w:rsidR="00AF392F" w:rsidRDefault="00AF392F" w:rsidP="00AF392F">
      <w:pPr>
        <w:pStyle w:val="Bibliography"/>
      </w:pPr>
      <w:r>
        <w:t xml:space="preserve">103. Gupte AN, Kumar P, Araújo-Pereira M, </w:t>
      </w:r>
      <w:r>
        <w:rPr>
          <w:i/>
          <w:iCs/>
        </w:rPr>
        <w:t>et al.</w:t>
      </w:r>
      <w:r>
        <w:t xml:space="preserve"> Baseline IL-6 is a biomarker for unfavourable tuberculosis treatment outcomes: a multisite discovery and validation study. </w:t>
      </w:r>
      <w:r>
        <w:rPr>
          <w:i/>
          <w:iCs/>
        </w:rPr>
        <w:t>Eur Respir J</w:t>
      </w:r>
      <w:r>
        <w:t xml:space="preserve"> 2022; </w:t>
      </w:r>
      <w:r>
        <w:rPr>
          <w:b/>
          <w:bCs/>
        </w:rPr>
        <w:t>59</w:t>
      </w:r>
      <w:r>
        <w:t>: 2100905.</w:t>
      </w:r>
    </w:p>
    <w:p w:rsidR="00AF392F" w:rsidRDefault="00AF392F" w:rsidP="00AF392F">
      <w:pPr>
        <w:pStyle w:val="Bibliography"/>
      </w:pPr>
      <w:r>
        <w:t xml:space="preserve">104. Chowdhury IH, Ahmed AM, Choudhuri S, </w:t>
      </w:r>
      <w:r>
        <w:rPr>
          <w:i/>
          <w:iCs/>
        </w:rPr>
        <w:t>et al.</w:t>
      </w:r>
      <w:r>
        <w:t xml:space="preserve"> Alteration of serum inflammatory cytokines in active pulmonary tuberculosis following anti-tuberculosis drug therapy. </w:t>
      </w:r>
      <w:r>
        <w:rPr>
          <w:i/>
          <w:iCs/>
        </w:rPr>
        <w:t>Mol Immunol</w:t>
      </w:r>
      <w:r>
        <w:t xml:space="preserve"> 2014; </w:t>
      </w:r>
      <w:r>
        <w:rPr>
          <w:b/>
          <w:bCs/>
        </w:rPr>
        <w:t>62</w:t>
      </w:r>
      <w:r>
        <w:t>: 159–68.</w:t>
      </w:r>
    </w:p>
    <w:p w:rsidR="00AF392F" w:rsidRDefault="00AF392F" w:rsidP="00AF392F">
      <w:pPr>
        <w:pStyle w:val="Bibliography"/>
      </w:pPr>
      <w:r>
        <w:t xml:space="preserve">105. Kumar NP, Moideen K, Banurekha VV, Nair D, Babu S. Plasma Proinflammatory Cytokines Are Markers of Disease Severity and Bacterial Burden in Pulmonary Tuberculosis. </w:t>
      </w:r>
      <w:r>
        <w:rPr>
          <w:i/>
          <w:iCs/>
        </w:rPr>
        <w:t>Open Forum Infect Dis</w:t>
      </w:r>
      <w:r>
        <w:t xml:space="preserve"> 2019; </w:t>
      </w:r>
      <w:r>
        <w:rPr>
          <w:b/>
          <w:bCs/>
        </w:rPr>
        <w:t>6</w:t>
      </w:r>
      <w:r>
        <w:t>: ofz257.</w:t>
      </w:r>
    </w:p>
    <w:p w:rsidR="00AF392F" w:rsidRDefault="00AF392F" w:rsidP="00AF392F">
      <w:pPr>
        <w:pStyle w:val="Bibliography"/>
      </w:pPr>
      <w:r>
        <w:t xml:space="preserve">106. Yuk J-M, Kim JK, Kim IS, Jo E-K. TNF in Human Tuberculosis: A Double-Edged Sword. </w:t>
      </w:r>
      <w:r>
        <w:rPr>
          <w:i/>
          <w:iCs/>
        </w:rPr>
        <w:t>Immune Netw</w:t>
      </w:r>
      <w:r>
        <w:t xml:space="preserve"> 2024; </w:t>
      </w:r>
      <w:r>
        <w:rPr>
          <w:b/>
          <w:bCs/>
        </w:rPr>
        <w:t>24</w:t>
      </w:r>
      <w:r>
        <w:t>: e4.</w:t>
      </w:r>
    </w:p>
    <w:p w:rsidR="00AF392F" w:rsidRDefault="00AF392F" w:rsidP="00AF392F">
      <w:pPr>
        <w:pStyle w:val="Bibliography"/>
      </w:pPr>
      <w:r>
        <w:t xml:space="preserve">107. Bekker LG, Moreira AL, Bergtold A, Freeman S, Ryffel B, Kaplan G. Immunopathologic effects of tumor necrosis factor alpha in murine mycobacterial infection are dose dependent. </w:t>
      </w:r>
      <w:r>
        <w:rPr>
          <w:i/>
          <w:iCs/>
        </w:rPr>
        <w:t>Infect Immun</w:t>
      </w:r>
      <w:r>
        <w:t xml:space="preserve"> 2000; </w:t>
      </w:r>
      <w:r>
        <w:rPr>
          <w:b/>
          <w:bCs/>
        </w:rPr>
        <w:t>68</w:t>
      </w:r>
      <w:r>
        <w:t>: 6954–61.</w:t>
      </w:r>
    </w:p>
    <w:p w:rsidR="00AF392F" w:rsidRDefault="00AF392F" w:rsidP="00AF392F">
      <w:pPr>
        <w:pStyle w:val="Bibliography"/>
      </w:pPr>
      <w:r>
        <w:t xml:space="preserve">108. de Beer FC, Nel AE, Gie RP, Donald PR, Strachan AF. Serum amyloid A protein and C-reactive protein levels in pulmonary tuberculosis: relationship to amyloidosis. </w:t>
      </w:r>
      <w:r>
        <w:rPr>
          <w:i/>
          <w:iCs/>
        </w:rPr>
        <w:t>Thorax</w:t>
      </w:r>
      <w:r>
        <w:t xml:space="preserve"> 1984; </w:t>
      </w:r>
      <w:r>
        <w:rPr>
          <w:b/>
          <w:bCs/>
        </w:rPr>
        <w:t>39</w:t>
      </w:r>
      <w:r>
        <w:t>: 196–200.</w:t>
      </w:r>
    </w:p>
    <w:p w:rsidR="00AF392F" w:rsidRDefault="00AF392F" w:rsidP="00AF392F">
      <w:pPr>
        <w:pStyle w:val="Bibliography"/>
      </w:pPr>
      <w:r>
        <w:t xml:space="preserve">109. de Beer FC, Nel AE, Gie RP, Donald PR, Strachan AF. Serum amyloid A protein and C-reactive protein levels in pulmonary tuberculosis: relationship to amyloidosis. </w:t>
      </w:r>
      <w:r>
        <w:rPr>
          <w:i/>
          <w:iCs/>
        </w:rPr>
        <w:t>Thorax</w:t>
      </w:r>
      <w:r>
        <w:t xml:space="preserve"> 1984; </w:t>
      </w:r>
      <w:r>
        <w:rPr>
          <w:b/>
          <w:bCs/>
        </w:rPr>
        <w:t>39</w:t>
      </w:r>
      <w:r>
        <w:t>: 196–200.</w:t>
      </w:r>
    </w:p>
    <w:p w:rsidR="00AF392F" w:rsidRDefault="00AF392F" w:rsidP="00AF392F">
      <w:pPr>
        <w:pStyle w:val="Bibliography"/>
      </w:pPr>
      <w:r>
        <w:t xml:space="preserve">110. de la Barrera S, Aleman M, Musella R, </w:t>
      </w:r>
      <w:r>
        <w:rPr>
          <w:i/>
          <w:iCs/>
        </w:rPr>
        <w:t>et al.</w:t>
      </w:r>
      <w:r>
        <w:t xml:space="preserve"> IL-10 down-regulates costimulatory molecules on Mycobacterium tuberculosis-pulsed macrophages and impairs the lytic activity of CD4 and CD8 CTL in tuberculosis patients. </w:t>
      </w:r>
      <w:r>
        <w:rPr>
          <w:i/>
          <w:iCs/>
        </w:rPr>
        <w:t>Clin Exp Immunol</w:t>
      </w:r>
      <w:r>
        <w:t xml:space="preserve"> 2004; </w:t>
      </w:r>
      <w:r>
        <w:rPr>
          <w:b/>
          <w:bCs/>
        </w:rPr>
        <w:t>138</w:t>
      </w:r>
      <w:r>
        <w:t>: 128–38.</w:t>
      </w:r>
    </w:p>
    <w:p w:rsidR="00AF392F" w:rsidRDefault="00AF392F" w:rsidP="00AF392F">
      <w:pPr>
        <w:pStyle w:val="Bibliography"/>
      </w:pPr>
      <w:r>
        <w:t xml:space="preserve">111. de la Barrera S, Aleman M, Musella R, </w:t>
      </w:r>
      <w:r>
        <w:rPr>
          <w:i/>
          <w:iCs/>
        </w:rPr>
        <w:t>et al.</w:t>
      </w:r>
      <w:r>
        <w:t xml:space="preserve"> IL-10 down-regulates costimulatory molecules on Mycobacterium tuberculosis-pulsed macrophages and impairs the lytic activity of CD4 and CD8 CTL in tuberculosis patients. </w:t>
      </w:r>
      <w:r>
        <w:rPr>
          <w:i/>
          <w:iCs/>
        </w:rPr>
        <w:t>Clin Exp Immunol</w:t>
      </w:r>
      <w:r>
        <w:t xml:space="preserve"> 2004; </w:t>
      </w:r>
      <w:r>
        <w:rPr>
          <w:b/>
          <w:bCs/>
        </w:rPr>
        <w:t>138</w:t>
      </w:r>
      <w:r>
        <w:t>: 128–38.</w:t>
      </w:r>
    </w:p>
    <w:p w:rsidR="00AF392F" w:rsidRDefault="00AF392F" w:rsidP="00AF392F">
      <w:pPr>
        <w:pStyle w:val="Bibliography"/>
      </w:pPr>
      <w:r>
        <w:t xml:space="preserve">112. Deveci F, Akbulut HH, Turgut T, Muz MH. Changes in serum cytokine levels in active tuberculosis with treatment. </w:t>
      </w:r>
      <w:r>
        <w:rPr>
          <w:i/>
          <w:iCs/>
        </w:rPr>
        <w:t>Mediators Inflamm</w:t>
      </w:r>
      <w:r>
        <w:t xml:space="preserve"> 2005; </w:t>
      </w:r>
      <w:r>
        <w:rPr>
          <w:b/>
          <w:bCs/>
        </w:rPr>
        <w:t>2005</w:t>
      </w:r>
      <w:r>
        <w:t>: 256–62.</w:t>
      </w:r>
    </w:p>
    <w:p w:rsidR="00AF392F" w:rsidRDefault="00AF392F" w:rsidP="00AF392F">
      <w:pPr>
        <w:pStyle w:val="Bibliography"/>
      </w:pPr>
      <w:r>
        <w:t xml:space="preserve">113. Whittaker E, Gordon A, Kampmann B. Is IP-10 a better biomarker for active and latent tuberculosis in children than IFNgamma? </w:t>
      </w:r>
      <w:r>
        <w:rPr>
          <w:i/>
          <w:iCs/>
        </w:rPr>
        <w:t>PloS One</w:t>
      </w:r>
      <w:r>
        <w:t xml:space="preserve"> 2008; </w:t>
      </w:r>
      <w:r>
        <w:rPr>
          <w:b/>
          <w:bCs/>
        </w:rPr>
        <w:t>3</w:t>
      </w:r>
      <w:r>
        <w:t>: e3901.</w:t>
      </w:r>
    </w:p>
    <w:p w:rsidR="00AF392F" w:rsidRDefault="00AF392F" w:rsidP="00AF392F">
      <w:pPr>
        <w:pStyle w:val="Bibliography"/>
      </w:pPr>
      <w:r>
        <w:t xml:space="preserve">114. Ruhwald M, Aabye MG, Ravn P. IP-10 release assays in the diagnosis of tuberculosis infection: current status and future directions. </w:t>
      </w:r>
      <w:r>
        <w:rPr>
          <w:i/>
          <w:iCs/>
        </w:rPr>
        <w:t>Expert Rev Mol Diagn</w:t>
      </w:r>
      <w:r>
        <w:t xml:space="preserve"> 2012; </w:t>
      </w:r>
      <w:r>
        <w:rPr>
          <w:b/>
          <w:bCs/>
        </w:rPr>
        <w:t>12</w:t>
      </w:r>
      <w:r>
        <w:t>: 175–87.</w:t>
      </w:r>
    </w:p>
    <w:p w:rsidR="00AF392F" w:rsidRDefault="00AF392F" w:rsidP="00AF392F">
      <w:pPr>
        <w:pStyle w:val="Bibliography"/>
      </w:pPr>
      <w:r>
        <w:t xml:space="preserve">115. Bajaj G, Rattan A, Ahmad P. Prognostic value of ‘C’ reactive protein in tuberculosis. </w:t>
      </w:r>
      <w:r>
        <w:rPr>
          <w:i/>
          <w:iCs/>
        </w:rPr>
        <w:t>Indian Pediatr</w:t>
      </w:r>
      <w:r>
        <w:t xml:space="preserve"> 1989; </w:t>
      </w:r>
      <w:r>
        <w:rPr>
          <w:b/>
          <w:bCs/>
        </w:rPr>
        <w:t>26</w:t>
      </w:r>
      <w:r>
        <w:t>: 1010–3.</w:t>
      </w:r>
    </w:p>
    <w:p w:rsidR="00AF392F" w:rsidRDefault="00AF392F" w:rsidP="00AF392F">
      <w:pPr>
        <w:pStyle w:val="Bibliography"/>
      </w:pPr>
      <w:r>
        <w:t xml:space="preserve">116. Kwas H, Guermazi E, Zendah I, </w:t>
      </w:r>
      <w:r>
        <w:rPr>
          <w:i/>
          <w:iCs/>
        </w:rPr>
        <w:t>et al.</w:t>
      </w:r>
      <w:r>
        <w:t xml:space="preserve"> C-reactive protein and pulmonary tuberculosis: What correlation with disease severity. In: </w:t>
      </w:r>
      <w:r>
        <w:rPr>
          <w:i/>
          <w:iCs/>
        </w:rPr>
        <w:t>10.2 Tuberculosis</w:t>
      </w:r>
      <w:r>
        <w:t xml:space="preserve">. European Respiratory Society, 2015; PA2751. </w:t>
      </w:r>
      <w:r>
        <w:lastRenderedPageBreak/>
        <w:t>Available at: https://publications.ersnet.org/lookup/doi/10.1183/13993003.congress-2015.PA2751. Accessed March 22, 2025.</w:t>
      </w:r>
    </w:p>
    <w:p w:rsidR="00AF392F" w:rsidRDefault="00AF392F" w:rsidP="00AF392F">
      <w:pPr>
        <w:pStyle w:val="Bibliography"/>
      </w:pPr>
      <w:r>
        <w:t xml:space="preserve">117. Cesur S, Aslan T, Hoca NT, </w:t>
      </w:r>
      <w:r>
        <w:rPr>
          <w:i/>
          <w:iCs/>
        </w:rPr>
        <w:t>et al.</w:t>
      </w:r>
      <w:r>
        <w:t xml:space="preserve"> Clinical importance of serum neopterin level in patients with pulmonary tuberculosis. </w:t>
      </w:r>
      <w:r>
        <w:rPr>
          <w:i/>
          <w:iCs/>
        </w:rPr>
        <w:t>Int J Mycobacteriology</w:t>
      </w:r>
      <w:r>
        <w:t xml:space="preserve"> 2014; </w:t>
      </w:r>
      <w:r>
        <w:rPr>
          <w:b/>
          <w:bCs/>
        </w:rPr>
        <w:t>3</w:t>
      </w:r>
      <w:r>
        <w:t>: 5–8.</w:t>
      </w:r>
    </w:p>
    <w:p w:rsidR="00AF392F" w:rsidRDefault="00AF392F" w:rsidP="00AF392F">
      <w:pPr>
        <w:pStyle w:val="Bibliography"/>
      </w:pPr>
      <w:r>
        <w:t xml:space="preserve">118. Immanuel C, Victor L, Chelvi KS, </w:t>
      </w:r>
      <w:r>
        <w:rPr>
          <w:i/>
          <w:iCs/>
        </w:rPr>
        <w:t>et al.</w:t>
      </w:r>
      <w:r>
        <w:t xml:space="preserve"> Serum neopterin levels in HIV infected patients with &amp; without tuberculosis. </w:t>
      </w:r>
      <w:r>
        <w:rPr>
          <w:i/>
          <w:iCs/>
        </w:rPr>
        <w:t>Indian J Med Res</w:t>
      </w:r>
      <w:r>
        <w:t xml:space="preserve"> 2005; </w:t>
      </w:r>
      <w:r>
        <w:rPr>
          <w:b/>
          <w:bCs/>
        </w:rPr>
        <w:t>121</w:t>
      </w:r>
      <w:r>
        <w:t>: 220–5.</w:t>
      </w:r>
    </w:p>
    <w:p w:rsidR="00AF392F" w:rsidRDefault="00AF392F" w:rsidP="00AF392F">
      <w:pPr>
        <w:pStyle w:val="Bibliography"/>
      </w:pPr>
      <w:r>
        <w:t xml:space="preserve">119. Fujimoto M, Matsumoto T, Serada S, </w:t>
      </w:r>
      <w:r>
        <w:rPr>
          <w:i/>
          <w:iCs/>
        </w:rPr>
        <w:t>et al.</w:t>
      </w:r>
      <w:r>
        <w:t xml:space="preserve"> Leucine-rich alpha 2 glycoprotein is a new marker for active disease of tuberculosis. </w:t>
      </w:r>
      <w:r>
        <w:rPr>
          <w:i/>
          <w:iCs/>
        </w:rPr>
        <w:t>Sci Rep</w:t>
      </w:r>
      <w:r>
        <w:t xml:space="preserve"> 2020; </w:t>
      </w:r>
      <w:r>
        <w:rPr>
          <w:b/>
          <w:bCs/>
        </w:rPr>
        <w:t>10</w:t>
      </w:r>
      <w:r>
        <w:t>: 3384.</w:t>
      </w:r>
    </w:p>
    <w:p w:rsidR="00AF392F" w:rsidRDefault="00AF392F" w:rsidP="00AF392F">
      <w:pPr>
        <w:pStyle w:val="Bibliography"/>
      </w:pPr>
      <w:r>
        <w:t xml:space="preserve">120. Sarkar R. </w:t>
      </w:r>
      <w:r>
        <w:rPr>
          <w:i/>
          <w:iCs/>
        </w:rPr>
        <w:t>The innate immune response to Mycobacterium tuberculosis is dependent on strain lineage and on host population</w:t>
      </w:r>
      <w:r>
        <w:t>. 2013. Available at: DOI: 10.13140/RG.2.2.20667.69929.</w:t>
      </w:r>
    </w:p>
    <w:p w:rsidR="00AF392F" w:rsidRDefault="00AF392F" w:rsidP="00AF392F">
      <w:pPr>
        <w:pStyle w:val="Bibliography"/>
      </w:pPr>
      <w:r>
        <w:t xml:space="preserve">121. Sarkar R, Lenders L, Wilkinson KA, Wilkinson RJ, Nicol MP. Modern lineages of Mycobacterium tuberculosis exhibit lineage-specific patterns of growth and cytokine induction in human monocyte-derived macrophages. </w:t>
      </w:r>
      <w:r>
        <w:rPr>
          <w:i/>
          <w:iCs/>
        </w:rPr>
        <w:t>PloS One</w:t>
      </w:r>
      <w:r>
        <w:t xml:space="preserve"> 2012; </w:t>
      </w:r>
      <w:r>
        <w:rPr>
          <w:b/>
          <w:bCs/>
        </w:rPr>
        <w:t>7</w:t>
      </w:r>
      <w:r>
        <w:t>: e43170.</w:t>
      </w:r>
    </w:p>
    <w:p w:rsidR="00AF392F" w:rsidRDefault="00AF392F" w:rsidP="00AF392F">
      <w:pPr>
        <w:pStyle w:val="Bibliography"/>
      </w:pPr>
      <w:r>
        <w:t xml:space="preserve">122. Reed MB, Domenech P, Manca C, </w:t>
      </w:r>
      <w:r>
        <w:rPr>
          <w:i/>
          <w:iCs/>
        </w:rPr>
        <w:t>et al.</w:t>
      </w:r>
      <w:r>
        <w:t xml:space="preserve"> A glycolipid of hypervirulent tuberculosis strains that inhibits the innate immune response. </w:t>
      </w:r>
      <w:r>
        <w:rPr>
          <w:i/>
          <w:iCs/>
        </w:rPr>
        <w:t>Nature</w:t>
      </w:r>
      <w:r>
        <w:t xml:space="preserve"> 2004; </w:t>
      </w:r>
      <w:r>
        <w:rPr>
          <w:b/>
          <w:bCs/>
        </w:rPr>
        <w:t>431</w:t>
      </w:r>
      <w:r>
        <w:t>: 84–7.</w:t>
      </w:r>
    </w:p>
    <w:p w:rsidR="00AF392F" w:rsidRDefault="00AF392F" w:rsidP="00AF392F">
      <w:pPr>
        <w:pStyle w:val="Bibliography"/>
      </w:pPr>
      <w:r>
        <w:t xml:space="preserve">123. Reiling N, Homolka S, Walter K, </w:t>
      </w:r>
      <w:r>
        <w:rPr>
          <w:i/>
          <w:iCs/>
        </w:rPr>
        <w:t>et al.</w:t>
      </w:r>
      <w:r>
        <w:t xml:space="preserve"> Clade-specific virulence patterns of Mycobacterium tuberculosis complex strains in human primary macrophages and aerogenically infected mice. </w:t>
      </w:r>
      <w:r>
        <w:rPr>
          <w:i/>
          <w:iCs/>
        </w:rPr>
        <w:t>mBio</w:t>
      </w:r>
      <w:r>
        <w:t xml:space="preserve"> 2013; </w:t>
      </w:r>
      <w:r>
        <w:rPr>
          <w:b/>
          <w:bCs/>
        </w:rPr>
        <w:t>4</w:t>
      </w:r>
      <w:r>
        <w:t>: e00250-13.</w:t>
      </w:r>
    </w:p>
    <w:p w:rsidR="00AF392F" w:rsidRDefault="00AF392F" w:rsidP="00AF392F">
      <w:pPr>
        <w:pStyle w:val="Bibliography"/>
      </w:pPr>
      <w:r>
        <w:t xml:space="preserve">124. Manca C, Tsenova L, Bergtold A, </w:t>
      </w:r>
      <w:r>
        <w:rPr>
          <w:i/>
          <w:iCs/>
        </w:rPr>
        <w:t>et al.</w:t>
      </w:r>
      <w:r>
        <w:t xml:space="preserve"> Virulence of a Mycobacterium tuberculosis clinical isolate in mice is determined by failure to induce Th1 type immunity and is associated with induction of IFN-alpha /beta. </w:t>
      </w:r>
      <w:r>
        <w:rPr>
          <w:i/>
          <w:iCs/>
        </w:rPr>
        <w:t>Proc Natl Acad Sci U S A</w:t>
      </w:r>
      <w:r>
        <w:t xml:space="preserve"> 2001; </w:t>
      </w:r>
      <w:r>
        <w:rPr>
          <w:b/>
          <w:bCs/>
        </w:rPr>
        <w:t>98</w:t>
      </w:r>
      <w:r>
        <w:t>: 5752–7.</w:t>
      </w:r>
    </w:p>
    <w:p w:rsidR="00AF392F" w:rsidRDefault="00AF392F" w:rsidP="00AF392F">
      <w:pPr>
        <w:pStyle w:val="Bibliography"/>
      </w:pPr>
      <w:r>
        <w:t xml:space="preserve">125. Wang C, Peyron P, Mestre O, </w:t>
      </w:r>
      <w:r>
        <w:rPr>
          <w:i/>
          <w:iCs/>
        </w:rPr>
        <w:t>et al.</w:t>
      </w:r>
      <w:r>
        <w:t xml:space="preserve"> Innate Immune Response to Mycobacterium tuberculosis Beijing and Other Genotypes Ahmed N, ed. </w:t>
      </w:r>
      <w:r>
        <w:rPr>
          <w:i/>
          <w:iCs/>
        </w:rPr>
        <w:t>PLoS ONE</w:t>
      </w:r>
      <w:r>
        <w:t xml:space="preserve"> 2010; </w:t>
      </w:r>
      <w:r>
        <w:rPr>
          <w:b/>
          <w:bCs/>
        </w:rPr>
        <w:t>5</w:t>
      </w:r>
      <w:r>
        <w:t>: e13594.</w:t>
      </w:r>
    </w:p>
    <w:p w:rsidR="00AF392F" w:rsidRDefault="00AF392F" w:rsidP="00AF392F">
      <w:pPr>
        <w:pStyle w:val="Bibliography"/>
      </w:pPr>
      <w:r>
        <w:t xml:space="preserve">126. Manca C, Tsenova L, Bergtold A, </w:t>
      </w:r>
      <w:r>
        <w:rPr>
          <w:i/>
          <w:iCs/>
        </w:rPr>
        <w:t>et al.</w:t>
      </w:r>
      <w:r>
        <w:t xml:space="preserve"> Virulence of a Mycobacterium tuberculosis clinical isolate in mice is determined by failure to induce Th1 type immunity and is associated with induction of IFN-alpha /beta. </w:t>
      </w:r>
      <w:r>
        <w:rPr>
          <w:i/>
          <w:iCs/>
        </w:rPr>
        <w:t>Proc Natl Acad Sci U S A</w:t>
      </w:r>
      <w:r>
        <w:t xml:space="preserve"> 2001; </w:t>
      </w:r>
      <w:r>
        <w:rPr>
          <w:b/>
          <w:bCs/>
        </w:rPr>
        <w:t>98</w:t>
      </w:r>
      <w:r>
        <w:t>: 5752–7.</w:t>
      </w:r>
    </w:p>
    <w:p w:rsidR="00AF392F" w:rsidRDefault="00AF392F" w:rsidP="00AF392F">
      <w:pPr>
        <w:pStyle w:val="Bibliography"/>
      </w:pPr>
      <w:r>
        <w:t xml:space="preserve">127. Manca C, Tsenova L, Bergtold A, </w:t>
      </w:r>
      <w:r>
        <w:rPr>
          <w:i/>
          <w:iCs/>
        </w:rPr>
        <w:t>et al.</w:t>
      </w:r>
      <w:r>
        <w:t xml:space="preserve"> Virulence of a Mycobacterium tuberculosis clinical isolate in mice is determined by failure to induce Th1 type immunity and is associated with induction of IFN-alpha /beta. </w:t>
      </w:r>
      <w:r>
        <w:rPr>
          <w:i/>
          <w:iCs/>
        </w:rPr>
        <w:t>Proc Natl Acad Sci U S A</w:t>
      </w:r>
      <w:r>
        <w:t xml:space="preserve"> 2001; </w:t>
      </w:r>
      <w:r>
        <w:rPr>
          <w:b/>
          <w:bCs/>
        </w:rPr>
        <w:t>98</w:t>
      </w:r>
      <w:r>
        <w:t>: 5752–7.</w:t>
      </w:r>
    </w:p>
    <w:p w:rsidR="00AF392F" w:rsidRDefault="00AF392F" w:rsidP="00AF392F">
      <w:pPr>
        <w:pStyle w:val="Bibliography"/>
      </w:pPr>
      <w:r>
        <w:t xml:space="preserve">128. Manca C, Tsenova L, Freeman S, </w:t>
      </w:r>
      <w:r>
        <w:rPr>
          <w:i/>
          <w:iCs/>
        </w:rPr>
        <w:t>et al.</w:t>
      </w:r>
      <w:r>
        <w:t xml:space="preserve"> Hypervirulent M. tuberculosis W/Beijing strains upregulate type I IFNs and increase expression of negative regulators of the Jak-Stat pathway. </w:t>
      </w:r>
      <w:r>
        <w:rPr>
          <w:i/>
          <w:iCs/>
        </w:rPr>
        <w:t>J Interferon Cytokine Res Off J Int Soc Interferon Cytokine Res</w:t>
      </w:r>
      <w:r>
        <w:t xml:space="preserve"> 2005; </w:t>
      </w:r>
      <w:r>
        <w:rPr>
          <w:b/>
          <w:bCs/>
        </w:rPr>
        <w:t>25</w:t>
      </w:r>
      <w:r>
        <w:t>: 694–701.</w:t>
      </w:r>
    </w:p>
    <w:p w:rsidR="00AF392F" w:rsidRDefault="00AF392F" w:rsidP="00AF392F">
      <w:pPr>
        <w:pStyle w:val="Bibliography"/>
      </w:pPr>
      <w:r>
        <w:t xml:space="preserve">129. Newton SM, Smith RJ, Wilkinson KA, </w:t>
      </w:r>
      <w:r>
        <w:rPr>
          <w:i/>
          <w:iCs/>
        </w:rPr>
        <w:t>et al.</w:t>
      </w:r>
      <w:r>
        <w:t xml:space="preserve"> A deletion defining a common Asian lineage of </w:t>
      </w:r>
      <w:r>
        <w:rPr>
          <w:i/>
          <w:iCs/>
        </w:rPr>
        <w:t>Mycobacterium tuberculosis</w:t>
      </w:r>
      <w:r>
        <w:t xml:space="preserve"> associates with immune subversion. </w:t>
      </w:r>
      <w:r>
        <w:rPr>
          <w:i/>
          <w:iCs/>
        </w:rPr>
        <w:t>Proc Natl Acad Sci</w:t>
      </w:r>
      <w:r>
        <w:t xml:space="preserve"> 2006; </w:t>
      </w:r>
      <w:r>
        <w:rPr>
          <w:b/>
          <w:bCs/>
        </w:rPr>
        <w:t>103</w:t>
      </w:r>
      <w:r>
        <w:t>: 15594–8.</w:t>
      </w:r>
    </w:p>
    <w:p w:rsidR="00AF392F" w:rsidRDefault="00AF392F" w:rsidP="00AF392F">
      <w:pPr>
        <w:pStyle w:val="Bibliography"/>
      </w:pPr>
      <w:r>
        <w:lastRenderedPageBreak/>
        <w:t xml:space="preserve">130. Hiza H, Zwyer M, Hella J, </w:t>
      </w:r>
      <w:r>
        <w:rPr>
          <w:i/>
          <w:iCs/>
        </w:rPr>
        <w:t>et al.</w:t>
      </w:r>
      <w:r>
        <w:t xml:space="preserve"> Bacterial diversity dominates variable macrophage responses of tuberculosis patients in Tanzania. </w:t>
      </w:r>
      <w:r>
        <w:rPr>
          <w:i/>
          <w:iCs/>
        </w:rPr>
        <w:t>Sci Rep</w:t>
      </w:r>
      <w:r>
        <w:t xml:space="preserve"> 2024; </w:t>
      </w:r>
      <w:r>
        <w:rPr>
          <w:b/>
          <w:bCs/>
        </w:rPr>
        <w:t>14</w:t>
      </w:r>
      <w:r>
        <w:t>: 9287.</w:t>
      </w:r>
    </w:p>
    <w:p w:rsidR="00AF392F" w:rsidRDefault="00AF392F" w:rsidP="00AF392F">
      <w:pPr>
        <w:pStyle w:val="Bibliography"/>
      </w:pPr>
      <w:r>
        <w:t xml:space="preserve">131. Nahid P, Jarlsberg LG, Kato-Maeda M, </w:t>
      </w:r>
      <w:r>
        <w:rPr>
          <w:i/>
          <w:iCs/>
        </w:rPr>
        <w:t>et al.</w:t>
      </w:r>
      <w:r>
        <w:t xml:space="preserve"> Interplay of strain and race/ethnicity in the innate immune response to M. tuberculosis Neyrolles O, ed. </w:t>
      </w:r>
      <w:r>
        <w:rPr>
          <w:i/>
          <w:iCs/>
        </w:rPr>
        <w:t>PLOS ONE</w:t>
      </w:r>
      <w:r>
        <w:t xml:space="preserve"> 2018; </w:t>
      </w:r>
      <w:r>
        <w:rPr>
          <w:b/>
          <w:bCs/>
        </w:rPr>
        <w:t>13</w:t>
      </w:r>
      <w:r>
        <w:t>: e0195392.</w:t>
      </w:r>
    </w:p>
    <w:p w:rsidR="00AF392F" w:rsidRDefault="00AF392F" w:rsidP="00AF392F">
      <w:pPr>
        <w:pStyle w:val="Bibliography"/>
      </w:pPr>
      <w:r>
        <w:t xml:space="preserve">132. Tillett WS, Francis T. SEROLOGICAL REACTIONS IN PNEUMONIA WITH A NON-PROTEIN SOMATIC FRACTION OF PNEUMOCOCCUS. </w:t>
      </w:r>
      <w:r>
        <w:rPr>
          <w:i/>
          <w:iCs/>
        </w:rPr>
        <w:t>J Exp Med</w:t>
      </w:r>
      <w:r>
        <w:t xml:space="preserve"> 1930; </w:t>
      </w:r>
      <w:r>
        <w:rPr>
          <w:b/>
          <w:bCs/>
        </w:rPr>
        <w:t>52</w:t>
      </w:r>
      <w:r>
        <w:t>: 561–71.</w:t>
      </w:r>
    </w:p>
    <w:p w:rsidR="00AF392F" w:rsidRDefault="00AF392F" w:rsidP="00AF392F">
      <w:pPr>
        <w:pStyle w:val="Bibliography"/>
      </w:pPr>
      <w:r>
        <w:t xml:space="preserve">133. Pepys MB, Hirschfield GM. C-reactive protein: a critical update. </w:t>
      </w:r>
      <w:r>
        <w:rPr>
          <w:i/>
          <w:iCs/>
        </w:rPr>
        <w:t>J Clin Invest</w:t>
      </w:r>
      <w:r>
        <w:t xml:space="preserve"> 2003; </w:t>
      </w:r>
      <w:r>
        <w:rPr>
          <w:b/>
          <w:bCs/>
        </w:rPr>
        <w:t>111</w:t>
      </w:r>
      <w:r>
        <w:t>: 1805–12.</w:t>
      </w:r>
    </w:p>
    <w:p w:rsidR="00AF392F" w:rsidRDefault="00AF392F" w:rsidP="00AF392F">
      <w:pPr>
        <w:pStyle w:val="Bibliography"/>
      </w:pPr>
      <w:r>
        <w:t xml:space="preserve">134. Simons JP, Loeffler JM, Al-Shawi R, </w:t>
      </w:r>
      <w:r>
        <w:rPr>
          <w:i/>
          <w:iCs/>
        </w:rPr>
        <w:t>et al.</w:t>
      </w:r>
      <w:r>
        <w:t xml:space="preserve"> C-reactive protein is essential for innate resistance to pneumococcal infection. </w:t>
      </w:r>
      <w:r>
        <w:rPr>
          <w:i/>
          <w:iCs/>
        </w:rPr>
        <w:t>Immunology</w:t>
      </w:r>
      <w:r>
        <w:t xml:space="preserve"> 2014; </w:t>
      </w:r>
      <w:r>
        <w:rPr>
          <w:b/>
          <w:bCs/>
        </w:rPr>
        <w:t>142</w:t>
      </w:r>
      <w:r>
        <w:t>: 414–20.</w:t>
      </w:r>
    </w:p>
    <w:p w:rsidR="00AF392F" w:rsidRDefault="00AF392F" w:rsidP="00AF392F">
      <w:pPr>
        <w:pStyle w:val="Bibliography"/>
      </w:pPr>
      <w:r>
        <w:t xml:space="preserve">135. Suresh MV, Singh SK, Ferguson DA, Agrawal A. Role of the property of C-reactive protein to activate the classical pathway of complement in protecting mice from pneumococcal infection. </w:t>
      </w:r>
      <w:r>
        <w:rPr>
          <w:i/>
          <w:iCs/>
        </w:rPr>
        <w:t>J Immunol Baltim Md 1950</w:t>
      </w:r>
      <w:r>
        <w:t xml:space="preserve"> 2006; </w:t>
      </w:r>
      <w:r>
        <w:rPr>
          <w:b/>
          <w:bCs/>
        </w:rPr>
        <w:t>176</w:t>
      </w:r>
      <w:r>
        <w:t>: 4369–74.</w:t>
      </w:r>
    </w:p>
    <w:p w:rsidR="00AF392F" w:rsidRDefault="00AF392F" w:rsidP="00AF392F">
      <w:pPr>
        <w:pStyle w:val="Bibliography"/>
      </w:pPr>
      <w:r>
        <w:t xml:space="preserve">136. Kushner I. Regulation of the acute phase response by cytokines. </w:t>
      </w:r>
      <w:r>
        <w:rPr>
          <w:i/>
          <w:iCs/>
        </w:rPr>
        <w:t>Perspect Biol Med</w:t>
      </w:r>
      <w:r>
        <w:t xml:space="preserve"> 1993; </w:t>
      </w:r>
      <w:r>
        <w:rPr>
          <w:b/>
          <w:bCs/>
        </w:rPr>
        <w:t>36</w:t>
      </w:r>
      <w:r>
        <w:t>: 611–22.</w:t>
      </w:r>
    </w:p>
    <w:p w:rsidR="00AF392F" w:rsidRDefault="00AF392F" w:rsidP="00AF392F">
      <w:pPr>
        <w:pStyle w:val="Bibliography"/>
      </w:pPr>
      <w:r>
        <w:t xml:space="preserve">137. Morley JJ, Kushner I. SERUM C‐REACTIVE PROTEIN LEVELS IN DISEASE. </w:t>
      </w:r>
      <w:r>
        <w:rPr>
          <w:i/>
          <w:iCs/>
        </w:rPr>
        <w:t>Ann N Y Acad Sci</w:t>
      </w:r>
      <w:r>
        <w:t xml:space="preserve"> 1982; </w:t>
      </w:r>
      <w:r>
        <w:rPr>
          <w:b/>
          <w:bCs/>
        </w:rPr>
        <w:t>389</w:t>
      </w:r>
      <w:r>
        <w:t>: 406–18.</w:t>
      </w:r>
    </w:p>
    <w:p w:rsidR="00AF392F" w:rsidRDefault="00AF392F" w:rsidP="00AF392F">
      <w:pPr>
        <w:pStyle w:val="Bibliography"/>
      </w:pPr>
      <w:r>
        <w:t xml:space="preserve">138. Gabay C, Kushner I. Acute-Phase Proteins and Other Systemic Responses to Inflammation Epstein FH, ed. </w:t>
      </w:r>
      <w:r>
        <w:rPr>
          <w:i/>
          <w:iCs/>
        </w:rPr>
        <w:t>N Engl J Med</w:t>
      </w:r>
      <w:r>
        <w:t xml:space="preserve"> 1999; </w:t>
      </w:r>
      <w:r>
        <w:rPr>
          <w:b/>
          <w:bCs/>
        </w:rPr>
        <w:t>340</w:t>
      </w:r>
      <w:r>
        <w:t>: 448–54.</w:t>
      </w:r>
    </w:p>
    <w:p w:rsidR="00AF392F" w:rsidRDefault="00AF392F" w:rsidP="00AF392F">
      <w:pPr>
        <w:pStyle w:val="Bibliography"/>
      </w:pPr>
      <w:r>
        <w:t xml:space="preserve">139. Jain S, Gautam V, Naseem S. Acute-phase proteins: As diagnostic tool. </w:t>
      </w:r>
      <w:r>
        <w:rPr>
          <w:i/>
          <w:iCs/>
        </w:rPr>
        <w:t>J Pharm Bioallied Sci</w:t>
      </w:r>
      <w:r>
        <w:t xml:space="preserve"> 2011; </w:t>
      </w:r>
      <w:r>
        <w:rPr>
          <w:b/>
          <w:bCs/>
        </w:rPr>
        <w:t>3</w:t>
      </w:r>
      <w:r>
        <w:t>: 118.</w:t>
      </w:r>
    </w:p>
    <w:p w:rsidR="00AF392F" w:rsidRDefault="00AF392F" w:rsidP="00AF392F">
      <w:pPr>
        <w:pStyle w:val="Bibliography"/>
      </w:pPr>
      <w:r>
        <w:t xml:space="preserve">140. Wolberg AS. Fibrinogen and fibrin: synthesis, structure, and function in health and disease. </w:t>
      </w:r>
      <w:r>
        <w:rPr>
          <w:i/>
          <w:iCs/>
        </w:rPr>
        <w:t>J Thromb Haemost</w:t>
      </w:r>
      <w:r>
        <w:t xml:space="preserve"> 2023; </w:t>
      </w:r>
      <w:r>
        <w:rPr>
          <w:b/>
          <w:bCs/>
        </w:rPr>
        <w:t>21</w:t>
      </w:r>
      <w:r>
        <w:t>: 3005–15.</w:t>
      </w:r>
    </w:p>
    <w:p w:rsidR="00AF392F" w:rsidRDefault="00AF392F" w:rsidP="00AF392F">
      <w:pPr>
        <w:pStyle w:val="Bibliography"/>
      </w:pPr>
      <w:r>
        <w:t xml:space="preserve">141. Uhlar CM, Whitehead AS. Serum amyloid A, the major vertebrate acute-phase reactant. </w:t>
      </w:r>
      <w:r>
        <w:rPr>
          <w:i/>
          <w:iCs/>
        </w:rPr>
        <w:t>Eur J Biochem</w:t>
      </w:r>
      <w:r>
        <w:t xml:space="preserve"> 1999; </w:t>
      </w:r>
      <w:r>
        <w:rPr>
          <w:b/>
          <w:bCs/>
        </w:rPr>
        <w:t>265</w:t>
      </w:r>
      <w:r>
        <w:t>: 501–23.</w:t>
      </w:r>
    </w:p>
    <w:p w:rsidR="00AF392F" w:rsidRDefault="00AF392F" w:rsidP="00AF392F">
      <w:pPr>
        <w:pStyle w:val="Bibliography"/>
      </w:pPr>
      <w:r>
        <w:t xml:space="preserve">142. Kernan KF, Carcillo JA. Hyperferritinemia and inflammation. </w:t>
      </w:r>
      <w:r>
        <w:rPr>
          <w:i/>
          <w:iCs/>
        </w:rPr>
        <w:t>Int Immunol</w:t>
      </w:r>
      <w:r>
        <w:t xml:space="preserve"> 2017; </w:t>
      </w:r>
      <w:r>
        <w:rPr>
          <w:b/>
          <w:bCs/>
        </w:rPr>
        <w:t>29</w:t>
      </w:r>
      <w:r>
        <w:t>: 401–9.</w:t>
      </w:r>
    </w:p>
    <w:p w:rsidR="00AF392F" w:rsidRDefault="00AF392F" w:rsidP="00AF392F">
      <w:pPr>
        <w:pStyle w:val="Bibliography"/>
      </w:pPr>
      <w:r>
        <w:t xml:space="preserve">143. Parker KA, Tollefsen DM. The protease specificity of heparin cofactor II. Inhibition of thrombin generated during coagulation. </w:t>
      </w:r>
      <w:r>
        <w:rPr>
          <w:i/>
          <w:iCs/>
        </w:rPr>
        <w:t>J Biol Chem</w:t>
      </w:r>
      <w:r>
        <w:t xml:space="preserve"> 1985; </w:t>
      </w:r>
      <w:r>
        <w:rPr>
          <w:b/>
          <w:bCs/>
        </w:rPr>
        <w:t>260</w:t>
      </w:r>
      <w:r>
        <w:t>: 3501–5.</w:t>
      </w:r>
    </w:p>
    <w:p w:rsidR="00AF392F" w:rsidRDefault="00AF392F" w:rsidP="00AF392F">
      <w:pPr>
        <w:pStyle w:val="Bibliography"/>
      </w:pPr>
      <w:r>
        <w:t xml:space="preserve">144. Henkin J, Marcotte P, Yang HC. The plasminogen-plasmin system. </w:t>
      </w:r>
      <w:r>
        <w:rPr>
          <w:i/>
          <w:iCs/>
        </w:rPr>
        <w:t>Prog Cardiovasc Dis</w:t>
      </w:r>
      <w:r>
        <w:t xml:space="preserve"> 1991; </w:t>
      </w:r>
      <w:r>
        <w:rPr>
          <w:b/>
          <w:bCs/>
        </w:rPr>
        <w:t>34</w:t>
      </w:r>
      <w:r>
        <w:t>: 135–64.</w:t>
      </w:r>
    </w:p>
    <w:p w:rsidR="00AF392F" w:rsidRDefault="00AF392F" w:rsidP="00AF392F">
      <w:pPr>
        <w:pStyle w:val="Bibliography"/>
      </w:pPr>
      <w:r>
        <w:t xml:space="preserve">145. Walport MJ. Complement. First of two parts. </w:t>
      </w:r>
      <w:r>
        <w:rPr>
          <w:i/>
          <w:iCs/>
        </w:rPr>
        <w:t>N Engl J Med</w:t>
      </w:r>
      <w:r>
        <w:t xml:space="preserve"> 2001; </w:t>
      </w:r>
      <w:r>
        <w:rPr>
          <w:b/>
          <w:bCs/>
        </w:rPr>
        <w:t>344</w:t>
      </w:r>
      <w:r>
        <w:t>: 1058–66.</w:t>
      </w:r>
    </w:p>
    <w:p w:rsidR="00AF392F" w:rsidRDefault="00AF392F" w:rsidP="00AF392F">
      <w:pPr>
        <w:pStyle w:val="Bibliography"/>
      </w:pPr>
      <w:r>
        <w:t xml:space="preserve">146. Crystal RG. Alpha 1-antitrypsin deficiency, emphysema, and liver disease. Genetic basis and strategies for therapy. </w:t>
      </w:r>
      <w:r>
        <w:rPr>
          <w:i/>
          <w:iCs/>
        </w:rPr>
        <w:t>J Clin Invest</w:t>
      </w:r>
      <w:r>
        <w:t xml:space="preserve"> 1990; </w:t>
      </w:r>
      <w:r>
        <w:rPr>
          <w:b/>
          <w:bCs/>
        </w:rPr>
        <w:t>85</w:t>
      </w:r>
      <w:r>
        <w:t>: 1343–52.</w:t>
      </w:r>
    </w:p>
    <w:p w:rsidR="00AF392F" w:rsidRDefault="00AF392F" w:rsidP="00AF392F">
      <w:pPr>
        <w:pStyle w:val="Bibliography"/>
      </w:pPr>
      <w:r>
        <w:lastRenderedPageBreak/>
        <w:t xml:space="preserve">147. Lopez M, Royer A, Shah N. </w:t>
      </w:r>
      <w:r>
        <w:rPr>
          <w:i/>
          <w:iCs/>
        </w:rPr>
        <w:t>Biochemistry, Ceruloplasmin. [Updated 2023 Feb 24].</w:t>
      </w:r>
      <w:r>
        <w:t xml:space="preserve"> In: StatPearls [Internet]. Treasure Island (FL): StatPearls Publishin; 2025. Available at: https://www.ncbi.nlm.nih.gov/books/NBK554422/.</w:t>
      </w:r>
    </w:p>
    <w:p w:rsidR="00AF392F" w:rsidRDefault="00AF392F" w:rsidP="00AF392F">
      <w:pPr>
        <w:pStyle w:val="Bibliography"/>
      </w:pPr>
      <w:r>
        <w:t xml:space="preserve">148. Dobryszycka W. Biological functions of haptoglobin--new pieces to an old puzzle. </w:t>
      </w:r>
      <w:r>
        <w:rPr>
          <w:i/>
          <w:iCs/>
        </w:rPr>
        <w:t>Eur J Clin Chem Clin Biochem J Forum Eur Clin Chem Soc</w:t>
      </w:r>
      <w:r>
        <w:t xml:space="preserve"> 1997; </w:t>
      </w:r>
      <w:r>
        <w:rPr>
          <w:b/>
          <w:bCs/>
        </w:rPr>
        <w:t>35</w:t>
      </w:r>
      <w:r>
        <w:t>: 647–54.</w:t>
      </w:r>
    </w:p>
    <w:p w:rsidR="00AF392F" w:rsidRDefault="00AF392F" w:rsidP="00AF392F">
      <w:pPr>
        <w:pStyle w:val="Bibliography"/>
      </w:pPr>
      <w:r>
        <w:t xml:space="preserve">149. Assicot M, Gendrel D, Carsin H, Raymond J, Guilbaud J, Bohuon C. High serum procalcitonin concentrations in patients with sepsis and infection. </w:t>
      </w:r>
      <w:r>
        <w:rPr>
          <w:i/>
          <w:iCs/>
        </w:rPr>
        <w:t>Lancet Lond Engl</w:t>
      </w:r>
      <w:r>
        <w:t xml:space="preserve"> 1993; </w:t>
      </w:r>
      <w:r>
        <w:rPr>
          <w:b/>
          <w:bCs/>
        </w:rPr>
        <w:t>341</w:t>
      </w:r>
      <w:r>
        <w:t>: 515–8.</w:t>
      </w:r>
    </w:p>
    <w:p w:rsidR="00AF392F" w:rsidRDefault="00AF392F" w:rsidP="00AF392F">
      <w:pPr>
        <w:pStyle w:val="Bibliography"/>
      </w:pPr>
      <w:r>
        <w:t xml:space="preserve">150. Pearson TA, Mensah GA, Alexander RW, </w:t>
      </w:r>
      <w:r>
        <w:rPr>
          <w:i/>
          <w:iCs/>
        </w:rPr>
        <w:t>et al.</w:t>
      </w:r>
      <w:r>
        <w:t xml:space="preserve"> Markers of inflammation and cardiovascular disease: application to clinical and public health practice: A statement for healthcare professionals from the Centers for Disease Control and Prevention and the American Heart Association. </w:t>
      </w:r>
      <w:r>
        <w:rPr>
          <w:i/>
          <w:iCs/>
        </w:rPr>
        <w:t>Circulation</w:t>
      </w:r>
      <w:r>
        <w:t xml:space="preserve"> 2003; </w:t>
      </w:r>
      <w:r>
        <w:rPr>
          <w:b/>
          <w:bCs/>
        </w:rPr>
        <w:t>107</w:t>
      </w:r>
      <w:r>
        <w:t>: 499–511.</w:t>
      </w:r>
    </w:p>
    <w:p w:rsidR="00AF392F" w:rsidRDefault="00AF392F" w:rsidP="00AF392F">
      <w:pPr>
        <w:pStyle w:val="Bibliography"/>
      </w:pPr>
      <w:r>
        <w:t xml:space="preserve">151. Lorrot M, Moulin F, Coste J, </w:t>
      </w:r>
      <w:r>
        <w:rPr>
          <w:i/>
          <w:iCs/>
        </w:rPr>
        <w:t>et al.</w:t>
      </w:r>
      <w:r>
        <w:t xml:space="preserve"> [Procalcitonin in pediatric emergencies: comparison with C-reactive protein, interleukin-6 and interferon alpha in the differentiation between bacterial and viral infections]. </w:t>
      </w:r>
      <w:r>
        <w:rPr>
          <w:i/>
          <w:iCs/>
        </w:rPr>
        <w:t>Presse Medicale Paris Fr 1983</w:t>
      </w:r>
      <w:r>
        <w:t xml:space="preserve"> 2000; </w:t>
      </w:r>
      <w:r>
        <w:rPr>
          <w:b/>
          <w:bCs/>
        </w:rPr>
        <w:t>29</w:t>
      </w:r>
      <w:r>
        <w:t>: 128–34.</w:t>
      </w:r>
    </w:p>
    <w:p w:rsidR="00AF392F" w:rsidRDefault="00AF392F" w:rsidP="00AF392F">
      <w:pPr>
        <w:pStyle w:val="Bibliography"/>
      </w:pPr>
      <w:r>
        <w:t xml:space="preserve">152. Khanna DK, Jayalakshmi KMD, Arun D, </w:t>
      </w:r>
      <w:r>
        <w:rPr>
          <w:i/>
          <w:iCs/>
        </w:rPr>
        <w:t>et al.</w:t>
      </w:r>
      <w:r>
        <w:t xml:space="preserve"> A short-term cross-sectional retrospective study on procalcitonin as a diagnostic aid for various infectious diseases. </w:t>
      </w:r>
      <w:r>
        <w:rPr>
          <w:i/>
          <w:iCs/>
        </w:rPr>
        <w:t>Future J Pharm Sci</w:t>
      </w:r>
      <w:r>
        <w:t xml:space="preserve"> 2025; </w:t>
      </w:r>
      <w:r>
        <w:rPr>
          <w:b/>
          <w:bCs/>
        </w:rPr>
        <w:t>11</w:t>
      </w:r>
      <w:r>
        <w:t>: 29.</w:t>
      </w:r>
    </w:p>
    <w:p w:rsidR="00AF392F" w:rsidRDefault="00AF392F" w:rsidP="00AF392F">
      <w:pPr>
        <w:pStyle w:val="Bibliography"/>
      </w:pPr>
      <w:r>
        <w:t xml:space="preserve">153. Li S, Rong H, Guo Q, Chen Y, Zhang G, Yang J. Serum procalcitonin levels distinguish Gram-negative bacterial sepsis from Gram-positive bacterial and fungal sepsis. </w:t>
      </w:r>
      <w:r>
        <w:rPr>
          <w:i/>
          <w:iCs/>
        </w:rPr>
        <w:t>J Res Med Sci Off J Isfahan Univ Med Sci</w:t>
      </w:r>
      <w:r>
        <w:t xml:space="preserve"> 2016; </w:t>
      </w:r>
      <w:r>
        <w:rPr>
          <w:b/>
          <w:bCs/>
        </w:rPr>
        <w:t>21</w:t>
      </w:r>
      <w:r>
        <w:t>: 39.</w:t>
      </w:r>
    </w:p>
    <w:p w:rsidR="00AF392F" w:rsidRDefault="00AF392F" w:rsidP="00AF392F">
      <w:pPr>
        <w:pStyle w:val="Bibliography"/>
      </w:pPr>
      <w:r>
        <w:t xml:space="preserve">154. von Heimburg D, Stieghorst W, Khorram-Sefat R, Pallua N. Procalcitonin--a sepsis parameter in severe burn injuries. </w:t>
      </w:r>
      <w:r>
        <w:rPr>
          <w:i/>
          <w:iCs/>
        </w:rPr>
        <w:t>Burns J Int Soc Burn Inj</w:t>
      </w:r>
      <w:r>
        <w:t xml:space="preserve"> 1998; </w:t>
      </w:r>
      <w:r>
        <w:rPr>
          <w:b/>
          <w:bCs/>
        </w:rPr>
        <w:t>24</w:t>
      </w:r>
      <w:r>
        <w:t>: 745–50.</w:t>
      </w:r>
    </w:p>
    <w:p w:rsidR="00AF392F" w:rsidRDefault="00AF392F" w:rsidP="00AF392F">
      <w:pPr>
        <w:pStyle w:val="Bibliography"/>
      </w:pPr>
      <w:r>
        <w:t xml:space="preserve">155. Cray C, Zaias J, Altman NH. Acute phase response in animals: a review. </w:t>
      </w:r>
      <w:r>
        <w:rPr>
          <w:i/>
          <w:iCs/>
        </w:rPr>
        <w:t>Comp Med</w:t>
      </w:r>
      <w:r>
        <w:t xml:space="preserve"> 2009; </w:t>
      </w:r>
      <w:r>
        <w:rPr>
          <w:b/>
          <w:bCs/>
        </w:rPr>
        <w:t>59</w:t>
      </w:r>
      <w:r>
        <w:t>: 517–26.</w:t>
      </w:r>
    </w:p>
    <w:p w:rsidR="00AF392F" w:rsidRDefault="00AF392F" w:rsidP="00AF392F">
      <w:pPr>
        <w:pStyle w:val="Bibliography"/>
      </w:pPr>
      <w:r>
        <w:t xml:space="preserve">156. Don BR, Kaysen G. POOR NUTRITIONAL STATUS AND INFLAMMATION: Serum Albumin: Relationship to Inflammation and Nutrition. </w:t>
      </w:r>
      <w:r>
        <w:rPr>
          <w:i/>
          <w:iCs/>
        </w:rPr>
        <w:t>Semin Dial</w:t>
      </w:r>
      <w:r>
        <w:t xml:space="preserve"> 2004; </w:t>
      </w:r>
      <w:r>
        <w:rPr>
          <w:b/>
          <w:bCs/>
        </w:rPr>
        <w:t>17</w:t>
      </w:r>
      <w:r>
        <w:t>: 432–7.</w:t>
      </w:r>
    </w:p>
    <w:p w:rsidR="00AF392F" w:rsidRDefault="00AF392F" w:rsidP="00AF392F">
      <w:pPr>
        <w:pStyle w:val="Bibliography"/>
      </w:pPr>
      <w:r>
        <w:t xml:space="preserve">157. Ganz T, Nemeth E. Iron homeostasis and its disorders in mice and men: potential lessons for rhinos. </w:t>
      </w:r>
      <w:r>
        <w:rPr>
          <w:i/>
          <w:iCs/>
        </w:rPr>
        <w:t>J Zoo Wildl Med Off Publ Am Assoc Zoo Vet</w:t>
      </w:r>
      <w:r>
        <w:t xml:space="preserve"> 2012; </w:t>
      </w:r>
      <w:r>
        <w:rPr>
          <w:b/>
          <w:bCs/>
        </w:rPr>
        <w:t>43</w:t>
      </w:r>
      <w:r>
        <w:t>: S19-26.</w:t>
      </w:r>
    </w:p>
    <w:p w:rsidR="00AF392F" w:rsidRDefault="00AF392F" w:rsidP="00AF392F">
      <w:pPr>
        <w:pStyle w:val="Bibliography"/>
      </w:pPr>
      <w:r>
        <w:t xml:space="preserve">158. Weiss G, Goodnough LT. Anemia of chronic disease. </w:t>
      </w:r>
      <w:r>
        <w:rPr>
          <w:i/>
          <w:iCs/>
        </w:rPr>
        <w:t>N Engl J Med</w:t>
      </w:r>
      <w:r>
        <w:t xml:space="preserve"> 2005; </w:t>
      </w:r>
      <w:r>
        <w:rPr>
          <w:b/>
          <w:bCs/>
        </w:rPr>
        <w:t>352</w:t>
      </w:r>
      <w:r>
        <w:t>: 1011–23.</w:t>
      </w:r>
    </w:p>
    <w:p w:rsidR="00AF392F" w:rsidRDefault="00AF392F" w:rsidP="00AF392F">
      <w:pPr>
        <w:pStyle w:val="Bibliography"/>
      </w:pPr>
      <w:r>
        <w:t xml:space="preserve">159. Ingenbleek Y, Young V. Transthyretin (prealbumin) in health and disease: nutritional implications. </w:t>
      </w:r>
      <w:r>
        <w:rPr>
          <w:i/>
          <w:iCs/>
        </w:rPr>
        <w:t>Annu Rev Nutr</w:t>
      </w:r>
      <w:r>
        <w:t xml:space="preserve"> 1994; </w:t>
      </w:r>
      <w:r>
        <w:rPr>
          <w:b/>
          <w:bCs/>
        </w:rPr>
        <w:t>14</w:t>
      </w:r>
      <w:r>
        <w:t>: 495–533.</w:t>
      </w:r>
    </w:p>
    <w:p w:rsidR="00AF392F" w:rsidRDefault="00AF392F" w:rsidP="00AF392F">
      <w:pPr>
        <w:pStyle w:val="Bibliography"/>
      </w:pPr>
      <w:r>
        <w:t xml:space="preserve">160. Ritchie RF, Palomaki GE, Neveux LM, Navolotskaia O, Ledue TB, Craig WY. Reference distributions for the negative acute-phase serum proteins, albumin, transferrin and transthyretin: a practical, simple and clinically relevant approach in a large cohort. </w:t>
      </w:r>
      <w:r>
        <w:rPr>
          <w:i/>
          <w:iCs/>
        </w:rPr>
        <w:t>J Clin Lab Anal</w:t>
      </w:r>
      <w:r>
        <w:t xml:space="preserve"> 1999; </w:t>
      </w:r>
      <w:r>
        <w:rPr>
          <w:b/>
          <w:bCs/>
        </w:rPr>
        <w:t>13</w:t>
      </w:r>
      <w:r>
        <w:t>: 273–9.</w:t>
      </w:r>
    </w:p>
    <w:p w:rsidR="00AF392F" w:rsidRDefault="00AF392F" w:rsidP="00AF392F">
      <w:pPr>
        <w:pStyle w:val="Bibliography"/>
      </w:pPr>
      <w:r>
        <w:t xml:space="preserve">161. Shore N, Freedman S, Gange S, </w:t>
      </w:r>
      <w:r>
        <w:rPr>
          <w:i/>
          <w:iCs/>
        </w:rPr>
        <w:t>et al.</w:t>
      </w:r>
      <w:r>
        <w:t xml:space="preserve"> Prospective multi-center study elucidating patient experience after prostatic urethral lift. </w:t>
      </w:r>
      <w:r>
        <w:rPr>
          <w:i/>
          <w:iCs/>
        </w:rPr>
        <w:t>Can J Urol</w:t>
      </w:r>
      <w:r>
        <w:t xml:space="preserve"> 2014; </w:t>
      </w:r>
      <w:r>
        <w:rPr>
          <w:b/>
          <w:bCs/>
        </w:rPr>
        <w:t>21</w:t>
      </w:r>
      <w:r>
        <w:t>: 7094–101.</w:t>
      </w:r>
    </w:p>
    <w:p w:rsidR="00AF392F" w:rsidRDefault="00AF392F" w:rsidP="00AF392F">
      <w:pPr>
        <w:pStyle w:val="Bibliography"/>
      </w:pPr>
      <w:r>
        <w:lastRenderedPageBreak/>
        <w:t xml:space="preserve">162. Catalona WJ, Smith DS, Ratliff TL, </w:t>
      </w:r>
      <w:r>
        <w:rPr>
          <w:i/>
          <w:iCs/>
        </w:rPr>
        <w:t>et al.</w:t>
      </w:r>
      <w:r>
        <w:t xml:space="preserve"> Measurement of prostate-specific antigen in serum as a screening test for prostate cancer. </w:t>
      </w:r>
      <w:r>
        <w:rPr>
          <w:i/>
          <w:iCs/>
        </w:rPr>
        <w:t>N Engl J Med</w:t>
      </w:r>
      <w:r>
        <w:t xml:space="preserve"> 1991; </w:t>
      </w:r>
      <w:r>
        <w:rPr>
          <w:b/>
          <w:bCs/>
        </w:rPr>
        <w:t>324</w:t>
      </w:r>
      <w:r>
        <w:t>: 1156–61.</w:t>
      </w:r>
    </w:p>
    <w:p w:rsidR="00AF392F" w:rsidRDefault="00AF392F" w:rsidP="00AF392F">
      <w:pPr>
        <w:pStyle w:val="Bibliography"/>
      </w:pPr>
      <w:r>
        <w:t xml:space="preserve">163. Prensner JR, Rubin MA, Wei JT, Chinnaiyan AM. Beyond PSA: the next generation of prostate cancer biomarkers. </w:t>
      </w:r>
      <w:r>
        <w:rPr>
          <w:i/>
          <w:iCs/>
        </w:rPr>
        <w:t>Sci Transl Med</w:t>
      </w:r>
      <w:r>
        <w:t xml:space="preserve"> 2012; </w:t>
      </w:r>
      <w:r>
        <w:rPr>
          <w:b/>
          <w:bCs/>
        </w:rPr>
        <w:t>4</w:t>
      </w:r>
      <w:r>
        <w:t>: 127rv3.</w:t>
      </w:r>
    </w:p>
    <w:p w:rsidR="00AF392F" w:rsidRDefault="00AF392F" w:rsidP="00AF392F">
      <w:pPr>
        <w:pStyle w:val="Bibliography"/>
      </w:pPr>
      <w:r>
        <w:t xml:space="preserve">164. Wei J, Barocas D, Carlsson S, </w:t>
      </w:r>
      <w:r>
        <w:rPr>
          <w:i/>
          <w:iCs/>
        </w:rPr>
        <w:t>et al.</w:t>
      </w:r>
      <w:r>
        <w:t xml:space="preserve"> Early detection of prostate cancer: AUA/SUO guideline : prostate cancer screening. ;210(1):45-53. </w:t>
      </w:r>
      <w:r>
        <w:rPr>
          <w:i/>
          <w:iCs/>
        </w:rPr>
        <w:t>J Urol</w:t>
      </w:r>
      <w:r>
        <w:t xml:space="preserve"> 2023; </w:t>
      </w:r>
      <w:r>
        <w:rPr>
          <w:b/>
          <w:bCs/>
        </w:rPr>
        <w:t>210</w:t>
      </w:r>
      <w:r>
        <w:t>: 45-53;</w:t>
      </w:r>
    </w:p>
    <w:p w:rsidR="00AF392F" w:rsidRDefault="00AF392F" w:rsidP="00AF392F">
      <w:pPr>
        <w:pStyle w:val="Bibliography"/>
      </w:pPr>
      <w:r>
        <w:t xml:space="preserve">165. Deng N, Zhou H, Fan H, Yuan Y. Single nucleotide polymorphisms and cancer susceptibility. </w:t>
      </w:r>
      <w:r>
        <w:rPr>
          <w:i/>
          <w:iCs/>
        </w:rPr>
        <w:t>Oncotarget</w:t>
      </w:r>
      <w:r>
        <w:t xml:space="preserve"> 2017; </w:t>
      </w:r>
      <w:r>
        <w:rPr>
          <w:b/>
          <w:bCs/>
        </w:rPr>
        <w:t>8</w:t>
      </w:r>
      <w:r>
        <w:t>: 110635–49.</w:t>
      </w:r>
    </w:p>
    <w:p w:rsidR="00AF392F" w:rsidRDefault="00AF392F" w:rsidP="00AF392F">
      <w:pPr>
        <w:pStyle w:val="Bibliography"/>
      </w:pPr>
      <w:r>
        <w:t xml:space="preserve">166. Song F-J, Chen K-X. Single-nucleotide polymorphisms among microRNA: big effects on cancer. </w:t>
      </w:r>
      <w:r>
        <w:rPr>
          <w:i/>
          <w:iCs/>
        </w:rPr>
        <w:t>Chin J Cancer</w:t>
      </w:r>
      <w:r>
        <w:t xml:space="preserve"> 2011; </w:t>
      </w:r>
      <w:r>
        <w:rPr>
          <w:b/>
          <w:bCs/>
        </w:rPr>
        <w:t>30</w:t>
      </w:r>
      <w:r>
        <w:t>: 381–91.</w:t>
      </w:r>
    </w:p>
    <w:p w:rsidR="00AF392F" w:rsidRDefault="00AF392F" w:rsidP="00AF392F">
      <w:pPr>
        <w:pStyle w:val="Bibliography"/>
      </w:pPr>
      <w:r>
        <w:t xml:space="preserve">167. Wang B, Liu F, Li Y, Chen N. Role of Single Nucleotide Polymorphism-Related Genes in Tumour Immune Cell Infiltration and Prognosis of Cutaneous Melanoma. </w:t>
      </w:r>
      <w:r>
        <w:rPr>
          <w:i/>
          <w:iCs/>
        </w:rPr>
        <w:t>BioMed Res Int</w:t>
      </w:r>
      <w:r>
        <w:t xml:space="preserve"> 2023; </w:t>
      </w:r>
      <w:r>
        <w:rPr>
          <w:b/>
          <w:bCs/>
        </w:rPr>
        <w:t>2023</w:t>
      </w:r>
      <w:r>
        <w:t>: 3754094.</w:t>
      </w:r>
    </w:p>
    <w:p w:rsidR="00AF392F" w:rsidRDefault="00AF392F" w:rsidP="00AF392F">
      <w:pPr>
        <w:pStyle w:val="Bibliography"/>
      </w:pPr>
      <w:r>
        <w:t xml:space="preserve">168. Song F-J, Chen K-X. Single-nucleotide polymorphisms among microRNA: big effects on cancer. </w:t>
      </w:r>
      <w:r>
        <w:rPr>
          <w:i/>
          <w:iCs/>
        </w:rPr>
        <w:t>Chin J Cancer</w:t>
      </w:r>
      <w:r>
        <w:t xml:space="preserve"> 2011; </w:t>
      </w:r>
      <w:r>
        <w:rPr>
          <w:b/>
          <w:bCs/>
        </w:rPr>
        <w:t>30</w:t>
      </w:r>
      <w:r>
        <w:t>: 381–91.</w:t>
      </w:r>
    </w:p>
    <w:p w:rsidR="00AF392F" w:rsidRDefault="00AF392F" w:rsidP="00AF392F">
      <w:pPr>
        <w:pStyle w:val="Bibliography"/>
      </w:pPr>
      <w:r>
        <w:t xml:space="preserve">169. Ahmadiyeh N, Pomerantz MM, Grisanzio C, </w:t>
      </w:r>
      <w:r>
        <w:rPr>
          <w:i/>
          <w:iCs/>
        </w:rPr>
        <w:t>et al.</w:t>
      </w:r>
      <w:r>
        <w:t xml:space="preserve"> 8q24 prostate, breast, and colon cancer risk loci show tissue-specific long-range interaction with MYC. </w:t>
      </w:r>
      <w:r>
        <w:rPr>
          <w:i/>
          <w:iCs/>
        </w:rPr>
        <w:t>Proc Natl Acad Sci U S A</w:t>
      </w:r>
      <w:r>
        <w:t xml:space="preserve"> 2010; </w:t>
      </w:r>
      <w:r>
        <w:rPr>
          <w:b/>
          <w:bCs/>
        </w:rPr>
        <w:t>107</w:t>
      </w:r>
      <w:r>
        <w:t>: 9742–6.</w:t>
      </w:r>
    </w:p>
    <w:p w:rsidR="00AF392F" w:rsidRDefault="00AF392F" w:rsidP="00AF392F">
      <w:pPr>
        <w:pStyle w:val="Bibliography"/>
      </w:pPr>
      <w:r>
        <w:t xml:space="preserve">170. Gala MK, Chan AT. Molecular Pathways: Aspirin and Wnt Signaling—A Molecularly Targeted Approach to Cancer Prevention and Treatment. </w:t>
      </w:r>
      <w:r>
        <w:rPr>
          <w:i/>
          <w:iCs/>
        </w:rPr>
        <w:t>Clin Cancer Res</w:t>
      </w:r>
      <w:r>
        <w:t xml:space="preserve"> 2015; </w:t>
      </w:r>
      <w:r>
        <w:rPr>
          <w:b/>
          <w:bCs/>
        </w:rPr>
        <w:t>21</w:t>
      </w:r>
      <w:r>
        <w:t>: 1543–8.</w:t>
      </w:r>
    </w:p>
    <w:p w:rsidR="00AF392F" w:rsidRDefault="00AF392F" w:rsidP="00AF392F">
      <w:pPr>
        <w:pStyle w:val="Bibliography"/>
      </w:pPr>
      <w:r>
        <w:t xml:space="preserve">171. Flanagan JM, Munoz-Alegre M, Henderson S, </w:t>
      </w:r>
      <w:r>
        <w:rPr>
          <w:i/>
          <w:iCs/>
        </w:rPr>
        <w:t>et al.</w:t>
      </w:r>
      <w:r>
        <w:t xml:space="preserve"> Gene-body hypermethylation of ATM in peripheral blood DNA of bilateral breast cancer patients. </w:t>
      </w:r>
      <w:r>
        <w:rPr>
          <w:i/>
          <w:iCs/>
        </w:rPr>
        <w:t>Hum Mol Genet</w:t>
      </w:r>
      <w:r>
        <w:t xml:space="preserve"> 2009; </w:t>
      </w:r>
      <w:r>
        <w:rPr>
          <w:b/>
          <w:bCs/>
        </w:rPr>
        <w:t>18</w:t>
      </w:r>
      <w:r>
        <w:t>: 1332–42.</w:t>
      </w:r>
    </w:p>
    <w:p w:rsidR="00AF392F" w:rsidRDefault="00AF392F" w:rsidP="00AF392F">
      <w:pPr>
        <w:pStyle w:val="Bibliography"/>
      </w:pPr>
      <w:r>
        <w:t xml:space="preserve">172. Yang Y, Wang W, Zhang L, </w:t>
      </w:r>
      <w:r>
        <w:rPr>
          <w:i/>
          <w:iCs/>
        </w:rPr>
        <w:t>et al.</w:t>
      </w:r>
      <w:r>
        <w:t xml:space="preserve"> Association of single nucleotide polymorphism rs6983267 with the risk of prostate cancer. </w:t>
      </w:r>
      <w:r>
        <w:rPr>
          <w:i/>
          <w:iCs/>
        </w:rPr>
        <w:t>Oncotarget</w:t>
      </w:r>
      <w:r>
        <w:t xml:space="preserve"> 2016; </w:t>
      </w:r>
      <w:r>
        <w:rPr>
          <w:b/>
          <w:bCs/>
        </w:rPr>
        <w:t>7</w:t>
      </w:r>
      <w:r>
        <w:t>: 25528–34.</w:t>
      </w:r>
    </w:p>
    <w:p w:rsidR="00AF392F" w:rsidRDefault="00AF392F" w:rsidP="00AF392F">
      <w:pPr>
        <w:pStyle w:val="Bibliography"/>
      </w:pPr>
      <w:r>
        <w:t xml:space="preserve">173. Nowinski S, Santaolalla A, O’Leary B, </w:t>
      </w:r>
      <w:r>
        <w:rPr>
          <w:i/>
          <w:iCs/>
        </w:rPr>
        <w:t>et al.</w:t>
      </w:r>
      <w:r>
        <w:t xml:space="preserve"> Systematic identification of functionally relevant risk alleles to stratify aggressive versus indolent prostate cancer. </w:t>
      </w:r>
      <w:r>
        <w:rPr>
          <w:i/>
          <w:iCs/>
        </w:rPr>
        <w:t>Oncotarget</w:t>
      </w:r>
      <w:r>
        <w:t xml:space="preserve"> 2018; </w:t>
      </w:r>
      <w:r>
        <w:rPr>
          <w:b/>
          <w:bCs/>
        </w:rPr>
        <w:t>9</w:t>
      </w:r>
      <w:r>
        <w:t>: 12812–24.</w:t>
      </w:r>
    </w:p>
    <w:p w:rsidR="00AF392F" w:rsidRDefault="00AF392F" w:rsidP="00AF392F">
      <w:pPr>
        <w:pStyle w:val="Bibliography"/>
      </w:pPr>
      <w:r>
        <w:t xml:space="preserve">174. Dubik D, Dembinski TC, Shiu RP. Stimulation of c-myc oncogene expression associated with estrogen-induced proliferation of human breast cancer cells. </w:t>
      </w:r>
      <w:r>
        <w:rPr>
          <w:i/>
          <w:iCs/>
        </w:rPr>
        <w:t>Cancer Res</w:t>
      </w:r>
      <w:r>
        <w:t xml:space="preserve"> 1987; </w:t>
      </w:r>
      <w:r>
        <w:rPr>
          <w:b/>
          <w:bCs/>
        </w:rPr>
        <w:t>47</w:t>
      </w:r>
      <w:r>
        <w:t>: 6517–21.</w:t>
      </w:r>
    </w:p>
    <w:p w:rsidR="00AF392F" w:rsidRDefault="00AF392F" w:rsidP="00AF392F">
      <w:pPr>
        <w:pStyle w:val="Bibliography"/>
      </w:pPr>
      <w:r>
        <w:t xml:space="preserve">175. Dai Z, Tian T, Wang M, </w:t>
      </w:r>
      <w:r>
        <w:rPr>
          <w:i/>
          <w:iCs/>
        </w:rPr>
        <w:t>et al.</w:t>
      </w:r>
      <w:r>
        <w:t xml:space="preserve"> Genetic polymorphisms of estrogen receptor genes are associated with breast cancer susceptibility in Chinese women. </w:t>
      </w:r>
      <w:r>
        <w:rPr>
          <w:i/>
          <w:iCs/>
        </w:rPr>
        <w:t>Cancer Cell Int</w:t>
      </w:r>
      <w:r>
        <w:t xml:space="preserve"> 2019; </w:t>
      </w:r>
      <w:r>
        <w:rPr>
          <w:b/>
          <w:bCs/>
        </w:rPr>
        <w:t>19</w:t>
      </w:r>
      <w:r>
        <w:t>: 11.</w:t>
      </w:r>
    </w:p>
    <w:p w:rsidR="00AF392F" w:rsidRDefault="00AF392F" w:rsidP="00AF392F">
      <w:pPr>
        <w:pStyle w:val="Bibliography"/>
      </w:pPr>
      <w:r>
        <w:t xml:space="preserve">176. Deng N, Zhou H, Fan H, Yuan Y. Single nucleotide polymorphisms and cancer susceptibility. </w:t>
      </w:r>
      <w:r>
        <w:rPr>
          <w:i/>
          <w:iCs/>
        </w:rPr>
        <w:t>Oncotarget</w:t>
      </w:r>
      <w:r>
        <w:t xml:space="preserve"> 2017; </w:t>
      </w:r>
      <w:r>
        <w:rPr>
          <w:b/>
          <w:bCs/>
        </w:rPr>
        <w:t>8</w:t>
      </w:r>
      <w:r>
        <w:t>: 110635–49.</w:t>
      </w:r>
    </w:p>
    <w:p w:rsidR="00AF392F" w:rsidRDefault="00AF392F" w:rsidP="00AF392F">
      <w:pPr>
        <w:pStyle w:val="Bibliography"/>
      </w:pPr>
      <w:r>
        <w:t xml:space="preserve">177. Niinuma T, Suzuki H, Nojima M, </w:t>
      </w:r>
      <w:r>
        <w:rPr>
          <w:i/>
          <w:iCs/>
        </w:rPr>
        <w:t>et al.</w:t>
      </w:r>
      <w:r>
        <w:t xml:space="preserve"> Upregulation of miR-196a and </w:t>
      </w:r>
      <w:r>
        <w:rPr>
          <w:i/>
          <w:iCs/>
        </w:rPr>
        <w:t>HOTAIR</w:t>
      </w:r>
      <w:r>
        <w:t xml:space="preserve"> Drive Malignant Character in Gastrointestinal Stromal Tumors. </w:t>
      </w:r>
      <w:r>
        <w:rPr>
          <w:i/>
          <w:iCs/>
        </w:rPr>
        <w:t>Cancer Res</w:t>
      </w:r>
      <w:r>
        <w:t xml:space="preserve"> 2012; </w:t>
      </w:r>
      <w:r>
        <w:rPr>
          <w:b/>
          <w:bCs/>
        </w:rPr>
        <w:t>72</w:t>
      </w:r>
      <w:r>
        <w:t>: 1126–36.</w:t>
      </w:r>
    </w:p>
    <w:p w:rsidR="00AF392F" w:rsidRDefault="00AF392F" w:rsidP="00AF392F">
      <w:pPr>
        <w:pStyle w:val="Bibliography"/>
      </w:pPr>
      <w:r>
        <w:lastRenderedPageBreak/>
        <w:t xml:space="preserve">178. Wang B, Liu F, Li Y, Chen N. Role of Single Nucleotide Polymorphism-Related Genes in Tumour Immune Cell Infiltration and Prognosis of Cutaneous Melanoma. </w:t>
      </w:r>
      <w:r>
        <w:rPr>
          <w:i/>
          <w:iCs/>
        </w:rPr>
        <w:t>BioMed Res Int</w:t>
      </w:r>
      <w:r>
        <w:t xml:space="preserve"> 2023; </w:t>
      </w:r>
      <w:r>
        <w:rPr>
          <w:b/>
          <w:bCs/>
        </w:rPr>
        <w:t>2023</w:t>
      </w:r>
      <w:r>
        <w:t>: 3754094.</w:t>
      </w:r>
    </w:p>
    <w:p w:rsidR="00AF392F" w:rsidRDefault="00AF392F" w:rsidP="00AF392F">
      <w:pPr>
        <w:pStyle w:val="Bibliography"/>
      </w:pPr>
      <w:r>
        <w:t xml:space="preserve">179. Chhichholiya Y, Suryan AK, Suman P, Munshi A, Singh S. SNPs in miRNAs and Target Sequences: Role in Cancer and Diabetes. </w:t>
      </w:r>
      <w:r>
        <w:rPr>
          <w:i/>
          <w:iCs/>
        </w:rPr>
        <w:t>Front Genet</w:t>
      </w:r>
      <w:r>
        <w:t xml:space="preserve"> 2021; </w:t>
      </w:r>
      <w:r>
        <w:rPr>
          <w:b/>
          <w:bCs/>
        </w:rPr>
        <w:t>12</w:t>
      </w:r>
      <w:r>
        <w:t>: 793523.</w:t>
      </w:r>
    </w:p>
    <w:p w:rsidR="00AF392F" w:rsidRDefault="00AF392F" w:rsidP="00AF392F">
      <w:pPr>
        <w:pStyle w:val="Bibliography"/>
      </w:pPr>
      <w:r>
        <w:t xml:space="preserve">180. Manikandan M, Munirajan AK. Single nucleotide polymorphisms in microRNA binding sites of oncogenes: implications in cancer and pharmacogenomics. </w:t>
      </w:r>
      <w:r>
        <w:rPr>
          <w:i/>
          <w:iCs/>
        </w:rPr>
        <w:t>Omics J Integr Biol</w:t>
      </w:r>
      <w:r>
        <w:t xml:space="preserve"> 2014; </w:t>
      </w:r>
      <w:r>
        <w:rPr>
          <w:b/>
          <w:bCs/>
        </w:rPr>
        <w:t>18</w:t>
      </w:r>
      <w:r>
        <w:t>: 142–54.</w:t>
      </w:r>
    </w:p>
    <w:p w:rsidR="00AF392F" w:rsidRDefault="00AF392F" w:rsidP="00AF392F">
      <w:pPr>
        <w:pStyle w:val="Bibliography"/>
      </w:pPr>
      <w:r>
        <w:t xml:space="preserve">181. Riva E, Scagnolari C, Turriziani O, Antonelli G. Hepatitis C virus and interferon type III (interferon-λ3/interleukin-28B and interferon-λ4): genetic basis of susceptibility to infection and response to antiviral treatment. </w:t>
      </w:r>
      <w:r>
        <w:rPr>
          <w:i/>
          <w:iCs/>
        </w:rPr>
        <w:t>Clin Microbiol Infect</w:t>
      </w:r>
      <w:r>
        <w:t xml:space="preserve"> 2014; </w:t>
      </w:r>
      <w:r>
        <w:rPr>
          <w:b/>
          <w:bCs/>
        </w:rPr>
        <w:t>20</w:t>
      </w:r>
      <w:r>
        <w:t>: 1237–45.</w:t>
      </w:r>
    </w:p>
    <w:p w:rsidR="00AF392F" w:rsidRDefault="00AF392F" w:rsidP="00AF392F">
      <w:pPr>
        <w:pStyle w:val="Bibliography"/>
      </w:pPr>
      <w:r>
        <w:t xml:space="preserve">182. Brown S-A, Pereira N. Pharmacogenomic Impact of CYP2C19 Variation on Clopidogrel Therapy in Precision Cardiovascular Medicine. </w:t>
      </w:r>
      <w:r>
        <w:rPr>
          <w:i/>
          <w:iCs/>
        </w:rPr>
        <w:t>J Pers Med</w:t>
      </w:r>
      <w:r>
        <w:t xml:space="preserve"> 2018; </w:t>
      </w:r>
      <w:r>
        <w:rPr>
          <w:b/>
          <w:bCs/>
        </w:rPr>
        <w:t>8</w:t>
      </w:r>
      <w:r>
        <w:t>: 8.</w:t>
      </w:r>
    </w:p>
    <w:p w:rsidR="00AF392F" w:rsidRDefault="00AF392F" w:rsidP="00AF392F">
      <w:pPr>
        <w:pStyle w:val="Bibliography"/>
      </w:pPr>
      <w:r>
        <w:t xml:space="preserve">183. Ferwerda B, McCall MBB, Verheijen K, </w:t>
      </w:r>
      <w:r>
        <w:rPr>
          <w:i/>
          <w:iCs/>
        </w:rPr>
        <w:t>et al.</w:t>
      </w:r>
      <w:r>
        <w:t xml:space="preserve"> Functional Consequences of Toll-like Receptor 4 Polymorphisms. </w:t>
      </w:r>
      <w:r>
        <w:rPr>
          <w:i/>
          <w:iCs/>
        </w:rPr>
        <w:t>Mol Med</w:t>
      </w:r>
      <w:r>
        <w:t xml:space="preserve"> 2008; </w:t>
      </w:r>
      <w:r>
        <w:rPr>
          <w:b/>
          <w:bCs/>
        </w:rPr>
        <w:t>14</w:t>
      </w:r>
      <w:r>
        <w:t>: 346–52.</w:t>
      </w:r>
    </w:p>
    <w:p w:rsidR="00AF392F" w:rsidRDefault="00AF392F" w:rsidP="00AF392F">
      <w:pPr>
        <w:pStyle w:val="Bibliography"/>
      </w:pPr>
      <w:r>
        <w:t xml:space="preserve">184. Li M, Pan S, Chen H, Yan S, Liu Y. Effect of TLR-4 gene polymorphisms on sepsis susceptibility in neonates: a systematic review and meta-analysis. </w:t>
      </w:r>
      <w:r>
        <w:rPr>
          <w:i/>
          <w:iCs/>
        </w:rPr>
        <w:t>Biomark Med</w:t>
      </w:r>
      <w:r>
        <w:t xml:space="preserve"> 2022; </w:t>
      </w:r>
      <w:r>
        <w:rPr>
          <w:b/>
          <w:bCs/>
        </w:rPr>
        <w:t>16</w:t>
      </w:r>
      <w:r>
        <w:t>: 1005–17.</w:t>
      </w:r>
    </w:p>
    <w:p w:rsidR="00AF392F" w:rsidRDefault="00AF392F" w:rsidP="00AF392F">
      <w:pPr>
        <w:pStyle w:val="Bibliography"/>
      </w:pPr>
      <w:r>
        <w:t xml:space="preserve">185. Friso S, Choi S-W, Girelli D, </w:t>
      </w:r>
      <w:r>
        <w:rPr>
          <w:i/>
          <w:iCs/>
        </w:rPr>
        <w:t>et al.</w:t>
      </w:r>
      <w:r>
        <w:t xml:space="preserve"> A common mutation in the 5,10-methylenetetrahydrofolate reductase gene affects genomic DNA methylation through an interaction with folate status. </w:t>
      </w:r>
      <w:r>
        <w:rPr>
          <w:i/>
          <w:iCs/>
        </w:rPr>
        <w:t>Proc Natl Acad Sci</w:t>
      </w:r>
      <w:r>
        <w:t xml:space="preserve"> 2002; </w:t>
      </w:r>
      <w:r>
        <w:rPr>
          <w:b/>
          <w:bCs/>
        </w:rPr>
        <w:t>99</w:t>
      </w:r>
      <w:r>
        <w:t>: 5606–11.</w:t>
      </w:r>
    </w:p>
    <w:p w:rsidR="00AF392F" w:rsidRDefault="00AF392F" w:rsidP="00AF392F">
      <w:pPr>
        <w:pStyle w:val="Bibliography"/>
      </w:pPr>
      <w:r>
        <w:t xml:space="preserve">186. Hiraoka M, Kagawa Y. Genetic polymorphisms and folate status. </w:t>
      </w:r>
      <w:r>
        <w:rPr>
          <w:i/>
          <w:iCs/>
        </w:rPr>
        <w:t>Congenit Anom</w:t>
      </w:r>
      <w:r>
        <w:t xml:space="preserve"> 2017; </w:t>
      </w:r>
      <w:r>
        <w:rPr>
          <w:b/>
          <w:bCs/>
        </w:rPr>
        <w:t>57</w:t>
      </w:r>
      <w:r>
        <w:t>: 142–9.</w:t>
      </w:r>
    </w:p>
    <w:p w:rsidR="00AF392F" w:rsidRDefault="00AF392F" w:rsidP="00AF392F">
      <w:pPr>
        <w:pStyle w:val="Bibliography"/>
      </w:pPr>
      <w:r>
        <w:t xml:space="preserve">187. Ludwig GX, Alatalo RV, Helle P, Lindén H, Lindström J, Siitari H. Short- and long-term population dynamical consequences of asymmetric climate change in black grouse. </w:t>
      </w:r>
      <w:r>
        <w:rPr>
          <w:i/>
          <w:iCs/>
        </w:rPr>
        <w:t>Proc Biol Sci</w:t>
      </w:r>
      <w:r>
        <w:t xml:space="preserve"> 2006; </w:t>
      </w:r>
      <w:r>
        <w:rPr>
          <w:b/>
          <w:bCs/>
        </w:rPr>
        <w:t>273</w:t>
      </w:r>
      <w:r>
        <w:t>: 2009–16.</w:t>
      </w:r>
    </w:p>
    <w:p w:rsidR="00AF392F" w:rsidRDefault="00AF392F" w:rsidP="00AF392F">
      <w:pPr>
        <w:pStyle w:val="Bibliography"/>
      </w:pPr>
      <w:r>
        <w:t xml:space="preserve">188. Wu S, Huang W, Wang D, </w:t>
      </w:r>
      <w:r>
        <w:rPr>
          <w:i/>
          <w:iCs/>
        </w:rPr>
        <w:t>et al.</w:t>
      </w:r>
      <w:r>
        <w:t xml:space="preserve"> Evaluation of TLR2, TLR4, and TOLLIP polymorphisms for their role in tuberculosis susceptibility. </w:t>
      </w:r>
      <w:r>
        <w:rPr>
          <w:i/>
          <w:iCs/>
        </w:rPr>
        <w:t>APMIS Acta Pathol Microbiol Immunol Scand</w:t>
      </w:r>
      <w:r>
        <w:t xml:space="preserve"> 2018; </w:t>
      </w:r>
      <w:r>
        <w:rPr>
          <w:b/>
          <w:bCs/>
        </w:rPr>
        <w:t>126</w:t>
      </w:r>
      <w:r>
        <w:t>: 501–8.</w:t>
      </w:r>
    </w:p>
    <w:p w:rsidR="00AF392F" w:rsidRDefault="00AF392F" w:rsidP="00AF392F">
      <w:pPr>
        <w:pStyle w:val="Bibliography"/>
      </w:pPr>
      <w:r>
        <w:t xml:space="preserve">189. Wei Z, Wenhao S, Yuanyuan M, </w:t>
      </w:r>
      <w:r>
        <w:rPr>
          <w:i/>
          <w:iCs/>
        </w:rPr>
        <w:t>et al.</w:t>
      </w:r>
      <w:r>
        <w:t xml:space="preserve"> A single nucleotide polymorphism in the interferon-γ gene (IFNG +874 T/A) is associated with susceptibility to tuberculosis. </w:t>
      </w:r>
      <w:r>
        <w:rPr>
          <w:i/>
          <w:iCs/>
        </w:rPr>
        <w:t>Oncotarget</w:t>
      </w:r>
      <w:r>
        <w:t xml:space="preserve"> 2017; </w:t>
      </w:r>
      <w:r>
        <w:rPr>
          <w:b/>
          <w:bCs/>
        </w:rPr>
        <w:t>8</w:t>
      </w:r>
      <w:r>
        <w:t>: 50415–29.</w:t>
      </w:r>
    </w:p>
    <w:p w:rsidR="00AF392F" w:rsidRDefault="00AF392F" w:rsidP="00AF392F">
      <w:pPr>
        <w:pStyle w:val="Bibliography"/>
      </w:pPr>
      <w:r>
        <w:t xml:space="preserve">190. Chen C, Liu Q, Zhu L, Yang H, Lu W. Vitamin D receptor gene polymorphisms on the risk of tuberculosis, a meta-analysis of 29 case-control studies. </w:t>
      </w:r>
      <w:r>
        <w:rPr>
          <w:i/>
          <w:iCs/>
        </w:rPr>
        <w:t>PloS One</w:t>
      </w:r>
      <w:r>
        <w:t xml:space="preserve"> 2013; </w:t>
      </w:r>
      <w:r>
        <w:rPr>
          <w:b/>
          <w:bCs/>
        </w:rPr>
        <w:t>8</w:t>
      </w:r>
      <w:r>
        <w:t>: e83843.</w:t>
      </w:r>
    </w:p>
    <w:p w:rsidR="00AF392F" w:rsidRDefault="00AF392F" w:rsidP="00AF392F">
      <w:pPr>
        <w:pStyle w:val="Bibliography"/>
      </w:pPr>
      <w:r>
        <w:t xml:space="preserve">191. Tao R, Xiao S, Wang L, </w:t>
      </w:r>
      <w:r>
        <w:rPr>
          <w:i/>
          <w:iCs/>
        </w:rPr>
        <w:t>et al.</w:t>
      </w:r>
      <w:r>
        <w:t xml:space="preserve"> Association between vitamin D receptor gene polymorphisms and susceptibility to tuberculosis: a systematic review and meta-analysis. </w:t>
      </w:r>
      <w:r>
        <w:rPr>
          <w:i/>
          <w:iCs/>
        </w:rPr>
        <w:t>Front Genet</w:t>
      </w:r>
      <w:r>
        <w:t xml:space="preserve"> 2024; </w:t>
      </w:r>
      <w:r>
        <w:rPr>
          <w:b/>
          <w:bCs/>
        </w:rPr>
        <w:t>15</w:t>
      </w:r>
      <w:r>
        <w:t>: 1382957.</w:t>
      </w:r>
    </w:p>
    <w:p w:rsidR="00AF392F" w:rsidRDefault="00AF392F" w:rsidP="00AF392F">
      <w:pPr>
        <w:pStyle w:val="Bibliography"/>
      </w:pPr>
      <w:r>
        <w:t xml:space="preserve">192. Galvani AP, Novembre J. The evolutionary history of the CCR5-Delta32 HIV-resistance mutation. </w:t>
      </w:r>
      <w:r>
        <w:rPr>
          <w:i/>
          <w:iCs/>
        </w:rPr>
        <w:t>Microbes Infect</w:t>
      </w:r>
      <w:r>
        <w:t xml:space="preserve"> 2005; </w:t>
      </w:r>
      <w:r>
        <w:rPr>
          <w:b/>
          <w:bCs/>
        </w:rPr>
        <w:t>7</w:t>
      </w:r>
      <w:r>
        <w:t>: 302–9.</w:t>
      </w:r>
    </w:p>
    <w:p w:rsidR="00AF392F" w:rsidRDefault="00AF392F" w:rsidP="00AF392F">
      <w:pPr>
        <w:pStyle w:val="Bibliography"/>
      </w:pPr>
      <w:r>
        <w:lastRenderedPageBreak/>
        <w:t xml:space="preserve">193. Limou S, Zagury J-F. Immunogenetics: Genome-Wide Association of Non-Progressive HIV and Viral Load Control: HLA Genes and Beyond. </w:t>
      </w:r>
      <w:r>
        <w:rPr>
          <w:i/>
          <w:iCs/>
        </w:rPr>
        <w:t>Front Immunol</w:t>
      </w:r>
      <w:r>
        <w:t xml:space="preserve"> 2013; </w:t>
      </w:r>
      <w:r>
        <w:rPr>
          <w:b/>
          <w:bCs/>
        </w:rPr>
        <w:t>4</w:t>
      </w:r>
      <w:r>
        <w:t>. Available at: http://journal.frontiersin.org/article/10.3389/fimmu.2013.00118/abstract. Accessed March 24, 2025.</w:t>
      </w:r>
    </w:p>
    <w:p w:rsidR="00AF392F" w:rsidRDefault="00AF392F" w:rsidP="00AF392F">
      <w:pPr>
        <w:pStyle w:val="Bibliography"/>
      </w:pPr>
      <w:r>
        <w:t xml:space="preserve">194. An P, Bleiber G, Duggal P, </w:t>
      </w:r>
      <w:r>
        <w:rPr>
          <w:i/>
          <w:iCs/>
        </w:rPr>
        <w:t>et al.</w:t>
      </w:r>
      <w:r>
        <w:t xml:space="preserve"> APOBEC3G genetic variants and their influence on the progression to AIDS. </w:t>
      </w:r>
      <w:r>
        <w:rPr>
          <w:i/>
          <w:iCs/>
        </w:rPr>
        <w:t>J Virol</w:t>
      </w:r>
      <w:r>
        <w:t xml:space="preserve"> 2004; </w:t>
      </w:r>
      <w:r>
        <w:rPr>
          <w:b/>
          <w:bCs/>
        </w:rPr>
        <w:t>78</w:t>
      </w:r>
      <w:r>
        <w:t>: 11070–6.</w:t>
      </w:r>
    </w:p>
    <w:p w:rsidR="00AF392F" w:rsidRDefault="00AF392F" w:rsidP="00AF392F">
      <w:pPr>
        <w:pStyle w:val="Bibliography"/>
      </w:pPr>
      <w:r>
        <w:t xml:space="preserve">195. Eslam M, Leung R, Romero-Gomez M, </w:t>
      </w:r>
      <w:r>
        <w:rPr>
          <w:i/>
          <w:iCs/>
        </w:rPr>
        <w:t>et al.</w:t>
      </w:r>
      <w:r>
        <w:t xml:space="preserve"> IFNL3 polymorphisms predict response to therapy in chronic hepatitis C genotype 2/3 infection. </w:t>
      </w:r>
      <w:r>
        <w:rPr>
          <w:i/>
          <w:iCs/>
        </w:rPr>
        <w:t>J Hepatol</w:t>
      </w:r>
      <w:r>
        <w:t xml:space="preserve"> 2014; </w:t>
      </w:r>
      <w:r>
        <w:rPr>
          <w:b/>
          <w:bCs/>
        </w:rPr>
        <w:t>61</w:t>
      </w:r>
      <w:r>
        <w:t>: 235–41.</w:t>
      </w:r>
    </w:p>
    <w:p w:rsidR="00AF392F" w:rsidRDefault="00AF392F" w:rsidP="00AF392F">
      <w:pPr>
        <w:pStyle w:val="Bibliography"/>
      </w:pPr>
      <w:r>
        <w:t xml:space="preserve">196. Moqueet N, Cooper C, Gill J, </w:t>
      </w:r>
      <w:r>
        <w:rPr>
          <w:i/>
          <w:iCs/>
        </w:rPr>
        <w:t>et al.</w:t>
      </w:r>
      <w:r>
        <w:t xml:space="preserve"> Responder Interferon λ Genotypes Are Associated With Higher Risk of Liver Fibrosis in HIV-Hepatitis C Virus Coinfection. </w:t>
      </w:r>
      <w:r>
        <w:rPr>
          <w:i/>
          <w:iCs/>
        </w:rPr>
        <w:t>J Infect Dis</w:t>
      </w:r>
      <w:r>
        <w:t xml:space="preserve"> 2016; </w:t>
      </w:r>
      <w:r>
        <w:rPr>
          <w:b/>
          <w:bCs/>
        </w:rPr>
        <w:t>214</w:t>
      </w:r>
      <w:r>
        <w:t>: 80–6.</w:t>
      </w:r>
    </w:p>
    <w:p w:rsidR="00AF392F" w:rsidRDefault="00AF392F" w:rsidP="00AF392F">
      <w:pPr>
        <w:pStyle w:val="Bibliography"/>
      </w:pPr>
      <w:r>
        <w:t xml:space="preserve">197. Williams TN, Thein SL. Sickle Cell Anemia and Its Phenotypes. </w:t>
      </w:r>
      <w:r>
        <w:rPr>
          <w:i/>
          <w:iCs/>
        </w:rPr>
        <w:t>Annu Rev Genomics Hum Genet</w:t>
      </w:r>
      <w:r>
        <w:t xml:space="preserve"> 2018; </w:t>
      </w:r>
      <w:r>
        <w:rPr>
          <w:b/>
          <w:bCs/>
        </w:rPr>
        <w:t>19</w:t>
      </w:r>
      <w:r>
        <w:t>: 113–47.</w:t>
      </w:r>
    </w:p>
    <w:p w:rsidR="00AF392F" w:rsidRDefault="00AF392F" w:rsidP="00AF392F">
      <w:pPr>
        <w:pStyle w:val="Bibliography"/>
      </w:pPr>
      <w:r>
        <w:t xml:space="preserve">198. Fofana B, Takala-Harrison S, Ouattara A, Djimdé A. Human Genetic Factors as Determinants of Resistance to Malaria: A systematic Review. </w:t>
      </w:r>
      <w:r>
        <w:rPr>
          <w:i/>
          <w:iCs/>
        </w:rPr>
        <w:t>Afr J Parasitol Mycol Entomol</w:t>
      </w:r>
      <w:r>
        <w:t xml:space="preserve"> 2023; </w:t>
      </w:r>
      <w:r>
        <w:rPr>
          <w:b/>
          <w:bCs/>
        </w:rPr>
        <w:t>1</w:t>
      </w:r>
      <w:r>
        <w:t>: 1.</w:t>
      </w:r>
    </w:p>
    <w:p w:rsidR="00AF392F" w:rsidRDefault="00AF392F" w:rsidP="00AF392F">
      <w:pPr>
        <w:pStyle w:val="Bibliography"/>
      </w:pPr>
      <w:r>
        <w:t xml:space="preserve">199. Bradley L, Yewhalaw D, Hemming-Schroeder E, </w:t>
      </w:r>
      <w:r>
        <w:rPr>
          <w:i/>
          <w:iCs/>
        </w:rPr>
        <w:t>et al.</w:t>
      </w:r>
      <w:r>
        <w:t xml:space="preserve"> Epidemiology of Plasmodium vivax in Duffy negatives and Duffy positives from community and health centre collections in Ethiopia. </w:t>
      </w:r>
      <w:r>
        <w:rPr>
          <w:i/>
          <w:iCs/>
        </w:rPr>
        <w:t>Malar J</w:t>
      </w:r>
      <w:r>
        <w:t xml:space="preserve"> 2024; </w:t>
      </w:r>
      <w:r>
        <w:rPr>
          <w:b/>
          <w:bCs/>
        </w:rPr>
        <w:t>23</w:t>
      </w:r>
      <w:r>
        <w:t>: 76.</w:t>
      </w:r>
    </w:p>
    <w:p w:rsidR="00AF392F" w:rsidRDefault="00AF392F" w:rsidP="00AF392F">
      <w:pPr>
        <w:pStyle w:val="Bibliography"/>
      </w:pPr>
      <w:r>
        <w:t xml:space="preserve">200. Dean L. </w:t>
      </w:r>
      <w:r>
        <w:rPr>
          <w:i/>
          <w:iCs/>
        </w:rPr>
        <w:t>Blood Groups and Red Cell Antigens [Internet]. Bethesda (MD): National Center for Biotechnology Information (US); Chapter 9, The Duffy blood group.</w:t>
      </w:r>
      <w:r>
        <w:t xml:space="preserve"> 2005. Available at: https://www.ncbi.nlm.nih.gov/books/NBK2271/.</w:t>
      </w:r>
    </w:p>
    <w:p w:rsidR="00AF392F" w:rsidRDefault="00AF392F" w:rsidP="00AF392F">
      <w:pPr>
        <w:pStyle w:val="Bibliography"/>
      </w:pPr>
      <w:r>
        <w:t xml:space="preserve">201. Hill AVS, Allsopp CEM, Kwiatkowski D, </w:t>
      </w:r>
      <w:r>
        <w:rPr>
          <w:i/>
          <w:iCs/>
        </w:rPr>
        <w:t>et al.</w:t>
      </w:r>
      <w:r>
        <w:t xml:space="preserve"> Common West African HLA antigens are associated with protection from severe malaria. </w:t>
      </w:r>
      <w:r>
        <w:rPr>
          <w:i/>
          <w:iCs/>
        </w:rPr>
        <w:t>Nature</w:t>
      </w:r>
      <w:r>
        <w:t xml:space="preserve"> 1991; </w:t>
      </w:r>
      <w:r>
        <w:rPr>
          <w:b/>
          <w:bCs/>
        </w:rPr>
        <w:t>352</w:t>
      </w:r>
      <w:r>
        <w:t>: 595–600.</w:t>
      </w:r>
    </w:p>
    <w:p w:rsidR="00AF392F" w:rsidRDefault="00AF392F" w:rsidP="00AF392F">
      <w:pPr>
        <w:pStyle w:val="Bibliography"/>
      </w:pPr>
      <w:r>
        <w:t xml:space="preserve">202. Kongjam P, Pabalan N, Tharabenjasin P, Jarjanazi H, Chaijaroenkul W, Na-Bangchang K. Tumor necrosis factor-α (TNF-α) -308G &gt;a promoter polymorphism (rs1800629) promotes Asians in susceptibility to Plasmodium falciparum severe malaria: A meta-analysis. </w:t>
      </w:r>
      <w:r>
        <w:rPr>
          <w:i/>
          <w:iCs/>
        </w:rPr>
        <w:t>PLoS Negl Trop Dis</w:t>
      </w:r>
      <w:r>
        <w:t xml:space="preserve"> 2023; </w:t>
      </w:r>
      <w:r>
        <w:rPr>
          <w:b/>
          <w:bCs/>
        </w:rPr>
        <w:t>17</w:t>
      </w:r>
      <w:r>
        <w:t>: e0011735.</w:t>
      </w:r>
    </w:p>
    <w:p w:rsidR="00AF392F" w:rsidRDefault="00AF392F" w:rsidP="00AF392F">
      <w:pPr>
        <w:pStyle w:val="Bibliography"/>
      </w:pPr>
      <w:r>
        <w:t xml:space="preserve">203. Dechkum N, Hananantachai H, Patarapotikul J, </w:t>
      </w:r>
      <w:r>
        <w:rPr>
          <w:i/>
          <w:iCs/>
        </w:rPr>
        <w:t>et al.</w:t>
      </w:r>
      <w:r>
        <w:t xml:space="preserve"> Monocyte chemoattractant protein 1 (MCP-1) gene polymorphism is not associated with severe and cerebral malaria in Thailand. </w:t>
      </w:r>
      <w:r>
        <w:rPr>
          <w:i/>
          <w:iCs/>
        </w:rPr>
        <w:t>Jpn J Infect Dis</w:t>
      </w:r>
      <w:r>
        <w:t xml:space="preserve"> 2006; </w:t>
      </w:r>
      <w:r>
        <w:rPr>
          <w:b/>
          <w:bCs/>
        </w:rPr>
        <w:t>59</w:t>
      </w:r>
      <w:r>
        <w:t>: 239–44.</w:t>
      </w:r>
    </w:p>
    <w:p w:rsidR="00AF392F" w:rsidRDefault="00AF392F" w:rsidP="00AF392F">
      <w:pPr>
        <w:pStyle w:val="Bibliography"/>
      </w:pPr>
      <w:r>
        <w:t xml:space="preserve">204. Fry AE, Ghansa A, Small KS, </w:t>
      </w:r>
      <w:r>
        <w:rPr>
          <w:i/>
          <w:iCs/>
        </w:rPr>
        <w:t>et al.</w:t>
      </w:r>
      <w:r>
        <w:t xml:space="preserve"> Positive selection of a CD36 nonsense variant in sub-Saharan Africa, but no association with severe malaria phenotypes. </w:t>
      </w:r>
      <w:r>
        <w:rPr>
          <w:i/>
          <w:iCs/>
        </w:rPr>
        <w:t>Hum Mol Genet</w:t>
      </w:r>
      <w:r>
        <w:t xml:space="preserve"> 2009; </w:t>
      </w:r>
      <w:r>
        <w:rPr>
          <w:b/>
          <w:bCs/>
        </w:rPr>
        <w:t>18</w:t>
      </w:r>
      <w:r>
        <w:t>: 2683–92.</w:t>
      </w:r>
    </w:p>
    <w:p w:rsidR="00AF392F" w:rsidRDefault="00AF392F" w:rsidP="00AF392F">
      <w:pPr>
        <w:pStyle w:val="Bibliography"/>
      </w:pPr>
      <w:r>
        <w:t xml:space="preserve">205. Li Y, Chen S, Li P, </w:t>
      </w:r>
      <w:r>
        <w:rPr>
          <w:i/>
          <w:iCs/>
        </w:rPr>
        <w:t>et al.</w:t>
      </w:r>
      <w:r>
        <w:t xml:space="preserve"> Association of the IRF5 rs2070197 polymorphism with systemic lupus erythematosus: a meta-analysis. </w:t>
      </w:r>
      <w:r>
        <w:rPr>
          <w:i/>
          <w:iCs/>
        </w:rPr>
        <w:t>Clin Rheumatol</w:t>
      </w:r>
      <w:r>
        <w:t xml:space="preserve"> 2015; </w:t>
      </w:r>
      <w:r>
        <w:rPr>
          <w:b/>
          <w:bCs/>
        </w:rPr>
        <w:t>34</w:t>
      </w:r>
      <w:r>
        <w:t>: 1495–501.</w:t>
      </w:r>
    </w:p>
    <w:p w:rsidR="00AF392F" w:rsidRDefault="00AF392F" w:rsidP="00AF392F">
      <w:pPr>
        <w:pStyle w:val="Bibliography"/>
      </w:pPr>
      <w:r>
        <w:t xml:space="preserve">206. Nagel A, Lang A, Engel D, </w:t>
      </w:r>
      <w:r>
        <w:rPr>
          <w:i/>
          <w:iCs/>
        </w:rPr>
        <w:t>et al.</w:t>
      </w:r>
      <w:r>
        <w:t xml:space="preserve"> Clinical activity of pemphigus vulgaris relates to IgE autoantibodies against desmoglein 3. </w:t>
      </w:r>
      <w:r>
        <w:rPr>
          <w:i/>
          <w:iCs/>
        </w:rPr>
        <w:t>Clin Immunol</w:t>
      </w:r>
      <w:r>
        <w:t xml:space="preserve"> 2010; </w:t>
      </w:r>
      <w:r>
        <w:rPr>
          <w:b/>
          <w:bCs/>
        </w:rPr>
        <w:t>134</w:t>
      </w:r>
      <w:r>
        <w:t>: 320–30.</w:t>
      </w:r>
    </w:p>
    <w:p w:rsidR="00AF392F" w:rsidRDefault="00AF392F" w:rsidP="00AF392F">
      <w:pPr>
        <w:pStyle w:val="Bibliography"/>
      </w:pPr>
      <w:r>
        <w:t xml:space="preserve">207. Borchers AT, Gershwin ME. Transverse myelitis. </w:t>
      </w:r>
      <w:r>
        <w:rPr>
          <w:i/>
          <w:iCs/>
        </w:rPr>
        <w:t>Autoimmun Rev</w:t>
      </w:r>
      <w:r>
        <w:t xml:space="preserve"> 2012; </w:t>
      </w:r>
      <w:r>
        <w:rPr>
          <w:b/>
          <w:bCs/>
        </w:rPr>
        <w:t>11</w:t>
      </w:r>
      <w:r>
        <w:t>: 231–48.</w:t>
      </w:r>
    </w:p>
    <w:p w:rsidR="00AF392F" w:rsidRDefault="00AF392F" w:rsidP="00AF392F">
      <w:pPr>
        <w:pStyle w:val="Bibliography"/>
      </w:pPr>
      <w:r>
        <w:lastRenderedPageBreak/>
        <w:t xml:space="preserve">208. Graham RR, Kozyrev SV, Baechler EC, </w:t>
      </w:r>
      <w:r>
        <w:rPr>
          <w:i/>
          <w:iCs/>
        </w:rPr>
        <w:t>et al.</w:t>
      </w:r>
      <w:r>
        <w:t xml:space="preserve"> A common haplotype of interferon regulatory factor 5 (IRF5) regulates splicing and expression and is associated with increased risk of systemic lupus erythematosus. </w:t>
      </w:r>
      <w:r>
        <w:rPr>
          <w:i/>
          <w:iCs/>
        </w:rPr>
        <w:t>Nat Genet</w:t>
      </w:r>
      <w:r>
        <w:t xml:space="preserve"> 2006; </w:t>
      </w:r>
      <w:r>
        <w:rPr>
          <w:b/>
          <w:bCs/>
        </w:rPr>
        <w:t>38</w:t>
      </w:r>
      <w:r>
        <w:t>: 550–5.</w:t>
      </w:r>
    </w:p>
    <w:p w:rsidR="00AF392F" w:rsidRDefault="00AF392F" w:rsidP="00AF392F">
      <w:pPr>
        <w:pStyle w:val="Bibliography"/>
      </w:pPr>
      <w:r>
        <w:t xml:space="preserve">209. Cunninghame Graham DS. Genome-wide association studies in systemic lupus erythematosus: a perspective. </w:t>
      </w:r>
      <w:r>
        <w:rPr>
          <w:i/>
          <w:iCs/>
        </w:rPr>
        <w:t>Arthritis Res Ther</w:t>
      </w:r>
      <w:r>
        <w:t xml:space="preserve"> 2009; </w:t>
      </w:r>
      <w:r>
        <w:rPr>
          <w:b/>
          <w:bCs/>
        </w:rPr>
        <w:t>11</w:t>
      </w:r>
      <w:r>
        <w:t>: 119.</w:t>
      </w:r>
    </w:p>
    <w:p w:rsidR="00AF392F" w:rsidRDefault="00AF392F" w:rsidP="00AF392F">
      <w:pPr>
        <w:pStyle w:val="Bibliography"/>
      </w:pPr>
      <w:r>
        <w:t xml:space="preserve">210. Patch C, Sequeiros J, Cornel MC. Genetic horoscopes: is it all in the genes? Points for regulatory control of direct-to-consumer genetic testing. </w:t>
      </w:r>
      <w:r>
        <w:rPr>
          <w:i/>
          <w:iCs/>
        </w:rPr>
        <w:t>Eur J Hum Genet</w:t>
      </w:r>
      <w:r>
        <w:t xml:space="preserve"> 2009; </w:t>
      </w:r>
      <w:r>
        <w:rPr>
          <w:b/>
          <w:bCs/>
        </w:rPr>
        <w:t>17</w:t>
      </w:r>
      <w:r>
        <w:t>: 857–9.</w:t>
      </w:r>
    </w:p>
    <w:p w:rsidR="00AF392F" w:rsidRDefault="00AF392F" w:rsidP="00AF392F">
      <w:pPr>
        <w:pStyle w:val="Bibliography"/>
      </w:pPr>
      <w:r>
        <w:t xml:space="preserve">211. Bangham J. Inflammatory combinations. </w:t>
      </w:r>
      <w:r>
        <w:rPr>
          <w:i/>
          <w:iCs/>
        </w:rPr>
        <w:t>Nat Rev Immunol</w:t>
      </w:r>
      <w:r>
        <w:t xml:space="preserve"> 2005; </w:t>
      </w:r>
      <w:r>
        <w:rPr>
          <w:b/>
          <w:bCs/>
        </w:rPr>
        <w:t>5</w:t>
      </w:r>
      <w:r>
        <w:t>: 360–360.</w:t>
      </w:r>
    </w:p>
    <w:p w:rsidR="00AF392F" w:rsidRDefault="00AF392F" w:rsidP="00AF392F">
      <w:pPr>
        <w:pStyle w:val="Bibliography"/>
      </w:pPr>
      <w:r>
        <w:t xml:space="preserve">212. Freedman ML, Reich D, Penney KL, </w:t>
      </w:r>
      <w:r>
        <w:rPr>
          <w:i/>
          <w:iCs/>
        </w:rPr>
        <w:t>et al.</w:t>
      </w:r>
      <w:r>
        <w:t xml:space="preserve"> Assessing the impact of population stratification on genetic association studies. </w:t>
      </w:r>
      <w:r>
        <w:rPr>
          <w:i/>
          <w:iCs/>
        </w:rPr>
        <w:t>Nat Genet</w:t>
      </w:r>
      <w:r>
        <w:t xml:space="preserve"> 2004; </w:t>
      </w:r>
      <w:r>
        <w:rPr>
          <w:b/>
          <w:bCs/>
        </w:rPr>
        <w:t>36</w:t>
      </w:r>
      <w:r>
        <w:t>: 388–93.</w:t>
      </w:r>
    </w:p>
    <w:p w:rsidR="00AF392F" w:rsidRDefault="00AF392F" w:rsidP="00AF392F">
      <w:pPr>
        <w:pStyle w:val="Bibliography"/>
      </w:pPr>
      <w:r>
        <w:t xml:space="preserve">213. Pamuk ON, Gurkan H, Pamuk GE, Tozkır H, Duymaz J, Yazar M. BLK pathway-associated rs13277113 GA genotype is more frequent in SLE patients and associated with low gene expression and increased flares. </w:t>
      </w:r>
      <w:r>
        <w:rPr>
          <w:i/>
          <w:iCs/>
        </w:rPr>
        <w:t>Clin Rheumatol</w:t>
      </w:r>
      <w:r>
        <w:t xml:space="preserve"> 2017; </w:t>
      </w:r>
      <w:r>
        <w:rPr>
          <w:b/>
          <w:bCs/>
        </w:rPr>
        <w:t>36</w:t>
      </w:r>
      <w:r>
        <w:t>: 103–9.</w:t>
      </w:r>
    </w:p>
    <w:p w:rsidR="00AF392F" w:rsidRDefault="00AF392F" w:rsidP="00AF392F">
      <w:pPr>
        <w:pStyle w:val="Bibliography"/>
      </w:pPr>
      <w:r>
        <w:t xml:space="preserve">214. Zeng C, Fang C, Weng H, Xu X, Wu T, Li W. B-cell lymphocyte kinase polymorphisms rs13277113, rs2736340, and rs4840568 and risk of autoimmune diseases: A meta-analysis. </w:t>
      </w:r>
      <w:r>
        <w:rPr>
          <w:i/>
          <w:iCs/>
        </w:rPr>
        <w:t>Medicine (Baltimore)</w:t>
      </w:r>
      <w:r>
        <w:t xml:space="preserve"> 2017; </w:t>
      </w:r>
      <w:r>
        <w:rPr>
          <w:b/>
          <w:bCs/>
        </w:rPr>
        <w:t>96</w:t>
      </w:r>
      <w:r>
        <w:t>: e7855.</w:t>
      </w:r>
    </w:p>
    <w:p w:rsidR="00AF392F" w:rsidRDefault="00AF392F" w:rsidP="00AF392F">
      <w:pPr>
        <w:pStyle w:val="Bibliography"/>
      </w:pPr>
      <w:r>
        <w:t xml:space="preserve">215. Zhang C, Wang W, Zhang H, Wei L, Guo S. Association of FCGR2A rs1801274 polymorphism with susceptibility to autoimmune diseases: A meta-analysis. </w:t>
      </w:r>
      <w:r>
        <w:rPr>
          <w:i/>
          <w:iCs/>
        </w:rPr>
        <w:t>Oncotarget</w:t>
      </w:r>
      <w:r>
        <w:t xml:space="preserve"> 2016; </w:t>
      </w:r>
      <w:r>
        <w:rPr>
          <w:b/>
          <w:bCs/>
        </w:rPr>
        <w:t>7</w:t>
      </w:r>
      <w:r>
        <w:t>: 39436–43.</w:t>
      </w:r>
    </w:p>
    <w:p w:rsidR="00AF392F" w:rsidRDefault="00AF392F" w:rsidP="00AF392F">
      <w:pPr>
        <w:pStyle w:val="Bibliography"/>
      </w:pPr>
      <w:r>
        <w:t xml:space="preserve">216. Elghzaly AA, Sun C, Looger LL, </w:t>
      </w:r>
      <w:r>
        <w:rPr>
          <w:i/>
          <w:iCs/>
        </w:rPr>
        <w:t>et al.</w:t>
      </w:r>
      <w:r>
        <w:t xml:space="preserve"> Genome-wide association study for systemic lupus erythematosus in an egyptian population. </w:t>
      </w:r>
      <w:r>
        <w:rPr>
          <w:i/>
          <w:iCs/>
        </w:rPr>
        <w:t>Front Genet</w:t>
      </w:r>
      <w:r>
        <w:t xml:space="preserve"> 2022; </w:t>
      </w:r>
      <w:r>
        <w:rPr>
          <w:b/>
          <w:bCs/>
        </w:rPr>
        <w:t>13</w:t>
      </w:r>
      <w:r>
        <w:t>: 948505.</w:t>
      </w:r>
    </w:p>
    <w:p w:rsidR="00AF392F" w:rsidRDefault="00AF392F" w:rsidP="00AF392F">
      <w:pPr>
        <w:pStyle w:val="Bibliography"/>
      </w:pPr>
      <w:r>
        <w:t xml:space="preserve">217. Alcina A, Abad-Grau MDM, Fedetz M, </w:t>
      </w:r>
      <w:r>
        <w:rPr>
          <w:i/>
          <w:iCs/>
        </w:rPr>
        <w:t>et al.</w:t>
      </w:r>
      <w:r>
        <w:t xml:space="preserve"> Multiple sclerosis risk variant HLA-DRB1*1501 associates with high expression of DRB1 gene in different human populations. </w:t>
      </w:r>
      <w:r>
        <w:rPr>
          <w:i/>
          <w:iCs/>
        </w:rPr>
        <w:t>PloS One</w:t>
      </w:r>
      <w:r>
        <w:t xml:space="preserve"> 2012; </w:t>
      </w:r>
      <w:r>
        <w:rPr>
          <w:b/>
          <w:bCs/>
        </w:rPr>
        <w:t>7</w:t>
      </w:r>
      <w:r>
        <w:t>: e29819.</w:t>
      </w:r>
    </w:p>
    <w:p w:rsidR="00AF392F" w:rsidRDefault="00AF392F" w:rsidP="00AF392F">
      <w:pPr>
        <w:pStyle w:val="Bibliography"/>
      </w:pPr>
      <w:r>
        <w:t xml:space="preserve">218. Omraninava M, Mehranfar S, Vahedi P, </w:t>
      </w:r>
      <w:r>
        <w:rPr>
          <w:i/>
          <w:iCs/>
        </w:rPr>
        <w:t>et al.</w:t>
      </w:r>
      <w:r>
        <w:t xml:space="preserve"> Association between IL7 Receptor Alpha (Il7ra) gene rs6897932 polymorphism and the risk of Multiple Sclerosis: A meta-regression and meta-analysis. </w:t>
      </w:r>
      <w:r>
        <w:rPr>
          <w:i/>
          <w:iCs/>
        </w:rPr>
        <w:t>Mult Scler Relat Disord</w:t>
      </w:r>
      <w:r>
        <w:t xml:space="preserve"> 2021; </w:t>
      </w:r>
      <w:r>
        <w:rPr>
          <w:b/>
          <w:bCs/>
        </w:rPr>
        <w:t>48</w:t>
      </w:r>
      <w:r>
        <w:t>: 102687.</w:t>
      </w:r>
    </w:p>
    <w:p w:rsidR="00AF392F" w:rsidRDefault="00AF392F" w:rsidP="00AF392F">
      <w:pPr>
        <w:pStyle w:val="Bibliography"/>
      </w:pPr>
      <w:r>
        <w:t xml:space="preserve">219. Martinez-Hernandez A, Perez-Guerrero EE, Macias-Islas MA, </w:t>
      </w:r>
      <w:r>
        <w:rPr>
          <w:i/>
          <w:iCs/>
        </w:rPr>
        <w:t>et al.</w:t>
      </w:r>
      <w:r>
        <w:t xml:space="preserve"> Polymorphisms CYP2R1 rs10766197 and CYP27B1 rs10877012 in Multiple Sclerosis: A Case-Control Study. </w:t>
      </w:r>
      <w:r>
        <w:rPr>
          <w:i/>
          <w:iCs/>
        </w:rPr>
        <w:t>J Immunol Res</w:t>
      </w:r>
      <w:r>
        <w:t xml:space="preserve"> 2021; </w:t>
      </w:r>
      <w:r>
        <w:rPr>
          <w:b/>
          <w:bCs/>
        </w:rPr>
        <w:t>2021</w:t>
      </w:r>
      <w:r>
        <w:t>: 7523997.</w:t>
      </w:r>
    </w:p>
    <w:p w:rsidR="00AF392F" w:rsidRDefault="00AF392F" w:rsidP="00AF392F">
      <w:pPr>
        <w:pStyle w:val="Bibliography"/>
      </w:pPr>
      <w:r>
        <w:t xml:space="preserve">220. Yaghmoor F, Noorsaeed A, Alsaggaf S, </w:t>
      </w:r>
      <w:r>
        <w:rPr>
          <w:i/>
          <w:iCs/>
        </w:rPr>
        <w:t>et al.</w:t>
      </w:r>
      <w:r>
        <w:t xml:space="preserve"> The Role of TREM2 in Alzheimer’s Disease and Other Neurological Disorders. </w:t>
      </w:r>
      <w:r>
        <w:rPr>
          <w:i/>
          <w:iCs/>
        </w:rPr>
        <w:t>J Alzheimers Dis Park</w:t>
      </w:r>
      <w:r>
        <w:t xml:space="preserve"> 2014; </w:t>
      </w:r>
      <w:r>
        <w:rPr>
          <w:b/>
          <w:bCs/>
        </w:rPr>
        <w:t>4</w:t>
      </w:r>
      <w:r>
        <w:t>: 160.</w:t>
      </w:r>
    </w:p>
    <w:p w:rsidR="00AF392F" w:rsidRDefault="00AF392F" w:rsidP="00AF392F">
      <w:pPr>
        <w:pStyle w:val="Bibliography"/>
      </w:pPr>
      <w:r>
        <w:t xml:space="preserve">221. Kalvaitis L, Gedvilaite-Vaicechauskiene G, Kriauciuniene L, Balnyte R, Liutkeviciene R. TNF-alfa Gene Polymorphism Associations with Multiple Sclerosis. </w:t>
      </w:r>
      <w:r>
        <w:rPr>
          <w:i/>
          <w:iCs/>
        </w:rPr>
        <w:t>J Clin Med</w:t>
      </w:r>
      <w:r>
        <w:t xml:space="preserve"> 2024; </w:t>
      </w:r>
      <w:r>
        <w:rPr>
          <w:b/>
          <w:bCs/>
        </w:rPr>
        <w:t>13</w:t>
      </w:r>
      <w:r>
        <w:t>: 3693.</w:t>
      </w:r>
    </w:p>
    <w:p w:rsidR="00AF392F" w:rsidRDefault="00AF392F" w:rsidP="00AF392F">
      <w:pPr>
        <w:pStyle w:val="Bibliography"/>
      </w:pPr>
      <w:r>
        <w:t xml:space="preserve">222. Alcina A, Abad-Grau MDM, Fedetz M, </w:t>
      </w:r>
      <w:r>
        <w:rPr>
          <w:i/>
          <w:iCs/>
        </w:rPr>
        <w:t>et al.</w:t>
      </w:r>
      <w:r>
        <w:t xml:space="preserve"> Multiple sclerosis risk variant HLA-DRB1*1501 associates with high expression of DRB1 gene in different human populations. </w:t>
      </w:r>
      <w:r>
        <w:rPr>
          <w:i/>
          <w:iCs/>
        </w:rPr>
        <w:t>PloS One</w:t>
      </w:r>
      <w:r>
        <w:t xml:space="preserve"> 2012; </w:t>
      </w:r>
      <w:r>
        <w:rPr>
          <w:b/>
          <w:bCs/>
        </w:rPr>
        <w:t>7</w:t>
      </w:r>
      <w:r>
        <w:t>: e29819.</w:t>
      </w:r>
    </w:p>
    <w:p w:rsidR="00AF392F" w:rsidRDefault="00AF392F" w:rsidP="00AF392F">
      <w:pPr>
        <w:pStyle w:val="Bibliography"/>
      </w:pPr>
      <w:r>
        <w:lastRenderedPageBreak/>
        <w:t xml:space="preserve">223. Di Marco LY, Venneri A, Farkas E, Evans PC, Marzo A, Frangi AF. Vascular dysfunction in the pathogenesis of Alzheimer’s disease — A review of endothelium-mediated mechanisms and ensuing vicious circles. </w:t>
      </w:r>
      <w:r>
        <w:rPr>
          <w:i/>
          <w:iCs/>
        </w:rPr>
        <w:t>Neurobiol Dis</w:t>
      </w:r>
      <w:r>
        <w:t xml:space="preserve"> 2015; </w:t>
      </w:r>
      <w:r>
        <w:rPr>
          <w:b/>
          <w:bCs/>
        </w:rPr>
        <w:t>82</w:t>
      </w:r>
      <w:r>
        <w:t>: 593–606.</w:t>
      </w:r>
    </w:p>
    <w:p w:rsidR="00AF392F" w:rsidRDefault="00AF392F" w:rsidP="00AF392F">
      <w:pPr>
        <w:pStyle w:val="Bibliography"/>
      </w:pPr>
      <w:r>
        <w:t xml:space="preserve">224. Rocker C, Cappelletti L, Marshall C, </w:t>
      </w:r>
      <w:r>
        <w:rPr>
          <w:i/>
          <w:iCs/>
        </w:rPr>
        <w:t>et al.</w:t>
      </w:r>
      <w:r>
        <w:t xml:space="preserve"> Use of an Online Portal to Facilitate Clinical Trial Recruitment: A Preliminary Analysis of Fox Trial Finder. </w:t>
      </w:r>
      <w:r>
        <w:rPr>
          <w:i/>
          <w:iCs/>
        </w:rPr>
        <w:t>J Park Dis</w:t>
      </w:r>
      <w:r>
        <w:t xml:space="preserve"> 2015; </w:t>
      </w:r>
      <w:r>
        <w:rPr>
          <w:b/>
          <w:bCs/>
        </w:rPr>
        <w:t>5</w:t>
      </w:r>
      <w:r>
        <w:t>: 55–66.</w:t>
      </w:r>
    </w:p>
    <w:p w:rsidR="00AF392F" w:rsidRDefault="00AF392F" w:rsidP="00AF392F">
      <w:pPr>
        <w:pStyle w:val="Bibliography"/>
      </w:pPr>
      <w:r>
        <w:t xml:space="preserve">225. Tansey MG, Wallings RL, Houser MC, Herrick MK, Keating CE, Joers V. Inflammation and immune dysfunction in Parkinson disease. </w:t>
      </w:r>
      <w:r>
        <w:rPr>
          <w:i/>
          <w:iCs/>
        </w:rPr>
        <w:t>Nat Rev Immunol</w:t>
      </w:r>
      <w:r>
        <w:t xml:space="preserve"> 2022; </w:t>
      </w:r>
      <w:r>
        <w:rPr>
          <w:b/>
          <w:bCs/>
        </w:rPr>
        <w:t>22</w:t>
      </w:r>
      <w:r>
        <w:t>: 657–73.</w:t>
      </w:r>
    </w:p>
    <w:p w:rsidR="00AF392F" w:rsidRDefault="00AF392F" w:rsidP="00AF392F">
      <w:pPr>
        <w:pStyle w:val="Bibliography"/>
      </w:pPr>
      <w:r>
        <w:t xml:space="preserve">226. Moon HE, Paek SH. Mitochondrial Dysfunction in Parkinson’s Disease. </w:t>
      </w:r>
      <w:r>
        <w:rPr>
          <w:i/>
          <w:iCs/>
        </w:rPr>
        <w:t>Exp Neurobiol</w:t>
      </w:r>
      <w:r>
        <w:t xml:space="preserve"> 2015; </w:t>
      </w:r>
      <w:r>
        <w:rPr>
          <w:b/>
          <w:bCs/>
        </w:rPr>
        <w:t>24</w:t>
      </w:r>
      <w:r>
        <w:t>: 103–16.</w:t>
      </w:r>
    </w:p>
    <w:p w:rsidR="00AF392F" w:rsidRDefault="00AF392F" w:rsidP="00AF392F">
      <w:pPr>
        <w:pStyle w:val="Bibliography"/>
      </w:pPr>
      <w:r>
        <w:t xml:space="preserve">227. Wiedemann C. What goes up, must come down. </w:t>
      </w:r>
      <w:r>
        <w:rPr>
          <w:i/>
          <w:iCs/>
        </w:rPr>
        <w:t>Nat Rev Neurosci</w:t>
      </w:r>
      <w:r>
        <w:t xml:space="preserve"> 2009; </w:t>
      </w:r>
      <w:r>
        <w:rPr>
          <w:b/>
          <w:bCs/>
        </w:rPr>
        <w:t>10</w:t>
      </w:r>
      <w:r>
        <w:t>: 471–471.</w:t>
      </w:r>
    </w:p>
    <w:p w:rsidR="00AF392F" w:rsidRDefault="00AF392F" w:rsidP="00AF392F">
      <w:pPr>
        <w:pStyle w:val="Bibliography"/>
      </w:pPr>
      <w:r>
        <w:t xml:space="preserve">228. Burchell VS, Nelson DE, Sanchez-Martinez A, </w:t>
      </w:r>
      <w:r>
        <w:rPr>
          <w:i/>
          <w:iCs/>
        </w:rPr>
        <w:t>et al.</w:t>
      </w:r>
      <w:r>
        <w:t xml:space="preserve"> The Parkinson’s disease–linked proteins Fbxo7 and Parkin interact to mediate mitophagy. </w:t>
      </w:r>
      <w:r>
        <w:rPr>
          <w:i/>
          <w:iCs/>
        </w:rPr>
        <w:t>Nat Neurosci</w:t>
      </w:r>
      <w:r>
        <w:t xml:space="preserve"> 2013; </w:t>
      </w:r>
      <w:r>
        <w:rPr>
          <w:b/>
          <w:bCs/>
        </w:rPr>
        <w:t>16</w:t>
      </w:r>
      <w:r>
        <w:t>: 1257–65.</w:t>
      </w:r>
    </w:p>
    <w:p w:rsidR="00AF392F" w:rsidRDefault="00AF392F" w:rsidP="00AF392F">
      <w:pPr>
        <w:pStyle w:val="Bibliography"/>
      </w:pPr>
      <w:r>
        <w:t xml:space="preserve">229. Balendra R, Isaacs AM. C9orf72-mediated ALS and FTD: multiple pathways to disease. </w:t>
      </w:r>
      <w:r>
        <w:rPr>
          <w:i/>
          <w:iCs/>
        </w:rPr>
        <w:t>Nat Rev Neurol</w:t>
      </w:r>
      <w:r>
        <w:t xml:space="preserve"> 2018; </w:t>
      </w:r>
      <w:r>
        <w:rPr>
          <w:b/>
          <w:bCs/>
        </w:rPr>
        <w:t>14</w:t>
      </w:r>
      <w:r>
        <w:t>: 544–58.</w:t>
      </w:r>
    </w:p>
    <w:p w:rsidR="00AF392F" w:rsidRDefault="00AF392F" w:rsidP="00AF392F">
      <w:pPr>
        <w:pStyle w:val="Bibliography"/>
      </w:pPr>
      <w:r>
        <w:t xml:space="preserve">230. Shvetcov A, Thomson S, Spathos J, </w:t>
      </w:r>
      <w:r>
        <w:rPr>
          <w:i/>
          <w:iCs/>
        </w:rPr>
        <w:t>et al.</w:t>
      </w:r>
      <w:r>
        <w:t xml:space="preserve"> Blood-Based Transcriptomic Biomarkers Are Predictive of Neurodegeneration Rather Than Alzheimer’s Disease. </w:t>
      </w:r>
      <w:r>
        <w:rPr>
          <w:i/>
          <w:iCs/>
        </w:rPr>
        <w:t>Int J Mol Sci</w:t>
      </w:r>
      <w:r>
        <w:t xml:space="preserve"> 2023; </w:t>
      </w:r>
      <w:r>
        <w:rPr>
          <w:b/>
          <w:bCs/>
        </w:rPr>
        <w:t>24</w:t>
      </w:r>
      <w:r>
        <w:t>: 15011.</w:t>
      </w:r>
    </w:p>
    <w:p w:rsidR="00AF392F" w:rsidRDefault="00AF392F" w:rsidP="00AF392F">
      <w:pPr>
        <w:pStyle w:val="Bibliography"/>
      </w:pPr>
      <w:r>
        <w:t xml:space="preserve">231. Selkoe DJ, Hardy J. The amyloid hypothesis of Alzheimer’s disease at 25 years. </w:t>
      </w:r>
      <w:r>
        <w:rPr>
          <w:i/>
          <w:iCs/>
        </w:rPr>
        <w:t>EMBO Mol Med</w:t>
      </w:r>
      <w:r>
        <w:t xml:space="preserve"> 2016; </w:t>
      </w:r>
      <w:r>
        <w:rPr>
          <w:b/>
          <w:bCs/>
        </w:rPr>
        <w:t>8</w:t>
      </w:r>
      <w:r>
        <w:t>: 595–608.</w:t>
      </w:r>
    </w:p>
    <w:p w:rsidR="00AF392F" w:rsidRDefault="00AF392F" w:rsidP="00AF392F">
      <w:pPr>
        <w:pStyle w:val="Bibliography"/>
      </w:pPr>
      <w:r>
        <w:t xml:space="preserve">232. Medeiros R, Baglietto-Vargas D, LaFerla FM. The role of tau in Alzheimer’s disease and related disorders. </w:t>
      </w:r>
      <w:r>
        <w:rPr>
          <w:i/>
          <w:iCs/>
        </w:rPr>
        <w:t>CNS Neurosci Ther</w:t>
      </w:r>
      <w:r>
        <w:t xml:space="preserve"> 2011; </w:t>
      </w:r>
      <w:r>
        <w:rPr>
          <w:b/>
          <w:bCs/>
        </w:rPr>
        <w:t>17</w:t>
      </w:r>
      <w:r>
        <w:t>: 514–24.</w:t>
      </w:r>
    </w:p>
    <w:p w:rsidR="00AF392F" w:rsidRDefault="00AF392F" w:rsidP="00AF392F">
      <w:pPr>
        <w:pStyle w:val="Bibliography"/>
      </w:pPr>
      <w:r>
        <w:t xml:space="preserve">233. Alirezaei Z, Pourhanifeh MH, Borran S, Nejati M, Mirzaei H, Hamblin MR. Neurofilament Light Chain as a Biomarker, and Correlation with Magnetic Resonance Imaging in Diagnosis of CNS-Related Disorders. </w:t>
      </w:r>
      <w:r>
        <w:rPr>
          <w:i/>
          <w:iCs/>
        </w:rPr>
        <w:t>Mol Neurobiol</w:t>
      </w:r>
      <w:r>
        <w:t xml:space="preserve"> 2020; </w:t>
      </w:r>
      <w:r>
        <w:rPr>
          <w:b/>
          <w:bCs/>
        </w:rPr>
        <w:t>57</w:t>
      </w:r>
      <w:r>
        <w:t>: 469–91.</w:t>
      </w:r>
    </w:p>
    <w:p w:rsidR="00AF392F" w:rsidRDefault="00AF392F" w:rsidP="00AF392F">
      <w:pPr>
        <w:pStyle w:val="Bibliography"/>
      </w:pPr>
      <w:r>
        <w:t xml:space="preserve">234. Park J-C, Han S-H, Mook-Jung I. Peripheral inflammatory biomarkers in Alzheimer’s disease: a brief review. </w:t>
      </w:r>
      <w:r>
        <w:rPr>
          <w:i/>
          <w:iCs/>
        </w:rPr>
        <w:t>BMB Rep</w:t>
      </w:r>
      <w:r>
        <w:t xml:space="preserve"> 2020; </w:t>
      </w:r>
      <w:r>
        <w:rPr>
          <w:b/>
          <w:bCs/>
        </w:rPr>
        <w:t>53</w:t>
      </w:r>
      <w:r>
        <w:t>: 10–9.</w:t>
      </w:r>
    </w:p>
    <w:p w:rsidR="00AF392F" w:rsidRDefault="00AF392F" w:rsidP="00AF392F">
      <w:pPr>
        <w:pStyle w:val="Bibliography"/>
      </w:pPr>
      <w:r>
        <w:t xml:space="preserve">235. Ferreira-Vieira TH, Guimaraes IM, Silva FR, Ribeiro FM. Alzheimer’s disease: Targeting the Cholinergic System. </w:t>
      </w:r>
      <w:r>
        <w:rPr>
          <w:i/>
          <w:iCs/>
        </w:rPr>
        <w:t>Curr Neuropharmacol</w:t>
      </w:r>
      <w:r>
        <w:t xml:space="preserve"> 2016; </w:t>
      </w:r>
      <w:r>
        <w:rPr>
          <w:b/>
          <w:bCs/>
        </w:rPr>
        <w:t>14</w:t>
      </w:r>
      <w:r>
        <w:t>: 101–15.</w:t>
      </w:r>
    </w:p>
    <w:p w:rsidR="00AF392F" w:rsidRDefault="00AF392F" w:rsidP="00AF392F">
      <w:pPr>
        <w:pStyle w:val="Bibliography"/>
      </w:pPr>
      <w:r>
        <w:t xml:space="preserve">236. Bathina S, Das UN. Brain-derived neurotrophic factor and its clinical implications. </w:t>
      </w:r>
      <w:r>
        <w:rPr>
          <w:i/>
          <w:iCs/>
        </w:rPr>
        <w:t>Arch Med Sci AMS</w:t>
      </w:r>
      <w:r>
        <w:t xml:space="preserve"> 2015; </w:t>
      </w:r>
      <w:r>
        <w:rPr>
          <w:b/>
          <w:bCs/>
        </w:rPr>
        <w:t>11</w:t>
      </w:r>
      <w:r>
        <w:t>: 1164–78.</w:t>
      </w:r>
    </w:p>
    <w:p w:rsidR="00AF392F" w:rsidRDefault="00AF392F" w:rsidP="00AF392F">
      <w:pPr>
        <w:pStyle w:val="Bibliography"/>
      </w:pPr>
      <w:r>
        <w:t xml:space="preserve">237. M. Di Battista A, M. Heinsinger N, William Rebeck G. Alzheimer’s Disease Genetic Risk Factor APOE-ε4 Also Affects Normal Brain Function. </w:t>
      </w:r>
      <w:r>
        <w:rPr>
          <w:i/>
          <w:iCs/>
        </w:rPr>
        <w:t>Curr Alzheimer Res</w:t>
      </w:r>
      <w:r>
        <w:t xml:space="preserve"> 2016; </w:t>
      </w:r>
      <w:r>
        <w:rPr>
          <w:b/>
          <w:bCs/>
        </w:rPr>
        <w:t>13</w:t>
      </w:r>
      <w:r>
        <w:t>: 1200–7.</w:t>
      </w:r>
    </w:p>
    <w:p w:rsidR="00AF392F" w:rsidRDefault="00AF392F" w:rsidP="00AF392F">
      <w:pPr>
        <w:pStyle w:val="Bibliography"/>
      </w:pPr>
      <w:r>
        <w:t xml:space="preserve">238. Bird A. Perceptions of epigenetics. </w:t>
      </w:r>
      <w:r>
        <w:rPr>
          <w:i/>
          <w:iCs/>
        </w:rPr>
        <w:t>Nature</w:t>
      </w:r>
      <w:r>
        <w:t xml:space="preserve"> 2007; </w:t>
      </w:r>
      <w:r>
        <w:rPr>
          <w:b/>
          <w:bCs/>
        </w:rPr>
        <w:t>447</w:t>
      </w:r>
      <w:r>
        <w:t>: 396–8.</w:t>
      </w:r>
    </w:p>
    <w:p w:rsidR="00AF392F" w:rsidRDefault="00AF392F" w:rsidP="00AF392F">
      <w:pPr>
        <w:pStyle w:val="Bibliography"/>
      </w:pPr>
      <w:r>
        <w:t xml:space="preserve">239. Esteller M. Epigenetics in cancer. </w:t>
      </w:r>
      <w:r>
        <w:rPr>
          <w:i/>
          <w:iCs/>
        </w:rPr>
        <w:t>N Engl J Med</w:t>
      </w:r>
      <w:r>
        <w:t xml:space="preserve"> 2008; </w:t>
      </w:r>
      <w:r>
        <w:rPr>
          <w:b/>
          <w:bCs/>
        </w:rPr>
        <w:t>358</w:t>
      </w:r>
      <w:r>
        <w:t>: 1148–59.</w:t>
      </w:r>
    </w:p>
    <w:p w:rsidR="00AF392F" w:rsidRDefault="00AF392F" w:rsidP="00AF392F">
      <w:pPr>
        <w:pStyle w:val="Bibliography"/>
      </w:pPr>
      <w:r>
        <w:lastRenderedPageBreak/>
        <w:t xml:space="preserve">240. Li Z, Zhu W-G. Targeting Histone Deacetylases for Cancer Therapy: From Molecular Mechanisms to Clinical Implications. </w:t>
      </w:r>
      <w:r>
        <w:rPr>
          <w:i/>
          <w:iCs/>
        </w:rPr>
        <w:t>Int J Biol Sci</w:t>
      </w:r>
      <w:r>
        <w:t xml:space="preserve"> 2014; </w:t>
      </w:r>
      <w:r>
        <w:rPr>
          <w:b/>
          <w:bCs/>
        </w:rPr>
        <w:t>10</w:t>
      </w:r>
      <w:r>
        <w:t>: 757–70.</w:t>
      </w:r>
    </w:p>
    <w:p w:rsidR="00AF392F" w:rsidRDefault="00AF392F" w:rsidP="00AF392F">
      <w:pPr>
        <w:pStyle w:val="Bibliography"/>
      </w:pPr>
      <w:r>
        <w:t xml:space="preserve">241. Qian H, Maghsoudloo M, Kaboli PJ, </w:t>
      </w:r>
      <w:r>
        <w:rPr>
          <w:i/>
          <w:iCs/>
        </w:rPr>
        <w:t>et al.</w:t>
      </w:r>
      <w:r>
        <w:t xml:space="preserve"> Decoding the Promise and Challenges of miRNA-Based Cancer Therapies: An Essential Update on miR-21, miR-34, and miR-155. </w:t>
      </w:r>
      <w:r>
        <w:rPr>
          <w:i/>
          <w:iCs/>
        </w:rPr>
        <w:t>Int J Med Sci</w:t>
      </w:r>
      <w:r>
        <w:t xml:space="preserve"> 2024; </w:t>
      </w:r>
      <w:r>
        <w:rPr>
          <w:b/>
          <w:bCs/>
        </w:rPr>
        <w:t>21</w:t>
      </w:r>
      <w:r>
        <w:t>: 2781–98.</w:t>
      </w:r>
    </w:p>
    <w:p w:rsidR="00AF392F" w:rsidRDefault="00AF392F" w:rsidP="00AF392F">
      <w:pPr>
        <w:pStyle w:val="Bibliography"/>
      </w:pPr>
      <w:r>
        <w:t xml:space="preserve">242. Feuk L, Carson AR, Scherer SW. Structural variation in the human genome. </w:t>
      </w:r>
      <w:r>
        <w:rPr>
          <w:i/>
          <w:iCs/>
        </w:rPr>
        <w:t>Nat Rev Genet</w:t>
      </w:r>
      <w:r>
        <w:t xml:space="preserve"> 2006; </w:t>
      </w:r>
      <w:r>
        <w:rPr>
          <w:b/>
          <w:bCs/>
        </w:rPr>
        <w:t>7</w:t>
      </w:r>
      <w:r>
        <w:t>: 85–97.</w:t>
      </w:r>
    </w:p>
    <w:p w:rsidR="00AF392F" w:rsidRDefault="00AF392F" w:rsidP="00AF392F">
      <w:pPr>
        <w:pStyle w:val="Bibliography"/>
      </w:pPr>
      <w:r>
        <w:t xml:space="preserve">243. Beroukhim R, Mermel CH, Porter D, </w:t>
      </w:r>
      <w:r>
        <w:rPr>
          <w:i/>
          <w:iCs/>
        </w:rPr>
        <w:t>et al.</w:t>
      </w:r>
      <w:r>
        <w:t xml:space="preserve"> The landscape of somatic copy-number alteration across human cancers. </w:t>
      </w:r>
      <w:r>
        <w:rPr>
          <w:i/>
          <w:iCs/>
        </w:rPr>
        <w:t>Nature</w:t>
      </w:r>
      <w:r>
        <w:t xml:space="preserve"> 2010; </w:t>
      </w:r>
      <w:r>
        <w:rPr>
          <w:b/>
          <w:bCs/>
        </w:rPr>
        <w:t>463</w:t>
      </w:r>
      <w:r>
        <w:t>: 899–905.</w:t>
      </w:r>
    </w:p>
    <w:p w:rsidR="00AF392F" w:rsidRDefault="00AF392F" w:rsidP="00AF392F">
      <w:pPr>
        <w:pStyle w:val="Bibliography"/>
      </w:pPr>
      <w:r>
        <w:t xml:space="preserve">244. Vogelstein B, Papadopoulos N, Velculescu VE, Zhou S, Diaz LA, Kinzler KW. Cancer Genome Landscapes. </w:t>
      </w:r>
      <w:r>
        <w:rPr>
          <w:i/>
          <w:iCs/>
        </w:rPr>
        <w:t>Science</w:t>
      </w:r>
      <w:r>
        <w:t xml:space="preserve"> 2013; </w:t>
      </w:r>
      <w:r>
        <w:rPr>
          <w:b/>
          <w:bCs/>
        </w:rPr>
        <w:t>339</w:t>
      </w:r>
      <w:r>
        <w:t>: 1546–58.</w:t>
      </w:r>
    </w:p>
    <w:p w:rsidR="00AF392F" w:rsidRDefault="00AF392F" w:rsidP="00AF392F">
      <w:pPr>
        <w:pStyle w:val="Bibliography"/>
      </w:pPr>
      <w:r>
        <w:t xml:space="preserve">245. Sebat J, Lakshmi B, Malhotra D, </w:t>
      </w:r>
      <w:r>
        <w:rPr>
          <w:i/>
          <w:iCs/>
        </w:rPr>
        <w:t>et al.</w:t>
      </w:r>
      <w:r>
        <w:t xml:space="preserve"> Strong Association of De Novo Copy Number Mutations with Autism. </w:t>
      </w:r>
      <w:r>
        <w:rPr>
          <w:i/>
          <w:iCs/>
        </w:rPr>
        <w:t>Science</w:t>
      </w:r>
      <w:r>
        <w:t xml:space="preserve"> 2007; </w:t>
      </w:r>
      <w:r>
        <w:rPr>
          <w:b/>
          <w:bCs/>
        </w:rPr>
        <w:t>316</w:t>
      </w:r>
      <w:r>
        <w:t>: 445–9.</w:t>
      </w:r>
    </w:p>
    <w:p w:rsidR="00AF392F" w:rsidRDefault="00AF392F" w:rsidP="00AF392F">
      <w:pPr>
        <w:pStyle w:val="Bibliography"/>
      </w:pPr>
      <w:r>
        <w:t xml:space="preserve">246. Swaminathan S, Huentelman MJ, Corneveaux JJ, </w:t>
      </w:r>
      <w:r>
        <w:rPr>
          <w:i/>
          <w:iCs/>
        </w:rPr>
        <w:t>et al.</w:t>
      </w:r>
      <w:r>
        <w:t xml:space="preserve"> Analysis of Copy Number Variation in Alzheimer’s Disease in a Cohort of Clinically Characterized and Neuropathologically Verified Individuals Thornton-Wells TA, ed. </w:t>
      </w:r>
      <w:r>
        <w:rPr>
          <w:i/>
          <w:iCs/>
        </w:rPr>
        <w:t>PLoS ONE</w:t>
      </w:r>
      <w:r>
        <w:t xml:space="preserve"> 2012; </w:t>
      </w:r>
      <w:r>
        <w:rPr>
          <w:b/>
          <w:bCs/>
        </w:rPr>
        <w:t>7</w:t>
      </w:r>
      <w:r>
        <w:t>: e50640.</w:t>
      </w:r>
    </w:p>
    <w:p w:rsidR="00AF392F" w:rsidRDefault="00AF392F" w:rsidP="00AF392F">
      <w:pPr>
        <w:pStyle w:val="Bibliography"/>
      </w:pPr>
      <w:r>
        <w:t xml:space="preserve">247. Herberg JA, Kaforou M, Wright VJ, </w:t>
      </w:r>
      <w:r>
        <w:rPr>
          <w:i/>
          <w:iCs/>
        </w:rPr>
        <w:t>et al.</w:t>
      </w:r>
      <w:r>
        <w:t xml:space="preserve"> Diagnostic Test Accuracy of a 2-Transcript Host RNA Signature for Discriminating Bacterial vs Viral Infection in Febrile Children. </w:t>
      </w:r>
      <w:r>
        <w:rPr>
          <w:i/>
          <w:iCs/>
        </w:rPr>
        <w:t>JAMA</w:t>
      </w:r>
      <w:r>
        <w:t xml:space="preserve"> 2016; </w:t>
      </w:r>
      <w:r>
        <w:rPr>
          <w:b/>
          <w:bCs/>
        </w:rPr>
        <w:t>316</w:t>
      </w:r>
      <w:r>
        <w:t>: 835.</w:t>
      </w:r>
    </w:p>
    <w:p w:rsidR="00AF392F" w:rsidRDefault="00AF392F" w:rsidP="00AF392F">
      <w:pPr>
        <w:pStyle w:val="Bibliography"/>
      </w:pPr>
      <w:r>
        <w:t xml:space="preserve">248. Pierrakos C, Vincent J-L. Sepsis biomarkers: a review. </w:t>
      </w:r>
      <w:r>
        <w:rPr>
          <w:i/>
          <w:iCs/>
        </w:rPr>
        <w:t>Crit Care</w:t>
      </w:r>
      <w:r>
        <w:t xml:space="preserve"> 2010; </w:t>
      </w:r>
      <w:r>
        <w:rPr>
          <w:b/>
          <w:bCs/>
        </w:rPr>
        <w:t>14</w:t>
      </w:r>
      <w:r>
        <w:t>: R15.</w:t>
      </w:r>
    </w:p>
    <w:p w:rsidR="00AF392F" w:rsidRDefault="00AF392F" w:rsidP="00AF392F">
      <w:pPr>
        <w:pStyle w:val="Bibliography"/>
      </w:pPr>
      <w:r>
        <w:t xml:space="preserve">249. Sweeney TE, Wong HR, Khatri P. Robust classification of bacterial and viral infections via integrated host gene expression diagnostics. </w:t>
      </w:r>
      <w:r>
        <w:rPr>
          <w:i/>
          <w:iCs/>
        </w:rPr>
        <w:t>Sci Transl Med</w:t>
      </w:r>
      <w:r>
        <w:t xml:space="preserve"> 2016; </w:t>
      </w:r>
      <w:r>
        <w:rPr>
          <w:b/>
          <w:bCs/>
        </w:rPr>
        <w:t>8</w:t>
      </w:r>
      <w:r>
        <w:t>. Available at: https://www.science.org/doi/10.1126/scitranslmed.aaf7165. Accessed March 4, 2025.</w:t>
      </w:r>
    </w:p>
    <w:p w:rsidR="00AF392F" w:rsidRDefault="00AF392F" w:rsidP="00AF392F">
      <w:pPr>
        <w:pStyle w:val="Bibliography"/>
      </w:pPr>
      <w:r>
        <w:t xml:space="preserve">250. Van Houten CB, De Groot JAH, Klein A, </w:t>
      </w:r>
      <w:r>
        <w:rPr>
          <w:i/>
          <w:iCs/>
        </w:rPr>
        <w:t>et al.</w:t>
      </w:r>
      <w:r>
        <w:t xml:space="preserve"> A host-protein based assay to differentiate between bacterial and viral infections in preschool children (OPPORTUNITY): a double-blind, multicentre, validation study. </w:t>
      </w:r>
      <w:r>
        <w:rPr>
          <w:i/>
          <w:iCs/>
        </w:rPr>
        <w:t>Lancet Infect Dis</w:t>
      </w:r>
      <w:r>
        <w:t xml:space="preserve"> 2017; </w:t>
      </w:r>
      <w:r>
        <w:rPr>
          <w:b/>
          <w:bCs/>
        </w:rPr>
        <w:t>17</w:t>
      </w:r>
      <w:r>
        <w:t>: 431–40.</w:t>
      </w:r>
    </w:p>
    <w:p w:rsidR="00AF392F" w:rsidRDefault="00AF392F" w:rsidP="00AF392F">
      <w:pPr>
        <w:pStyle w:val="Bibliography"/>
      </w:pPr>
      <w:r>
        <w:t xml:space="preserve">251. Vincent J-L. The Clinical Challenge of Sepsis Identification and Monitoring. </w:t>
      </w:r>
      <w:r>
        <w:rPr>
          <w:i/>
          <w:iCs/>
        </w:rPr>
        <w:t>PLoS Med</w:t>
      </w:r>
      <w:r>
        <w:t xml:space="preserve"> 2016; </w:t>
      </w:r>
      <w:r>
        <w:rPr>
          <w:b/>
          <w:bCs/>
        </w:rPr>
        <w:t>13</w:t>
      </w:r>
      <w:r>
        <w:t>: e1002022.</w:t>
      </w:r>
    </w:p>
    <w:p w:rsidR="00AF392F" w:rsidRDefault="00AF392F" w:rsidP="00AF392F">
      <w:pPr>
        <w:pStyle w:val="Bibliography"/>
      </w:pPr>
      <w:r>
        <w:t xml:space="preserve">252. Rudd KE, Kissoon N, Limmathurotsakul D, </w:t>
      </w:r>
      <w:r>
        <w:rPr>
          <w:i/>
          <w:iCs/>
        </w:rPr>
        <w:t>et al.</w:t>
      </w:r>
      <w:r>
        <w:t xml:space="preserve"> The global burden of sepsis: barriers and potential solutions. </w:t>
      </w:r>
      <w:r>
        <w:rPr>
          <w:i/>
          <w:iCs/>
        </w:rPr>
        <w:t>Crit Care</w:t>
      </w:r>
      <w:r>
        <w:t xml:space="preserve"> 2018; </w:t>
      </w:r>
      <w:r>
        <w:rPr>
          <w:b/>
          <w:bCs/>
        </w:rPr>
        <w:t>22</w:t>
      </w:r>
      <w:r>
        <w:t>: 232.</w:t>
      </w:r>
    </w:p>
    <w:p w:rsidR="00AF392F" w:rsidRDefault="00AF392F" w:rsidP="00AF392F">
      <w:pPr>
        <w:pStyle w:val="Bibliography"/>
      </w:pPr>
      <w:r>
        <w:t xml:space="preserve">253. Ramilo O, Allman W, Chung W, </w:t>
      </w:r>
      <w:r>
        <w:rPr>
          <w:i/>
          <w:iCs/>
        </w:rPr>
        <w:t>et al.</w:t>
      </w:r>
      <w:r>
        <w:t xml:space="preserve"> Gene expression patterns in blood leukocytes discriminate patients with acute infections. </w:t>
      </w:r>
      <w:r>
        <w:rPr>
          <w:i/>
          <w:iCs/>
        </w:rPr>
        <w:t>Blood</w:t>
      </w:r>
      <w:r>
        <w:t xml:space="preserve"> 2007; </w:t>
      </w:r>
      <w:r>
        <w:rPr>
          <w:b/>
          <w:bCs/>
        </w:rPr>
        <w:t>109</w:t>
      </w:r>
      <w:r>
        <w:t>: 2066–77.</w:t>
      </w:r>
    </w:p>
    <w:p w:rsidR="00AF392F" w:rsidRDefault="00AF392F" w:rsidP="00AF392F">
      <w:pPr>
        <w:pStyle w:val="Bibliography"/>
      </w:pPr>
      <w:r>
        <w:t xml:space="preserve">254. Sweeney TE, Wong HR, Khatri P. Robust classification of bacterial and viral infections via integrated host gene expression diagnostics. </w:t>
      </w:r>
      <w:r>
        <w:rPr>
          <w:i/>
          <w:iCs/>
        </w:rPr>
        <w:t>Sci Transl Med</w:t>
      </w:r>
      <w:r>
        <w:t xml:space="preserve"> 2016; </w:t>
      </w:r>
      <w:r>
        <w:rPr>
          <w:b/>
          <w:bCs/>
        </w:rPr>
        <w:t>8</w:t>
      </w:r>
      <w:r>
        <w:t>. Available at: https://www.science.org/doi/10.1126/scitranslmed.aaf7165. Accessed March 4, 2025.</w:t>
      </w:r>
    </w:p>
    <w:p w:rsidR="00AF392F" w:rsidRDefault="00AF392F" w:rsidP="00AF392F">
      <w:pPr>
        <w:pStyle w:val="Bibliography"/>
      </w:pPr>
      <w:r>
        <w:lastRenderedPageBreak/>
        <w:t xml:space="preserve">255. Herberg JA, Kaforou M, Wright VJ, </w:t>
      </w:r>
      <w:r>
        <w:rPr>
          <w:i/>
          <w:iCs/>
        </w:rPr>
        <w:t>et al.</w:t>
      </w:r>
      <w:r>
        <w:t xml:space="preserve"> Diagnostic Test Accuracy of a 2-Transcript Host RNA Signature for Discriminating Bacterial vs Viral Infection in Febrile Children. </w:t>
      </w:r>
      <w:r>
        <w:rPr>
          <w:i/>
          <w:iCs/>
        </w:rPr>
        <w:t>JAMA</w:t>
      </w:r>
      <w:r>
        <w:t xml:space="preserve"> 2016; </w:t>
      </w:r>
      <w:r>
        <w:rPr>
          <w:b/>
          <w:bCs/>
        </w:rPr>
        <w:t>316</w:t>
      </w:r>
      <w:r>
        <w:t>: 835.</w:t>
      </w:r>
    </w:p>
    <w:p w:rsidR="00AF392F" w:rsidRDefault="00AF392F" w:rsidP="00AF392F">
      <w:pPr>
        <w:pStyle w:val="Bibliography"/>
      </w:pPr>
      <w:r>
        <w:t xml:space="preserve">256. Van Houten CB, De Groot JAH, Klein A, </w:t>
      </w:r>
      <w:r>
        <w:rPr>
          <w:i/>
          <w:iCs/>
        </w:rPr>
        <w:t>et al.</w:t>
      </w:r>
      <w:r>
        <w:t xml:space="preserve"> A host-protein based assay to differentiate between bacterial and viral infections in preschool children (OPPORTUNITY): a double-blind, multicentre, validation study. </w:t>
      </w:r>
      <w:r>
        <w:rPr>
          <w:i/>
          <w:iCs/>
        </w:rPr>
        <w:t>Lancet Infect Dis</w:t>
      </w:r>
      <w:r>
        <w:t xml:space="preserve"> 2017; </w:t>
      </w:r>
      <w:r>
        <w:rPr>
          <w:b/>
          <w:bCs/>
        </w:rPr>
        <w:t>17</w:t>
      </w:r>
      <w:r>
        <w:t>: 431–40.</w:t>
      </w:r>
    </w:p>
    <w:p w:rsidR="00AF392F" w:rsidRDefault="00AF392F" w:rsidP="00AF392F">
      <w:pPr>
        <w:pStyle w:val="Bibliography"/>
      </w:pPr>
      <w:r>
        <w:t xml:space="preserve">257. Becker KL, Nylén ES, White JC, Müller B, Snider RH. Clinical review 167: Procalcitonin and the calcitonin gene family of peptides in inflammation, infection, and sepsis: a journey from calcitonin back to its precursors. </w:t>
      </w:r>
      <w:r>
        <w:rPr>
          <w:i/>
          <w:iCs/>
        </w:rPr>
        <w:t>J Clin Endocrinol Metab</w:t>
      </w:r>
      <w:r>
        <w:t xml:space="preserve"> 2004; </w:t>
      </w:r>
      <w:r>
        <w:rPr>
          <w:b/>
          <w:bCs/>
        </w:rPr>
        <w:t>89</w:t>
      </w:r>
      <w:r>
        <w:t>: 1512–25.</w:t>
      </w:r>
    </w:p>
    <w:p w:rsidR="00AF392F" w:rsidRDefault="00AF392F" w:rsidP="00AF392F">
      <w:pPr>
        <w:pStyle w:val="Bibliography"/>
      </w:pPr>
      <w:r>
        <w:t xml:space="preserve">258. Meisner M. </w:t>
      </w:r>
      <w:r>
        <w:rPr>
          <w:i/>
          <w:iCs/>
        </w:rPr>
        <w:t>Procalcitonin - Biochemistry and Clinical Diagnosis</w:t>
      </w:r>
      <w:r>
        <w:t>. 1st ed. Bremen: UNI-MED Verlag; 2010.</w:t>
      </w:r>
    </w:p>
    <w:p w:rsidR="00AF392F" w:rsidRDefault="00AF392F" w:rsidP="00AF392F">
      <w:pPr>
        <w:pStyle w:val="Bibliography"/>
      </w:pPr>
      <w:r>
        <w:t xml:space="preserve">259. Schuetz P, Christ-Crain M, Müller B. Procalcitonin and other biomarkers to improve assessment and antibiotic stewardship in infections--hope for hype? </w:t>
      </w:r>
      <w:r>
        <w:rPr>
          <w:i/>
          <w:iCs/>
        </w:rPr>
        <w:t>Swiss Med Wkly</w:t>
      </w:r>
      <w:r>
        <w:t xml:space="preserve"> 2009; </w:t>
      </w:r>
      <w:r>
        <w:rPr>
          <w:b/>
          <w:bCs/>
        </w:rPr>
        <w:t>139</w:t>
      </w:r>
      <w:r>
        <w:t>: 318–26.</w:t>
      </w:r>
    </w:p>
    <w:p w:rsidR="00AF392F" w:rsidRDefault="00AF392F" w:rsidP="00AF392F">
      <w:pPr>
        <w:pStyle w:val="Bibliography"/>
      </w:pPr>
      <w:r>
        <w:t xml:space="preserve">260. Simon L, Gauvin F, Amre DK, Saint-Louis P, Lacroix J. Serum Procalcitonin and C-Reactive Protein Levels as Markers of Bacterial Infection: A Systematic Review and Meta-analysis. </w:t>
      </w:r>
      <w:r>
        <w:rPr>
          <w:i/>
          <w:iCs/>
        </w:rPr>
        <w:t>Clin Infect Dis</w:t>
      </w:r>
      <w:r>
        <w:t xml:space="preserve"> 2004; </w:t>
      </w:r>
      <w:r>
        <w:rPr>
          <w:b/>
          <w:bCs/>
        </w:rPr>
        <w:t>39</w:t>
      </w:r>
      <w:r>
        <w:t>: 206–17.</w:t>
      </w:r>
    </w:p>
    <w:p w:rsidR="00AF392F" w:rsidRDefault="00AF392F" w:rsidP="00AF392F">
      <w:pPr>
        <w:pStyle w:val="Bibliography"/>
      </w:pPr>
      <w:r>
        <w:t xml:space="preserve">261. Schuetz P, Beishuizen A, Broyles M, </w:t>
      </w:r>
      <w:r>
        <w:rPr>
          <w:i/>
          <w:iCs/>
        </w:rPr>
        <w:t>et al.</w:t>
      </w:r>
      <w:r>
        <w:t xml:space="preserve"> Procalcitonin (PCT)-guided antibiotic stewardship: an international experts consensus on optimized clinical use. </w:t>
      </w:r>
      <w:r>
        <w:rPr>
          <w:i/>
          <w:iCs/>
        </w:rPr>
        <w:t>Clin Chem Lab Med CCLM</w:t>
      </w:r>
      <w:r>
        <w:t xml:space="preserve"> 2019; </w:t>
      </w:r>
      <w:r>
        <w:rPr>
          <w:b/>
          <w:bCs/>
        </w:rPr>
        <w:t>57</w:t>
      </w:r>
      <w:r>
        <w:t>: 1308–18.</w:t>
      </w:r>
    </w:p>
    <w:p w:rsidR="00AF392F" w:rsidRDefault="00AF392F" w:rsidP="00AF392F">
      <w:pPr>
        <w:pStyle w:val="Bibliography"/>
      </w:pPr>
      <w:r>
        <w:t xml:space="preserve">262. Christensen I, Berild D, Bjørnholt JV, Jelsness-Jørgensen L-P, Debes SM, Haug JB. The Role of Procalcitonin as an Antimicrobial Stewardship Tool in Patients Hospitalized with Seasonal Influenza. </w:t>
      </w:r>
      <w:r>
        <w:rPr>
          <w:i/>
          <w:iCs/>
        </w:rPr>
        <w:t>Antibiot Basel Switz</w:t>
      </w:r>
      <w:r>
        <w:t xml:space="preserve"> 2023; </w:t>
      </w:r>
      <w:r>
        <w:rPr>
          <w:b/>
          <w:bCs/>
        </w:rPr>
        <w:t>12</w:t>
      </w:r>
      <w:r>
        <w:t>: 573.</w:t>
      </w:r>
    </w:p>
    <w:p w:rsidR="00AF392F" w:rsidRDefault="00AF392F" w:rsidP="00AF392F">
      <w:pPr>
        <w:pStyle w:val="Bibliography"/>
      </w:pPr>
      <w:r>
        <w:t xml:space="preserve">263. Sproston NR, Ashworth JJ. Role of C-Reactive Protein at Sites of Inflammation and Infection. </w:t>
      </w:r>
      <w:r>
        <w:rPr>
          <w:i/>
          <w:iCs/>
        </w:rPr>
        <w:t>Front Immunol</w:t>
      </w:r>
      <w:r>
        <w:t xml:space="preserve"> 2018; </w:t>
      </w:r>
      <w:r>
        <w:rPr>
          <w:b/>
          <w:bCs/>
        </w:rPr>
        <w:t>9</w:t>
      </w:r>
      <w:r>
        <w:t>: 754.</w:t>
      </w:r>
    </w:p>
    <w:p w:rsidR="00AF392F" w:rsidRDefault="00AF392F" w:rsidP="00AF392F">
      <w:pPr>
        <w:pStyle w:val="Bibliography"/>
      </w:pPr>
      <w:r>
        <w:t xml:space="preserve">264. Holm A, Nexoe J, Bistrup LA, </w:t>
      </w:r>
      <w:r>
        <w:rPr>
          <w:i/>
          <w:iCs/>
        </w:rPr>
        <w:t>et al.</w:t>
      </w:r>
      <w:r>
        <w:t xml:space="preserve"> Aetiology and prediction of pneumonia in lower respiratory tract infection in primary care. </w:t>
      </w:r>
      <w:r>
        <w:rPr>
          <w:i/>
          <w:iCs/>
        </w:rPr>
        <w:t>Br J Gen Pract J R Coll Gen Pract</w:t>
      </w:r>
      <w:r>
        <w:t xml:space="preserve"> 2007; </w:t>
      </w:r>
      <w:r>
        <w:rPr>
          <w:b/>
          <w:bCs/>
        </w:rPr>
        <w:t>57</w:t>
      </w:r>
      <w:r>
        <w:t>: 547–54.</w:t>
      </w:r>
    </w:p>
    <w:p w:rsidR="00AF392F" w:rsidRDefault="00AF392F" w:rsidP="00AF392F">
      <w:pPr>
        <w:pStyle w:val="Bibliography"/>
      </w:pPr>
      <w:r>
        <w:t xml:space="preserve">265. Wacker C, Prkno A, Brunkhorst FM, Schlattmann P. Procalcitonin as a diagnostic marker for sepsis: a systematic review and meta-analysis. </w:t>
      </w:r>
      <w:r>
        <w:rPr>
          <w:i/>
          <w:iCs/>
        </w:rPr>
        <w:t>Lancet Infect Dis</w:t>
      </w:r>
      <w:r>
        <w:t xml:space="preserve"> 2013; </w:t>
      </w:r>
      <w:r>
        <w:rPr>
          <w:b/>
          <w:bCs/>
        </w:rPr>
        <w:t>13</w:t>
      </w:r>
      <w:r>
        <w:t>: 426–35.</w:t>
      </w:r>
    </w:p>
    <w:p w:rsidR="00AF392F" w:rsidRDefault="00AF392F" w:rsidP="00AF392F">
      <w:pPr>
        <w:pStyle w:val="Bibliography"/>
      </w:pPr>
      <w:r>
        <w:t xml:space="preserve">266. Van Den Bruel A, Thompson MJ, Haj-Hassan T, </w:t>
      </w:r>
      <w:r>
        <w:rPr>
          <w:i/>
          <w:iCs/>
        </w:rPr>
        <w:t>et al.</w:t>
      </w:r>
      <w:r>
        <w:t xml:space="preserve"> Diagnostic value of laboratory tests in identifying serious infections in febrile children: systematic review. </w:t>
      </w:r>
      <w:r>
        <w:rPr>
          <w:i/>
          <w:iCs/>
        </w:rPr>
        <w:t>BMJ</w:t>
      </w:r>
      <w:r>
        <w:t xml:space="preserve"> 2011; </w:t>
      </w:r>
      <w:r>
        <w:rPr>
          <w:b/>
          <w:bCs/>
        </w:rPr>
        <w:t>342</w:t>
      </w:r>
      <w:r>
        <w:t>: d3082–d3082.</w:t>
      </w:r>
    </w:p>
    <w:p w:rsidR="00AF392F" w:rsidRDefault="00AF392F" w:rsidP="00AF392F">
      <w:pPr>
        <w:pStyle w:val="Bibliography"/>
      </w:pPr>
      <w:r>
        <w:t xml:space="preserve">267. Liu Y, Gao Y, Liang B, Liang Z. The prognostic value of C-reactive protein to albumin ratio in patients with sepsis: a systematic review and meta-analysis. </w:t>
      </w:r>
      <w:r>
        <w:rPr>
          <w:i/>
          <w:iCs/>
        </w:rPr>
        <w:t>Aging Male Off J Int Soc Study Aging Male</w:t>
      </w:r>
      <w:r>
        <w:t xml:space="preserve"> 2023; </w:t>
      </w:r>
      <w:r>
        <w:rPr>
          <w:b/>
          <w:bCs/>
        </w:rPr>
        <w:t>26</w:t>
      </w:r>
      <w:r>
        <w:t>: 2261540.</w:t>
      </w:r>
    </w:p>
    <w:p w:rsidR="00AF392F" w:rsidRDefault="00AF392F" w:rsidP="00AF392F">
      <w:pPr>
        <w:pStyle w:val="Bibliography"/>
      </w:pPr>
      <w:r>
        <w:t xml:space="preserve">268. Lubell Y, Althaus T, Blacksell SD, </w:t>
      </w:r>
      <w:r>
        <w:rPr>
          <w:i/>
          <w:iCs/>
        </w:rPr>
        <w:t>et al.</w:t>
      </w:r>
      <w:r>
        <w:t xml:space="preserve"> Modelling the Impact and Cost-Effectiveness of Biomarker Tests as Compared with Pathogen-Specific Diagnostics in the Management of Undifferentiated Fever in Remote Tropical Settings. </w:t>
      </w:r>
      <w:r>
        <w:rPr>
          <w:i/>
          <w:iCs/>
        </w:rPr>
        <w:t>PloS One</w:t>
      </w:r>
      <w:r>
        <w:t xml:space="preserve"> 2016; </w:t>
      </w:r>
      <w:r>
        <w:rPr>
          <w:b/>
          <w:bCs/>
        </w:rPr>
        <w:t>11</w:t>
      </w:r>
      <w:r>
        <w:t>: e0152420.</w:t>
      </w:r>
    </w:p>
    <w:p w:rsidR="00AF392F" w:rsidRDefault="00AF392F" w:rsidP="00AF392F">
      <w:pPr>
        <w:pStyle w:val="Bibliography"/>
      </w:pPr>
      <w:r>
        <w:lastRenderedPageBreak/>
        <w:t xml:space="preserve">269. Cals JWL, Schot MJC, de Jong SAM, Dinant G-J, Hopstaken RM. Point-of-care C-reactive protein testing and antibiotic prescribing for respiratory tract infections: a randomized controlled trial. </w:t>
      </w:r>
      <w:r>
        <w:rPr>
          <w:i/>
          <w:iCs/>
        </w:rPr>
        <w:t>Ann Fam Med</w:t>
      </w:r>
      <w:r>
        <w:t xml:space="preserve"> 2010; </w:t>
      </w:r>
      <w:r>
        <w:rPr>
          <w:b/>
          <w:bCs/>
        </w:rPr>
        <w:t>8</w:t>
      </w:r>
      <w:r>
        <w:t>: 124–33.</w:t>
      </w:r>
    </w:p>
    <w:p w:rsidR="00AF392F" w:rsidRDefault="00AF392F" w:rsidP="00AF392F">
      <w:pPr>
        <w:pStyle w:val="Bibliography"/>
      </w:pPr>
      <w:r>
        <w:t xml:space="preserve">270. Schneider WM, Chevillotte MD, Rice CM. Interferon-stimulated genes: a complex web of host defenses. </w:t>
      </w:r>
      <w:r>
        <w:rPr>
          <w:i/>
          <w:iCs/>
        </w:rPr>
        <w:t>Annu Rev Immunol</w:t>
      </w:r>
      <w:r>
        <w:t xml:space="preserve"> 2014; </w:t>
      </w:r>
      <w:r>
        <w:rPr>
          <w:b/>
          <w:bCs/>
        </w:rPr>
        <w:t>32</w:t>
      </w:r>
      <w:r>
        <w:t>: 513–45.</w:t>
      </w:r>
    </w:p>
    <w:p w:rsidR="00AF392F" w:rsidRDefault="00AF392F" w:rsidP="00AF392F">
      <w:pPr>
        <w:pStyle w:val="Bibliography"/>
      </w:pPr>
      <w:r>
        <w:t xml:space="preserve">271. Liu M, Guo S, Hibbert JM, </w:t>
      </w:r>
      <w:r>
        <w:rPr>
          <w:i/>
          <w:iCs/>
        </w:rPr>
        <w:t>et al.</w:t>
      </w:r>
      <w:r>
        <w:t xml:space="preserve"> CXCL10/IP-10 in infectious diseases pathogenesis and potential therapeutic implications. </w:t>
      </w:r>
      <w:r>
        <w:rPr>
          <w:i/>
          <w:iCs/>
        </w:rPr>
        <w:t>Cytokine Growth Factor Rev</w:t>
      </w:r>
      <w:r>
        <w:t xml:space="preserve"> 2011: S1359610111000293.</w:t>
      </w:r>
    </w:p>
    <w:p w:rsidR="00AF392F" w:rsidRDefault="00AF392F" w:rsidP="00AF392F">
      <w:pPr>
        <w:pStyle w:val="Bibliography"/>
      </w:pPr>
      <w:r>
        <w:t xml:space="preserve">272. Seleznik GM, Zoller J, O’Connor T, Graf R, Heikenwalder M. The role of lymphotoxin signaling in the development of autoimmune pancreatitis and associated secondary extra-pancreatic pathologies. </w:t>
      </w:r>
      <w:r>
        <w:rPr>
          <w:i/>
          <w:iCs/>
        </w:rPr>
        <w:t>Cytokine Growth Factor Rev</w:t>
      </w:r>
      <w:r>
        <w:t xml:space="preserve"> 2014; </w:t>
      </w:r>
      <w:r>
        <w:rPr>
          <w:b/>
          <w:bCs/>
        </w:rPr>
        <w:t>25</w:t>
      </w:r>
      <w:r>
        <w:t>: 125–37.</w:t>
      </w:r>
    </w:p>
    <w:p w:rsidR="00AF392F" w:rsidRDefault="00AF392F" w:rsidP="00AF392F">
      <w:pPr>
        <w:pStyle w:val="Bibliography"/>
      </w:pPr>
      <w:r>
        <w:t xml:space="preserve">273. Lee JS, Shin E-C. The type I interferon response in COVID-19: implications for treatment. </w:t>
      </w:r>
      <w:r>
        <w:rPr>
          <w:i/>
          <w:iCs/>
        </w:rPr>
        <w:t>Nat Rev Immunol</w:t>
      </w:r>
      <w:r>
        <w:t xml:space="preserve"> 2020; </w:t>
      </w:r>
      <w:r>
        <w:rPr>
          <w:b/>
          <w:bCs/>
        </w:rPr>
        <w:t>20</w:t>
      </w:r>
      <w:r>
        <w:t>: 585–6.</w:t>
      </w:r>
    </w:p>
    <w:p w:rsidR="00AF392F" w:rsidRDefault="00AF392F" w:rsidP="00AF392F">
      <w:pPr>
        <w:pStyle w:val="Bibliography"/>
      </w:pPr>
      <w:r>
        <w:t xml:space="preserve">274. Takahashi T, Luzum JA, Nicol MR, Jacobson PA. Pharmacogenomics of COVID-19 therapies. </w:t>
      </w:r>
      <w:r>
        <w:rPr>
          <w:i/>
          <w:iCs/>
        </w:rPr>
        <w:t>Npj Genomic Med</w:t>
      </w:r>
      <w:r>
        <w:t xml:space="preserve"> 2020; </w:t>
      </w:r>
      <w:r>
        <w:rPr>
          <w:b/>
          <w:bCs/>
        </w:rPr>
        <w:t>5</w:t>
      </w:r>
      <w:r>
        <w:t>: 35.</w:t>
      </w:r>
    </w:p>
    <w:p w:rsidR="00AF392F" w:rsidRDefault="00AF392F" w:rsidP="00AF392F">
      <w:pPr>
        <w:pStyle w:val="Bibliography"/>
      </w:pPr>
      <w:r>
        <w:t xml:space="preserve">275. Schuetz P, Christ-Crain M, Müller B. Procalcitonin and other biomarkers to improve assessment and antibiotic stewardship in infections--hope for hype? </w:t>
      </w:r>
      <w:r>
        <w:rPr>
          <w:i/>
          <w:iCs/>
        </w:rPr>
        <w:t>Swiss Med Wkly</w:t>
      </w:r>
      <w:r>
        <w:t xml:space="preserve"> 2009; </w:t>
      </w:r>
      <w:r>
        <w:rPr>
          <w:b/>
          <w:bCs/>
        </w:rPr>
        <w:t>139</w:t>
      </w:r>
      <w:r>
        <w:t>: 318–26.</w:t>
      </w:r>
    </w:p>
    <w:p w:rsidR="00AF392F" w:rsidRDefault="00AF392F" w:rsidP="00AF392F">
      <w:pPr>
        <w:pStyle w:val="Bibliography"/>
      </w:pPr>
      <w:r>
        <w:t xml:space="preserve">276. Van Houten CB, De Groot JAH, Klein A, </w:t>
      </w:r>
      <w:r>
        <w:rPr>
          <w:i/>
          <w:iCs/>
        </w:rPr>
        <w:t>et al.</w:t>
      </w:r>
      <w:r>
        <w:t xml:space="preserve"> A host-protein based assay to differentiate between bacterial and viral infections in preschool children (OPPORTUNITY): a double-blind, multicentre, validation study. </w:t>
      </w:r>
      <w:r>
        <w:rPr>
          <w:i/>
          <w:iCs/>
        </w:rPr>
        <w:t>Lancet Infect Dis</w:t>
      </w:r>
      <w:r>
        <w:t xml:space="preserve"> 2017; </w:t>
      </w:r>
      <w:r>
        <w:rPr>
          <w:b/>
          <w:bCs/>
        </w:rPr>
        <w:t>17</w:t>
      </w:r>
      <w:r>
        <w:t>: 431–40.</w:t>
      </w:r>
    </w:p>
    <w:p w:rsidR="00AF392F" w:rsidRDefault="00AF392F" w:rsidP="00AF392F">
      <w:pPr>
        <w:pStyle w:val="Bibliography"/>
      </w:pPr>
      <w:r>
        <w:t xml:space="preserve">277. Rhedin S, Elfving K, Berggren A. Novel Biomarkers Differentiating Viral from Bacterial Infection in Febrile Children: Future Perspectives for Management in Clinical Praxis. </w:t>
      </w:r>
      <w:r>
        <w:rPr>
          <w:i/>
          <w:iCs/>
        </w:rPr>
        <w:t>Child Basel Switz</w:t>
      </w:r>
      <w:r>
        <w:t xml:space="preserve"> 2021; </w:t>
      </w:r>
      <w:r>
        <w:rPr>
          <w:b/>
          <w:bCs/>
        </w:rPr>
        <w:t>8</w:t>
      </w:r>
      <w:r>
        <w:t>: 1070.</w:t>
      </w:r>
    </w:p>
    <w:p w:rsidR="00AF392F" w:rsidRDefault="00AF392F" w:rsidP="00AF392F">
      <w:pPr>
        <w:pStyle w:val="Bibliography"/>
      </w:pPr>
      <w:r>
        <w:t xml:space="preserve">278. Papan C, Argentiero A, Porwoll M, </w:t>
      </w:r>
      <w:r>
        <w:rPr>
          <w:i/>
          <w:iCs/>
        </w:rPr>
        <w:t>et al.</w:t>
      </w:r>
      <w:r>
        <w:t xml:space="preserve"> A host signature based on TRAIL, IP-10, and CRP for reducing antibiotic overuse in children by differentiating bacterial from viral infections: a prospective, multicentre cohort study. </w:t>
      </w:r>
      <w:r>
        <w:rPr>
          <w:i/>
          <w:iCs/>
        </w:rPr>
        <w:t>Clin Microbiol Infect Off Publ Eur Soc Clin Microbiol Infect Dis</w:t>
      </w:r>
      <w:r>
        <w:t xml:space="preserve"> 2022; </w:t>
      </w:r>
      <w:r>
        <w:rPr>
          <w:b/>
          <w:bCs/>
        </w:rPr>
        <w:t>28</w:t>
      </w:r>
      <w:r>
        <w:t>: 723–30.</w:t>
      </w:r>
    </w:p>
    <w:p w:rsidR="00AF392F" w:rsidRDefault="00AF392F" w:rsidP="00AF392F">
      <w:pPr>
        <w:pStyle w:val="Bibliography"/>
      </w:pPr>
      <w:r>
        <w:t xml:space="preserve">279. Ashkenazi-Hoffnung L, Oved K, Navon R, </w:t>
      </w:r>
      <w:r>
        <w:rPr>
          <w:i/>
          <w:iCs/>
        </w:rPr>
        <w:t>et al.</w:t>
      </w:r>
      <w:r>
        <w:t xml:space="preserve"> A host-protein signature is superior to other biomarkers for differentiating between bacterial and viral disease in patients with respiratory infection and fever without source: a prospective observational study. </w:t>
      </w:r>
      <w:r>
        <w:rPr>
          <w:i/>
          <w:iCs/>
        </w:rPr>
        <w:t>Eur J Clin Microbiol Infect Dis Off Publ Eur Soc Clin Microbiol</w:t>
      </w:r>
      <w:r>
        <w:t xml:space="preserve"> 2018; </w:t>
      </w:r>
      <w:r>
        <w:rPr>
          <w:b/>
          <w:bCs/>
        </w:rPr>
        <w:t>37</w:t>
      </w:r>
      <w:r>
        <w:t>: 1361–71.</w:t>
      </w:r>
    </w:p>
    <w:p w:rsidR="00AF392F" w:rsidRDefault="00AF392F" w:rsidP="00AF392F">
      <w:pPr>
        <w:pStyle w:val="Bibliography"/>
      </w:pPr>
      <w:r>
        <w:t xml:space="preserve">280. Guest PC, Popovic D, Steiner J. Challenges of Multiplex Assays for COVID-19 Research: A Machine Learning Perspective. </w:t>
      </w:r>
      <w:r>
        <w:rPr>
          <w:i/>
          <w:iCs/>
        </w:rPr>
        <w:t>Methods Mol Biol Clifton NJ</w:t>
      </w:r>
      <w:r>
        <w:t xml:space="preserve"> 2022; </w:t>
      </w:r>
      <w:r>
        <w:rPr>
          <w:b/>
          <w:bCs/>
        </w:rPr>
        <w:t>2511</w:t>
      </w:r>
      <w:r>
        <w:t>: 37–50.</w:t>
      </w:r>
    </w:p>
    <w:p w:rsidR="00AF392F" w:rsidRDefault="00AF392F" w:rsidP="00AF392F">
      <w:pPr>
        <w:pStyle w:val="Bibliography"/>
      </w:pPr>
      <w:r>
        <w:t xml:space="preserve">281. Liu M, Guo S, Hibbert JM, </w:t>
      </w:r>
      <w:r>
        <w:rPr>
          <w:i/>
          <w:iCs/>
        </w:rPr>
        <w:t>et al.</w:t>
      </w:r>
      <w:r>
        <w:t xml:space="preserve"> CXCL10/IP-10 in infectious diseases pathogenesis and potential therapeutic implications. </w:t>
      </w:r>
      <w:r>
        <w:rPr>
          <w:i/>
          <w:iCs/>
        </w:rPr>
        <w:t>Cytokine Growth Factor Rev</w:t>
      </w:r>
      <w:r>
        <w:t xml:space="preserve"> 2011; </w:t>
      </w:r>
      <w:r>
        <w:rPr>
          <w:b/>
          <w:bCs/>
        </w:rPr>
        <w:t>22</w:t>
      </w:r>
      <w:r>
        <w:t>: 121–30.</w:t>
      </w:r>
    </w:p>
    <w:p w:rsidR="00AF392F" w:rsidRDefault="00AF392F" w:rsidP="00AF392F">
      <w:pPr>
        <w:pStyle w:val="Bibliography"/>
      </w:pPr>
      <w:r>
        <w:t xml:space="preserve">282. Hayney MS, Henriquez KM, Barnet JH, </w:t>
      </w:r>
      <w:r>
        <w:rPr>
          <w:i/>
          <w:iCs/>
        </w:rPr>
        <w:t>et al.</w:t>
      </w:r>
      <w:r>
        <w:t xml:space="preserve"> Serum IFN-γ-induced protein 10 (IP-10) as a biomarker for severity of acute respiratory infection in healthy adults. </w:t>
      </w:r>
      <w:r>
        <w:rPr>
          <w:i/>
          <w:iCs/>
        </w:rPr>
        <w:t>J Clin Virol Off Publ Pan Am Soc Clin Virol</w:t>
      </w:r>
      <w:r>
        <w:t xml:space="preserve"> 2017; </w:t>
      </w:r>
      <w:r>
        <w:rPr>
          <w:b/>
          <w:bCs/>
        </w:rPr>
        <w:t>90</w:t>
      </w:r>
      <w:r>
        <w:t>: 32–7.</w:t>
      </w:r>
    </w:p>
    <w:p w:rsidR="00AF392F" w:rsidRDefault="00AF392F" w:rsidP="00AF392F">
      <w:pPr>
        <w:pStyle w:val="Bibliography"/>
      </w:pPr>
      <w:r>
        <w:lastRenderedPageBreak/>
        <w:t xml:space="preserve">283. Haller O, Staeheli P, Kochs G. Interferon-induced Mx proteins in antiviral host defense. </w:t>
      </w:r>
      <w:r>
        <w:rPr>
          <w:i/>
          <w:iCs/>
        </w:rPr>
        <w:t>Biochimie</w:t>
      </w:r>
      <w:r>
        <w:t xml:space="preserve"> 2007; </w:t>
      </w:r>
      <w:r>
        <w:rPr>
          <w:b/>
          <w:bCs/>
        </w:rPr>
        <w:t>89</w:t>
      </w:r>
      <w:r>
        <w:t>: 812–8.</w:t>
      </w:r>
    </w:p>
    <w:p w:rsidR="00AF392F" w:rsidRDefault="00AF392F" w:rsidP="00AF392F">
      <w:pPr>
        <w:pStyle w:val="Bibliography"/>
      </w:pPr>
      <w:r>
        <w:t xml:space="preserve">284. Shirley M. FebriDx®: A Rapid Diagnostic Test for Differentiating Bacterial and Viral Aetiologies in Acute Respiratory Infections. </w:t>
      </w:r>
      <w:r>
        <w:rPr>
          <w:i/>
          <w:iCs/>
        </w:rPr>
        <w:t>Mol Diagn Ther</w:t>
      </w:r>
      <w:r>
        <w:t xml:space="preserve"> 2019; </w:t>
      </w:r>
      <w:r>
        <w:rPr>
          <w:b/>
          <w:bCs/>
        </w:rPr>
        <w:t>23</w:t>
      </w:r>
      <w:r>
        <w:t>: 803–9.</w:t>
      </w:r>
    </w:p>
    <w:p w:rsidR="00AF392F" w:rsidRDefault="00AF392F" w:rsidP="00AF392F">
      <w:pPr>
        <w:pStyle w:val="Bibliography"/>
      </w:pPr>
      <w:r>
        <w:t xml:space="preserve">285. Barral-Arca R, Pardo-Seco J, Martinón-Torres F, Salas A. A 2-transcript host cell signature distinguishes viral from bacterial diarrhea and it is influenced by the severity of symptoms. </w:t>
      </w:r>
      <w:r>
        <w:rPr>
          <w:i/>
          <w:iCs/>
        </w:rPr>
        <w:t>Sci Rep</w:t>
      </w:r>
      <w:r>
        <w:t xml:space="preserve"> 2018; </w:t>
      </w:r>
      <w:r>
        <w:rPr>
          <w:b/>
          <w:bCs/>
        </w:rPr>
        <w:t>8</w:t>
      </w:r>
      <w:r>
        <w:t>: 8043.</w:t>
      </w:r>
    </w:p>
    <w:p w:rsidR="00AF392F" w:rsidRDefault="00AF392F" w:rsidP="00AF392F">
      <w:pPr>
        <w:pStyle w:val="Bibliography"/>
      </w:pPr>
      <w:r>
        <w:t xml:space="preserve">286. Bustos IG, Martinez-Lemus LF, Reyes LF, Martin-Loeches I. Transforming Microbiological Diagnostics in Nosocomial Lower Respiratory Tract Infections: Innovations Shaping the Future. </w:t>
      </w:r>
      <w:r>
        <w:rPr>
          <w:i/>
          <w:iCs/>
        </w:rPr>
        <w:t>Diagnostics</w:t>
      </w:r>
      <w:r>
        <w:t xml:space="preserve"> 2025; </w:t>
      </w:r>
      <w:r>
        <w:rPr>
          <w:b/>
          <w:bCs/>
        </w:rPr>
        <w:t>15</w:t>
      </w:r>
      <w:r>
        <w:t>: 265.</w:t>
      </w:r>
    </w:p>
    <w:p w:rsidR="00AF392F" w:rsidRDefault="00AF392F" w:rsidP="00AF392F">
      <w:pPr>
        <w:pStyle w:val="Bibliography"/>
      </w:pPr>
      <w:r>
        <w:t xml:space="preserve">287. Mi Y, Burnham KL, Charles PD, </w:t>
      </w:r>
      <w:r>
        <w:rPr>
          <w:i/>
          <w:iCs/>
        </w:rPr>
        <w:t>et al.</w:t>
      </w:r>
      <w:r>
        <w:t xml:space="preserve"> High-throughput mass spectrometry maps the sepsis plasma proteome and differences in patient response. </w:t>
      </w:r>
      <w:r>
        <w:rPr>
          <w:i/>
          <w:iCs/>
        </w:rPr>
        <w:t>Sci Transl Med</w:t>
      </w:r>
      <w:r>
        <w:t xml:space="preserve"> 2024; </w:t>
      </w:r>
      <w:r>
        <w:rPr>
          <w:b/>
          <w:bCs/>
        </w:rPr>
        <w:t>16</w:t>
      </w:r>
      <w:r>
        <w:t>: eadh0185.</w:t>
      </w:r>
    </w:p>
    <w:p w:rsidR="00AF392F" w:rsidRDefault="00AF392F" w:rsidP="00AF392F">
      <w:pPr>
        <w:pStyle w:val="Bibliography"/>
      </w:pPr>
      <w:r>
        <w:t xml:space="preserve">288. Self WH, Rosen J, Sharp SC, </w:t>
      </w:r>
      <w:r>
        <w:rPr>
          <w:i/>
          <w:iCs/>
        </w:rPr>
        <w:t>et al.</w:t>
      </w:r>
      <w:r>
        <w:t xml:space="preserve"> Diagnostic Accuracy of FebriDx: A Rapid Test to Detect Immune Responses to Viral and Bacterial Upper Respiratory Infections. </w:t>
      </w:r>
      <w:r>
        <w:rPr>
          <w:i/>
          <w:iCs/>
        </w:rPr>
        <w:t>J Clin Med</w:t>
      </w:r>
      <w:r>
        <w:t xml:space="preserve"> 2017; </w:t>
      </w:r>
      <w:r>
        <w:rPr>
          <w:b/>
          <w:bCs/>
        </w:rPr>
        <w:t>6</w:t>
      </w:r>
      <w:r>
        <w:t>: 94.</w:t>
      </w:r>
    </w:p>
    <w:p w:rsidR="00AF392F" w:rsidRDefault="00AF392F" w:rsidP="00AF392F">
      <w:pPr>
        <w:pStyle w:val="Bibliography"/>
      </w:pPr>
      <w:r>
        <w:t xml:space="preserve">289. Tong-Minh K, Daenen K, Endeman H, </w:t>
      </w:r>
      <w:r>
        <w:rPr>
          <w:i/>
          <w:iCs/>
        </w:rPr>
        <w:t>et al.</w:t>
      </w:r>
      <w:r>
        <w:t xml:space="preserve"> Performance of the FebriDx Rapid Point-of-Care Test for Differentiating Bacterial and Viral Respiratory Tract Infections in Patients with a Suspected Respiratory Tract Infection in the Emergency Department. </w:t>
      </w:r>
      <w:r>
        <w:rPr>
          <w:i/>
          <w:iCs/>
        </w:rPr>
        <w:t>J Clin Med</w:t>
      </w:r>
      <w:r>
        <w:t xml:space="preserve"> 2023; </w:t>
      </w:r>
      <w:r>
        <w:rPr>
          <w:b/>
          <w:bCs/>
        </w:rPr>
        <w:t>13</w:t>
      </w:r>
      <w:r>
        <w:t>: 163.</w:t>
      </w:r>
    </w:p>
    <w:p w:rsidR="00AF392F" w:rsidRPr="00AF392F" w:rsidRDefault="00AF392F" w:rsidP="00AF392F">
      <w:r>
        <w:fldChar w:fldCharType="end"/>
      </w:r>
    </w:p>
    <w:p w:rsidR="00905E1E" w:rsidRPr="00A750AD" w:rsidRDefault="00905E1E" w:rsidP="004A6558">
      <w:pPr>
        <w:pStyle w:val="Standard"/>
        <w:suppressAutoHyphens w:val="0"/>
        <w:spacing w:before="280" w:line="276" w:lineRule="auto"/>
        <w:jc w:val="both"/>
        <w:textAlignment w:val="auto"/>
        <w:rPr>
          <w:rFonts w:ascii="Times New Roman" w:hAnsi="Times New Roman" w:cs="Times New Roman"/>
        </w:rPr>
      </w:pPr>
    </w:p>
    <w:p w:rsidR="00D96B03" w:rsidRPr="007339EC" w:rsidRDefault="00D96B03" w:rsidP="00F861EB">
      <w:pPr>
        <w:pStyle w:val="Standard"/>
        <w:spacing w:line="276" w:lineRule="auto"/>
        <w:jc w:val="both"/>
      </w:pPr>
    </w:p>
    <w:p w:rsidR="007339EC" w:rsidRDefault="007339EC" w:rsidP="00F861EB">
      <w:pPr>
        <w:pStyle w:val="Standard"/>
        <w:suppressAutoHyphens w:val="0"/>
        <w:spacing w:before="280" w:after="280" w:line="276" w:lineRule="auto"/>
        <w:jc w:val="both"/>
        <w:textAlignment w:val="auto"/>
        <w:rPr>
          <w:b/>
        </w:rPr>
      </w:pPr>
    </w:p>
    <w:p w:rsidR="007339EC" w:rsidRPr="007339EC" w:rsidRDefault="007339EC" w:rsidP="00F861EB">
      <w:pPr>
        <w:pStyle w:val="Standard"/>
        <w:suppressAutoHyphens w:val="0"/>
        <w:spacing w:before="280" w:after="280" w:line="276" w:lineRule="auto"/>
        <w:jc w:val="both"/>
        <w:textAlignment w:val="auto"/>
        <w:rPr>
          <w:b/>
        </w:rPr>
      </w:pPr>
    </w:p>
    <w:p w:rsidR="00630E2F" w:rsidRPr="00EA422B" w:rsidRDefault="00630E2F" w:rsidP="00F861EB">
      <w:pPr>
        <w:pStyle w:val="Standard"/>
        <w:suppressAutoHyphens w:val="0"/>
        <w:spacing w:before="280" w:after="280" w:line="276" w:lineRule="auto"/>
        <w:jc w:val="both"/>
        <w:textAlignment w:val="auto"/>
      </w:pPr>
    </w:p>
    <w:p w:rsidR="00337809" w:rsidRDefault="00337809" w:rsidP="00F861EB">
      <w:pPr>
        <w:pStyle w:val="Standard"/>
        <w:suppressAutoHyphens w:val="0"/>
        <w:spacing w:before="280" w:after="280" w:line="276" w:lineRule="auto"/>
        <w:jc w:val="both"/>
        <w:textAlignment w:val="auto"/>
      </w:pPr>
    </w:p>
    <w:p w:rsidR="00337809" w:rsidRPr="00677AC4" w:rsidRDefault="00337809" w:rsidP="00F861EB">
      <w:pPr>
        <w:pStyle w:val="Standard"/>
        <w:suppressAutoHyphens w:val="0"/>
        <w:spacing w:before="280" w:after="280" w:line="276" w:lineRule="auto"/>
        <w:jc w:val="both"/>
        <w:textAlignment w:val="auto"/>
      </w:pPr>
    </w:p>
    <w:sectPr w:rsidR="00337809" w:rsidRPr="00677AC4" w:rsidSect="002347D3">
      <w:footerReference w:type="default" r:id="rId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41B6" w:rsidRDefault="003F41B6" w:rsidP="002347D3">
      <w:pPr>
        <w:spacing w:after="0" w:line="240" w:lineRule="auto"/>
      </w:pPr>
      <w:r>
        <w:separator/>
      </w:r>
    </w:p>
  </w:endnote>
  <w:endnote w:type="continuationSeparator" w:id="0">
    <w:p w:rsidR="003F41B6" w:rsidRDefault="003F41B6" w:rsidP="00234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Noto Serif CJK SC">
    <w:charset w:val="00"/>
    <w:family w:val="auto"/>
    <w:pitch w:val="variable"/>
  </w:font>
  <w:font w:name="Noto Sans Devanagari">
    <w:altName w:val="Calibri"/>
    <w:charset w:val="00"/>
    <w:family w:val="auto"/>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0449659"/>
      <w:docPartObj>
        <w:docPartGallery w:val="Page Numbers (Bottom of Page)"/>
        <w:docPartUnique/>
      </w:docPartObj>
    </w:sdtPr>
    <w:sdtEndPr>
      <w:rPr>
        <w:noProof/>
      </w:rPr>
    </w:sdtEndPr>
    <w:sdtContent>
      <w:p w:rsidR="001912C9" w:rsidRDefault="001912C9">
        <w:pPr>
          <w:pStyle w:val="Footer"/>
          <w:jc w:val="center"/>
        </w:pPr>
        <w:r>
          <w:fldChar w:fldCharType="begin"/>
        </w:r>
        <w:r>
          <w:instrText xml:space="preserve"> PAGE   \* MERGEFORMAT </w:instrText>
        </w:r>
        <w:r>
          <w:fldChar w:fldCharType="separate"/>
        </w:r>
        <w:r w:rsidR="009303E2">
          <w:rPr>
            <w:noProof/>
          </w:rPr>
          <w:t>1</w:t>
        </w:r>
        <w:r>
          <w:rPr>
            <w:noProof/>
          </w:rPr>
          <w:fldChar w:fldCharType="end"/>
        </w:r>
      </w:p>
    </w:sdtContent>
  </w:sdt>
  <w:p w:rsidR="001912C9" w:rsidRDefault="001912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41B6" w:rsidRDefault="003F41B6" w:rsidP="002347D3">
      <w:pPr>
        <w:spacing w:after="0" w:line="240" w:lineRule="auto"/>
      </w:pPr>
      <w:r>
        <w:separator/>
      </w:r>
    </w:p>
  </w:footnote>
  <w:footnote w:type="continuationSeparator" w:id="0">
    <w:p w:rsidR="003F41B6" w:rsidRDefault="003F41B6" w:rsidP="002347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82168"/>
    <w:multiLevelType w:val="hybridMultilevel"/>
    <w:tmpl w:val="A620C1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A96355"/>
    <w:multiLevelType w:val="hybridMultilevel"/>
    <w:tmpl w:val="F1DE67F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39C09BE"/>
    <w:multiLevelType w:val="multilevel"/>
    <w:tmpl w:val="ECC26598"/>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6B31070"/>
    <w:multiLevelType w:val="multilevel"/>
    <w:tmpl w:val="84ECE892"/>
    <w:lvl w:ilvl="0">
      <w:start w:val="2"/>
      <w:numFmt w:val="decimal"/>
      <w:lvlText w:val="%1."/>
      <w:lvlJc w:val="left"/>
      <w:pPr>
        <w:ind w:left="360" w:hanging="360"/>
      </w:pPr>
      <w:rPr>
        <w:rFonts w:ascii="Times New Roman" w:eastAsiaTheme="majorEastAsia" w:hAnsi="Times New Roman" w:cs="Times New Roman" w:hint="default"/>
        <w:b/>
      </w:rPr>
    </w:lvl>
    <w:lvl w:ilvl="1">
      <w:start w:val="1"/>
      <w:numFmt w:val="decimal"/>
      <w:lvlText w:val="%1.%2."/>
      <w:lvlJc w:val="left"/>
      <w:pPr>
        <w:ind w:left="1080" w:hanging="360"/>
      </w:pPr>
      <w:rPr>
        <w:rFonts w:ascii="Times New Roman" w:eastAsiaTheme="majorEastAsia" w:hAnsi="Times New Roman" w:cs="Times New Roman" w:hint="default"/>
        <w:b/>
      </w:rPr>
    </w:lvl>
    <w:lvl w:ilvl="2">
      <w:start w:val="1"/>
      <w:numFmt w:val="decimal"/>
      <w:lvlText w:val="%1.%2.%3."/>
      <w:lvlJc w:val="left"/>
      <w:pPr>
        <w:ind w:left="2160" w:hanging="720"/>
      </w:pPr>
      <w:rPr>
        <w:rFonts w:ascii="Times New Roman" w:eastAsiaTheme="majorEastAsia" w:hAnsi="Times New Roman" w:cs="Times New Roman" w:hint="default"/>
        <w:b/>
      </w:rPr>
    </w:lvl>
    <w:lvl w:ilvl="3">
      <w:start w:val="1"/>
      <w:numFmt w:val="decimal"/>
      <w:lvlText w:val="%1.%2.%3.%4."/>
      <w:lvlJc w:val="left"/>
      <w:pPr>
        <w:ind w:left="2880" w:hanging="720"/>
      </w:pPr>
      <w:rPr>
        <w:rFonts w:ascii="Times New Roman" w:eastAsiaTheme="majorEastAsia" w:hAnsi="Times New Roman" w:cs="Times New Roman" w:hint="default"/>
        <w:b/>
      </w:rPr>
    </w:lvl>
    <w:lvl w:ilvl="4">
      <w:start w:val="1"/>
      <w:numFmt w:val="decimal"/>
      <w:lvlText w:val="%1.%2.%3.%4.%5."/>
      <w:lvlJc w:val="left"/>
      <w:pPr>
        <w:ind w:left="3960" w:hanging="1080"/>
      </w:pPr>
      <w:rPr>
        <w:rFonts w:ascii="Times New Roman" w:eastAsiaTheme="majorEastAsia" w:hAnsi="Times New Roman" w:cs="Times New Roman" w:hint="default"/>
        <w:b/>
      </w:rPr>
    </w:lvl>
    <w:lvl w:ilvl="5">
      <w:start w:val="1"/>
      <w:numFmt w:val="decimal"/>
      <w:lvlText w:val="%1.%2.%3.%4.%5.%6."/>
      <w:lvlJc w:val="left"/>
      <w:pPr>
        <w:ind w:left="4680" w:hanging="1080"/>
      </w:pPr>
      <w:rPr>
        <w:rFonts w:ascii="Times New Roman" w:eastAsiaTheme="majorEastAsia" w:hAnsi="Times New Roman" w:cs="Times New Roman" w:hint="default"/>
        <w:b/>
      </w:rPr>
    </w:lvl>
    <w:lvl w:ilvl="6">
      <w:start w:val="1"/>
      <w:numFmt w:val="decimal"/>
      <w:lvlText w:val="%1.%2.%3.%4.%5.%6.%7."/>
      <w:lvlJc w:val="left"/>
      <w:pPr>
        <w:ind w:left="5760" w:hanging="1440"/>
      </w:pPr>
      <w:rPr>
        <w:rFonts w:ascii="Times New Roman" w:eastAsiaTheme="majorEastAsia" w:hAnsi="Times New Roman" w:cs="Times New Roman" w:hint="default"/>
        <w:b/>
      </w:rPr>
    </w:lvl>
    <w:lvl w:ilvl="7">
      <w:start w:val="1"/>
      <w:numFmt w:val="decimal"/>
      <w:lvlText w:val="%1.%2.%3.%4.%5.%6.%7.%8."/>
      <w:lvlJc w:val="left"/>
      <w:pPr>
        <w:ind w:left="6480" w:hanging="1440"/>
      </w:pPr>
      <w:rPr>
        <w:rFonts w:ascii="Times New Roman" w:eastAsiaTheme="majorEastAsia" w:hAnsi="Times New Roman" w:cs="Times New Roman" w:hint="default"/>
        <w:b/>
      </w:rPr>
    </w:lvl>
    <w:lvl w:ilvl="8">
      <w:start w:val="1"/>
      <w:numFmt w:val="decimal"/>
      <w:lvlText w:val="%1.%2.%3.%4.%5.%6.%7.%8.%9."/>
      <w:lvlJc w:val="left"/>
      <w:pPr>
        <w:ind w:left="7560" w:hanging="1800"/>
      </w:pPr>
      <w:rPr>
        <w:rFonts w:ascii="Times New Roman" w:eastAsiaTheme="majorEastAsia" w:hAnsi="Times New Roman" w:cs="Times New Roman" w:hint="default"/>
        <w:b/>
      </w:rPr>
    </w:lvl>
  </w:abstractNum>
  <w:abstractNum w:abstractNumId="4">
    <w:nsid w:val="177E75E9"/>
    <w:multiLevelType w:val="multilevel"/>
    <w:tmpl w:val="9CDAC33E"/>
    <w:lvl w:ilvl="0">
      <w:start w:val="3"/>
      <w:numFmt w:val="decimal"/>
      <w:lvlText w:val="%1."/>
      <w:lvlJc w:val="left"/>
      <w:pPr>
        <w:ind w:left="450" w:hanging="360"/>
      </w:pPr>
      <w:rPr>
        <w:rFonts w:hint="default"/>
      </w:rPr>
    </w:lvl>
    <w:lvl w:ilvl="1">
      <w:start w:val="1"/>
      <w:numFmt w:val="decimal"/>
      <w:isLgl/>
      <w:lvlText w:val="%1.%2."/>
      <w:lvlJc w:val="left"/>
      <w:pPr>
        <w:ind w:left="420" w:hanging="420"/>
      </w:pPr>
      <w:rPr>
        <w:rFonts w:ascii="Times New Roman" w:hAnsi="Times New Roman" w:cs="Times New Roman" w:hint="default"/>
        <w:b/>
        <w:color w:val="auto"/>
        <w:sz w:val="24"/>
        <w:szCs w:val="24"/>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080" w:hanging="72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440" w:hanging="1080"/>
      </w:pPr>
      <w:rPr>
        <w:rFonts w:hint="default"/>
        <w:sz w:val="27"/>
      </w:rPr>
    </w:lvl>
    <w:lvl w:ilvl="6">
      <w:start w:val="1"/>
      <w:numFmt w:val="decimal"/>
      <w:isLgl/>
      <w:lvlText w:val="%1.%2.%3.%4.%5.%6.%7."/>
      <w:lvlJc w:val="left"/>
      <w:pPr>
        <w:ind w:left="1800" w:hanging="1440"/>
      </w:pPr>
      <w:rPr>
        <w:rFonts w:hint="default"/>
        <w:sz w:val="27"/>
      </w:rPr>
    </w:lvl>
    <w:lvl w:ilvl="7">
      <w:start w:val="1"/>
      <w:numFmt w:val="decimal"/>
      <w:isLgl/>
      <w:lvlText w:val="%1.%2.%3.%4.%5.%6.%7.%8."/>
      <w:lvlJc w:val="left"/>
      <w:pPr>
        <w:ind w:left="1800" w:hanging="1440"/>
      </w:pPr>
      <w:rPr>
        <w:rFonts w:hint="default"/>
        <w:sz w:val="27"/>
      </w:rPr>
    </w:lvl>
    <w:lvl w:ilvl="8">
      <w:start w:val="1"/>
      <w:numFmt w:val="decimal"/>
      <w:isLgl/>
      <w:lvlText w:val="%1.%2.%3.%4.%5.%6.%7.%8.%9."/>
      <w:lvlJc w:val="left"/>
      <w:pPr>
        <w:ind w:left="2160" w:hanging="1800"/>
      </w:pPr>
      <w:rPr>
        <w:rFonts w:hint="default"/>
        <w:sz w:val="27"/>
      </w:rPr>
    </w:lvl>
  </w:abstractNum>
  <w:abstractNum w:abstractNumId="5">
    <w:nsid w:val="1A0D1171"/>
    <w:multiLevelType w:val="multilevel"/>
    <w:tmpl w:val="A60ED152"/>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2249707A"/>
    <w:multiLevelType w:val="hybridMultilevel"/>
    <w:tmpl w:val="A3440D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837FB7"/>
    <w:multiLevelType w:val="hybridMultilevel"/>
    <w:tmpl w:val="581A765C"/>
    <w:lvl w:ilvl="0" w:tplc="1E2C0440">
      <w:start w:val="1"/>
      <w:numFmt w:val="decimal"/>
      <w:lvlText w:val="%1."/>
      <w:lvlJc w:val="left"/>
      <w:pPr>
        <w:ind w:left="720" w:hanging="360"/>
      </w:pPr>
      <w:rPr>
        <w:rFonts w:hint="default"/>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89520B"/>
    <w:multiLevelType w:val="hybridMultilevel"/>
    <w:tmpl w:val="E2206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A7304E"/>
    <w:multiLevelType w:val="multilevel"/>
    <w:tmpl w:val="C3F07C3A"/>
    <w:lvl w:ilvl="0">
      <w:start w:val="2"/>
      <w:numFmt w:val="decimal"/>
      <w:lvlText w:val="%1."/>
      <w:lvlJc w:val="left"/>
      <w:pPr>
        <w:ind w:left="360" w:hanging="360"/>
      </w:pPr>
      <w:rPr>
        <w:rFonts w:ascii="Times New Roman" w:eastAsiaTheme="majorEastAsia" w:hAnsi="Times New Roman" w:cs="Times New Roman" w:hint="default"/>
        <w:b/>
      </w:rPr>
    </w:lvl>
    <w:lvl w:ilvl="1">
      <w:start w:val="1"/>
      <w:numFmt w:val="decimal"/>
      <w:lvlText w:val="%1.%2."/>
      <w:lvlJc w:val="left"/>
      <w:pPr>
        <w:ind w:left="1080" w:hanging="360"/>
      </w:pPr>
      <w:rPr>
        <w:rFonts w:ascii="Times New Roman" w:eastAsiaTheme="majorEastAsia" w:hAnsi="Times New Roman" w:cs="Times New Roman" w:hint="default"/>
        <w:b/>
      </w:rPr>
    </w:lvl>
    <w:lvl w:ilvl="2">
      <w:start w:val="1"/>
      <w:numFmt w:val="decimal"/>
      <w:lvlText w:val="%1.%2.%3."/>
      <w:lvlJc w:val="left"/>
      <w:pPr>
        <w:ind w:left="2160" w:hanging="720"/>
      </w:pPr>
      <w:rPr>
        <w:rFonts w:ascii="Times New Roman" w:eastAsiaTheme="majorEastAsia" w:hAnsi="Times New Roman" w:cs="Times New Roman" w:hint="default"/>
        <w:b/>
      </w:rPr>
    </w:lvl>
    <w:lvl w:ilvl="3">
      <w:start w:val="1"/>
      <w:numFmt w:val="decimal"/>
      <w:lvlText w:val="%1.%2.%3.%4."/>
      <w:lvlJc w:val="left"/>
      <w:pPr>
        <w:ind w:left="2880" w:hanging="720"/>
      </w:pPr>
      <w:rPr>
        <w:rFonts w:ascii="Times New Roman" w:eastAsiaTheme="majorEastAsia" w:hAnsi="Times New Roman" w:cs="Times New Roman" w:hint="default"/>
        <w:b/>
      </w:rPr>
    </w:lvl>
    <w:lvl w:ilvl="4">
      <w:start w:val="1"/>
      <w:numFmt w:val="decimal"/>
      <w:lvlText w:val="%1.%2.%3.%4.%5."/>
      <w:lvlJc w:val="left"/>
      <w:pPr>
        <w:ind w:left="3960" w:hanging="1080"/>
      </w:pPr>
      <w:rPr>
        <w:rFonts w:ascii="Times New Roman" w:eastAsiaTheme="majorEastAsia" w:hAnsi="Times New Roman" w:cs="Times New Roman" w:hint="default"/>
        <w:b/>
      </w:rPr>
    </w:lvl>
    <w:lvl w:ilvl="5">
      <w:start w:val="1"/>
      <w:numFmt w:val="decimal"/>
      <w:lvlText w:val="%1.%2.%3.%4.%5.%6."/>
      <w:lvlJc w:val="left"/>
      <w:pPr>
        <w:ind w:left="4680" w:hanging="1080"/>
      </w:pPr>
      <w:rPr>
        <w:rFonts w:ascii="Times New Roman" w:eastAsiaTheme="majorEastAsia" w:hAnsi="Times New Roman" w:cs="Times New Roman" w:hint="default"/>
        <w:b/>
      </w:rPr>
    </w:lvl>
    <w:lvl w:ilvl="6">
      <w:start w:val="1"/>
      <w:numFmt w:val="decimal"/>
      <w:lvlText w:val="%1.%2.%3.%4.%5.%6.%7."/>
      <w:lvlJc w:val="left"/>
      <w:pPr>
        <w:ind w:left="5760" w:hanging="1440"/>
      </w:pPr>
      <w:rPr>
        <w:rFonts w:ascii="Times New Roman" w:eastAsiaTheme="majorEastAsia" w:hAnsi="Times New Roman" w:cs="Times New Roman" w:hint="default"/>
        <w:b/>
      </w:rPr>
    </w:lvl>
    <w:lvl w:ilvl="7">
      <w:start w:val="1"/>
      <w:numFmt w:val="decimal"/>
      <w:lvlText w:val="%1.%2.%3.%4.%5.%6.%7.%8."/>
      <w:lvlJc w:val="left"/>
      <w:pPr>
        <w:ind w:left="6480" w:hanging="1440"/>
      </w:pPr>
      <w:rPr>
        <w:rFonts w:ascii="Times New Roman" w:eastAsiaTheme="majorEastAsia" w:hAnsi="Times New Roman" w:cs="Times New Roman" w:hint="default"/>
        <w:b/>
      </w:rPr>
    </w:lvl>
    <w:lvl w:ilvl="8">
      <w:start w:val="1"/>
      <w:numFmt w:val="decimal"/>
      <w:lvlText w:val="%1.%2.%3.%4.%5.%6.%7.%8.%9."/>
      <w:lvlJc w:val="left"/>
      <w:pPr>
        <w:ind w:left="7560" w:hanging="1800"/>
      </w:pPr>
      <w:rPr>
        <w:rFonts w:ascii="Times New Roman" w:eastAsiaTheme="majorEastAsia" w:hAnsi="Times New Roman" w:cs="Times New Roman" w:hint="default"/>
        <w:b/>
      </w:rPr>
    </w:lvl>
  </w:abstractNum>
  <w:abstractNum w:abstractNumId="10">
    <w:nsid w:val="3DDF5B89"/>
    <w:multiLevelType w:val="hybridMultilevel"/>
    <w:tmpl w:val="E6EA385A"/>
    <w:lvl w:ilvl="0" w:tplc="04090003">
      <w:start w:val="1"/>
      <w:numFmt w:val="bullet"/>
      <w:lvlText w:val="o"/>
      <w:lvlJc w:val="left"/>
      <w:pPr>
        <w:ind w:left="450" w:hanging="360"/>
      </w:pPr>
      <w:rPr>
        <w:rFonts w:ascii="Courier New" w:hAnsi="Courier New" w:cs="Courier New"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nsid w:val="40095B42"/>
    <w:multiLevelType w:val="hybridMultilevel"/>
    <w:tmpl w:val="7B6C71BE"/>
    <w:lvl w:ilvl="0" w:tplc="1C4842C2">
      <w:start w:val="1"/>
      <w:numFmt w:val="decimal"/>
      <w:lvlText w:val="%1."/>
      <w:lvlJc w:val="left"/>
      <w:pPr>
        <w:ind w:left="720" w:hanging="360"/>
      </w:pPr>
      <w:rPr>
        <w:rFonts w:ascii="Liberation Serif" w:eastAsia="Noto Serif CJK SC" w:hAnsi="Liberation Serif" w:cs="Noto Sans Devanaga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BB631B"/>
    <w:multiLevelType w:val="multilevel"/>
    <w:tmpl w:val="A15CF4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F61B69"/>
    <w:multiLevelType w:val="multilevel"/>
    <w:tmpl w:val="608A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FE440C"/>
    <w:multiLevelType w:val="multilevel"/>
    <w:tmpl w:val="6A9E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C22BB2"/>
    <w:multiLevelType w:val="multilevel"/>
    <w:tmpl w:val="269A4262"/>
    <w:lvl w:ilvl="0">
      <w:start w:val="4"/>
      <w:numFmt w:val="decimal"/>
      <w:lvlText w:val="%1."/>
      <w:lvlJc w:val="left"/>
      <w:pPr>
        <w:ind w:left="360" w:hanging="360"/>
      </w:pPr>
      <w:rPr>
        <w:rFonts w:eastAsia="Times New Roman" w:hint="default"/>
        <w:b/>
      </w:rPr>
    </w:lvl>
    <w:lvl w:ilvl="1">
      <w:start w:val="5"/>
      <w:numFmt w:val="decimal"/>
      <w:lvlText w:val="%1.%2."/>
      <w:lvlJc w:val="left"/>
      <w:pPr>
        <w:ind w:left="720" w:hanging="360"/>
      </w:pPr>
      <w:rPr>
        <w:rFonts w:eastAsia="Times New Roman" w:hint="default"/>
        <w:b/>
      </w:rPr>
    </w:lvl>
    <w:lvl w:ilvl="2">
      <w:start w:val="1"/>
      <w:numFmt w:val="decimal"/>
      <w:lvlText w:val="%1.%2.%3."/>
      <w:lvlJc w:val="left"/>
      <w:pPr>
        <w:ind w:left="1440" w:hanging="720"/>
      </w:pPr>
      <w:rPr>
        <w:rFonts w:eastAsia="Times New Roman" w:hint="default"/>
        <w:b/>
      </w:rPr>
    </w:lvl>
    <w:lvl w:ilvl="3">
      <w:start w:val="1"/>
      <w:numFmt w:val="decimal"/>
      <w:lvlText w:val="%1.%2.%3.%4."/>
      <w:lvlJc w:val="left"/>
      <w:pPr>
        <w:ind w:left="1800" w:hanging="720"/>
      </w:pPr>
      <w:rPr>
        <w:rFonts w:eastAsia="Times New Roman" w:hint="default"/>
        <w:b/>
      </w:rPr>
    </w:lvl>
    <w:lvl w:ilvl="4">
      <w:start w:val="1"/>
      <w:numFmt w:val="decimal"/>
      <w:lvlText w:val="%1.%2.%3.%4.%5."/>
      <w:lvlJc w:val="left"/>
      <w:pPr>
        <w:ind w:left="2520" w:hanging="1080"/>
      </w:pPr>
      <w:rPr>
        <w:rFonts w:eastAsia="Times New Roman" w:hint="default"/>
        <w:b/>
      </w:rPr>
    </w:lvl>
    <w:lvl w:ilvl="5">
      <w:start w:val="1"/>
      <w:numFmt w:val="decimal"/>
      <w:lvlText w:val="%1.%2.%3.%4.%5.%6."/>
      <w:lvlJc w:val="left"/>
      <w:pPr>
        <w:ind w:left="2880" w:hanging="1080"/>
      </w:pPr>
      <w:rPr>
        <w:rFonts w:eastAsia="Times New Roman" w:hint="default"/>
        <w:b/>
      </w:rPr>
    </w:lvl>
    <w:lvl w:ilvl="6">
      <w:start w:val="1"/>
      <w:numFmt w:val="decimal"/>
      <w:lvlText w:val="%1.%2.%3.%4.%5.%6.%7."/>
      <w:lvlJc w:val="left"/>
      <w:pPr>
        <w:ind w:left="3600" w:hanging="1440"/>
      </w:pPr>
      <w:rPr>
        <w:rFonts w:eastAsia="Times New Roman" w:hint="default"/>
        <w:b/>
      </w:rPr>
    </w:lvl>
    <w:lvl w:ilvl="7">
      <w:start w:val="1"/>
      <w:numFmt w:val="decimal"/>
      <w:lvlText w:val="%1.%2.%3.%4.%5.%6.%7.%8."/>
      <w:lvlJc w:val="left"/>
      <w:pPr>
        <w:ind w:left="3960" w:hanging="1440"/>
      </w:pPr>
      <w:rPr>
        <w:rFonts w:eastAsia="Times New Roman" w:hint="default"/>
        <w:b/>
      </w:rPr>
    </w:lvl>
    <w:lvl w:ilvl="8">
      <w:start w:val="1"/>
      <w:numFmt w:val="decimal"/>
      <w:lvlText w:val="%1.%2.%3.%4.%5.%6.%7.%8.%9."/>
      <w:lvlJc w:val="left"/>
      <w:pPr>
        <w:ind w:left="4680" w:hanging="1800"/>
      </w:pPr>
      <w:rPr>
        <w:rFonts w:eastAsia="Times New Roman" w:hint="default"/>
        <w:b/>
      </w:rPr>
    </w:lvl>
  </w:abstractNum>
  <w:abstractNum w:abstractNumId="16">
    <w:nsid w:val="4F5955D6"/>
    <w:multiLevelType w:val="hybridMultilevel"/>
    <w:tmpl w:val="94D6495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D12735"/>
    <w:multiLevelType w:val="hybridMultilevel"/>
    <w:tmpl w:val="016A8D0C"/>
    <w:lvl w:ilvl="0" w:tplc="1054DA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58578E"/>
    <w:multiLevelType w:val="multilevel"/>
    <w:tmpl w:val="6BE81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8A4711"/>
    <w:multiLevelType w:val="hybridMultilevel"/>
    <w:tmpl w:val="081ED1D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D0F4403"/>
    <w:multiLevelType w:val="hybridMultilevel"/>
    <w:tmpl w:val="E70AE83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151BE4"/>
    <w:multiLevelType w:val="hybridMultilevel"/>
    <w:tmpl w:val="49B63A54"/>
    <w:lvl w:ilvl="0" w:tplc="3DFA32DA">
      <w:start w:val="1"/>
      <w:numFmt w:val="decimal"/>
      <w:lvlText w:val="%1."/>
      <w:lvlJc w:val="left"/>
      <w:pPr>
        <w:ind w:left="720" w:hanging="360"/>
      </w:pPr>
      <w:rPr>
        <w:rFonts w:ascii="Times New Roman" w:eastAsiaTheme="majorEastAsia"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404D4A"/>
    <w:multiLevelType w:val="hybridMultilevel"/>
    <w:tmpl w:val="C3A6318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5D15C66"/>
    <w:multiLevelType w:val="multilevel"/>
    <w:tmpl w:val="E6C84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81B1809"/>
    <w:multiLevelType w:val="hybridMultilevel"/>
    <w:tmpl w:val="993AD7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065EFE"/>
    <w:multiLevelType w:val="multilevel"/>
    <w:tmpl w:val="F284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AD411F9"/>
    <w:multiLevelType w:val="hybridMultilevel"/>
    <w:tmpl w:val="06A2D93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CD73FA"/>
    <w:multiLevelType w:val="multilevel"/>
    <w:tmpl w:val="FB5A4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15E7809"/>
    <w:multiLevelType w:val="multilevel"/>
    <w:tmpl w:val="64A0D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887E78"/>
    <w:multiLevelType w:val="multilevel"/>
    <w:tmpl w:val="451A6766"/>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nsid w:val="7B827EB5"/>
    <w:multiLevelType w:val="hybridMultilevel"/>
    <w:tmpl w:val="8D72F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1"/>
  </w:num>
  <w:num w:numId="3">
    <w:abstractNumId w:val="25"/>
  </w:num>
  <w:num w:numId="4">
    <w:abstractNumId w:val="27"/>
  </w:num>
  <w:num w:numId="5">
    <w:abstractNumId w:val="14"/>
  </w:num>
  <w:num w:numId="6">
    <w:abstractNumId w:val="13"/>
  </w:num>
  <w:num w:numId="7">
    <w:abstractNumId w:val="17"/>
  </w:num>
  <w:num w:numId="8">
    <w:abstractNumId w:val="18"/>
  </w:num>
  <w:num w:numId="9">
    <w:abstractNumId w:val="12"/>
  </w:num>
  <w:num w:numId="10">
    <w:abstractNumId w:val="28"/>
  </w:num>
  <w:num w:numId="11">
    <w:abstractNumId w:val="23"/>
  </w:num>
  <w:num w:numId="12">
    <w:abstractNumId w:val="0"/>
  </w:num>
  <w:num w:numId="13">
    <w:abstractNumId w:val="22"/>
  </w:num>
  <w:num w:numId="14">
    <w:abstractNumId w:val="19"/>
  </w:num>
  <w:num w:numId="15">
    <w:abstractNumId w:val="26"/>
  </w:num>
  <w:num w:numId="16">
    <w:abstractNumId w:val="16"/>
  </w:num>
  <w:num w:numId="17">
    <w:abstractNumId w:val="7"/>
  </w:num>
  <w:num w:numId="18">
    <w:abstractNumId w:val="6"/>
  </w:num>
  <w:num w:numId="19">
    <w:abstractNumId w:val="1"/>
  </w:num>
  <w:num w:numId="20">
    <w:abstractNumId w:val="20"/>
  </w:num>
  <w:num w:numId="21">
    <w:abstractNumId w:val="21"/>
  </w:num>
  <w:num w:numId="22">
    <w:abstractNumId w:val="8"/>
  </w:num>
  <w:num w:numId="23">
    <w:abstractNumId w:val="9"/>
  </w:num>
  <w:num w:numId="24">
    <w:abstractNumId w:val="3"/>
  </w:num>
  <w:num w:numId="25">
    <w:abstractNumId w:val="5"/>
  </w:num>
  <w:num w:numId="26">
    <w:abstractNumId w:val="29"/>
  </w:num>
  <w:num w:numId="27">
    <w:abstractNumId w:val="2"/>
  </w:num>
  <w:num w:numId="28">
    <w:abstractNumId w:val="4"/>
  </w:num>
  <w:num w:numId="29">
    <w:abstractNumId w:val="15"/>
  </w:num>
  <w:num w:numId="30">
    <w:abstractNumId w:val="10"/>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9D5"/>
    <w:rsid w:val="00000864"/>
    <w:rsid w:val="00001B0B"/>
    <w:rsid w:val="00001E6B"/>
    <w:rsid w:val="00001F28"/>
    <w:rsid w:val="00002585"/>
    <w:rsid w:val="00003C7E"/>
    <w:rsid w:val="00016A6C"/>
    <w:rsid w:val="0002019B"/>
    <w:rsid w:val="00020657"/>
    <w:rsid w:val="0002287D"/>
    <w:rsid w:val="00022D5F"/>
    <w:rsid w:val="00023014"/>
    <w:rsid w:val="00023A09"/>
    <w:rsid w:val="000249A5"/>
    <w:rsid w:val="00026619"/>
    <w:rsid w:val="000266C2"/>
    <w:rsid w:val="00026E33"/>
    <w:rsid w:val="00027B38"/>
    <w:rsid w:val="000300D5"/>
    <w:rsid w:val="00031C44"/>
    <w:rsid w:val="00032820"/>
    <w:rsid w:val="000342DD"/>
    <w:rsid w:val="00042343"/>
    <w:rsid w:val="00043B1D"/>
    <w:rsid w:val="00047F0F"/>
    <w:rsid w:val="00051DE1"/>
    <w:rsid w:val="000549FA"/>
    <w:rsid w:val="00057734"/>
    <w:rsid w:val="00065E73"/>
    <w:rsid w:val="00066A7D"/>
    <w:rsid w:val="00066A84"/>
    <w:rsid w:val="0006705A"/>
    <w:rsid w:val="000710FF"/>
    <w:rsid w:val="00076769"/>
    <w:rsid w:val="0007704F"/>
    <w:rsid w:val="00080069"/>
    <w:rsid w:val="00084375"/>
    <w:rsid w:val="000859E3"/>
    <w:rsid w:val="00085FC4"/>
    <w:rsid w:val="000871FC"/>
    <w:rsid w:val="00090651"/>
    <w:rsid w:val="00091195"/>
    <w:rsid w:val="00091287"/>
    <w:rsid w:val="000955B1"/>
    <w:rsid w:val="00095CBA"/>
    <w:rsid w:val="000A1439"/>
    <w:rsid w:val="000A2939"/>
    <w:rsid w:val="000A4134"/>
    <w:rsid w:val="000A647F"/>
    <w:rsid w:val="000B1C16"/>
    <w:rsid w:val="000B6B5C"/>
    <w:rsid w:val="000B6F98"/>
    <w:rsid w:val="000C1DB0"/>
    <w:rsid w:val="000C33E5"/>
    <w:rsid w:val="000C4DA0"/>
    <w:rsid w:val="000C6762"/>
    <w:rsid w:val="000C6907"/>
    <w:rsid w:val="000D1664"/>
    <w:rsid w:val="000D28CA"/>
    <w:rsid w:val="000D3867"/>
    <w:rsid w:val="000D391E"/>
    <w:rsid w:val="000D4356"/>
    <w:rsid w:val="000D7915"/>
    <w:rsid w:val="000E2594"/>
    <w:rsid w:val="000E2B21"/>
    <w:rsid w:val="000F18DF"/>
    <w:rsid w:val="000F6D76"/>
    <w:rsid w:val="00100081"/>
    <w:rsid w:val="00102C62"/>
    <w:rsid w:val="00103EB9"/>
    <w:rsid w:val="00104360"/>
    <w:rsid w:val="00105D9E"/>
    <w:rsid w:val="00107A90"/>
    <w:rsid w:val="00112CEF"/>
    <w:rsid w:val="001137F0"/>
    <w:rsid w:val="00120488"/>
    <w:rsid w:val="00120B74"/>
    <w:rsid w:val="0012570D"/>
    <w:rsid w:val="0013326B"/>
    <w:rsid w:val="00140003"/>
    <w:rsid w:val="00142DEF"/>
    <w:rsid w:val="0015022C"/>
    <w:rsid w:val="00150B99"/>
    <w:rsid w:val="00152A92"/>
    <w:rsid w:val="0015347A"/>
    <w:rsid w:val="00154045"/>
    <w:rsid w:val="00155CD6"/>
    <w:rsid w:val="0015666F"/>
    <w:rsid w:val="00156777"/>
    <w:rsid w:val="001666D4"/>
    <w:rsid w:val="00170025"/>
    <w:rsid w:val="00170588"/>
    <w:rsid w:val="00172E49"/>
    <w:rsid w:val="001730A2"/>
    <w:rsid w:val="001732CE"/>
    <w:rsid w:val="001800A1"/>
    <w:rsid w:val="001846C9"/>
    <w:rsid w:val="00185090"/>
    <w:rsid w:val="00187CE0"/>
    <w:rsid w:val="001912C9"/>
    <w:rsid w:val="00192290"/>
    <w:rsid w:val="00192CB9"/>
    <w:rsid w:val="001934DE"/>
    <w:rsid w:val="0019356F"/>
    <w:rsid w:val="0019619F"/>
    <w:rsid w:val="001A2FA1"/>
    <w:rsid w:val="001A4576"/>
    <w:rsid w:val="001B084D"/>
    <w:rsid w:val="001B0943"/>
    <w:rsid w:val="001B21F4"/>
    <w:rsid w:val="001B29D5"/>
    <w:rsid w:val="001C1263"/>
    <w:rsid w:val="001C1CDA"/>
    <w:rsid w:val="001C2DEE"/>
    <w:rsid w:val="001C3D8F"/>
    <w:rsid w:val="001C46F4"/>
    <w:rsid w:val="001C542F"/>
    <w:rsid w:val="001C6B74"/>
    <w:rsid w:val="001D2CB6"/>
    <w:rsid w:val="001D5245"/>
    <w:rsid w:val="001D7A72"/>
    <w:rsid w:val="001E1716"/>
    <w:rsid w:val="001E42C4"/>
    <w:rsid w:val="001E4BA4"/>
    <w:rsid w:val="001E5381"/>
    <w:rsid w:val="001F01BA"/>
    <w:rsid w:val="001F3200"/>
    <w:rsid w:val="001F4D71"/>
    <w:rsid w:val="001F576C"/>
    <w:rsid w:val="00201CBB"/>
    <w:rsid w:val="00201DE9"/>
    <w:rsid w:val="00204779"/>
    <w:rsid w:val="00213863"/>
    <w:rsid w:val="002138EF"/>
    <w:rsid w:val="0022668F"/>
    <w:rsid w:val="002270BC"/>
    <w:rsid w:val="00231A4E"/>
    <w:rsid w:val="00231DB0"/>
    <w:rsid w:val="002347D3"/>
    <w:rsid w:val="002431CA"/>
    <w:rsid w:val="002447AB"/>
    <w:rsid w:val="00244A77"/>
    <w:rsid w:val="002479AE"/>
    <w:rsid w:val="002522C7"/>
    <w:rsid w:val="00252DB8"/>
    <w:rsid w:val="00253CC1"/>
    <w:rsid w:val="002541E8"/>
    <w:rsid w:val="00254D0C"/>
    <w:rsid w:val="00255118"/>
    <w:rsid w:val="002575D5"/>
    <w:rsid w:val="00257BFC"/>
    <w:rsid w:val="002618E9"/>
    <w:rsid w:val="002637CF"/>
    <w:rsid w:val="002645C5"/>
    <w:rsid w:val="00265D22"/>
    <w:rsid w:val="0026766C"/>
    <w:rsid w:val="00270759"/>
    <w:rsid w:val="0027094C"/>
    <w:rsid w:val="0027286E"/>
    <w:rsid w:val="00285103"/>
    <w:rsid w:val="00287976"/>
    <w:rsid w:val="002935E9"/>
    <w:rsid w:val="002950F8"/>
    <w:rsid w:val="002956E0"/>
    <w:rsid w:val="00297A9B"/>
    <w:rsid w:val="002A06CD"/>
    <w:rsid w:val="002A1764"/>
    <w:rsid w:val="002A26EF"/>
    <w:rsid w:val="002A2B5A"/>
    <w:rsid w:val="002A42BC"/>
    <w:rsid w:val="002B35A5"/>
    <w:rsid w:val="002B3BDC"/>
    <w:rsid w:val="002B431B"/>
    <w:rsid w:val="002B4990"/>
    <w:rsid w:val="002B4A82"/>
    <w:rsid w:val="002B4B0C"/>
    <w:rsid w:val="002C05A4"/>
    <w:rsid w:val="002C09EF"/>
    <w:rsid w:val="002C3A59"/>
    <w:rsid w:val="002C695E"/>
    <w:rsid w:val="002D01CA"/>
    <w:rsid w:val="002D3071"/>
    <w:rsid w:val="002D7AB7"/>
    <w:rsid w:val="002E1FBE"/>
    <w:rsid w:val="002E2FCF"/>
    <w:rsid w:val="002E37AC"/>
    <w:rsid w:val="002F30D8"/>
    <w:rsid w:val="002F320A"/>
    <w:rsid w:val="002F4168"/>
    <w:rsid w:val="002F64B2"/>
    <w:rsid w:val="002F762F"/>
    <w:rsid w:val="00302B5D"/>
    <w:rsid w:val="003134D1"/>
    <w:rsid w:val="00313FB9"/>
    <w:rsid w:val="0031646E"/>
    <w:rsid w:val="003175CA"/>
    <w:rsid w:val="00317623"/>
    <w:rsid w:val="0032066E"/>
    <w:rsid w:val="00323FC5"/>
    <w:rsid w:val="0033080A"/>
    <w:rsid w:val="00332087"/>
    <w:rsid w:val="003324B4"/>
    <w:rsid w:val="00334968"/>
    <w:rsid w:val="00337809"/>
    <w:rsid w:val="00337FF0"/>
    <w:rsid w:val="00340327"/>
    <w:rsid w:val="0034235D"/>
    <w:rsid w:val="00342A70"/>
    <w:rsid w:val="0034328B"/>
    <w:rsid w:val="003440A0"/>
    <w:rsid w:val="0034418B"/>
    <w:rsid w:val="0034538D"/>
    <w:rsid w:val="00345DEC"/>
    <w:rsid w:val="00347410"/>
    <w:rsid w:val="00351D08"/>
    <w:rsid w:val="00353461"/>
    <w:rsid w:val="003544FD"/>
    <w:rsid w:val="003567FF"/>
    <w:rsid w:val="00356E4F"/>
    <w:rsid w:val="00357D20"/>
    <w:rsid w:val="00361F6C"/>
    <w:rsid w:val="00362BF8"/>
    <w:rsid w:val="003636D2"/>
    <w:rsid w:val="003711B3"/>
    <w:rsid w:val="00371BD1"/>
    <w:rsid w:val="00372F60"/>
    <w:rsid w:val="00376925"/>
    <w:rsid w:val="00376D61"/>
    <w:rsid w:val="00381783"/>
    <w:rsid w:val="00381F7D"/>
    <w:rsid w:val="0038311F"/>
    <w:rsid w:val="003839BB"/>
    <w:rsid w:val="003853AD"/>
    <w:rsid w:val="003855A1"/>
    <w:rsid w:val="003864B0"/>
    <w:rsid w:val="00386E50"/>
    <w:rsid w:val="00387F55"/>
    <w:rsid w:val="00395290"/>
    <w:rsid w:val="003A15F7"/>
    <w:rsid w:val="003A2EF5"/>
    <w:rsid w:val="003A3EE7"/>
    <w:rsid w:val="003B165F"/>
    <w:rsid w:val="003B44E2"/>
    <w:rsid w:val="003C2CE9"/>
    <w:rsid w:val="003C2D9D"/>
    <w:rsid w:val="003C380C"/>
    <w:rsid w:val="003C47CD"/>
    <w:rsid w:val="003C5AD1"/>
    <w:rsid w:val="003C5FF2"/>
    <w:rsid w:val="003C66A3"/>
    <w:rsid w:val="003D0B9B"/>
    <w:rsid w:val="003D0BC9"/>
    <w:rsid w:val="003D3B14"/>
    <w:rsid w:val="003D446B"/>
    <w:rsid w:val="003D4613"/>
    <w:rsid w:val="003D47A3"/>
    <w:rsid w:val="003D4F71"/>
    <w:rsid w:val="003D5FD0"/>
    <w:rsid w:val="003D754F"/>
    <w:rsid w:val="003E01D4"/>
    <w:rsid w:val="003E2F71"/>
    <w:rsid w:val="003E4AE2"/>
    <w:rsid w:val="003E6825"/>
    <w:rsid w:val="003F15CA"/>
    <w:rsid w:val="003F2659"/>
    <w:rsid w:val="003F388C"/>
    <w:rsid w:val="003F41B6"/>
    <w:rsid w:val="003F5925"/>
    <w:rsid w:val="003F5A5B"/>
    <w:rsid w:val="003F5EDA"/>
    <w:rsid w:val="003F66A0"/>
    <w:rsid w:val="003F71C1"/>
    <w:rsid w:val="00400170"/>
    <w:rsid w:val="00403A4C"/>
    <w:rsid w:val="00403CF0"/>
    <w:rsid w:val="00407572"/>
    <w:rsid w:val="004105EC"/>
    <w:rsid w:val="00411F36"/>
    <w:rsid w:val="00412DAE"/>
    <w:rsid w:val="00416399"/>
    <w:rsid w:val="00416816"/>
    <w:rsid w:val="00426C4A"/>
    <w:rsid w:val="00432435"/>
    <w:rsid w:val="00433195"/>
    <w:rsid w:val="00436536"/>
    <w:rsid w:val="0044245D"/>
    <w:rsid w:val="0044263F"/>
    <w:rsid w:val="0044529D"/>
    <w:rsid w:val="004468EA"/>
    <w:rsid w:val="00451ED3"/>
    <w:rsid w:val="004535B4"/>
    <w:rsid w:val="00454CC3"/>
    <w:rsid w:val="004561DC"/>
    <w:rsid w:val="004573D0"/>
    <w:rsid w:val="00457F6A"/>
    <w:rsid w:val="00461A84"/>
    <w:rsid w:val="00462EDF"/>
    <w:rsid w:val="004630BC"/>
    <w:rsid w:val="004639AB"/>
    <w:rsid w:val="0046482C"/>
    <w:rsid w:val="004655FC"/>
    <w:rsid w:val="0046694F"/>
    <w:rsid w:val="00466CCC"/>
    <w:rsid w:val="004705E7"/>
    <w:rsid w:val="00483506"/>
    <w:rsid w:val="00483CB5"/>
    <w:rsid w:val="00486B19"/>
    <w:rsid w:val="004914C6"/>
    <w:rsid w:val="004A48C4"/>
    <w:rsid w:val="004A6558"/>
    <w:rsid w:val="004A6730"/>
    <w:rsid w:val="004B0BDD"/>
    <w:rsid w:val="004B25B1"/>
    <w:rsid w:val="004B332D"/>
    <w:rsid w:val="004B4310"/>
    <w:rsid w:val="004D2945"/>
    <w:rsid w:val="004D2FA2"/>
    <w:rsid w:val="004D4B30"/>
    <w:rsid w:val="004D6A93"/>
    <w:rsid w:val="004D727F"/>
    <w:rsid w:val="004D7C17"/>
    <w:rsid w:val="004E0B44"/>
    <w:rsid w:val="004E1C32"/>
    <w:rsid w:val="004E4D56"/>
    <w:rsid w:val="004E7873"/>
    <w:rsid w:val="004F0927"/>
    <w:rsid w:val="004F140D"/>
    <w:rsid w:val="004F3B0B"/>
    <w:rsid w:val="004F7308"/>
    <w:rsid w:val="0050497A"/>
    <w:rsid w:val="00504F38"/>
    <w:rsid w:val="005055EA"/>
    <w:rsid w:val="00507A52"/>
    <w:rsid w:val="005113D2"/>
    <w:rsid w:val="00513DDB"/>
    <w:rsid w:val="00520888"/>
    <w:rsid w:val="0052449A"/>
    <w:rsid w:val="00525137"/>
    <w:rsid w:val="00527210"/>
    <w:rsid w:val="00533C59"/>
    <w:rsid w:val="00534259"/>
    <w:rsid w:val="00534C3D"/>
    <w:rsid w:val="005351DB"/>
    <w:rsid w:val="0053671C"/>
    <w:rsid w:val="0054252E"/>
    <w:rsid w:val="00543770"/>
    <w:rsid w:val="00543BD2"/>
    <w:rsid w:val="005475C6"/>
    <w:rsid w:val="00552EEB"/>
    <w:rsid w:val="0055738D"/>
    <w:rsid w:val="005575F6"/>
    <w:rsid w:val="00563A9C"/>
    <w:rsid w:val="0056571F"/>
    <w:rsid w:val="00565E61"/>
    <w:rsid w:val="0056738C"/>
    <w:rsid w:val="005723FC"/>
    <w:rsid w:val="00574E1E"/>
    <w:rsid w:val="00575FE7"/>
    <w:rsid w:val="005760F1"/>
    <w:rsid w:val="005861BE"/>
    <w:rsid w:val="005870C3"/>
    <w:rsid w:val="005901BA"/>
    <w:rsid w:val="00592295"/>
    <w:rsid w:val="00595C54"/>
    <w:rsid w:val="00596507"/>
    <w:rsid w:val="00597752"/>
    <w:rsid w:val="005A3289"/>
    <w:rsid w:val="005A43C0"/>
    <w:rsid w:val="005B47CA"/>
    <w:rsid w:val="005B63CD"/>
    <w:rsid w:val="005B73D2"/>
    <w:rsid w:val="005B759D"/>
    <w:rsid w:val="005B7813"/>
    <w:rsid w:val="005C01B8"/>
    <w:rsid w:val="005C0E7D"/>
    <w:rsid w:val="005C326F"/>
    <w:rsid w:val="005C4BC1"/>
    <w:rsid w:val="005D21CF"/>
    <w:rsid w:val="005D256B"/>
    <w:rsid w:val="005D2854"/>
    <w:rsid w:val="005D58B9"/>
    <w:rsid w:val="005D614A"/>
    <w:rsid w:val="005D6715"/>
    <w:rsid w:val="005E1A4D"/>
    <w:rsid w:val="005E24D1"/>
    <w:rsid w:val="005E67BE"/>
    <w:rsid w:val="005F0B1C"/>
    <w:rsid w:val="005F0D8C"/>
    <w:rsid w:val="005F270A"/>
    <w:rsid w:val="005F5289"/>
    <w:rsid w:val="005F56DD"/>
    <w:rsid w:val="0060104A"/>
    <w:rsid w:val="006020B7"/>
    <w:rsid w:val="0060581A"/>
    <w:rsid w:val="00605C79"/>
    <w:rsid w:val="00616768"/>
    <w:rsid w:val="0062399F"/>
    <w:rsid w:val="00630E2F"/>
    <w:rsid w:val="006317CA"/>
    <w:rsid w:val="00631937"/>
    <w:rsid w:val="00633046"/>
    <w:rsid w:val="00636CEE"/>
    <w:rsid w:val="0064110D"/>
    <w:rsid w:val="00643D47"/>
    <w:rsid w:val="00651F77"/>
    <w:rsid w:val="006554BA"/>
    <w:rsid w:val="00656DB5"/>
    <w:rsid w:val="0066043E"/>
    <w:rsid w:val="006653EB"/>
    <w:rsid w:val="0066549A"/>
    <w:rsid w:val="006665A9"/>
    <w:rsid w:val="0066660F"/>
    <w:rsid w:val="00672A2D"/>
    <w:rsid w:val="00674E57"/>
    <w:rsid w:val="00675730"/>
    <w:rsid w:val="006765DA"/>
    <w:rsid w:val="00677AC4"/>
    <w:rsid w:val="00680C04"/>
    <w:rsid w:val="00683629"/>
    <w:rsid w:val="00683C51"/>
    <w:rsid w:val="006856D4"/>
    <w:rsid w:val="00690236"/>
    <w:rsid w:val="00690389"/>
    <w:rsid w:val="006924E9"/>
    <w:rsid w:val="006928E2"/>
    <w:rsid w:val="006937F1"/>
    <w:rsid w:val="006973A6"/>
    <w:rsid w:val="006A0813"/>
    <w:rsid w:val="006A1E6F"/>
    <w:rsid w:val="006A4A79"/>
    <w:rsid w:val="006A5B05"/>
    <w:rsid w:val="006B07BE"/>
    <w:rsid w:val="006B1C90"/>
    <w:rsid w:val="006B3DD8"/>
    <w:rsid w:val="006B4901"/>
    <w:rsid w:val="006B5793"/>
    <w:rsid w:val="006B601F"/>
    <w:rsid w:val="006C188F"/>
    <w:rsid w:val="006C3B6A"/>
    <w:rsid w:val="006C666D"/>
    <w:rsid w:val="006D537F"/>
    <w:rsid w:val="006D6C5F"/>
    <w:rsid w:val="006E2666"/>
    <w:rsid w:val="006E2B8F"/>
    <w:rsid w:val="006F079F"/>
    <w:rsid w:val="006F3ADA"/>
    <w:rsid w:val="006F5DBB"/>
    <w:rsid w:val="006F6C43"/>
    <w:rsid w:val="0070090C"/>
    <w:rsid w:val="00701BFC"/>
    <w:rsid w:val="00703F4A"/>
    <w:rsid w:val="007122BD"/>
    <w:rsid w:val="00712A1C"/>
    <w:rsid w:val="0071328D"/>
    <w:rsid w:val="007151A9"/>
    <w:rsid w:val="00723259"/>
    <w:rsid w:val="007239EA"/>
    <w:rsid w:val="00725801"/>
    <w:rsid w:val="0072638D"/>
    <w:rsid w:val="00730EB2"/>
    <w:rsid w:val="00731153"/>
    <w:rsid w:val="00733210"/>
    <w:rsid w:val="007339EC"/>
    <w:rsid w:val="007359C7"/>
    <w:rsid w:val="00742018"/>
    <w:rsid w:val="00747690"/>
    <w:rsid w:val="007506F9"/>
    <w:rsid w:val="00751AB5"/>
    <w:rsid w:val="0075426B"/>
    <w:rsid w:val="00754FFC"/>
    <w:rsid w:val="0075555B"/>
    <w:rsid w:val="00756895"/>
    <w:rsid w:val="00762B05"/>
    <w:rsid w:val="00765CB4"/>
    <w:rsid w:val="007679F4"/>
    <w:rsid w:val="00771425"/>
    <w:rsid w:val="007725EB"/>
    <w:rsid w:val="00772AC3"/>
    <w:rsid w:val="0077395D"/>
    <w:rsid w:val="007746CC"/>
    <w:rsid w:val="0077570F"/>
    <w:rsid w:val="0078137D"/>
    <w:rsid w:val="007829D0"/>
    <w:rsid w:val="00783DBD"/>
    <w:rsid w:val="00784577"/>
    <w:rsid w:val="00785504"/>
    <w:rsid w:val="007873BC"/>
    <w:rsid w:val="007901E2"/>
    <w:rsid w:val="00791B28"/>
    <w:rsid w:val="00792364"/>
    <w:rsid w:val="00793BDA"/>
    <w:rsid w:val="00793DA8"/>
    <w:rsid w:val="00794D48"/>
    <w:rsid w:val="007953F8"/>
    <w:rsid w:val="007A0E5C"/>
    <w:rsid w:val="007A2AA3"/>
    <w:rsid w:val="007A4D9D"/>
    <w:rsid w:val="007A6E56"/>
    <w:rsid w:val="007A724D"/>
    <w:rsid w:val="007A76A8"/>
    <w:rsid w:val="007B5AC3"/>
    <w:rsid w:val="007B5AE4"/>
    <w:rsid w:val="007B7EFB"/>
    <w:rsid w:val="007C0991"/>
    <w:rsid w:val="007C0C2F"/>
    <w:rsid w:val="007C2925"/>
    <w:rsid w:val="007C39E4"/>
    <w:rsid w:val="007C6017"/>
    <w:rsid w:val="007D0333"/>
    <w:rsid w:val="007D09C0"/>
    <w:rsid w:val="007D0A5B"/>
    <w:rsid w:val="007D264E"/>
    <w:rsid w:val="007D49B1"/>
    <w:rsid w:val="007D56FE"/>
    <w:rsid w:val="007D5BF7"/>
    <w:rsid w:val="007D747E"/>
    <w:rsid w:val="007E02C4"/>
    <w:rsid w:val="007E147B"/>
    <w:rsid w:val="007E24B7"/>
    <w:rsid w:val="007E3E97"/>
    <w:rsid w:val="007E45E2"/>
    <w:rsid w:val="007E594E"/>
    <w:rsid w:val="007E5D96"/>
    <w:rsid w:val="007E79EF"/>
    <w:rsid w:val="007F06DE"/>
    <w:rsid w:val="007F098B"/>
    <w:rsid w:val="007F4B97"/>
    <w:rsid w:val="007F4E24"/>
    <w:rsid w:val="007F61AA"/>
    <w:rsid w:val="007F680F"/>
    <w:rsid w:val="007F71F0"/>
    <w:rsid w:val="00804227"/>
    <w:rsid w:val="00804E86"/>
    <w:rsid w:val="00806282"/>
    <w:rsid w:val="00807A30"/>
    <w:rsid w:val="00811202"/>
    <w:rsid w:val="008135C6"/>
    <w:rsid w:val="00814437"/>
    <w:rsid w:val="008208FA"/>
    <w:rsid w:val="00820D17"/>
    <w:rsid w:val="00820D2F"/>
    <w:rsid w:val="008234D8"/>
    <w:rsid w:val="00825CC6"/>
    <w:rsid w:val="00830D4C"/>
    <w:rsid w:val="0083342E"/>
    <w:rsid w:val="00840BE0"/>
    <w:rsid w:val="00841793"/>
    <w:rsid w:val="00841B5C"/>
    <w:rsid w:val="00842A00"/>
    <w:rsid w:val="00843347"/>
    <w:rsid w:val="008444EF"/>
    <w:rsid w:val="00845A77"/>
    <w:rsid w:val="00845B0D"/>
    <w:rsid w:val="00845C3D"/>
    <w:rsid w:val="00846A50"/>
    <w:rsid w:val="00847025"/>
    <w:rsid w:val="0085007C"/>
    <w:rsid w:val="00851617"/>
    <w:rsid w:val="0085164B"/>
    <w:rsid w:val="00853F8A"/>
    <w:rsid w:val="00854E2D"/>
    <w:rsid w:val="00855DF2"/>
    <w:rsid w:val="0086272A"/>
    <w:rsid w:val="008642C0"/>
    <w:rsid w:val="00870691"/>
    <w:rsid w:val="008711EC"/>
    <w:rsid w:val="008731C6"/>
    <w:rsid w:val="00874FAF"/>
    <w:rsid w:val="0087629E"/>
    <w:rsid w:val="00877C11"/>
    <w:rsid w:val="008804F5"/>
    <w:rsid w:val="00882D62"/>
    <w:rsid w:val="0088360F"/>
    <w:rsid w:val="00885936"/>
    <w:rsid w:val="00886B49"/>
    <w:rsid w:val="00891B8F"/>
    <w:rsid w:val="00892EF2"/>
    <w:rsid w:val="0089434A"/>
    <w:rsid w:val="00895F4C"/>
    <w:rsid w:val="008A2AEF"/>
    <w:rsid w:val="008B130A"/>
    <w:rsid w:val="008B13DB"/>
    <w:rsid w:val="008B556D"/>
    <w:rsid w:val="008B6F88"/>
    <w:rsid w:val="008B6FC5"/>
    <w:rsid w:val="008C0263"/>
    <w:rsid w:val="008C071F"/>
    <w:rsid w:val="008C1D2D"/>
    <w:rsid w:val="008C309E"/>
    <w:rsid w:val="008C4B70"/>
    <w:rsid w:val="008D1193"/>
    <w:rsid w:val="008D3A2A"/>
    <w:rsid w:val="008D4F96"/>
    <w:rsid w:val="008D52C4"/>
    <w:rsid w:val="008E2E46"/>
    <w:rsid w:val="008E7158"/>
    <w:rsid w:val="008F134E"/>
    <w:rsid w:val="008F4D0F"/>
    <w:rsid w:val="008F583A"/>
    <w:rsid w:val="008F59AE"/>
    <w:rsid w:val="008F772F"/>
    <w:rsid w:val="009006E4"/>
    <w:rsid w:val="009012C6"/>
    <w:rsid w:val="00902376"/>
    <w:rsid w:val="00902397"/>
    <w:rsid w:val="0090268D"/>
    <w:rsid w:val="00903ED2"/>
    <w:rsid w:val="00905492"/>
    <w:rsid w:val="00905BA9"/>
    <w:rsid w:val="00905E1E"/>
    <w:rsid w:val="00913B27"/>
    <w:rsid w:val="009176E2"/>
    <w:rsid w:val="00917AC2"/>
    <w:rsid w:val="00925EEE"/>
    <w:rsid w:val="00926931"/>
    <w:rsid w:val="009303E2"/>
    <w:rsid w:val="00930906"/>
    <w:rsid w:val="009314B4"/>
    <w:rsid w:val="00932CB6"/>
    <w:rsid w:val="00933683"/>
    <w:rsid w:val="0093433F"/>
    <w:rsid w:val="00936499"/>
    <w:rsid w:val="00941D34"/>
    <w:rsid w:val="009427BC"/>
    <w:rsid w:val="0094374C"/>
    <w:rsid w:val="00950AB6"/>
    <w:rsid w:val="0095134A"/>
    <w:rsid w:val="00951D14"/>
    <w:rsid w:val="0096269A"/>
    <w:rsid w:val="0097108C"/>
    <w:rsid w:val="00977F45"/>
    <w:rsid w:val="00980F20"/>
    <w:rsid w:val="0098277C"/>
    <w:rsid w:val="00986E63"/>
    <w:rsid w:val="009905E5"/>
    <w:rsid w:val="00991CE1"/>
    <w:rsid w:val="00996057"/>
    <w:rsid w:val="009972F5"/>
    <w:rsid w:val="009A03C3"/>
    <w:rsid w:val="009A0D94"/>
    <w:rsid w:val="009A23C8"/>
    <w:rsid w:val="009A452A"/>
    <w:rsid w:val="009A4E6E"/>
    <w:rsid w:val="009A5341"/>
    <w:rsid w:val="009C1698"/>
    <w:rsid w:val="009C215C"/>
    <w:rsid w:val="009C23E2"/>
    <w:rsid w:val="009C452D"/>
    <w:rsid w:val="009C54F1"/>
    <w:rsid w:val="009C550D"/>
    <w:rsid w:val="009D02F4"/>
    <w:rsid w:val="009D0B42"/>
    <w:rsid w:val="009D214A"/>
    <w:rsid w:val="009D2F40"/>
    <w:rsid w:val="009D3C30"/>
    <w:rsid w:val="009D53C6"/>
    <w:rsid w:val="009E1315"/>
    <w:rsid w:val="009E748F"/>
    <w:rsid w:val="009F0527"/>
    <w:rsid w:val="009F23EE"/>
    <w:rsid w:val="009F25B1"/>
    <w:rsid w:val="009F451B"/>
    <w:rsid w:val="00A037E8"/>
    <w:rsid w:val="00A06D90"/>
    <w:rsid w:val="00A0759C"/>
    <w:rsid w:val="00A07DEF"/>
    <w:rsid w:val="00A11020"/>
    <w:rsid w:val="00A12E7A"/>
    <w:rsid w:val="00A16787"/>
    <w:rsid w:val="00A22587"/>
    <w:rsid w:val="00A259AC"/>
    <w:rsid w:val="00A2721A"/>
    <w:rsid w:val="00A32E82"/>
    <w:rsid w:val="00A4192D"/>
    <w:rsid w:val="00A4265E"/>
    <w:rsid w:val="00A42A32"/>
    <w:rsid w:val="00A447FD"/>
    <w:rsid w:val="00A4526E"/>
    <w:rsid w:val="00A574F5"/>
    <w:rsid w:val="00A57B16"/>
    <w:rsid w:val="00A6008D"/>
    <w:rsid w:val="00A6314F"/>
    <w:rsid w:val="00A646A1"/>
    <w:rsid w:val="00A70C18"/>
    <w:rsid w:val="00A73FDB"/>
    <w:rsid w:val="00A7494E"/>
    <w:rsid w:val="00A751E4"/>
    <w:rsid w:val="00A77474"/>
    <w:rsid w:val="00A8055C"/>
    <w:rsid w:val="00A813F4"/>
    <w:rsid w:val="00A823EC"/>
    <w:rsid w:val="00A82866"/>
    <w:rsid w:val="00A9400B"/>
    <w:rsid w:val="00A95A53"/>
    <w:rsid w:val="00A95F8A"/>
    <w:rsid w:val="00A975C3"/>
    <w:rsid w:val="00A97DCE"/>
    <w:rsid w:val="00AA03C4"/>
    <w:rsid w:val="00AA05C5"/>
    <w:rsid w:val="00AA3F80"/>
    <w:rsid w:val="00AA4391"/>
    <w:rsid w:val="00AA475F"/>
    <w:rsid w:val="00AB007D"/>
    <w:rsid w:val="00AB1BDB"/>
    <w:rsid w:val="00AB3E0F"/>
    <w:rsid w:val="00AB6CC4"/>
    <w:rsid w:val="00AC0AD2"/>
    <w:rsid w:val="00AC1D43"/>
    <w:rsid w:val="00AC4ED1"/>
    <w:rsid w:val="00AC67B3"/>
    <w:rsid w:val="00AD11B4"/>
    <w:rsid w:val="00AD1579"/>
    <w:rsid w:val="00AD6418"/>
    <w:rsid w:val="00AD7492"/>
    <w:rsid w:val="00AE021C"/>
    <w:rsid w:val="00AE18CE"/>
    <w:rsid w:val="00AE41B8"/>
    <w:rsid w:val="00AE49DD"/>
    <w:rsid w:val="00AF075C"/>
    <w:rsid w:val="00AF133C"/>
    <w:rsid w:val="00AF1881"/>
    <w:rsid w:val="00AF36CE"/>
    <w:rsid w:val="00AF392F"/>
    <w:rsid w:val="00AF5835"/>
    <w:rsid w:val="00B017ED"/>
    <w:rsid w:val="00B03250"/>
    <w:rsid w:val="00B06241"/>
    <w:rsid w:val="00B10036"/>
    <w:rsid w:val="00B104C1"/>
    <w:rsid w:val="00B1057F"/>
    <w:rsid w:val="00B133EC"/>
    <w:rsid w:val="00B13BA9"/>
    <w:rsid w:val="00B1737A"/>
    <w:rsid w:val="00B22A52"/>
    <w:rsid w:val="00B25CE3"/>
    <w:rsid w:val="00B26281"/>
    <w:rsid w:val="00B265D2"/>
    <w:rsid w:val="00B26AB3"/>
    <w:rsid w:val="00B34307"/>
    <w:rsid w:val="00B36668"/>
    <w:rsid w:val="00B37698"/>
    <w:rsid w:val="00B40EBB"/>
    <w:rsid w:val="00B4151F"/>
    <w:rsid w:val="00B41ACC"/>
    <w:rsid w:val="00B42348"/>
    <w:rsid w:val="00B425E7"/>
    <w:rsid w:val="00B42FB4"/>
    <w:rsid w:val="00B431FA"/>
    <w:rsid w:val="00B452EF"/>
    <w:rsid w:val="00B465F0"/>
    <w:rsid w:val="00B502F9"/>
    <w:rsid w:val="00B51523"/>
    <w:rsid w:val="00B543EE"/>
    <w:rsid w:val="00B54886"/>
    <w:rsid w:val="00B55B92"/>
    <w:rsid w:val="00B563C1"/>
    <w:rsid w:val="00B61426"/>
    <w:rsid w:val="00B62AA3"/>
    <w:rsid w:val="00B66A2B"/>
    <w:rsid w:val="00B70865"/>
    <w:rsid w:val="00B73706"/>
    <w:rsid w:val="00B7372C"/>
    <w:rsid w:val="00B76A90"/>
    <w:rsid w:val="00B76C11"/>
    <w:rsid w:val="00B772C3"/>
    <w:rsid w:val="00B82D0F"/>
    <w:rsid w:val="00B92060"/>
    <w:rsid w:val="00B96324"/>
    <w:rsid w:val="00BA12E3"/>
    <w:rsid w:val="00BA1A19"/>
    <w:rsid w:val="00BA37F7"/>
    <w:rsid w:val="00BA481D"/>
    <w:rsid w:val="00BA7749"/>
    <w:rsid w:val="00BB3A9A"/>
    <w:rsid w:val="00BB3BA1"/>
    <w:rsid w:val="00BC0512"/>
    <w:rsid w:val="00BC1897"/>
    <w:rsid w:val="00BC27B2"/>
    <w:rsid w:val="00BC726F"/>
    <w:rsid w:val="00BD2ED0"/>
    <w:rsid w:val="00BE6393"/>
    <w:rsid w:val="00BE7486"/>
    <w:rsid w:val="00BF288D"/>
    <w:rsid w:val="00BF3E35"/>
    <w:rsid w:val="00BF45B6"/>
    <w:rsid w:val="00BF5AFC"/>
    <w:rsid w:val="00BF5DD0"/>
    <w:rsid w:val="00BF5FBE"/>
    <w:rsid w:val="00C00588"/>
    <w:rsid w:val="00C011F4"/>
    <w:rsid w:val="00C04AC1"/>
    <w:rsid w:val="00C07D4D"/>
    <w:rsid w:val="00C07F77"/>
    <w:rsid w:val="00C13B34"/>
    <w:rsid w:val="00C20AE6"/>
    <w:rsid w:val="00C220E3"/>
    <w:rsid w:val="00C228CD"/>
    <w:rsid w:val="00C235B2"/>
    <w:rsid w:val="00C24356"/>
    <w:rsid w:val="00C32B81"/>
    <w:rsid w:val="00C3436D"/>
    <w:rsid w:val="00C34909"/>
    <w:rsid w:val="00C34DCC"/>
    <w:rsid w:val="00C3672C"/>
    <w:rsid w:val="00C40620"/>
    <w:rsid w:val="00C43F29"/>
    <w:rsid w:val="00C447CB"/>
    <w:rsid w:val="00C45075"/>
    <w:rsid w:val="00C45908"/>
    <w:rsid w:val="00C50760"/>
    <w:rsid w:val="00C549D0"/>
    <w:rsid w:val="00C575A1"/>
    <w:rsid w:val="00C6154B"/>
    <w:rsid w:val="00C6178D"/>
    <w:rsid w:val="00C63EEE"/>
    <w:rsid w:val="00C64FC2"/>
    <w:rsid w:val="00C65141"/>
    <w:rsid w:val="00C674A4"/>
    <w:rsid w:val="00C70F1C"/>
    <w:rsid w:val="00C715B9"/>
    <w:rsid w:val="00C80028"/>
    <w:rsid w:val="00C80747"/>
    <w:rsid w:val="00C901ED"/>
    <w:rsid w:val="00C9037A"/>
    <w:rsid w:val="00C9229A"/>
    <w:rsid w:val="00C923EC"/>
    <w:rsid w:val="00C930EE"/>
    <w:rsid w:val="00C949EB"/>
    <w:rsid w:val="00C95169"/>
    <w:rsid w:val="00C95FD0"/>
    <w:rsid w:val="00C974DD"/>
    <w:rsid w:val="00C975EA"/>
    <w:rsid w:val="00CA0A21"/>
    <w:rsid w:val="00CA2519"/>
    <w:rsid w:val="00CA336F"/>
    <w:rsid w:val="00CA6A9F"/>
    <w:rsid w:val="00CA7B7A"/>
    <w:rsid w:val="00CB12F3"/>
    <w:rsid w:val="00CB1D8E"/>
    <w:rsid w:val="00CB4E4A"/>
    <w:rsid w:val="00CB52CB"/>
    <w:rsid w:val="00CC12DF"/>
    <w:rsid w:val="00CC3624"/>
    <w:rsid w:val="00CC7DF8"/>
    <w:rsid w:val="00CD0843"/>
    <w:rsid w:val="00CD2370"/>
    <w:rsid w:val="00CE28E6"/>
    <w:rsid w:val="00CE4B97"/>
    <w:rsid w:val="00CE6ACB"/>
    <w:rsid w:val="00CF2CC0"/>
    <w:rsid w:val="00D01B90"/>
    <w:rsid w:val="00D0258E"/>
    <w:rsid w:val="00D0289C"/>
    <w:rsid w:val="00D036D0"/>
    <w:rsid w:val="00D060AF"/>
    <w:rsid w:val="00D12360"/>
    <w:rsid w:val="00D153BF"/>
    <w:rsid w:val="00D15AC3"/>
    <w:rsid w:val="00D23F82"/>
    <w:rsid w:val="00D30912"/>
    <w:rsid w:val="00D30B84"/>
    <w:rsid w:val="00D42680"/>
    <w:rsid w:val="00D43B23"/>
    <w:rsid w:val="00D4446C"/>
    <w:rsid w:val="00D500E8"/>
    <w:rsid w:val="00D52C90"/>
    <w:rsid w:val="00D5422A"/>
    <w:rsid w:val="00D577CE"/>
    <w:rsid w:val="00D607D7"/>
    <w:rsid w:val="00D608CC"/>
    <w:rsid w:val="00D64315"/>
    <w:rsid w:val="00D644AC"/>
    <w:rsid w:val="00D6688D"/>
    <w:rsid w:val="00D71B3C"/>
    <w:rsid w:val="00D7363A"/>
    <w:rsid w:val="00D738CC"/>
    <w:rsid w:val="00D73EA6"/>
    <w:rsid w:val="00D766E6"/>
    <w:rsid w:val="00D77AA9"/>
    <w:rsid w:val="00D77EE7"/>
    <w:rsid w:val="00D802E8"/>
    <w:rsid w:val="00D80899"/>
    <w:rsid w:val="00D82563"/>
    <w:rsid w:val="00D84633"/>
    <w:rsid w:val="00D87C2B"/>
    <w:rsid w:val="00D902CB"/>
    <w:rsid w:val="00D96A2E"/>
    <w:rsid w:val="00D96B03"/>
    <w:rsid w:val="00DA02DE"/>
    <w:rsid w:val="00DA3437"/>
    <w:rsid w:val="00DA4431"/>
    <w:rsid w:val="00DA70CF"/>
    <w:rsid w:val="00DA711B"/>
    <w:rsid w:val="00DB1538"/>
    <w:rsid w:val="00DB18C9"/>
    <w:rsid w:val="00DB21CB"/>
    <w:rsid w:val="00DB2CD2"/>
    <w:rsid w:val="00DB4585"/>
    <w:rsid w:val="00DB68AC"/>
    <w:rsid w:val="00DB776B"/>
    <w:rsid w:val="00DC02A2"/>
    <w:rsid w:val="00DC2122"/>
    <w:rsid w:val="00DC628D"/>
    <w:rsid w:val="00DC6A97"/>
    <w:rsid w:val="00DD0B37"/>
    <w:rsid w:val="00DD0C3A"/>
    <w:rsid w:val="00DD1A6F"/>
    <w:rsid w:val="00DD77BD"/>
    <w:rsid w:val="00DE279E"/>
    <w:rsid w:val="00DE344A"/>
    <w:rsid w:val="00DE499B"/>
    <w:rsid w:val="00DE4F85"/>
    <w:rsid w:val="00DE6051"/>
    <w:rsid w:val="00DE711E"/>
    <w:rsid w:val="00DF12ED"/>
    <w:rsid w:val="00DF3B63"/>
    <w:rsid w:val="00DF4687"/>
    <w:rsid w:val="00DF6B59"/>
    <w:rsid w:val="00DF750B"/>
    <w:rsid w:val="00E0373D"/>
    <w:rsid w:val="00E043FF"/>
    <w:rsid w:val="00E069FB"/>
    <w:rsid w:val="00E103B8"/>
    <w:rsid w:val="00E14990"/>
    <w:rsid w:val="00E17C31"/>
    <w:rsid w:val="00E210F2"/>
    <w:rsid w:val="00E226B9"/>
    <w:rsid w:val="00E2582F"/>
    <w:rsid w:val="00E26523"/>
    <w:rsid w:val="00E35CBF"/>
    <w:rsid w:val="00E41F20"/>
    <w:rsid w:val="00E4430C"/>
    <w:rsid w:val="00E45873"/>
    <w:rsid w:val="00E46185"/>
    <w:rsid w:val="00E4643D"/>
    <w:rsid w:val="00E473E5"/>
    <w:rsid w:val="00E50B3E"/>
    <w:rsid w:val="00E517E2"/>
    <w:rsid w:val="00E52DE7"/>
    <w:rsid w:val="00E54FE1"/>
    <w:rsid w:val="00E56F27"/>
    <w:rsid w:val="00E62996"/>
    <w:rsid w:val="00E66A1D"/>
    <w:rsid w:val="00E75725"/>
    <w:rsid w:val="00E75ABE"/>
    <w:rsid w:val="00E8316D"/>
    <w:rsid w:val="00E91623"/>
    <w:rsid w:val="00E91DC4"/>
    <w:rsid w:val="00E94B2F"/>
    <w:rsid w:val="00E97B1D"/>
    <w:rsid w:val="00EA2558"/>
    <w:rsid w:val="00EA31F3"/>
    <w:rsid w:val="00EA422B"/>
    <w:rsid w:val="00EB3B92"/>
    <w:rsid w:val="00EC050F"/>
    <w:rsid w:val="00EC0557"/>
    <w:rsid w:val="00EC0B31"/>
    <w:rsid w:val="00EC3DE4"/>
    <w:rsid w:val="00EC44B0"/>
    <w:rsid w:val="00EC4F9D"/>
    <w:rsid w:val="00EC533C"/>
    <w:rsid w:val="00EC5371"/>
    <w:rsid w:val="00EC5CD9"/>
    <w:rsid w:val="00EC6A22"/>
    <w:rsid w:val="00EC7F57"/>
    <w:rsid w:val="00ED4768"/>
    <w:rsid w:val="00EE055C"/>
    <w:rsid w:val="00EE1A89"/>
    <w:rsid w:val="00EE2F87"/>
    <w:rsid w:val="00EE57E2"/>
    <w:rsid w:val="00EE6610"/>
    <w:rsid w:val="00EF1476"/>
    <w:rsid w:val="00EF24DF"/>
    <w:rsid w:val="00EF2E3D"/>
    <w:rsid w:val="00EF41A2"/>
    <w:rsid w:val="00EF65B5"/>
    <w:rsid w:val="00F019F4"/>
    <w:rsid w:val="00F05355"/>
    <w:rsid w:val="00F12385"/>
    <w:rsid w:val="00F148B1"/>
    <w:rsid w:val="00F16F8A"/>
    <w:rsid w:val="00F206ED"/>
    <w:rsid w:val="00F21410"/>
    <w:rsid w:val="00F25A1D"/>
    <w:rsid w:val="00F25AB3"/>
    <w:rsid w:val="00F30389"/>
    <w:rsid w:val="00F33A2B"/>
    <w:rsid w:val="00F4173F"/>
    <w:rsid w:val="00F41B32"/>
    <w:rsid w:val="00F41D07"/>
    <w:rsid w:val="00F4304F"/>
    <w:rsid w:val="00F4385A"/>
    <w:rsid w:val="00F476EE"/>
    <w:rsid w:val="00F51EB7"/>
    <w:rsid w:val="00F53244"/>
    <w:rsid w:val="00F54467"/>
    <w:rsid w:val="00F564F9"/>
    <w:rsid w:val="00F57508"/>
    <w:rsid w:val="00F57F11"/>
    <w:rsid w:val="00F62F2A"/>
    <w:rsid w:val="00F85FF5"/>
    <w:rsid w:val="00F861EB"/>
    <w:rsid w:val="00F87827"/>
    <w:rsid w:val="00F87C70"/>
    <w:rsid w:val="00F94E80"/>
    <w:rsid w:val="00F95398"/>
    <w:rsid w:val="00F95DDA"/>
    <w:rsid w:val="00FA12EC"/>
    <w:rsid w:val="00FA3293"/>
    <w:rsid w:val="00FA58B2"/>
    <w:rsid w:val="00FA674E"/>
    <w:rsid w:val="00FB771C"/>
    <w:rsid w:val="00FC0619"/>
    <w:rsid w:val="00FC1525"/>
    <w:rsid w:val="00FC2DEB"/>
    <w:rsid w:val="00FD2CB3"/>
    <w:rsid w:val="00FD3127"/>
    <w:rsid w:val="00FD312A"/>
    <w:rsid w:val="00FD34DD"/>
    <w:rsid w:val="00FD3CB4"/>
    <w:rsid w:val="00FD5709"/>
    <w:rsid w:val="00FE0F3A"/>
    <w:rsid w:val="00FE2243"/>
    <w:rsid w:val="00FE652B"/>
    <w:rsid w:val="00FF046B"/>
    <w:rsid w:val="00FF363F"/>
    <w:rsid w:val="00FF3BBC"/>
    <w:rsid w:val="00FF44EA"/>
    <w:rsid w:val="00FF5F7B"/>
    <w:rsid w:val="00FF7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E8F9E3E-495D-49B8-946E-45798F651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4E2D"/>
  </w:style>
  <w:style w:type="paragraph" w:styleId="Heading1">
    <w:name w:val="heading 1"/>
    <w:basedOn w:val="Normal"/>
    <w:next w:val="Normal"/>
    <w:link w:val="Heading1Char"/>
    <w:uiPriority w:val="9"/>
    <w:qFormat/>
    <w:rsid w:val="00854E2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854E2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854E2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854E2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854E2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854E2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854E2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854E2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854E2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tch">
    <w:name w:val="match"/>
    <w:basedOn w:val="DefaultParagraphFont"/>
    <w:rsid w:val="001B29D5"/>
  </w:style>
  <w:style w:type="paragraph" w:customStyle="1" w:styleId="Standard">
    <w:name w:val="Standard"/>
    <w:rsid w:val="001D2CB6"/>
    <w:pPr>
      <w:suppressAutoHyphens/>
      <w:autoSpaceDN w:val="0"/>
      <w:spacing w:after="0" w:line="240" w:lineRule="auto"/>
      <w:textAlignment w:val="baseline"/>
    </w:pPr>
    <w:rPr>
      <w:rFonts w:ascii="Liberation Serif" w:eastAsia="Noto Serif CJK SC" w:hAnsi="Liberation Serif" w:cs="Noto Sans Devanagari"/>
      <w:kern w:val="3"/>
      <w:sz w:val="24"/>
      <w:szCs w:val="24"/>
      <w:lang w:eastAsia="zh-CN" w:bidi="hi-IN"/>
    </w:rPr>
  </w:style>
  <w:style w:type="paragraph" w:customStyle="1" w:styleId="Textbody">
    <w:name w:val="Text body"/>
    <w:basedOn w:val="Standard"/>
    <w:rsid w:val="009A0D94"/>
    <w:pPr>
      <w:spacing w:after="140" w:line="276" w:lineRule="auto"/>
    </w:pPr>
  </w:style>
  <w:style w:type="paragraph" w:styleId="Header">
    <w:name w:val="header"/>
    <w:basedOn w:val="Normal"/>
    <w:link w:val="HeaderChar"/>
    <w:uiPriority w:val="99"/>
    <w:unhideWhenUsed/>
    <w:rsid w:val="002347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7D3"/>
  </w:style>
  <w:style w:type="paragraph" w:styleId="Footer">
    <w:name w:val="footer"/>
    <w:basedOn w:val="Normal"/>
    <w:link w:val="FooterChar"/>
    <w:uiPriority w:val="99"/>
    <w:unhideWhenUsed/>
    <w:rsid w:val="002347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7D3"/>
  </w:style>
  <w:style w:type="character" w:styleId="PlaceholderText">
    <w:name w:val="Placeholder Text"/>
    <w:basedOn w:val="DefaultParagraphFont"/>
    <w:uiPriority w:val="99"/>
    <w:semiHidden/>
    <w:rsid w:val="00B70865"/>
    <w:rPr>
      <w:color w:val="808080"/>
    </w:rPr>
  </w:style>
  <w:style w:type="character" w:styleId="Strong">
    <w:name w:val="Strong"/>
    <w:basedOn w:val="DefaultParagraphFont"/>
    <w:uiPriority w:val="22"/>
    <w:qFormat/>
    <w:rsid w:val="00854E2D"/>
    <w:rPr>
      <w:b/>
      <w:bCs/>
    </w:rPr>
  </w:style>
  <w:style w:type="table" w:styleId="TableGrid">
    <w:name w:val="Table Grid"/>
    <w:basedOn w:val="TableNormal"/>
    <w:uiPriority w:val="39"/>
    <w:rsid w:val="00DF6B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44A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sultpara0">
    <w:name w:val="result__para__0"/>
    <w:basedOn w:val="DefaultParagraphFont"/>
    <w:rsid w:val="002A06CD"/>
  </w:style>
  <w:style w:type="character" w:customStyle="1" w:styleId="resultpara2">
    <w:name w:val="result__para__2"/>
    <w:basedOn w:val="DefaultParagraphFont"/>
    <w:rsid w:val="002A06CD"/>
  </w:style>
  <w:style w:type="character" w:customStyle="1" w:styleId="resultpara4">
    <w:name w:val="result__para__4"/>
    <w:basedOn w:val="DefaultParagraphFont"/>
    <w:rsid w:val="002A06CD"/>
  </w:style>
  <w:style w:type="character" w:customStyle="1" w:styleId="resultpara6">
    <w:name w:val="result__para__6"/>
    <w:basedOn w:val="DefaultParagraphFont"/>
    <w:rsid w:val="005C4BC1"/>
  </w:style>
  <w:style w:type="character" w:customStyle="1" w:styleId="Heading1Char">
    <w:name w:val="Heading 1 Char"/>
    <w:basedOn w:val="DefaultParagraphFont"/>
    <w:link w:val="Heading1"/>
    <w:uiPriority w:val="9"/>
    <w:rsid w:val="00854E2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854E2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854E2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rsid w:val="00854E2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854E2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854E2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854E2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854E2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854E2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854E2D"/>
    <w:pPr>
      <w:spacing w:line="240" w:lineRule="auto"/>
    </w:pPr>
    <w:rPr>
      <w:b/>
      <w:bCs/>
      <w:smallCaps/>
      <w:color w:val="44546A" w:themeColor="text2"/>
    </w:rPr>
  </w:style>
  <w:style w:type="paragraph" w:styleId="Title">
    <w:name w:val="Title"/>
    <w:basedOn w:val="Normal"/>
    <w:next w:val="Normal"/>
    <w:link w:val="TitleChar"/>
    <w:uiPriority w:val="10"/>
    <w:qFormat/>
    <w:rsid w:val="00854E2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54E2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854E2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854E2D"/>
    <w:rPr>
      <w:rFonts w:asciiTheme="majorHAnsi" w:eastAsiaTheme="majorEastAsia" w:hAnsiTheme="majorHAnsi" w:cstheme="majorBidi"/>
      <w:color w:val="5B9BD5" w:themeColor="accent1"/>
      <w:sz w:val="28"/>
      <w:szCs w:val="28"/>
    </w:rPr>
  </w:style>
  <w:style w:type="character" w:styleId="Emphasis">
    <w:name w:val="Emphasis"/>
    <w:basedOn w:val="DefaultParagraphFont"/>
    <w:uiPriority w:val="20"/>
    <w:qFormat/>
    <w:rsid w:val="00854E2D"/>
    <w:rPr>
      <w:i/>
      <w:iCs/>
    </w:rPr>
  </w:style>
  <w:style w:type="paragraph" w:styleId="NoSpacing">
    <w:name w:val="No Spacing"/>
    <w:uiPriority w:val="1"/>
    <w:qFormat/>
    <w:rsid w:val="00854E2D"/>
    <w:pPr>
      <w:spacing w:after="0" w:line="240" w:lineRule="auto"/>
    </w:pPr>
  </w:style>
  <w:style w:type="paragraph" w:styleId="Quote">
    <w:name w:val="Quote"/>
    <w:basedOn w:val="Normal"/>
    <w:next w:val="Normal"/>
    <w:link w:val="QuoteChar"/>
    <w:uiPriority w:val="29"/>
    <w:qFormat/>
    <w:rsid w:val="00854E2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54E2D"/>
    <w:rPr>
      <w:color w:val="44546A" w:themeColor="text2"/>
      <w:sz w:val="24"/>
      <w:szCs w:val="24"/>
    </w:rPr>
  </w:style>
  <w:style w:type="paragraph" w:styleId="IntenseQuote">
    <w:name w:val="Intense Quote"/>
    <w:basedOn w:val="Normal"/>
    <w:next w:val="Normal"/>
    <w:link w:val="IntenseQuoteChar"/>
    <w:uiPriority w:val="30"/>
    <w:qFormat/>
    <w:rsid w:val="00854E2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54E2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54E2D"/>
    <w:rPr>
      <w:i/>
      <w:iCs/>
      <w:color w:val="595959" w:themeColor="text1" w:themeTint="A6"/>
    </w:rPr>
  </w:style>
  <w:style w:type="character" w:styleId="IntenseEmphasis">
    <w:name w:val="Intense Emphasis"/>
    <w:basedOn w:val="DefaultParagraphFont"/>
    <w:uiPriority w:val="21"/>
    <w:qFormat/>
    <w:rsid w:val="00854E2D"/>
    <w:rPr>
      <w:b/>
      <w:bCs/>
      <w:i/>
      <w:iCs/>
    </w:rPr>
  </w:style>
  <w:style w:type="character" w:styleId="SubtleReference">
    <w:name w:val="Subtle Reference"/>
    <w:basedOn w:val="DefaultParagraphFont"/>
    <w:uiPriority w:val="31"/>
    <w:qFormat/>
    <w:rsid w:val="00854E2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54E2D"/>
    <w:rPr>
      <w:b/>
      <w:bCs/>
      <w:smallCaps/>
      <w:color w:val="44546A" w:themeColor="text2"/>
      <w:u w:val="single"/>
    </w:rPr>
  </w:style>
  <w:style w:type="character" w:styleId="BookTitle">
    <w:name w:val="Book Title"/>
    <w:basedOn w:val="DefaultParagraphFont"/>
    <w:uiPriority w:val="33"/>
    <w:qFormat/>
    <w:rsid w:val="00854E2D"/>
    <w:rPr>
      <w:b/>
      <w:bCs/>
      <w:smallCaps/>
      <w:spacing w:val="10"/>
    </w:rPr>
  </w:style>
  <w:style w:type="paragraph" w:styleId="TOCHeading">
    <w:name w:val="TOC Heading"/>
    <w:basedOn w:val="Heading1"/>
    <w:next w:val="Normal"/>
    <w:uiPriority w:val="39"/>
    <w:unhideWhenUsed/>
    <w:qFormat/>
    <w:rsid w:val="00854E2D"/>
    <w:pPr>
      <w:outlineLvl w:val="9"/>
    </w:pPr>
  </w:style>
  <w:style w:type="character" w:customStyle="1" w:styleId="resultpara8">
    <w:name w:val="result__para__8"/>
    <w:basedOn w:val="DefaultParagraphFont"/>
    <w:rsid w:val="004A6730"/>
  </w:style>
  <w:style w:type="paragraph" w:styleId="Bibliography">
    <w:name w:val="Bibliography"/>
    <w:basedOn w:val="Normal"/>
    <w:next w:val="Normal"/>
    <w:uiPriority w:val="37"/>
    <w:unhideWhenUsed/>
    <w:rsid w:val="00026E33"/>
    <w:pPr>
      <w:spacing w:after="240" w:line="240" w:lineRule="auto"/>
    </w:pPr>
  </w:style>
  <w:style w:type="table" w:styleId="TableGridLight">
    <w:name w:val="Grid Table Light"/>
    <w:basedOn w:val="TableNormal"/>
    <w:uiPriority w:val="40"/>
    <w:rsid w:val="00854E2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StrongEmphasis">
    <w:name w:val="Strong Emphasis"/>
    <w:basedOn w:val="DefaultParagraphFont"/>
    <w:rsid w:val="0046482C"/>
    <w:rPr>
      <w:b/>
      <w:bCs/>
    </w:rPr>
  </w:style>
  <w:style w:type="paragraph" w:styleId="ListParagraph">
    <w:name w:val="List Paragraph"/>
    <w:basedOn w:val="Normal"/>
    <w:uiPriority w:val="34"/>
    <w:qFormat/>
    <w:rsid w:val="00DB21CB"/>
    <w:pPr>
      <w:ind w:left="720"/>
      <w:contextualSpacing/>
    </w:pPr>
  </w:style>
  <w:style w:type="character" w:customStyle="1" w:styleId="resultpara10">
    <w:name w:val="result__para__10"/>
    <w:basedOn w:val="DefaultParagraphFont"/>
    <w:rsid w:val="00A037E8"/>
  </w:style>
  <w:style w:type="character" w:customStyle="1" w:styleId="resultpara12">
    <w:name w:val="result__para__12"/>
    <w:basedOn w:val="DefaultParagraphFont"/>
    <w:rsid w:val="00A037E8"/>
  </w:style>
  <w:style w:type="character" w:customStyle="1" w:styleId="resultpara16">
    <w:name w:val="result__para__16"/>
    <w:basedOn w:val="DefaultParagraphFont"/>
    <w:rsid w:val="00A037E8"/>
  </w:style>
  <w:style w:type="character" w:customStyle="1" w:styleId="resultpara18">
    <w:name w:val="result__para__18"/>
    <w:basedOn w:val="DefaultParagraphFont"/>
    <w:rsid w:val="00A037E8"/>
  </w:style>
  <w:style w:type="paragraph" w:styleId="TOC1">
    <w:name w:val="toc 1"/>
    <w:basedOn w:val="Normal"/>
    <w:next w:val="Normal"/>
    <w:autoRedefine/>
    <w:uiPriority w:val="39"/>
    <w:unhideWhenUsed/>
    <w:rsid w:val="00742018"/>
    <w:pPr>
      <w:spacing w:after="100"/>
    </w:pPr>
  </w:style>
  <w:style w:type="paragraph" w:styleId="TOC2">
    <w:name w:val="toc 2"/>
    <w:basedOn w:val="Normal"/>
    <w:next w:val="Normal"/>
    <w:autoRedefine/>
    <w:uiPriority w:val="39"/>
    <w:unhideWhenUsed/>
    <w:rsid w:val="00742018"/>
    <w:pPr>
      <w:spacing w:after="100"/>
      <w:ind w:left="220"/>
    </w:pPr>
  </w:style>
  <w:style w:type="paragraph" w:styleId="TOC3">
    <w:name w:val="toc 3"/>
    <w:basedOn w:val="Normal"/>
    <w:next w:val="Normal"/>
    <w:autoRedefine/>
    <w:uiPriority w:val="39"/>
    <w:unhideWhenUsed/>
    <w:rsid w:val="00742018"/>
    <w:pPr>
      <w:spacing w:after="100"/>
      <w:ind w:left="440"/>
    </w:pPr>
  </w:style>
  <w:style w:type="character" w:styleId="Hyperlink">
    <w:name w:val="Hyperlink"/>
    <w:basedOn w:val="DefaultParagraphFont"/>
    <w:uiPriority w:val="99"/>
    <w:unhideWhenUsed/>
    <w:rsid w:val="00742018"/>
    <w:rPr>
      <w:color w:val="0563C1" w:themeColor="hyperlink"/>
      <w:u w:val="single"/>
    </w:rPr>
  </w:style>
  <w:style w:type="character" w:customStyle="1" w:styleId="split-para">
    <w:name w:val="split-para"/>
    <w:basedOn w:val="DefaultParagraphFont"/>
    <w:rsid w:val="000F18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88574">
      <w:bodyDiv w:val="1"/>
      <w:marLeft w:val="0"/>
      <w:marRight w:val="0"/>
      <w:marTop w:val="0"/>
      <w:marBottom w:val="0"/>
      <w:divBdr>
        <w:top w:val="none" w:sz="0" w:space="0" w:color="auto"/>
        <w:left w:val="none" w:sz="0" w:space="0" w:color="auto"/>
        <w:bottom w:val="none" w:sz="0" w:space="0" w:color="auto"/>
        <w:right w:val="none" w:sz="0" w:space="0" w:color="auto"/>
      </w:divBdr>
    </w:div>
    <w:div w:id="115804056">
      <w:bodyDiv w:val="1"/>
      <w:marLeft w:val="0"/>
      <w:marRight w:val="0"/>
      <w:marTop w:val="0"/>
      <w:marBottom w:val="0"/>
      <w:divBdr>
        <w:top w:val="none" w:sz="0" w:space="0" w:color="auto"/>
        <w:left w:val="none" w:sz="0" w:space="0" w:color="auto"/>
        <w:bottom w:val="none" w:sz="0" w:space="0" w:color="auto"/>
        <w:right w:val="none" w:sz="0" w:space="0" w:color="auto"/>
      </w:divBdr>
    </w:div>
    <w:div w:id="184754819">
      <w:bodyDiv w:val="1"/>
      <w:marLeft w:val="0"/>
      <w:marRight w:val="0"/>
      <w:marTop w:val="0"/>
      <w:marBottom w:val="0"/>
      <w:divBdr>
        <w:top w:val="none" w:sz="0" w:space="0" w:color="auto"/>
        <w:left w:val="none" w:sz="0" w:space="0" w:color="auto"/>
        <w:bottom w:val="none" w:sz="0" w:space="0" w:color="auto"/>
        <w:right w:val="none" w:sz="0" w:space="0" w:color="auto"/>
      </w:divBdr>
    </w:div>
    <w:div w:id="190456098">
      <w:bodyDiv w:val="1"/>
      <w:marLeft w:val="0"/>
      <w:marRight w:val="0"/>
      <w:marTop w:val="0"/>
      <w:marBottom w:val="0"/>
      <w:divBdr>
        <w:top w:val="none" w:sz="0" w:space="0" w:color="auto"/>
        <w:left w:val="none" w:sz="0" w:space="0" w:color="auto"/>
        <w:bottom w:val="none" w:sz="0" w:space="0" w:color="auto"/>
        <w:right w:val="none" w:sz="0" w:space="0" w:color="auto"/>
      </w:divBdr>
    </w:div>
    <w:div w:id="268048849">
      <w:bodyDiv w:val="1"/>
      <w:marLeft w:val="0"/>
      <w:marRight w:val="0"/>
      <w:marTop w:val="0"/>
      <w:marBottom w:val="0"/>
      <w:divBdr>
        <w:top w:val="none" w:sz="0" w:space="0" w:color="auto"/>
        <w:left w:val="none" w:sz="0" w:space="0" w:color="auto"/>
        <w:bottom w:val="none" w:sz="0" w:space="0" w:color="auto"/>
        <w:right w:val="none" w:sz="0" w:space="0" w:color="auto"/>
      </w:divBdr>
    </w:div>
    <w:div w:id="279920863">
      <w:bodyDiv w:val="1"/>
      <w:marLeft w:val="0"/>
      <w:marRight w:val="0"/>
      <w:marTop w:val="0"/>
      <w:marBottom w:val="0"/>
      <w:divBdr>
        <w:top w:val="none" w:sz="0" w:space="0" w:color="auto"/>
        <w:left w:val="none" w:sz="0" w:space="0" w:color="auto"/>
        <w:bottom w:val="none" w:sz="0" w:space="0" w:color="auto"/>
        <w:right w:val="none" w:sz="0" w:space="0" w:color="auto"/>
      </w:divBdr>
    </w:div>
    <w:div w:id="299963076">
      <w:bodyDiv w:val="1"/>
      <w:marLeft w:val="0"/>
      <w:marRight w:val="0"/>
      <w:marTop w:val="0"/>
      <w:marBottom w:val="0"/>
      <w:divBdr>
        <w:top w:val="none" w:sz="0" w:space="0" w:color="auto"/>
        <w:left w:val="none" w:sz="0" w:space="0" w:color="auto"/>
        <w:bottom w:val="none" w:sz="0" w:space="0" w:color="auto"/>
        <w:right w:val="none" w:sz="0" w:space="0" w:color="auto"/>
      </w:divBdr>
    </w:div>
    <w:div w:id="328754521">
      <w:bodyDiv w:val="1"/>
      <w:marLeft w:val="0"/>
      <w:marRight w:val="0"/>
      <w:marTop w:val="0"/>
      <w:marBottom w:val="0"/>
      <w:divBdr>
        <w:top w:val="none" w:sz="0" w:space="0" w:color="auto"/>
        <w:left w:val="none" w:sz="0" w:space="0" w:color="auto"/>
        <w:bottom w:val="none" w:sz="0" w:space="0" w:color="auto"/>
        <w:right w:val="none" w:sz="0" w:space="0" w:color="auto"/>
      </w:divBdr>
    </w:div>
    <w:div w:id="456877507">
      <w:bodyDiv w:val="1"/>
      <w:marLeft w:val="0"/>
      <w:marRight w:val="0"/>
      <w:marTop w:val="0"/>
      <w:marBottom w:val="0"/>
      <w:divBdr>
        <w:top w:val="none" w:sz="0" w:space="0" w:color="auto"/>
        <w:left w:val="none" w:sz="0" w:space="0" w:color="auto"/>
        <w:bottom w:val="none" w:sz="0" w:space="0" w:color="auto"/>
        <w:right w:val="none" w:sz="0" w:space="0" w:color="auto"/>
      </w:divBdr>
    </w:div>
    <w:div w:id="473723513">
      <w:bodyDiv w:val="1"/>
      <w:marLeft w:val="0"/>
      <w:marRight w:val="0"/>
      <w:marTop w:val="0"/>
      <w:marBottom w:val="0"/>
      <w:divBdr>
        <w:top w:val="none" w:sz="0" w:space="0" w:color="auto"/>
        <w:left w:val="none" w:sz="0" w:space="0" w:color="auto"/>
        <w:bottom w:val="none" w:sz="0" w:space="0" w:color="auto"/>
        <w:right w:val="none" w:sz="0" w:space="0" w:color="auto"/>
      </w:divBdr>
    </w:div>
    <w:div w:id="510031417">
      <w:bodyDiv w:val="1"/>
      <w:marLeft w:val="0"/>
      <w:marRight w:val="0"/>
      <w:marTop w:val="0"/>
      <w:marBottom w:val="0"/>
      <w:divBdr>
        <w:top w:val="none" w:sz="0" w:space="0" w:color="auto"/>
        <w:left w:val="none" w:sz="0" w:space="0" w:color="auto"/>
        <w:bottom w:val="none" w:sz="0" w:space="0" w:color="auto"/>
        <w:right w:val="none" w:sz="0" w:space="0" w:color="auto"/>
      </w:divBdr>
    </w:div>
    <w:div w:id="511187910">
      <w:bodyDiv w:val="1"/>
      <w:marLeft w:val="0"/>
      <w:marRight w:val="0"/>
      <w:marTop w:val="0"/>
      <w:marBottom w:val="0"/>
      <w:divBdr>
        <w:top w:val="none" w:sz="0" w:space="0" w:color="auto"/>
        <w:left w:val="none" w:sz="0" w:space="0" w:color="auto"/>
        <w:bottom w:val="none" w:sz="0" w:space="0" w:color="auto"/>
        <w:right w:val="none" w:sz="0" w:space="0" w:color="auto"/>
      </w:divBdr>
    </w:div>
    <w:div w:id="530385076">
      <w:bodyDiv w:val="1"/>
      <w:marLeft w:val="0"/>
      <w:marRight w:val="0"/>
      <w:marTop w:val="0"/>
      <w:marBottom w:val="0"/>
      <w:divBdr>
        <w:top w:val="none" w:sz="0" w:space="0" w:color="auto"/>
        <w:left w:val="none" w:sz="0" w:space="0" w:color="auto"/>
        <w:bottom w:val="none" w:sz="0" w:space="0" w:color="auto"/>
        <w:right w:val="none" w:sz="0" w:space="0" w:color="auto"/>
      </w:divBdr>
    </w:div>
    <w:div w:id="538786876">
      <w:bodyDiv w:val="1"/>
      <w:marLeft w:val="0"/>
      <w:marRight w:val="0"/>
      <w:marTop w:val="0"/>
      <w:marBottom w:val="0"/>
      <w:divBdr>
        <w:top w:val="none" w:sz="0" w:space="0" w:color="auto"/>
        <w:left w:val="none" w:sz="0" w:space="0" w:color="auto"/>
        <w:bottom w:val="none" w:sz="0" w:space="0" w:color="auto"/>
        <w:right w:val="none" w:sz="0" w:space="0" w:color="auto"/>
      </w:divBdr>
    </w:div>
    <w:div w:id="569920866">
      <w:bodyDiv w:val="1"/>
      <w:marLeft w:val="0"/>
      <w:marRight w:val="0"/>
      <w:marTop w:val="0"/>
      <w:marBottom w:val="0"/>
      <w:divBdr>
        <w:top w:val="none" w:sz="0" w:space="0" w:color="auto"/>
        <w:left w:val="none" w:sz="0" w:space="0" w:color="auto"/>
        <w:bottom w:val="none" w:sz="0" w:space="0" w:color="auto"/>
        <w:right w:val="none" w:sz="0" w:space="0" w:color="auto"/>
      </w:divBdr>
    </w:div>
    <w:div w:id="664553016">
      <w:bodyDiv w:val="1"/>
      <w:marLeft w:val="0"/>
      <w:marRight w:val="0"/>
      <w:marTop w:val="0"/>
      <w:marBottom w:val="0"/>
      <w:divBdr>
        <w:top w:val="none" w:sz="0" w:space="0" w:color="auto"/>
        <w:left w:val="none" w:sz="0" w:space="0" w:color="auto"/>
        <w:bottom w:val="none" w:sz="0" w:space="0" w:color="auto"/>
        <w:right w:val="none" w:sz="0" w:space="0" w:color="auto"/>
      </w:divBdr>
    </w:div>
    <w:div w:id="672681914">
      <w:bodyDiv w:val="1"/>
      <w:marLeft w:val="0"/>
      <w:marRight w:val="0"/>
      <w:marTop w:val="0"/>
      <w:marBottom w:val="0"/>
      <w:divBdr>
        <w:top w:val="none" w:sz="0" w:space="0" w:color="auto"/>
        <w:left w:val="none" w:sz="0" w:space="0" w:color="auto"/>
        <w:bottom w:val="none" w:sz="0" w:space="0" w:color="auto"/>
        <w:right w:val="none" w:sz="0" w:space="0" w:color="auto"/>
      </w:divBdr>
    </w:div>
    <w:div w:id="691615832">
      <w:bodyDiv w:val="1"/>
      <w:marLeft w:val="0"/>
      <w:marRight w:val="0"/>
      <w:marTop w:val="0"/>
      <w:marBottom w:val="0"/>
      <w:divBdr>
        <w:top w:val="none" w:sz="0" w:space="0" w:color="auto"/>
        <w:left w:val="none" w:sz="0" w:space="0" w:color="auto"/>
        <w:bottom w:val="none" w:sz="0" w:space="0" w:color="auto"/>
        <w:right w:val="none" w:sz="0" w:space="0" w:color="auto"/>
      </w:divBdr>
    </w:div>
    <w:div w:id="693961477">
      <w:bodyDiv w:val="1"/>
      <w:marLeft w:val="0"/>
      <w:marRight w:val="0"/>
      <w:marTop w:val="0"/>
      <w:marBottom w:val="0"/>
      <w:divBdr>
        <w:top w:val="none" w:sz="0" w:space="0" w:color="auto"/>
        <w:left w:val="none" w:sz="0" w:space="0" w:color="auto"/>
        <w:bottom w:val="none" w:sz="0" w:space="0" w:color="auto"/>
        <w:right w:val="none" w:sz="0" w:space="0" w:color="auto"/>
      </w:divBdr>
    </w:div>
    <w:div w:id="741030128">
      <w:bodyDiv w:val="1"/>
      <w:marLeft w:val="0"/>
      <w:marRight w:val="0"/>
      <w:marTop w:val="0"/>
      <w:marBottom w:val="0"/>
      <w:divBdr>
        <w:top w:val="none" w:sz="0" w:space="0" w:color="auto"/>
        <w:left w:val="none" w:sz="0" w:space="0" w:color="auto"/>
        <w:bottom w:val="none" w:sz="0" w:space="0" w:color="auto"/>
        <w:right w:val="none" w:sz="0" w:space="0" w:color="auto"/>
      </w:divBdr>
    </w:div>
    <w:div w:id="760444044">
      <w:bodyDiv w:val="1"/>
      <w:marLeft w:val="0"/>
      <w:marRight w:val="0"/>
      <w:marTop w:val="0"/>
      <w:marBottom w:val="0"/>
      <w:divBdr>
        <w:top w:val="none" w:sz="0" w:space="0" w:color="auto"/>
        <w:left w:val="none" w:sz="0" w:space="0" w:color="auto"/>
        <w:bottom w:val="none" w:sz="0" w:space="0" w:color="auto"/>
        <w:right w:val="none" w:sz="0" w:space="0" w:color="auto"/>
      </w:divBdr>
    </w:div>
    <w:div w:id="862595669">
      <w:bodyDiv w:val="1"/>
      <w:marLeft w:val="0"/>
      <w:marRight w:val="0"/>
      <w:marTop w:val="0"/>
      <w:marBottom w:val="0"/>
      <w:divBdr>
        <w:top w:val="none" w:sz="0" w:space="0" w:color="auto"/>
        <w:left w:val="none" w:sz="0" w:space="0" w:color="auto"/>
        <w:bottom w:val="none" w:sz="0" w:space="0" w:color="auto"/>
        <w:right w:val="none" w:sz="0" w:space="0" w:color="auto"/>
      </w:divBdr>
    </w:div>
    <w:div w:id="1044137006">
      <w:bodyDiv w:val="1"/>
      <w:marLeft w:val="0"/>
      <w:marRight w:val="0"/>
      <w:marTop w:val="0"/>
      <w:marBottom w:val="0"/>
      <w:divBdr>
        <w:top w:val="none" w:sz="0" w:space="0" w:color="auto"/>
        <w:left w:val="none" w:sz="0" w:space="0" w:color="auto"/>
        <w:bottom w:val="none" w:sz="0" w:space="0" w:color="auto"/>
        <w:right w:val="none" w:sz="0" w:space="0" w:color="auto"/>
      </w:divBdr>
    </w:div>
    <w:div w:id="1056048188">
      <w:bodyDiv w:val="1"/>
      <w:marLeft w:val="0"/>
      <w:marRight w:val="0"/>
      <w:marTop w:val="0"/>
      <w:marBottom w:val="0"/>
      <w:divBdr>
        <w:top w:val="none" w:sz="0" w:space="0" w:color="auto"/>
        <w:left w:val="none" w:sz="0" w:space="0" w:color="auto"/>
        <w:bottom w:val="none" w:sz="0" w:space="0" w:color="auto"/>
        <w:right w:val="none" w:sz="0" w:space="0" w:color="auto"/>
      </w:divBdr>
    </w:div>
    <w:div w:id="1119493919">
      <w:bodyDiv w:val="1"/>
      <w:marLeft w:val="0"/>
      <w:marRight w:val="0"/>
      <w:marTop w:val="0"/>
      <w:marBottom w:val="0"/>
      <w:divBdr>
        <w:top w:val="none" w:sz="0" w:space="0" w:color="auto"/>
        <w:left w:val="none" w:sz="0" w:space="0" w:color="auto"/>
        <w:bottom w:val="none" w:sz="0" w:space="0" w:color="auto"/>
        <w:right w:val="none" w:sz="0" w:space="0" w:color="auto"/>
      </w:divBdr>
    </w:div>
    <w:div w:id="1179202285">
      <w:bodyDiv w:val="1"/>
      <w:marLeft w:val="0"/>
      <w:marRight w:val="0"/>
      <w:marTop w:val="0"/>
      <w:marBottom w:val="0"/>
      <w:divBdr>
        <w:top w:val="none" w:sz="0" w:space="0" w:color="auto"/>
        <w:left w:val="none" w:sz="0" w:space="0" w:color="auto"/>
        <w:bottom w:val="none" w:sz="0" w:space="0" w:color="auto"/>
        <w:right w:val="none" w:sz="0" w:space="0" w:color="auto"/>
      </w:divBdr>
    </w:div>
    <w:div w:id="1274359195">
      <w:bodyDiv w:val="1"/>
      <w:marLeft w:val="0"/>
      <w:marRight w:val="0"/>
      <w:marTop w:val="0"/>
      <w:marBottom w:val="0"/>
      <w:divBdr>
        <w:top w:val="none" w:sz="0" w:space="0" w:color="auto"/>
        <w:left w:val="none" w:sz="0" w:space="0" w:color="auto"/>
        <w:bottom w:val="none" w:sz="0" w:space="0" w:color="auto"/>
        <w:right w:val="none" w:sz="0" w:space="0" w:color="auto"/>
      </w:divBdr>
    </w:div>
    <w:div w:id="1322194555">
      <w:bodyDiv w:val="1"/>
      <w:marLeft w:val="0"/>
      <w:marRight w:val="0"/>
      <w:marTop w:val="0"/>
      <w:marBottom w:val="0"/>
      <w:divBdr>
        <w:top w:val="none" w:sz="0" w:space="0" w:color="auto"/>
        <w:left w:val="none" w:sz="0" w:space="0" w:color="auto"/>
        <w:bottom w:val="none" w:sz="0" w:space="0" w:color="auto"/>
        <w:right w:val="none" w:sz="0" w:space="0" w:color="auto"/>
      </w:divBdr>
    </w:div>
    <w:div w:id="1330451576">
      <w:bodyDiv w:val="1"/>
      <w:marLeft w:val="0"/>
      <w:marRight w:val="0"/>
      <w:marTop w:val="0"/>
      <w:marBottom w:val="0"/>
      <w:divBdr>
        <w:top w:val="none" w:sz="0" w:space="0" w:color="auto"/>
        <w:left w:val="none" w:sz="0" w:space="0" w:color="auto"/>
        <w:bottom w:val="none" w:sz="0" w:space="0" w:color="auto"/>
        <w:right w:val="none" w:sz="0" w:space="0" w:color="auto"/>
      </w:divBdr>
    </w:div>
    <w:div w:id="1370228840">
      <w:bodyDiv w:val="1"/>
      <w:marLeft w:val="0"/>
      <w:marRight w:val="0"/>
      <w:marTop w:val="0"/>
      <w:marBottom w:val="0"/>
      <w:divBdr>
        <w:top w:val="none" w:sz="0" w:space="0" w:color="auto"/>
        <w:left w:val="none" w:sz="0" w:space="0" w:color="auto"/>
        <w:bottom w:val="none" w:sz="0" w:space="0" w:color="auto"/>
        <w:right w:val="none" w:sz="0" w:space="0" w:color="auto"/>
      </w:divBdr>
    </w:div>
    <w:div w:id="1380475400">
      <w:bodyDiv w:val="1"/>
      <w:marLeft w:val="0"/>
      <w:marRight w:val="0"/>
      <w:marTop w:val="0"/>
      <w:marBottom w:val="0"/>
      <w:divBdr>
        <w:top w:val="none" w:sz="0" w:space="0" w:color="auto"/>
        <w:left w:val="none" w:sz="0" w:space="0" w:color="auto"/>
        <w:bottom w:val="none" w:sz="0" w:space="0" w:color="auto"/>
        <w:right w:val="none" w:sz="0" w:space="0" w:color="auto"/>
      </w:divBdr>
    </w:div>
    <w:div w:id="1398162081">
      <w:bodyDiv w:val="1"/>
      <w:marLeft w:val="0"/>
      <w:marRight w:val="0"/>
      <w:marTop w:val="0"/>
      <w:marBottom w:val="0"/>
      <w:divBdr>
        <w:top w:val="none" w:sz="0" w:space="0" w:color="auto"/>
        <w:left w:val="none" w:sz="0" w:space="0" w:color="auto"/>
        <w:bottom w:val="none" w:sz="0" w:space="0" w:color="auto"/>
        <w:right w:val="none" w:sz="0" w:space="0" w:color="auto"/>
      </w:divBdr>
    </w:div>
    <w:div w:id="1398935658">
      <w:bodyDiv w:val="1"/>
      <w:marLeft w:val="0"/>
      <w:marRight w:val="0"/>
      <w:marTop w:val="0"/>
      <w:marBottom w:val="0"/>
      <w:divBdr>
        <w:top w:val="none" w:sz="0" w:space="0" w:color="auto"/>
        <w:left w:val="none" w:sz="0" w:space="0" w:color="auto"/>
        <w:bottom w:val="none" w:sz="0" w:space="0" w:color="auto"/>
        <w:right w:val="none" w:sz="0" w:space="0" w:color="auto"/>
      </w:divBdr>
    </w:div>
    <w:div w:id="1450392617">
      <w:bodyDiv w:val="1"/>
      <w:marLeft w:val="0"/>
      <w:marRight w:val="0"/>
      <w:marTop w:val="0"/>
      <w:marBottom w:val="0"/>
      <w:divBdr>
        <w:top w:val="none" w:sz="0" w:space="0" w:color="auto"/>
        <w:left w:val="none" w:sz="0" w:space="0" w:color="auto"/>
        <w:bottom w:val="none" w:sz="0" w:space="0" w:color="auto"/>
        <w:right w:val="none" w:sz="0" w:space="0" w:color="auto"/>
      </w:divBdr>
    </w:div>
    <w:div w:id="1497263321">
      <w:bodyDiv w:val="1"/>
      <w:marLeft w:val="0"/>
      <w:marRight w:val="0"/>
      <w:marTop w:val="0"/>
      <w:marBottom w:val="0"/>
      <w:divBdr>
        <w:top w:val="none" w:sz="0" w:space="0" w:color="auto"/>
        <w:left w:val="none" w:sz="0" w:space="0" w:color="auto"/>
        <w:bottom w:val="none" w:sz="0" w:space="0" w:color="auto"/>
        <w:right w:val="none" w:sz="0" w:space="0" w:color="auto"/>
      </w:divBdr>
    </w:div>
    <w:div w:id="1547907834">
      <w:bodyDiv w:val="1"/>
      <w:marLeft w:val="0"/>
      <w:marRight w:val="0"/>
      <w:marTop w:val="0"/>
      <w:marBottom w:val="0"/>
      <w:divBdr>
        <w:top w:val="none" w:sz="0" w:space="0" w:color="auto"/>
        <w:left w:val="none" w:sz="0" w:space="0" w:color="auto"/>
        <w:bottom w:val="none" w:sz="0" w:space="0" w:color="auto"/>
        <w:right w:val="none" w:sz="0" w:space="0" w:color="auto"/>
      </w:divBdr>
    </w:div>
    <w:div w:id="1559196952">
      <w:bodyDiv w:val="1"/>
      <w:marLeft w:val="0"/>
      <w:marRight w:val="0"/>
      <w:marTop w:val="0"/>
      <w:marBottom w:val="0"/>
      <w:divBdr>
        <w:top w:val="none" w:sz="0" w:space="0" w:color="auto"/>
        <w:left w:val="none" w:sz="0" w:space="0" w:color="auto"/>
        <w:bottom w:val="none" w:sz="0" w:space="0" w:color="auto"/>
        <w:right w:val="none" w:sz="0" w:space="0" w:color="auto"/>
      </w:divBdr>
    </w:div>
    <w:div w:id="1559247797">
      <w:bodyDiv w:val="1"/>
      <w:marLeft w:val="0"/>
      <w:marRight w:val="0"/>
      <w:marTop w:val="0"/>
      <w:marBottom w:val="0"/>
      <w:divBdr>
        <w:top w:val="none" w:sz="0" w:space="0" w:color="auto"/>
        <w:left w:val="none" w:sz="0" w:space="0" w:color="auto"/>
        <w:bottom w:val="none" w:sz="0" w:space="0" w:color="auto"/>
        <w:right w:val="none" w:sz="0" w:space="0" w:color="auto"/>
      </w:divBdr>
    </w:div>
    <w:div w:id="1596864230">
      <w:bodyDiv w:val="1"/>
      <w:marLeft w:val="0"/>
      <w:marRight w:val="0"/>
      <w:marTop w:val="0"/>
      <w:marBottom w:val="0"/>
      <w:divBdr>
        <w:top w:val="none" w:sz="0" w:space="0" w:color="auto"/>
        <w:left w:val="none" w:sz="0" w:space="0" w:color="auto"/>
        <w:bottom w:val="none" w:sz="0" w:space="0" w:color="auto"/>
        <w:right w:val="none" w:sz="0" w:space="0" w:color="auto"/>
      </w:divBdr>
    </w:div>
    <w:div w:id="1624576377">
      <w:bodyDiv w:val="1"/>
      <w:marLeft w:val="0"/>
      <w:marRight w:val="0"/>
      <w:marTop w:val="0"/>
      <w:marBottom w:val="0"/>
      <w:divBdr>
        <w:top w:val="none" w:sz="0" w:space="0" w:color="auto"/>
        <w:left w:val="none" w:sz="0" w:space="0" w:color="auto"/>
        <w:bottom w:val="none" w:sz="0" w:space="0" w:color="auto"/>
        <w:right w:val="none" w:sz="0" w:space="0" w:color="auto"/>
      </w:divBdr>
    </w:div>
    <w:div w:id="1624581478">
      <w:bodyDiv w:val="1"/>
      <w:marLeft w:val="0"/>
      <w:marRight w:val="0"/>
      <w:marTop w:val="0"/>
      <w:marBottom w:val="0"/>
      <w:divBdr>
        <w:top w:val="none" w:sz="0" w:space="0" w:color="auto"/>
        <w:left w:val="none" w:sz="0" w:space="0" w:color="auto"/>
        <w:bottom w:val="none" w:sz="0" w:space="0" w:color="auto"/>
        <w:right w:val="none" w:sz="0" w:space="0" w:color="auto"/>
      </w:divBdr>
    </w:div>
    <w:div w:id="1649900594">
      <w:bodyDiv w:val="1"/>
      <w:marLeft w:val="0"/>
      <w:marRight w:val="0"/>
      <w:marTop w:val="0"/>
      <w:marBottom w:val="0"/>
      <w:divBdr>
        <w:top w:val="none" w:sz="0" w:space="0" w:color="auto"/>
        <w:left w:val="none" w:sz="0" w:space="0" w:color="auto"/>
        <w:bottom w:val="none" w:sz="0" w:space="0" w:color="auto"/>
        <w:right w:val="none" w:sz="0" w:space="0" w:color="auto"/>
      </w:divBdr>
    </w:div>
    <w:div w:id="1684282998">
      <w:bodyDiv w:val="1"/>
      <w:marLeft w:val="0"/>
      <w:marRight w:val="0"/>
      <w:marTop w:val="0"/>
      <w:marBottom w:val="0"/>
      <w:divBdr>
        <w:top w:val="none" w:sz="0" w:space="0" w:color="auto"/>
        <w:left w:val="none" w:sz="0" w:space="0" w:color="auto"/>
        <w:bottom w:val="none" w:sz="0" w:space="0" w:color="auto"/>
        <w:right w:val="none" w:sz="0" w:space="0" w:color="auto"/>
      </w:divBdr>
    </w:div>
    <w:div w:id="1685203226">
      <w:bodyDiv w:val="1"/>
      <w:marLeft w:val="0"/>
      <w:marRight w:val="0"/>
      <w:marTop w:val="0"/>
      <w:marBottom w:val="0"/>
      <w:divBdr>
        <w:top w:val="none" w:sz="0" w:space="0" w:color="auto"/>
        <w:left w:val="none" w:sz="0" w:space="0" w:color="auto"/>
        <w:bottom w:val="none" w:sz="0" w:space="0" w:color="auto"/>
        <w:right w:val="none" w:sz="0" w:space="0" w:color="auto"/>
      </w:divBdr>
    </w:div>
    <w:div w:id="1732079283">
      <w:bodyDiv w:val="1"/>
      <w:marLeft w:val="0"/>
      <w:marRight w:val="0"/>
      <w:marTop w:val="0"/>
      <w:marBottom w:val="0"/>
      <w:divBdr>
        <w:top w:val="none" w:sz="0" w:space="0" w:color="auto"/>
        <w:left w:val="none" w:sz="0" w:space="0" w:color="auto"/>
        <w:bottom w:val="none" w:sz="0" w:space="0" w:color="auto"/>
        <w:right w:val="none" w:sz="0" w:space="0" w:color="auto"/>
      </w:divBdr>
    </w:div>
    <w:div w:id="1838378531">
      <w:bodyDiv w:val="1"/>
      <w:marLeft w:val="0"/>
      <w:marRight w:val="0"/>
      <w:marTop w:val="0"/>
      <w:marBottom w:val="0"/>
      <w:divBdr>
        <w:top w:val="none" w:sz="0" w:space="0" w:color="auto"/>
        <w:left w:val="none" w:sz="0" w:space="0" w:color="auto"/>
        <w:bottom w:val="none" w:sz="0" w:space="0" w:color="auto"/>
        <w:right w:val="none" w:sz="0" w:space="0" w:color="auto"/>
      </w:divBdr>
    </w:div>
    <w:div w:id="1860389554">
      <w:bodyDiv w:val="1"/>
      <w:marLeft w:val="0"/>
      <w:marRight w:val="0"/>
      <w:marTop w:val="0"/>
      <w:marBottom w:val="0"/>
      <w:divBdr>
        <w:top w:val="none" w:sz="0" w:space="0" w:color="auto"/>
        <w:left w:val="none" w:sz="0" w:space="0" w:color="auto"/>
        <w:bottom w:val="none" w:sz="0" w:space="0" w:color="auto"/>
        <w:right w:val="none" w:sz="0" w:space="0" w:color="auto"/>
      </w:divBdr>
    </w:div>
    <w:div w:id="1877497256">
      <w:bodyDiv w:val="1"/>
      <w:marLeft w:val="0"/>
      <w:marRight w:val="0"/>
      <w:marTop w:val="0"/>
      <w:marBottom w:val="0"/>
      <w:divBdr>
        <w:top w:val="none" w:sz="0" w:space="0" w:color="auto"/>
        <w:left w:val="none" w:sz="0" w:space="0" w:color="auto"/>
        <w:bottom w:val="none" w:sz="0" w:space="0" w:color="auto"/>
        <w:right w:val="none" w:sz="0" w:space="0" w:color="auto"/>
      </w:divBdr>
    </w:div>
    <w:div w:id="1885560970">
      <w:bodyDiv w:val="1"/>
      <w:marLeft w:val="0"/>
      <w:marRight w:val="0"/>
      <w:marTop w:val="0"/>
      <w:marBottom w:val="0"/>
      <w:divBdr>
        <w:top w:val="none" w:sz="0" w:space="0" w:color="auto"/>
        <w:left w:val="none" w:sz="0" w:space="0" w:color="auto"/>
        <w:bottom w:val="none" w:sz="0" w:space="0" w:color="auto"/>
        <w:right w:val="none" w:sz="0" w:space="0" w:color="auto"/>
      </w:divBdr>
    </w:div>
    <w:div w:id="1886289624">
      <w:bodyDiv w:val="1"/>
      <w:marLeft w:val="0"/>
      <w:marRight w:val="0"/>
      <w:marTop w:val="0"/>
      <w:marBottom w:val="0"/>
      <w:divBdr>
        <w:top w:val="none" w:sz="0" w:space="0" w:color="auto"/>
        <w:left w:val="none" w:sz="0" w:space="0" w:color="auto"/>
        <w:bottom w:val="none" w:sz="0" w:space="0" w:color="auto"/>
        <w:right w:val="none" w:sz="0" w:space="0" w:color="auto"/>
      </w:divBdr>
    </w:div>
    <w:div w:id="2028748894">
      <w:bodyDiv w:val="1"/>
      <w:marLeft w:val="0"/>
      <w:marRight w:val="0"/>
      <w:marTop w:val="0"/>
      <w:marBottom w:val="0"/>
      <w:divBdr>
        <w:top w:val="none" w:sz="0" w:space="0" w:color="auto"/>
        <w:left w:val="none" w:sz="0" w:space="0" w:color="auto"/>
        <w:bottom w:val="none" w:sz="0" w:space="0" w:color="auto"/>
        <w:right w:val="none" w:sz="0" w:space="0" w:color="auto"/>
      </w:divBdr>
    </w:div>
    <w:div w:id="2076780393">
      <w:bodyDiv w:val="1"/>
      <w:marLeft w:val="0"/>
      <w:marRight w:val="0"/>
      <w:marTop w:val="0"/>
      <w:marBottom w:val="0"/>
      <w:divBdr>
        <w:top w:val="none" w:sz="0" w:space="0" w:color="auto"/>
        <w:left w:val="none" w:sz="0" w:space="0" w:color="auto"/>
        <w:bottom w:val="none" w:sz="0" w:space="0" w:color="auto"/>
        <w:right w:val="none" w:sz="0" w:space="0" w:color="auto"/>
      </w:divBdr>
    </w:div>
    <w:div w:id="210714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05959-5175-494B-80E7-78E386683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131940</Words>
  <Characters>775809</Characters>
  <Application>Microsoft Office Word</Application>
  <DocSecurity>0</DocSecurity>
  <Lines>13610</Lines>
  <Paragraphs>4906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Rajesh</dc:creator>
  <cp:keywords/>
  <dc:description/>
  <cp:lastModifiedBy>Dr Rajesh</cp:lastModifiedBy>
  <cp:revision>2</cp:revision>
  <cp:lastPrinted>2025-03-27T09:22:00Z</cp:lastPrinted>
  <dcterms:created xsi:type="dcterms:W3CDTF">2025-04-02T13:08:00Z</dcterms:created>
  <dcterms:modified xsi:type="dcterms:W3CDTF">2025-04-02T13:08:00Z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24d6d273-7096-44be-9e93-866d081f7ed4</vt:lpwstr>
  </property>
  <property fmtid="{D5CDD505-2E9C-101B-9397-08002B2CF9AE}" pid="3" name="ZOTERO_PREF_1">
    <vt:lpwstr>&lt;data data-version="3" zotero-version="7.0.15"&gt;&lt;session id="CxaW6x6n"/&gt;&lt;style id="http://www.zotero.org/styles/journal-of-antimicrobial-chemotherapy" hasBibliography="1" bibliographyStyleHasBeenSet="1"/&gt;&lt;prefs&gt;&lt;pref name="fieldType" value="Field"/&gt;&lt;pref n</vt:lpwstr>
  </property>
  <property fmtid="{D5CDD505-2E9C-101B-9397-08002B2CF9AE}" pid="4" name="ZOTERO_PREF_2">
    <vt:lpwstr>ame="automaticJournalAbbreviations" value="true"/&gt;&lt;pref name="dontAskDelayCitationUpdates" value="true"/&gt;&lt;/prefs&gt;&lt;/data&gt;</vt:lpwstr>
  </property>
</Properties>
</file>