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3FF63" w14:textId="77777777" w:rsidR="00CF00F8" w:rsidRDefault="00000000">
      <w:pPr>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sz w:val="48"/>
          <w:szCs w:val="48"/>
        </w:rPr>
        <w:t xml:space="preserve">   Applications of Mass Spectrometry in Clinical Microbiology</w:t>
      </w:r>
    </w:p>
    <w:p w14:paraId="1B692D7E" w14:textId="77777777" w:rsidR="00CF00F8" w:rsidRDefault="00CF00F8">
      <w:pPr>
        <w:spacing w:line="240" w:lineRule="auto"/>
        <w:jc w:val="both"/>
      </w:pPr>
    </w:p>
    <w:tbl>
      <w:tblPr>
        <w:tblStyle w:val="a4"/>
        <w:tblW w:w="9360" w:type="dxa"/>
        <w:tblBorders>
          <w:top w:val="nil"/>
          <w:left w:val="nil"/>
          <w:bottom w:val="nil"/>
          <w:right w:val="nil"/>
          <w:insideH w:val="nil"/>
          <w:insideV w:val="nil"/>
        </w:tblBorders>
        <w:tblLayout w:type="fixed"/>
        <w:tblLook w:val="0400" w:firstRow="0" w:lastRow="0" w:firstColumn="0" w:lastColumn="0" w:noHBand="0" w:noVBand="1"/>
      </w:tblPr>
      <w:tblGrid>
        <w:gridCol w:w="4725"/>
        <w:gridCol w:w="4635"/>
      </w:tblGrid>
      <w:tr w:rsidR="00CF00F8" w14:paraId="2B0BB172" w14:textId="77777777">
        <w:tc>
          <w:tcPr>
            <w:tcW w:w="4725" w:type="dxa"/>
          </w:tcPr>
          <w:p w14:paraId="2D02FAEA" w14:textId="77777777" w:rsidR="00CF00F8" w:rsidRDefault="0000000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Bao Tran Mai</w:t>
            </w:r>
          </w:p>
          <w:p w14:paraId="6660A910" w14:textId="5A7A4BDE" w:rsidR="00CF00F8"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School of Biotechnology</w:t>
            </w:r>
            <w:r w:rsidR="00DB1185">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International University</w:t>
            </w:r>
            <w:r w:rsidR="00DB118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Vietnam National University Ho Chi Minh City.</w:t>
            </w:r>
          </w:p>
          <w:p w14:paraId="2542C4A6" w14:textId="77777777" w:rsidR="00CF00F8" w:rsidRDefault="00CF00F8">
            <w:pPr>
              <w:jc w:val="both"/>
              <w:rPr>
                <w:rFonts w:ascii="Times New Roman" w:eastAsia="Times New Roman" w:hAnsi="Times New Roman" w:cs="Times New Roman"/>
                <w:sz w:val="22"/>
                <w:szCs w:val="22"/>
              </w:rPr>
            </w:pPr>
          </w:p>
        </w:tc>
        <w:tc>
          <w:tcPr>
            <w:tcW w:w="4635" w:type="dxa"/>
          </w:tcPr>
          <w:p w14:paraId="0D7ED51F" w14:textId="77777777" w:rsidR="00CF00F8" w:rsidRDefault="0000000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Duc Tri Tran</w:t>
            </w:r>
          </w:p>
          <w:p w14:paraId="55C2BE4F" w14:textId="3200814C" w:rsidR="00CF00F8" w:rsidRDefault="00000000">
            <w:pPr>
              <w:jc w:val="both"/>
            </w:pPr>
            <w:r>
              <w:rPr>
                <w:rFonts w:ascii="Times New Roman" w:eastAsia="Times New Roman" w:hAnsi="Times New Roman" w:cs="Times New Roman"/>
                <w:sz w:val="22"/>
                <w:szCs w:val="22"/>
              </w:rPr>
              <w:t>School of Biotechnology</w:t>
            </w:r>
            <w:r w:rsidR="00DB1185">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International University Vietnam National University Ho Chi Minh City.</w:t>
            </w:r>
          </w:p>
        </w:tc>
      </w:tr>
      <w:tr w:rsidR="00CF00F8" w14:paraId="2029EF04" w14:textId="77777777">
        <w:tc>
          <w:tcPr>
            <w:tcW w:w="4725" w:type="dxa"/>
          </w:tcPr>
          <w:p w14:paraId="7AA32698" w14:textId="77777777" w:rsidR="00CF00F8" w:rsidRDefault="00000000">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Thi Thu Hoai Nguyen </w:t>
            </w:r>
          </w:p>
          <w:p w14:paraId="2F6EC330" w14:textId="77777777" w:rsidR="00BE3D4E" w:rsidRDefault="00DB118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School of Biotechnology, Research Center for Infectious Diseases, Vietnam National University Ho Chi Minh City, Quarter 6 Linh Trung ward, Thu Duc City Ho Chi Minh City. </w:t>
            </w:r>
          </w:p>
          <w:p w14:paraId="5F7C4E95" w14:textId="71F50C58" w:rsidR="00CF00F8" w:rsidRDefault="00BE3D4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Correspondence email: </w:t>
            </w:r>
            <w:hyperlink r:id="rId9" w:history="1">
              <w:proofErr w:type="spellStart"/>
              <w:r w:rsidRPr="0032217C">
                <w:rPr>
                  <w:rStyle w:val="Hyperlink"/>
                  <w:rFonts w:ascii="Times New Roman" w:eastAsia="Times New Roman" w:hAnsi="Times New Roman" w:cs="Times New Roman"/>
                  <w:sz w:val="22"/>
                  <w:szCs w:val="22"/>
                </w:rPr>
                <w:t>ntthoai@hcmiu.edu.vn</w:t>
              </w:r>
              <w:proofErr w:type="spellEnd"/>
            </w:hyperlink>
          </w:p>
        </w:tc>
        <w:tc>
          <w:tcPr>
            <w:tcW w:w="4635" w:type="dxa"/>
          </w:tcPr>
          <w:p w14:paraId="3EDF8624" w14:textId="77777777" w:rsidR="00CF00F8" w:rsidRDefault="00CF00F8">
            <w:pPr>
              <w:jc w:val="both"/>
            </w:pPr>
          </w:p>
        </w:tc>
      </w:tr>
    </w:tbl>
    <w:p w14:paraId="03C3416D" w14:textId="77777777" w:rsidR="00CF00F8" w:rsidRDefault="00CF00F8">
      <w:pPr>
        <w:spacing w:line="240" w:lineRule="auto"/>
        <w:rPr>
          <w:rFonts w:ascii="Times New Roman" w:eastAsia="Times New Roman" w:hAnsi="Times New Roman" w:cs="Times New Roman"/>
          <w:b/>
          <w:sz w:val="20"/>
          <w:szCs w:val="20"/>
          <w:highlight w:val="yellow"/>
        </w:rPr>
      </w:pPr>
    </w:p>
    <w:p w14:paraId="74B1A552" w14:textId="77777777" w:rsidR="00CF00F8" w:rsidRDefault="00000000">
      <w:pPr>
        <w:keepNext/>
        <w:keepLines/>
        <w:pBdr>
          <w:top w:val="nil"/>
          <w:left w:val="nil"/>
          <w:bottom w:val="nil"/>
          <w:right w:val="nil"/>
          <w:between w:val="nil"/>
        </w:pBdr>
        <w:spacing w:before="240" w:after="0" w:line="259"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OF CONTENTS</w:t>
      </w:r>
    </w:p>
    <w:p w14:paraId="5E2039DE" w14:textId="77777777" w:rsidR="00CF00F8" w:rsidRDefault="00CF00F8"/>
    <w:sdt>
      <w:sdtPr>
        <w:rPr>
          <w:rFonts w:ascii="Aptos" w:eastAsia="Aptos" w:hAnsi="Aptos" w:cs="Aptos"/>
          <w:sz w:val="24"/>
          <w:szCs w:val="24"/>
        </w:rPr>
        <w:id w:val="212402760"/>
        <w:docPartObj>
          <w:docPartGallery w:val="Table of Contents"/>
          <w:docPartUnique/>
        </w:docPartObj>
      </w:sdtPr>
      <w:sdtEndPr>
        <w:rPr>
          <w:rFonts w:ascii="Times New Roman" w:hAnsi="Times New Roman"/>
          <w:sz w:val="20"/>
          <w:szCs w:val="20"/>
        </w:rPr>
      </w:sdtEndPr>
      <w:sdtContent>
        <w:p w14:paraId="04534015" w14:textId="5A304BE0" w:rsidR="000D0745" w:rsidRPr="000D0745" w:rsidRDefault="00000000">
          <w:pPr>
            <w:pStyle w:val="TOC1"/>
            <w:tabs>
              <w:tab w:val="right" w:leader="dot" w:pos="9350"/>
            </w:tabs>
            <w:rPr>
              <w:rFonts w:ascii="Times New Roman" w:hAnsi="Times New Roman"/>
              <w:noProof/>
              <w:kern w:val="2"/>
              <w:sz w:val="20"/>
              <w:szCs w:val="20"/>
              <w14:ligatures w14:val="standardContextual"/>
            </w:rPr>
          </w:pPr>
          <w:r w:rsidRPr="000D0745">
            <w:rPr>
              <w:rFonts w:ascii="Times New Roman" w:hAnsi="Times New Roman"/>
              <w:sz w:val="20"/>
              <w:szCs w:val="20"/>
            </w:rPr>
            <w:fldChar w:fldCharType="begin"/>
          </w:r>
          <w:r w:rsidRPr="000D0745">
            <w:rPr>
              <w:rFonts w:ascii="Times New Roman" w:hAnsi="Times New Roman"/>
              <w:sz w:val="20"/>
              <w:szCs w:val="20"/>
            </w:rPr>
            <w:instrText xml:space="preserve"> TOC \h \u \z \t "Heading 1,1,Heading 2,2,Heading 3,3,"</w:instrText>
          </w:r>
          <w:r w:rsidRPr="000D0745">
            <w:rPr>
              <w:rFonts w:ascii="Times New Roman" w:hAnsi="Times New Roman"/>
              <w:sz w:val="20"/>
              <w:szCs w:val="20"/>
            </w:rPr>
            <w:fldChar w:fldCharType="separate"/>
          </w:r>
          <w:hyperlink w:anchor="_Toc191553252" w:history="1">
            <w:r w:rsidR="000D0745" w:rsidRPr="000D0745">
              <w:rPr>
                <w:rStyle w:val="Hyperlink"/>
                <w:rFonts w:ascii="Times New Roman" w:eastAsia="Times New Roman" w:hAnsi="Times New Roman"/>
                <w:b/>
                <w:noProof/>
                <w:sz w:val="20"/>
                <w:szCs w:val="20"/>
              </w:rPr>
              <w:t>I. INTRODUCTION</w:t>
            </w:r>
            <w:r w:rsidR="000D0745" w:rsidRPr="000D0745">
              <w:rPr>
                <w:rFonts w:ascii="Times New Roman" w:hAnsi="Times New Roman"/>
                <w:noProof/>
                <w:webHidden/>
                <w:sz w:val="20"/>
                <w:szCs w:val="20"/>
              </w:rPr>
              <w:tab/>
            </w:r>
            <w:r w:rsidR="000D0745" w:rsidRPr="000D0745">
              <w:rPr>
                <w:rFonts w:ascii="Times New Roman" w:hAnsi="Times New Roman"/>
                <w:noProof/>
                <w:webHidden/>
                <w:sz w:val="20"/>
                <w:szCs w:val="20"/>
              </w:rPr>
              <w:fldChar w:fldCharType="begin"/>
            </w:r>
            <w:r w:rsidR="000D0745" w:rsidRPr="000D0745">
              <w:rPr>
                <w:rFonts w:ascii="Times New Roman" w:hAnsi="Times New Roman"/>
                <w:noProof/>
                <w:webHidden/>
                <w:sz w:val="20"/>
                <w:szCs w:val="20"/>
              </w:rPr>
              <w:instrText xml:space="preserve"> PAGEREF _Toc191553252 \h </w:instrText>
            </w:r>
            <w:r w:rsidR="000D0745" w:rsidRPr="000D0745">
              <w:rPr>
                <w:rFonts w:ascii="Times New Roman" w:hAnsi="Times New Roman"/>
                <w:noProof/>
                <w:webHidden/>
                <w:sz w:val="20"/>
                <w:szCs w:val="20"/>
              </w:rPr>
            </w:r>
            <w:r w:rsidR="000D0745" w:rsidRPr="000D0745">
              <w:rPr>
                <w:rFonts w:ascii="Times New Roman" w:hAnsi="Times New Roman"/>
                <w:noProof/>
                <w:webHidden/>
                <w:sz w:val="20"/>
                <w:szCs w:val="20"/>
              </w:rPr>
              <w:fldChar w:fldCharType="separate"/>
            </w:r>
            <w:r w:rsidR="000D0745">
              <w:rPr>
                <w:rFonts w:ascii="Times New Roman" w:hAnsi="Times New Roman"/>
                <w:noProof/>
                <w:webHidden/>
                <w:sz w:val="20"/>
                <w:szCs w:val="20"/>
              </w:rPr>
              <w:t>2</w:t>
            </w:r>
            <w:r w:rsidR="000D0745" w:rsidRPr="000D0745">
              <w:rPr>
                <w:rFonts w:ascii="Times New Roman" w:hAnsi="Times New Roman"/>
                <w:noProof/>
                <w:webHidden/>
                <w:sz w:val="20"/>
                <w:szCs w:val="20"/>
              </w:rPr>
              <w:fldChar w:fldCharType="end"/>
            </w:r>
          </w:hyperlink>
        </w:p>
        <w:p w14:paraId="08CE15E3" w14:textId="4B76EDA5" w:rsidR="000D0745" w:rsidRDefault="000D0745">
          <w:pPr>
            <w:pStyle w:val="TOC1"/>
            <w:tabs>
              <w:tab w:val="right" w:leader="dot" w:pos="9350"/>
            </w:tabs>
            <w:rPr>
              <w:rStyle w:val="Hyperlink"/>
              <w:rFonts w:ascii="Times New Roman" w:hAnsi="Times New Roman"/>
              <w:noProof/>
              <w:sz w:val="20"/>
              <w:szCs w:val="20"/>
            </w:rPr>
          </w:pPr>
          <w:hyperlink w:anchor="_Toc191553253" w:history="1">
            <w:r w:rsidRPr="000D0745">
              <w:rPr>
                <w:rStyle w:val="Hyperlink"/>
                <w:rFonts w:ascii="Times New Roman" w:eastAsia="Times New Roman" w:hAnsi="Times New Roman"/>
                <w:b/>
                <w:noProof/>
                <w:sz w:val="20"/>
                <w:szCs w:val="20"/>
              </w:rPr>
              <w:t>II. MICROBIAL IDENTIFICATION</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_Toc191553253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2</w:t>
            </w:r>
            <w:r w:rsidRPr="000D0745">
              <w:rPr>
                <w:rFonts w:ascii="Times New Roman" w:hAnsi="Times New Roman"/>
                <w:noProof/>
                <w:webHidden/>
                <w:sz w:val="20"/>
                <w:szCs w:val="20"/>
              </w:rPr>
              <w:fldChar w:fldCharType="end"/>
            </w:r>
          </w:hyperlink>
        </w:p>
        <w:p w14:paraId="7E437BDD" w14:textId="2A829C14" w:rsidR="000D0745" w:rsidRPr="000D0745" w:rsidRDefault="000D0745" w:rsidP="000D0745">
          <w:pPr>
            <w:pStyle w:val="TOC2"/>
            <w:tabs>
              <w:tab w:val="left" w:pos="960"/>
              <w:tab w:val="right" w:leader="dot" w:pos="9350"/>
            </w:tabs>
            <w:rPr>
              <w:rFonts w:ascii="Times New Roman" w:hAnsi="Times New Roman"/>
              <w:noProof/>
              <w:kern w:val="2"/>
              <w:sz w:val="20"/>
              <w:szCs w:val="20"/>
              <w14:ligatures w14:val="standardContextual"/>
            </w:rPr>
          </w:pPr>
          <w:hyperlink w:anchor="_Toc191553254" w:history="1">
            <w:r w:rsidRPr="000D0745">
              <w:rPr>
                <w:rStyle w:val="Hyperlink"/>
                <w:rFonts w:ascii="Times New Roman" w:eastAsia="Times New Roman" w:hAnsi="Times New Roman"/>
                <w:b/>
                <w:noProof/>
                <w:sz w:val="20"/>
                <w:szCs w:val="20"/>
              </w:rPr>
              <w:t>II.</w:t>
            </w:r>
            <w:r>
              <w:rPr>
                <w:rStyle w:val="Hyperlink"/>
                <w:rFonts w:ascii="Times New Roman" w:eastAsia="Times New Roman" w:hAnsi="Times New Roman"/>
                <w:b/>
                <w:noProof/>
                <w:sz w:val="20"/>
                <w:szCs w:val="20"/>
              </w:rPr>
              <w:t>A</w:t>
            </w:r>
            <w:r w:rsidRPr="000D0745">
              <w:rPr>
                <w:rStyle w:val="Hyperlink"/>
                <w:rFonts w:ascii="Times New Roman" w:eastAsia="Times New Roman" w:hAnsi="Times New Roman"/>
                <w:b/>
                <w:noProof/>
                <w:sz w:val="20"/>
                <w:szCs w:val="20"/>
              </w:rPr>
              <w:t xml:space="preserve">.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Identification of bacteria at the species levels</w:t>
            </w:r>
            <w:r w:rsidRPr="000D0745">
              <w:rPr>
                <w:rFonts w:ascii="Times New Roman" w:hAnsi="Times New Roman"/>
                <w:noProof/>
                <w:webHidden/>
                <w:sz w:val="20"/>
                <w:szCs w:val="20"/>
              </w:rPr>
              <w:tab/>
            </w:r>
            <w:r>
              <w:rPr>
                <w:rFonts w:ascii="Times New Roman" w:hAnsi="Times New Roman"/>
                <w:noProof/>
                <w:webHidden/>
                <w:sz w:val="20"/>
                <w:szCs w:val="20"/>
              </w:rPr>
              <w:t>3</w:t>
            </w:r>
          </w:hyperlink>
        </w:p>
        <w:p w14:paraId="652A580A" w14:textId="6A053CF5" w:rsidR="000D0745" w:rsidRPr="000D0745" w:rsidRDefault="000D0745">
          <w:pPr>
            <w:pStyle w:val="TOC2"/>
            <w:tabs>
              <w:tab w:val="left" w:pos="960"/>
              <w:tab w:val="right" w:leader="dot" w:pos="9350"/>
            </w:tabs>
            <w:rPr>
              <w:rFonts w:ascii="Times New Roman" w:hAnsi="Times New Roman"/>
              <w:noProof/>
              <w:kern w:val="2"/>
              <w:sz w:val="20"/>
              <w:szCs w:val="20"/>
              <w14:ligatures w14:val="standardContextual"/>
            </w:rPr>
          </w:pPr>
          <w:hyperlink w:anchor="_Toc191553254" w:history="1">
            <w:r w:rsidRPr="000D0745">
              <w:rPr>
                <w:rStyle w:val="Hyperlink"/>
                <w:rFonts w:ascii="Times New Roman" w:eastAsia="Times New Roman" w:hAnsi="Times New Roman"/>
                <w:b/>
                <w:noProof/>
                <w:sz w:val="20"/>
                <w:szCs w:val="20"/>
              </w:rPr>
              <w:t xml:space="preserve">II.B.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Identification of bacteria at the subspecies or strain levels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_Toc191553254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6</w:t>
            </w:r>
            <w:r w:rsidRPr="000D0745">
              <w:rPr>
                <w:rFonts w:ascii="Times New Roman" w:hAnsi="Times New Roman"/>
                <w:noProof/>
                <w:webHidden/>
                <w:sz w:val="20"/>
                <w:szCs w:val="20"/>
              </w:rPr>
              <w:fldChar w:fldCharType="end"/>
            </w:r>
          </w:hyperlink>
        </w:p>
        <w:p w14:paraId="248068C7" w14:textId="3B7D0806"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55" w:history="1">
            <w:r w:rsidRPr="000D0745">
              <w:rPr>
                <w:rStyle w:val="Hyperlink"/>
                <w:rFonts w:ascii="Times New Roman" w:eastAsia="Times New Roman" w:hAnsi="Times New Roman"/>
                <w:b/>
                <w:noProof/>
                <w:sz w:val="20"/>
                <w:szCs w:val="20"/>
              </w:rPr>
              <w:t>III. ANTIMICROBIAL SUSCEPTIBILITY TESTING (AST)</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_Toc191553255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6</w:t>
            </w:r>
            <w:r w:rsidRPr="000D0745">
              <w:rPr>
                <w:rFonts w:ascii="Times New Roman" w:hAnsi="Times New Roman"/>
                <w:noProof/>
                <w:webHidden/>
                <w:sz w:val="20"/>
                <w:szCs w:val="20"/>
              </w:rPr>
              <w:fldChar w:fldCharType="end"/>
            </w:r>
          </w:hyperlink>
        </w:p>
        <w:p w14:paraId="6D405868" w14:textId="28D8D51E"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56" w:history="1">
            <w:r w:rsidRPr="000D0745">
              <w:rPr>
                <w:rStyle w:val="Hyperlink"/>
                <w:rFonts w:ascii="Times New Roman" w:eastAsia="Times New Roman" w:hAnsi="Times New Roman"/>
                <w:b/>
                <w:noProof/>
                <w:sz w:val="20"/>
                <w:szCs w:val="20"/>
              </w:rPr>
              <w:t>III.A.</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 xml:space="preserve"> Detection of resistant </w:t>
            </w:r>
            <w:r w:rsidR="00111AF2">
              <w:rPr>
                <w:rStyle w:val="Hyperlink"/>
                <w:rFonts w:ascii="Times New Roman" w:eastAsia="Times New Roman" w:hAnsi="Times New Roman"/>
                <w:b/>
                <w:noProof/>
                <w:sz w:val="20"/>
                <w:szCs w:val="20"/>
              </w:rPr>
              <w:t>isolates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_Toc191553256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7</w:t>
            </w:r>
            <w:r w:rsidRPr="000D0745">
              <w:rPr>
                <w:rFonts w:ascii="Times New Roman" w:hAnsi="Times New Roman"/>
                <w:noProof/>
                <w:webHidden/>
                <w:sz w:val="20"/>
                <w:szCs w:val="20"/>
              </w:rPr>
              <w:fldChar w:fldCharType="end"/>
            </w:r>
          </w:hyperlink>
        </w:p>
        <w:p w14:paraId="588C7DDF" w14:textId="2F9F1433"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57" w:history="1">
            <w:r w:rsidRPr="000D0745">
              <w:rPr>
                <w:rStyle w:val="Hyperlink"/>
                <w:rFonts w:ascii="Times New Roman" w:eastAsia="Times New Roman" w:hAnsi="Times New Roman"/>
                <w:b/>
                <w:noProof/>
                <w:sz w:val="20"/>
                <w:szCs w:val="20"/>
              </w:rPr>
              <w:t xml:space="preserve">III.B.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 xml:space="preserve">Monitoring </w:t>
            </w:r>
            <w:r w:rsidR="00111AF2">
              <w:rPr>
                <w:rStyle w:val="Hyperlink"/>
                <w:rFonts w:ascii="Times New Roman" w:eastAsia="Times New Roman" w:hAnsi="Times New Roman"/>
                <w:b/>
                <w:noProof/>
                <w:sz w:val="20"/>
                <w:szCs w:val="20"/>
              </w:rPr>
              <w:t xml:space="preserve">of </w:t>
            </w:r>
            <w:r w:rsidRPr="000D0745">
              <w:rPr>
                <w:rStyle w:val="Hyperlink"/>
                <w:rFonts w:ascii="Times New Roman" w:eastAsia="Times New Roman" w:hAnsi="Times New Roman"/>
                <w:b/>
                <w:noProof/>
                <w:sz w:val="20"/>
                <w:szCs w:val="20"/>
              </w:rPr>
              <w:t>antibiotic efficacy</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_Toc191553257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8</w:t>
            </w:r>
            <w:r w:rsidRPr="000D0745">
              <w:rPr>
                <w:rFonts w:ascii="Times New Roman" w:hAnsi="Times New Roman"/>
                <w:noProof/>
                <w:webHidden/>
                <w:sz w:val="20"/>
                <w:szCs w:val="20"/>
              </w:rPr>
              <w:fldChar w:fldCharType="end"/>
            </w:r>
          </w:hyperlink>
        </w:p>
        <w:p w14:paraId="20C5CA07" w14:textId="0A63DDD1"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58" w:history="1">
            <w:r w:rsidRPr="000D0745">
              <w:rPr>
                <w:rStyle w:val="Hyperlink"/>
                <w:rFonts w:ascii="Times New Roman" w:eastAsia="Times New Roman" w:hAnsi="Times New Roman"/>
                <w:b/>
                <w:noProof/>
                <w:sz w:val="20"/>
                <w:szCs w:val="20"/>
              </w:rPr>
              <w:t xml:space="preserve">IV. DETECTION OF </w:t>
            </w:r>
            <w:r w:rsidR="00111AF2">
              <w:rPr>
                <w:rStyle w:val="Hyperlink"/>
                <w:rFonts w:ascii="Times New Roman" w:eastAsia="Times New Roman" w:hAnsi="Times New Roman"/>
                <w:b/>
                <w:noProof/>
                <w:sz w:val="20"/>
                <w:szCs w:val="20"/>
              </w:rPr>
              <w:t xml:space="preserve">ANTIMICROBIAL </w:t>
            </w:r>
            <w:r w:rsidRPr="000D0745">
              <w:rPr>
                <w:rStyle w:val="Hyperlink"/>
                <w:rFonts w:ascii="Times New Roman" w:eastAsia="Times New Roman" w:hAnsi="Times New Roman"/>
                <w:b/>
                <w:noProof/>
                <w:sz w:val="20"/>
                <w:szCs w:val="20"/>
              </w:rPr>
              <w:t>RESISTANCE MECHANISMS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_Toc191553258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8</w:t>
            </w:r>
            <w:r w:rsidRPr="000D0745">
              <w:rPr>
                <w:rFonts w:ascii="Times New Roman" w:hAnsi="Times New Roman"/>
                <w:noProof/>
                <w:webHidden/>
                <w:sz w:val="20"/>
                <w:szCs w:val="20"/>
              </w:rPr>
              <w:fldChar w:fldCharType="end"/>
            </w:r>
          </w:hyperlink>
        </w:p>
        <w:p w14:paraId="5EE4253D" w14:textId="47855041"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59" w:history="1">
            <w:r w:rsidRPr="000D0745">
              <w:rPr>
                <w:rStyle w:val="Hyperlink"/>
                <w:rFonts w:ascii="Times New Roman" w:eastAsia="Times New Roman" w:hAnsi="Times New Roman"/>
                <w:b/>
                <w:noProof/>
                <w:sz w:val="20"/>
                <w:szCs w:val="20"/>
              </w:rPr>
              <w:t xml:space="preserve">IV.A.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Identification of antibiotic resistance markers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_Toc191553259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8</w:t>
            </w:r>
            <w:r w:rsidRPr="000D0745">
              <w:rPr>
                <w:rFonts w:ascii="Times New Roman" w:hAnsi="Times New Roman"/>
                <w:noProof/>
                <w:webHidden/>
                <w:sz w:val="20"/>
                <w:szCs w:val="20"/>
              </w:rPr>
              <w:fldChar w:fldCharType="end"/>
            </w:r>
          </w:hyperlink>
        </w:p>
        <w:p w14:paraId="717585ED" w14:textId="1105B87B"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60" w:history="1">
            <w:r w:rsidRPr="000D0745">
              <w:rPr>
                <w:rStyle w:val="Hyperlink"/>
                <w:rFonts w:ascii="Times New Roman" w:eastAsia="Times New Roman" w:hAnsi="Times New Roman"/>
                <w:b/>
                <w:noProof/>
                <w:sz w:val="20"/>
                <w:szCs w:val="20"/>
              </w:rPr>
              <w:t xml:space="preserve">IV.B.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Targeted proteomic and lipidomic analyses to identify resistance-conferring mutations or genes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_Toc191553260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9</w:t>
            </w:r>
            <w:r w:rsidRPr="000D0745">
              <w:rPr>
                <w:rFonts w:ascii="Times New Roman" w:hAnsi="Times New Roman"/>
                <w:noProof/>
                <w:webHidden/>
                <w:sz w:val="20"/>
                <w:szCs w:val="20"/>
              </w:rPr>
              <w:fldChar w:fldCharType="end"/>
            </w:r>
          </w:hyperlink>
        </w:p>
        <w:p w14:paraId="449FBD19" w14:textId="211D7E77"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61" w:history="1">
            <w:r w:rsidRPr="000D0745">
              <w:rPr>
                <w:rStyle w:val="Hyperlink"/>
                <w:rFonts w:ascii="Times New Roman" w:eastAsia="Times New Roman" w:hAnsi="Times New Roman"/>
                <w:b/>
                <w:noProof/>
                <w:sz w:val="20"/>
                <w:szCs w:val="20"/>
              </w:rPr>
              <w:t>V. DETECTION</w:t>
            </w:r>
            <w:r w:rsidR="00111AF2">
              <w:rPr>
                <w:rStyle w:val="Hyperlink"/>
                <w:rFonts w:ascii="Times New Roman" w:eastAsia="Times New Roman" w:hAnsi="Times New Roman"/>
                <w:b/>
                <w:noProof/>
                <w:sz w:val="20"/>
                <w:szCs w:val="20"/>
              </w:rPr>
              <w:t xml:space="preserve"> OF SUBSTANCES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_Toc191553261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10</w:t>
            </w:r>
            <w:r w:rsidRPr="000D0745">
              <w:rPr>
                <w:rFonts w:ascii="Times New Roman" w:hAnsi="Times New Roman"/>
                <w:noProof/>
                <w:webHidden/>
                <w:sz w:val="20"/>
                <w:szCs w:val="20"/>
              </w:rPr>
              <w:fldChar w:fldCharType="end"/>
            </w:r>
          </w:hyperlink>
        </w:p>
        <w:p w14:paraId="3F26466B" w14:textId="0B0A8D6C" w:rsidR="000D0745" w:rsidRPr="000D0745" w:rsidRDefault="000D0745">
          <w:pPr>
            <w:pStyle w:val="TOC2"/>
            <w:tabs>
              <w:tab w:val="left" w:pos="960"/>
              <w:tab w:val="right" w:leader="dot" w:pos="9350"/>
            </w:tabs>
            <w:rPr>
              <w:rFonts w:ascii="Times New Roman" w:hAnsi="Times New Roman"/>
              <w:noProof/>
              <w:kern w:val="2"/>
              <w:sz w:val="20"/>
              <w:szCs w:val="20"/>
              <w14:ligatures w14:val="standardContextual"/>
            </w:rPr>
          </w:pPr>
          <w:hyperlink w:anchor="_Toc191553262" w:history="1">
            <w:r w:rsidRPr="000D0745">
              <w:rPr>
                <w:rStyle w:val="Hyperlink"/>
                <w:rFonts w:ascii="Times New Roman" w:eastAsia="Times New Roman" w:hAnsi="Times New Roman"/>
                <w:b/>
                <w:noProof/>
                <w:sz w:val="20"/>
                <w:szCs w:val="20"/>
              </w:rPr>
              <w:t xml:space="preserve">V.A.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 xml:space="preserve">Detection of </w:t>
            </w:r>
            <w:r w:rsidR="00111AF2">
              <w:rPr>
                <w:rStyle w:val="Hyperlink"/>
                <w:rFonts w:ascii="Times New Roman" w:eastAsia="Times New Roman" w:hAnsi="Times New Roman"/>
                <w:b/>
                <w:noProof/>
                <w:sz w:val="20"/>
                <w:szCs w:val="20"/>
              </w:rPr>
              <w:t>p</w:t>
            </w:r>
            <w:r w:rsidRPr="000D0745">
              <w:rPr>
                <w:rStyle w:val="Hyperlink"/>
                <w:rFonts w:ascii="Times New Roman" w:eastAsia="Times New Roman" w:hAnsi="Times New Roman"/>
                <w:b/>
                <w:noProof/>
                <w:sz w:val="20"/>
                <w:szCs w:val="20"/>
              </w:rPr>
              <w:t xml:space="preserve">athogenic </w:t>
            </w:r>
            <w:r w:rsidR="00111AF2">
              <w:rPr>
                <w:rStyle w:val="Hyperlink"/>
                <w:rFonts w:ascii="Times New Roman" w:eastAsia="Times New Roman" w:hAnsi="Times New Roman"/>
                <w:b/>
                <w:noProof/>
                <w:sz w:val="20"/>
                <w:szCs w:val="20"/>
              </w:rPr>
              <w:t>t</w:t>
            </w:r>
            <w:r w:rsidRPr="000D0745">
              <w:rPr>
                <w:rStyle w:val="Hyperlink"/>
                <w:rFonts w:ascii="Times New Roman" w:eastAsia="Times New Roman" w:hAnsi="Times New Roman"/>
                <w:b/>
                <w:noProof/>
                <w:sz w:val="20"/>
                <w:szCs w:val="20"/>
              </w:rPr>
              <w:t>oxins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_Toc191553262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10</w:t>
            </w:r>
            <w:r w:rsidRPr="000D0745">
              <w:rPr>
                <w:rFonts w:ascii="Times New Roman" w:hAnsi="Times New Roman"/>
                <w:noProof/>
                <w:webHidden/>
                <w:sz w:val="20"/>
                <w:szCs w:val="20"/>
              </w:rPr>
              <w:fldChar w:fldCharType="end"/>
            </w:r>
          </w:hyperlink>
        </w:p>
        <w:p w14:paraId="3A6844A6" w14:textId="7DDECF26" w:rsidR="000D0745" w:rsidRPr="000D0745" w:rsidRDefault="000D0745">
          <w:pPr>
            <w:pStyle w:val="TOC2"/>
            <w:tabs>
              <w:tab w:val="left" w:pos="960"/>
              <w:tab w:val="right" w:leader="dot" w:pos="9350"/>
            </w:tabs>
            <w:rPr>
              <w:rFonts w:ascii="Times New Roman" w:hAnsi="Times New Roman"/>
              <w:noProof/>
              <w:kern w:val="2"/>
              <w:sz w:val="20"/>
              <w:szCs w:val="20"/>
              <w14:ligatures w14:val="standardContextual"/>
            </w:rPr>
          </w:pPr>
          <w:hyperlink w:anchor="_Toc191553263" w:history="1">
            <w:r w:rsidRPr="000D0745">
              <w:rPr>
                <w:rStyle w:val="Hyperlink"/>
                <w:rFonts w:ascii="Times New Roman" w:eastAsia="Times New Roman" w:hAnsi="Times New Roman"/>
                <w:b/>
                <w:noProof/>
                <w:sz w:val="20"/>
                <w:szCs w:val="20"/>
              </w:rPr>
              <w:t xml:space="preserve">V.B.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Quantification of antimicrobials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_Toc191553263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12</w:t>
            </w:r>
            <w:r w:rsidRPr="000D0745">
              <w:rPr>
                <w:rFonts w:ascii="Times New Roman" w:hAnsi="Times New Roman"/>
                <w:noProof/>
                <w:webHidden/>
                <w:sz w:val="20"/>
                <w:szCs w:val="20"/>
              </w:rPr>
              <w:fldChar w:fldCharType="end"/>
            </w:r>
          </w:hyperlink>
        </w:p>
        <w:p w14:paraId="4D1E5C9C" w14:textId="7CBF1B9C"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64" w:history="1">
            <w:r w:rsidRPr="000D0745">
              <w:rPr>
                <w:rStyle w:val="Hyperlink"/>
                <w:rFonts w:ascii="Times New Roman" w:eastAsia="Times New Roman" w:hAnsi="Times New Roman"/>
                <w:b/>
                <w:noProof/>
                <w:sz w:val="20"/>
                <w:szCs w:val="20"/>
              </w:rPr>
              <w:t>VI. MASS SPECTROMETRY USED IN OTHER TYPES OF DETECTION</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_Toc191553264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16</w:t>
            </w:r>
            <w:r w:rsidRPr="000D0745">
              <w:rPr>
                <w:rFonts w:ascii="Times New Roman" w:hAnsi="Times New Roman"/>
                <w:noProof/>
                <w:webHidden/>
                <w:sz w:val="20"/>
                <w:szCs w:val="20"/>
              </w:rPr>
              <w:fldChar w:fldCharType="end"/>
            </w:r>
          </w:hyperlink>
        </w:p>
        <w:p w14:paraId="20D3B161" w14:textId="090E33D1"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65" w:history="1">
            <w:r w:rsidRPr="000D0745">
              <w:rPr>
                <w:rStyle w:val="Hyperlink"/>
                <w:rFonts w:ascii="Times New Roman" w:eastAsia="Times New Roman" w:hAnsi="Times New Roman"/>
                <w:b/>
                <w:noProof/>
                <w:sz w:val="20"/>
                <w:szCs w:val="20"/>
              </w:rPr>
              <w:t xml:space="preserve">VI.A.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Fungal detection</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_Toc191553265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16</w:t>
            </w:r>
            <w:r w:rsidRPr="000D0745">
              <w:rPr>
                <w:rFonts w:ascii="Times New Roman" w:hAnsi="Times New Roman"/>
                <w:noProof/>
                <w:webHidden/>
                <w:sz w:val="20"/>
                <w:szCs w:val="20"/>
              </w:rPr>
              <w:fldChar w:fldCharType="end"/>
            </w:r>
          </w:hyperlink>
        </w:p>
        <w:p w14:paraId="74488E82" w14:textId="275D4053"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66" w:history="1">
            <w:r w:rsidRPr="000D0745">
              <w:rPr>
                <w:rStyle w:val="Hyperlink"/>
                <w:rFonts w:ascii="Times New Roman" w:eastAsia="Times New Roman" w:hAnsi="Times New Roman"/>
                <w:b/>
                <w:noProof/>
                <w:sz w:val="20"/>
                <w:szCs w:val="20"/>
              </w:rPr>
              <w:t xml:space="preserve">VI.B.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Viral diagnostics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_Toc191553266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17</w:t>
            </w:r>
            <w:r w:rsidRPr="000D0745">
              <w:rPr>
                <w:rFonts w:ascii="Times New Roman" w:hAnsi="Times New Roman"/>
                <w:noProof/>
                <w:webHidden/>
                <w:sz w:val="20"/>
                <w:szCs w:val="20"/>
              </w:rPr>
              <w:fldChar w:fldCharType="end"/>
            </w:r>
          </w:hyperlink>
        </w:p>
        <w:p w14:paraId="1E8FFAE1" w14:textId="42F0310A" w:rsidR="000D0745" w:rsidRPr="000D0745" w:rsidRDefault="000D0745">
          <w:pPr>
            <w:pStyle w:val="TOC2"/>
            <w:tabs>
              <w:tab w:val="left" w:pos="1200"/>
              <w:tab w:val="right" w:leader="dot" w:pos="9350"/>
            </w:tabs>
            <w:rPr>
              <w:rFonts w:ascii="Times New Roman" w:hAnsi="Times New Roman"/>
              <w:noProof/>
              <w:kern w:val="2"/>
              <w:sz w:val="20"/>
              <w:szCs w:val="20"/>
              <w14:ligatures w14:val="standardContextual"/>
            </w:rPr>
          </w:pPr>
          <w:hyperlink w:anchor="_Toc191553267" w:history="1">
            <w:r w:rsidRPr="000D0745">
              <w:rPr>
                <w:rStyle w:val="Hyperlink"/>
                <w:rFonts w:ascii="Times New Roman" w:eastAsia="Times New Roman" w:hAnsi="Times New Roman"/>
                <w:b/>
                <w:noProof/>
                <w:sz w:val="20"/>
                <w:szCs w:val="20"/>
              </w:rPr>
              <w:t xml:space="preserve">VI.C. </w:t>
            </w:r>
            <w:r w:rsidRPr="000D0745">
              <w:rPr>
                <w:rFonts w:ascii="Times New Roman" w:hAnsi="Times New Roman"/>
                <w:noProof/>
                <w:kern w:val="2"/>
                <w:sz w:val="20"/>
                <w:szCs w:val="20"/>
                <w14:ligatures w14:val="standardContextual"/>
              </w:rPr>
              <w:tab/>
            </w:r>
            <w:r w:rsidRPr="000D0745">
              <w:rPr>
                <w:rStyle w:val="Hyperlink"/>
                <w:rFonts w:ascii="Times New Roman" w:eastAsia="Times New Roman" w:hAnsi="Times New Roman"/>
                <w:b/>
                <w:noProof/>
                <w:sz w:val="20"/>
                <w:szCs w:val="20"/>
              </w:rPr>
              <w:t>Detection of mixed infectious</w:t>
            </w:r>
            <w:r w:rsidR="00590A53">
              <w:rPr>
                <w:rStyle w:val="Hyperlink"/>
                <w:rFonts w:ascii="Times New Roman" w:eastAsia="Times New Roman" w:hAnsi="Times New Roman"/>
                <w:b/>
                <w:noProof/>
                <w:sz w:val="20"/>
                <w:szCs w:val="20"/>
              </w:rPr>
              <w:t xml:space="preserve"> agents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_Toc191553267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18</w:t>
            </w:r>
            <w:r w:rsidRPr="000D0745">
              <w:rPr>
                <w:rFonts w:ascii="Times New Roman" w:hAnsi="Times New Roman"/>
                <w:noProof/>
                <w:webHidden/>
                <w:sz w:val="20"/>
                <w:szCs w:val="20"/>
              </w:rPr>
              <w:fldChar w:fldCharType="end"/>
            </w:r>
          </w:hyperlink>
        </w:p>
        <w:p w14:paraId="149841B6" w14:textId="2426F9DA"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68" w:history="1">
            <w:r w:rsidRPr="000D0745">
              <w:rPr>
                <w:rStyle w:val="Hyperlink"/>
                <w:rFonts w:ascii="Times New Roman" w:eastAsia="Times New Roman" w:hAnsi="Times New Roman"/>
                <w:b/>
                <w:noProof/>
                <w:sz w:val="20"/>
                <w:szCs w:val="20"/>
              </w:rPr>
              <w:t>VII. ADVANTAGES OF MASS SPECTROMETRY IN MICROBIOLOGY</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_Toc191553268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19</w:t>
            </w:r>
            <w:r w:rsidRPr="000D0745">
              <w:rPr>
                <w:rFonts w:ascii="Times New Roman" w:hAnsi="Times New Roman"/>
                <w:noProof/>
                <w:webHidden/>
                <w:sz w:val="20"/>
                <w:szCs w:val="20"/>
              </w:rPr>
              <w:fldChar w:fldCharType="end"/>
            </w:r>
          </w:hyperlink>
        </w:p>
        <w:p w14:paraId="301DB0E5" w14:textId="2B3CE305"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69" w:history="1">
            <w:r w:rsidRPr="000D0745">
              <w:rPr>
                <w:rStyle w:val="Hyperlink"/>
                <w:rFonts w:ascii="Times New Roman" w:eastAsia="Times New Roman" w:hAnsi="Times New Roman"/>
                <w:b/>
                <w:noProof/>
                <w:sz w:val="20"/>
                <w:szCs w:val="20"/>
              </w:rPr>
              <w:t>VIII. CHALLENGES IN IMPLEMENTING MS IN CLINICAL LABORATORIES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_Toc191553269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20</w:t>
            </w:r>
            <w:r w:rsidRPr="000D0745">
              <w:rPr>
                <w:rFonts w:ascii="Times New Roman" w:hAnsi="Times New Roman"/>
                <w:noProof/>
                <w:webHidden/>
                <w:sz w:val="20"/>
                <w:szCs w:val="20"/>
              </w:rPr>
              <w:fldChar w:fldCharType="end"/>
            </w:r>
          </w:hyperlink>
        </w:p>
        <w:p w14:paraId="7E18097E" w14:textId="37686C3F" w:rsidR="000D0745" w:rsidRPr="000D0745" w:rsidRDefault="000D0745">
          <w:pPr>
            <w:pStyle w:val="TOC1"/>
            <w:tabs>
              <w:tab w:val="right" w:leader="dot" w:pos="9350"/>
            </w:tabs>
            <w:rPr>
              <w:rFonts w:ascii="Times New Roman" w:hAnsi="Times New Roman"/>
              <w:noProof/>
              <w:kern w:val="2"/>
              <w:sz w:val="20"/>
              <w:szCs w:val="20"/>
              <w14:ligatures w14:val="standardContextual"/>
            </w:rPr>
          </w:pPr>
          <w:hyperlink w:anchor="_Toc191553270" w:history="1">
            <w:r w:rsidRPr="000D0745">
              <w:rPr>
                <w:rStyle w:val="Hyperlink"/>
                <w:rFonts w:ascii="Times New Roman" w:eastAsia="Times New Roman" w:hAnsi="Times New Roman"/>
                <w:b/>
                <w:noProof/>
                <w:sz w:val="20"/>
                <w:szCs w:val="20"/>
              </w:rPr>
              <w:t>REFERENCES</w:t>
            </w:r>
            <w:r w:rsidRPr="000D0745">
              <w:rPr>
                <w:rFonts w:ascii="Times New Roman" w:hAnsi="Times New Roman"/>
                <w:noProof/>
                <w:webHidden/>
                <w:sz w:val="20"/>
                <w:szCs w:val="20"/>
              </w:rPr>
              <w:tab/>
            </w:r>
            <w:r w:rsidRPr="000D0745">
              <w:rPr>
                <w:rFonts w:ascii="Times New Roman" w:hAnsi="Times New Roman"/>
                <w:noProof/>
                <w:webHidden/>
                <w:sz w:val="20"/>
                <w:szCs w:val="20"/>
              </w:rPr>
              <w:fldChar w:fldCharType="begin"/>
            </w:r>
            <w:r w:rsidRPr="000D0745">
              <w:rPr>
                <w:rFonts w:ascii="Times New Roman" w:hAnsi="Times New Roman"/>
                <w:noProof/>
                <w:webHidden/>
                <w:sz w:val="20"/>
                <w:szCs w:val="20"/>
              </w:rPr>
              <w:instrText xml:space="preserve"> PAGEREF _Toc191553270 \h </w:instrText>
            </w:r>
            <w:r w:rsidRPr="000D0745">
              <w:rPr>
                <w:rFonts w:ascii="Times New Roman" w:hAnsi="Times New Roman"/>
                <w:noProof/>
                <w:webHidden/>
                <w:sz w:val="20"/>
                <w:szCs w:val="20"/>
              </w:rPr>
            </w:r>
            <w:r w:rsidRPr="000D0745">
              <w:rPr>
                <w:rFonts w:ascii="Times New Roman" w:hAnsi="Times New Roman"/>
                <w:noProof/>
                <w:webHidden/>
                <w:sz w:val="20"/>
                <w:szCs w:val="20"/>
              </w:rPr>
              <w:fldChar w:fldCharType="separate"/>
            </w:r>
            <w:r>
              <w:rPr>
                <w:rFonts w:ascii="Times New Roman" w:hAnsi="Times New Roman"/>
                <w:noProof/>
                <w:webHidden/>
                <w:sz w:val="20"/>
                <w:szCs w:val="20"/>
              </w:rPr>
              <w:t>25</w:t>
            </w:r>
            <w:r w:rsidRPr="000D0745">
              <w:rPr>
                <w:rFonts w:ascii="Times New Roman" w:hAnsi="Times New Roman"/>
                <w:noProof/>
                <w:webHidden/>
                <w:sz w:val="20"/>
                <w:szCs w:val="20"/>
              </w:rPr>
              <w:fldChar w:fldCharType="end"/>
            </w:r>
          </w:hyperlink>
        </w:p>
        <w:p w14:paraId="30A663F0" w14:textId="7B3131D6" w:rsidR="00CF00F8" w:rsidRPr="000D0745" w:rsidRDefault="00000000">
          <w:pPr>
            <w:rPr>
              <w:rFonts w:ascii="Times New Roman" w:eastAsia="Times New Roman" w:hAnsi="Times New Roman" w:cs="Times New Roman"/>
              <w:sz w:val="20"/>
              <w:szCs w:val="20"/>
            </w:rPr>
          </w:pPr>
          <w:r w:rsidRPr="000D0745">
            <w:rPr>
              <w:rFonts w:ascii="Times New Roman" w:hAnsi="Times New Roman" w:cs="Times New Roman"/>
              <w:sz w:val="20"/>
              <w:szCs w:val="20"/>
            </w:rPr>
            <w:fldChar w:fldCharType="end"/>
          </w:r>
        </w:p>
      </w:sdtContent>
    </w:sdt>
    <w:p w14:paraId="7A54BE6F" w14:textId="77777777" w:rsidR="00CF00F8" w:rsidRDefault="00000000">
      <w:pPr>
        <w:pStyle w:val="Heading1"/>
        <w:jc w:val="center"/>
        <w:rPr>
          <w:rFonts w:ascii="Times New Roman" w:eastAsia="Times New Roman" w:hAnsi="Times New Roman" w:cs="Times New Roman"/>
          <w:b/>
          <w:color w:val="000000"/>
          <w:sz w:val="20"/>
          <w:szCs w:val="20"/>
        </w:rPr>
      </w:pPr>
      <w:bookmarkStart w:id="0" w:name="_Toc191553252"/>
      <w:r>
        <w:rPr>
          <w:rFonts w:ascii="Times New Roman" w:eastAsia="Times New Roman" w:hAnsi="Times New Roman" w:cs="Times New Roman"/>
          <w:b/>
          <w:color w:val="000000"/>
          <w:sz w:val="20"/>
          <w:szCs w:val="20"/>
        </w:rPr>
        <w:lastRenderedPageBreak/>
        <w:t>I. INTRODUCTION</w:t>
      </w:r>
      <w:bookmarkEnd w:id="0"/>
    </w:p>
    <w:p w14:paraId="201A96C5" w14:textId="3757B593"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Mass spectrometry (MS) is a powerful analytical technique used to measure the mass-to-charge ratio of molecules within a sample. It enables the identification and quantification of molecules based on their mass and charge, offering precise and reliable insights into the molecular composition of complex samples </w:t>
      </w:r>
      <w:r w:rsidR="00EA1788">
        <w:rPr>
          <w:rFonts w:ascii="Times New Roman" w:eastAsia="Times New Roman" w:hAnsi="Times New Roman" w:cs="Times New Roman"/>
          <w:sz w:val="20"/>
          <w:szCs w:val="20"/>
        </w:rPr>
        <w:fldChar w:fldCharType="begin"/>
      </w:r>
      <w:r w:rsidR="00EA1788">
        <w:rPr>
          <w:rFonts w:ascii="Times New Roman" w:eastAsia="Times New Roman" w:hAnsi="Times New Roman" w:cs="Times New Roman"/>
          <w:sz w:val="20"/>
          <w:szCs w:val="20"/>
        </w:rPr>
        <w:instrText xml:space="preserve"> ADDIN ZOTERO_ITEM CSL_CITATION {"citationID":"GuJhHFnH","properties":{"formattedCitation":"[1]","plainCitation":"[1]","noteIndex":0},"citationItems":[{"id":1089,"uris":["http://zotero.org/users/12998224/items/92G65WZ8"],"itemData":{"id":1089,"type":"chapter","abstract":"Mass spectrometry (MS) is a highly effective qualitative and quantitative analytical technique used to identify and quantify a wide range of clinically relevant analytes. Mass spectrometers expand analytical capabilities to various clinical applications when coupled with gas or liquid chromatography. In addition, mass spectrometry is an essential analytical tool in proteomics due to its ability to identify and quantify proteins. Most mass spectrometry data are presented in units of the mass-to-charge ratio (m/z), where m is the molecular weight of the ion (in daltons), and z is the number of charges present on the measured molecule. For small molecules (&lt;1000 Da), there is typically only a single charge; therefore, the m/z value is the same as the mass of the molecular ion. However, when larger molecules such as proteins or peptides are measured, they typically carry multiple ionic charges, and, therefore, the z-value is an integer greater than 1. The m/z value is a fraction of the ion's mass in these cases. Sample preparation is crucial for successful mass spectrometry, particularly when analyzing complex matrices commonly encountered in clinical chemistry. This process typically involves one or more of the following steps—protein precipitation followed by centrifugation or filtration, solid-phase extraction, liquid-liquid extraction, affinity enrichment, or derivatization. Derivatization is the process of chemically modifying the target compounds to make them more suitable for analysis by mass spectrometry. This process typically involves the addition of some well-defined functional groups. The goals of derivatization vary depending on the application but typically include increased volatility, greater thermal stability, modified chromatographic properties, greater ionization efficiency, favorable fragmentation properties, or a combination of these. Mass spectrometers convert molecules into ions, which are then manipulated using electric and magnetic fields. This process requires 3 main components as follows: Ion source: A sample is placed into the mass spectrometer, which is then ionized by the apparatus. Mass analyzer: Ions are sorted in the device based on their mass-to-charge ratio (m/z). . Detector: Ions are measured and displayed on the mass spectrum chart. . Atoms and molecules must first be ionized before being accelerated through the mass spectrometer and detected. The sample molecule introduced into the mass spectrometer first gets a positive charge from an ionization source. This positive charge is achieved by removing a valence electron. Alternatively, protons can also be added to create a positive electrical charge. Once ionized, the molecule breaks apart into smaller fragments, then separated according to their mass-to-charge ratio in the mass analyzer. Of note, only the cationic fragments are separated. The neutral species in the mass spectrometer go undetected as they are either absorbed by the apparatus or removed by a vacuum. After the ions are separated, the detector quantifies the ions.  A chart is generated to analyze the mass spectrometer's results, with the mass-to-charge ratio (m/z) on the x-axis and the relative intensity on the y-axis.  For a given sample, the most abundant ion in the sample molecule is known as the base peak. This ion is set to 100% on the y-axis for its relative intensity, and all the remaining ion peaks are generated relative to this value. The molecular ion peak is known as the parent peak because it corresponds to the molecular weight of the sample. For example, if the specimen in the mass spectrometer is hexane, the m/z is 86, as the molecular weight of hexane is 86 g/mol. In addition, if there is a peak at m/z=87, this is classified as the m+1 peak because all atoms have various isotopes.","call-number":"NBK589702","container-title":"StatPearls","event-place":"Treasure Island (FL)","language":"eng","license":"Copyright © 2025, StatPearls Publishing LLC.","note":"PMID: 36944006","publisher":"StatPearls Publishing","publisher-place":"Treasure Island (FL)","source":"PubMed","title":"Mass Spectrometer","URL":"http://www.ncbi.nlm.nih.gov/books/NBK589702/","author":[{"family":"Garg","given":"Eshita"},{"family":"Zubair","given":"Muhammad"}],"accessed":{"date-parts":[["2025",2,1]]},"issued":{"date-parts":[["2025"]]}}}],"schema":"https://github.com/citation-style-language/schema/raw/master/csl-citation.json"} </w:instrText>
      </w:r>
      <w:r w:rsidR="00EA1788">
        <w:rPr>
          <w:rFonts w:ascii="Times New Roman" w:eastAsia="Times New Roman" w:hAnsi="Times New Roman" w:cs="Times New Roman"/>
          <w:sz w:val="20"/>
          <w:szCs w:val="20"/>
        </w:rPr>
        <w:fldChar w:fldCharType="separate"/>
      </w:r>
      <w:r w:rsidR="00EA1788" w:rsidRPr="00EA1788">
        <w:rPr>
          <w:rFonts w:ascii="Times New Roman" w:hAnsi="Times New Roman" w:cs="Times New Roman"/>
          <w:sz w:val="20"/>
        </w:rPr>
        <w:t>[1]</w:t>
      </w:r>
      <w:r w:rsidR="00EA178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Due to its exceptional analytical capabilities, MS has become an invaluable tool in clinical microbiology. MS encompasses several types and techniques, each designed for specific applications. Electrospray ionization (ESI), direct analysis in real-time (DART-MS), and matrix-assisted laser desorption/ionization (MALDI) are methods used for the ionization of whole proteins </w:t>
      </w:r>
      <w:r w:rsidR="00EA1788">
        <w:rPr>
          <w:rFonts w:ascii="Times New Roman" w:eastAsia="Times New Roman" w:hAnsi="Times New Roman" w:cs="Times New Roman"/>
          <w:sz w:val="20"/>
          <w:szCs w:val="20"/>
        </w:rPr>
        <w:fldChar w:fldCharType="begin"/>
      </w:r>
      <w:r w:rsidR="00EA1788">
        <w:rPr>
          <w:rFonts w:ascii="Times New Roman" w:eastAsia="Times New Roman" w:hAnsi="Times New Roman" w:cs="Times New Roman"/>
          <w:sz w:val="20"/>
          <w:szCs w:val="20"/>
        </w:rPr>
        <w:instrText xml:space="preserve"> ADDIN ZOTERO_ITEM CSL_CITATION {"citationID":"YXMwC03N","properties":{"formattedCitation":"[2]","plainCitation":"[2]","noteIndex":0},"citationItems":[{"id":1092,"uris":["http://zotero.org/users/12998224/items/9F7874TS"],"itemData":{"id":1092,"type":"article-journal","abstract":"Matrix-assisted laser desorption ionization-time of flight mass spectrometry (MALDI-TOF MS) has been successfully applied as an identification procedure in clinical microbiology and has been widely used in routine laboratory practice because of its economical and diagnostic benefits. The range of applications of MALDI-TOF MS has been growing constantly, from rapid species identification to labor-intensive proteomic studies of bacterial physiology. The purpose of this review is to summarize the contribution of the studies already performed with MALDI-TOF MS concerning antibiotic resistance and to analyze future perspectives in this field. We believe that current research should continue in four main directions, including the detection of antibiotic modifications by degrading enzymes, the detection of resistance mechanism determinants through proteomic studies of multiresistant bacteria, and the analysis of modifications of target sites, such as ribosomal methylation. The quantification of antibiotics is suggested as a new approach to study influx and efflux in bacterial cells. The results of the presented studies demonstrate that MALDI-TOF MS is a relevant tool for the detection of antibiotic resistance and opens new avenues for both clinical and experimental microbiology.","container-title":"Clinical Microbiology Reviews","DOI":"10.1128/CMR.00058-12","ISSN":"1098-6618","issue":"1","journalAbbreviation":"Clin Microbiol Rev","language":"eng","note":"PMID: 23297261\nPMCID: PMC3553667","page":"103-114","source":"PubMed","title":"Matrix-assisted laser desorption ionization-time of flight (maldi-tof) mass spectrometry for detection of antibiotic resistance mechanisms: from research to routine diagnosis","title-short":"Matrix-assisted laser desorption ionization-time of flight (maldi-tof) mass spectrometry for detection of antibiotic resistance mechanisms","volume":"26","author":[{"family":"Hrabák","given":"Jaroslav"},{"family":"Chudácková","given":"Eva"},{"family":"Walková","given":"Radka"}],"issued":{"date-parts":[["2013",1]]}}}],"schema":"https://github.com/citation-style-language/schema/raw/master/csl-citation.json"} </w:instrText>
      </w:r>
      <w:r w:rsidR="00EA1788">
        <w:rPr>
          <w:rFonts w:ascii="Times New Roman" w:eastAsia="Times New Roman" w:hAnsi="Times New Roman" w:cs="Times New Roman"/>
          <w:sz w:val="20"/>
          <w:szCs w:val="20"/>
        </w:rPr>
        <w:fldChar w:fldCharType="separate"/>
      </w:r>
      <w:r w:rsidR="00EA1788" w:rsidRPr="00EA1788">
        <w:rPr>
          <w:rFonts w:ascii="Times New Roman" w:hAnsi="Times New Roman" w:cs="Times New Roman"/>
          <w:sz w:val="20"/>
        </w:rPr>
        <w:t>[2]</w:t>
      </w:r>
      <w:r w:rsidR="00EA178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Besides, some specialized types of MS include tandem mass spectrometry (MS/MS) and gas chromatography-mass spectrometry (GC-MS) </w:t>
      </w:r>
      <w:r w:rsidR="00EA1788">
        <w:rPr>
          <w:rFonts w:ascii="Times New Roman" w:eastAsia="Times New Roman" w:hAnsi="Times New Roman" w:cs="Times New Roman"/>
          <w:sz w:val="20"/>
          <w:szCs w:val="20"/>
        </w:rPr>
        <w:fldChar w:fldCharType="begin"/>
      </w:r>
      <w:r w:rsidR="00EA1788">
        <w:rPr>
          <w:rFonts w:ascii="Times New Roman" w:eastAsia="Times New Roman" w:hAnsi="Times New Roman" w:cs="Times New Roman"/>
          <w:sz w:val="20"/>
          <w:szCs w:val="20"/>
        </w:rPr>
        <w:instrText xml:space="preserve"> ADDIN ZOTERO_ITEM CSL_CITATION {"citationID":"6VIZBBjW","properties":{"formattedCitation":"[3]","plainCitation":"[3]","noteIndex":0},"citationItems":[{"id":1095,"uris":["http://zotero.org/users/12998224/items/6HJ87JRE"],"itemData":{"id":1095,"type":"article-journal","abstract":"RATIONALE: An ideal method for bioanalytical applications would deliver spatially resolved quantitative information in real time and without sample preparation. In reality these requirements can typically not be met by a single analytical technique. Therefore, we combine different mass spectrometry approaches: chromatographic separation, ambient ionization and imaging techniques, in order to obtain comprehensive information about metabolites in complex biological samples.\nMETHODS: Samples were analyzed by laser desorption followed by electrospray ionization (LD-ESI) as an ambient ionization technique, by matrix-assisted laser desorption/ionization (MALDI) mass spectrometry imaging for spatial distribution analysis and by high-performance liquid chromatography/electrospray ionization mass spectrometry (HPLC/ESI-MS) for quantitation and validation of compound identification. All MS data were acquired with high mass resolution and accurate mass (using orbital trapping and ion cyclotron resonance mass spectrometers). Grape berries were analyzed and evaluated in detail, whereas wheat seeds and mouse brain tissue were analyzed in proof-of-concept experiments.\nRESULTS: In situ measurements by LD-ESI without any sample preparation allowed for fast screening of plant metabolites on the grape surface. MALDI imaging of grape cross sections at 20 µm pixel size revealed the detailed distribution of metabolites which were in accordance with their biological function. HPLC/ESI-MS was used to quantify 13 anthocyanin species as well as to separate and identify isomeric compounds. A total of 41 metabolites (amino acids, carbohydrates, anthocyanins) were identified with all three approaches. Mass accuracy for all MS measurements was better than 2 ppm (root mean square error).\nCONCLUSIONS: The combined approach provides fast screening capabilities, spatial distribution information and the possibility to quantify metabolites. Accurate mass measurements proved to be critical in order to reliably combine data from different MS techniques. Initial results on the mycotoxin deoxynivalenol (DON) in wheat seed and phospholipids in mouse brain as a model for mammalian tissue indicate a broad applicability of the presented workflow.","container-title":"Rapid communications in mass spectrometry: RCM","DOI":"10.1002/rcm.6960","ISSN":"1097-0231","issue":"16","journalAbbreviation":"Rapid Commun Mass Spectrom","language":"eng","note":"PMID: 25559448","page":"1779-1791","source":"PubMed","title":"A comprehensive high-resolution mass spectrometry approach for characterization of metabolites by combination of ambient ionization, chromatography and imaging methods","volume":"28","author":[{"family":"Berisha","given":"Arton"},{"family":"Dold","given":"Sebastian"},{"family":"Guenther","given":"Sabine"},{"family":"Desbenoit","given":"Nicolas"},{"family":"Takats","given":"Zoltan"},{"family":"Spengler","given":"Bernhard"},{"family":"Römpp","given":"Andreas"}],"issued":{"date-parts":[["2014",8,30]]}}}],"schema":"https://github.com/citation-style-language/schema/raw/master/csl-citation.json"} </w:instrText>
      </w:r>
      <w:r w:rsidR="00EA1788">
        <w:rPr>
          <w:rFonts w:ascii="Times New Roman" w:eastAsia="Times New Roman" w:hAnsi="Times New Roman" w:cs="Times New Roman"/>
          <w:sz w:val="20"/>
          <w:szCs w:val="20"/>
        </w:rPr>
        <w:fldChar w:fldCharType="separate"/>
      </w:r>
      <w:r w:rsidR="00EA1788" w:rsidRPr="00EA1788">
        <w:rPr>
          <w:rFonts w:ascii="Times New Roman" w:hAnsi="Times New Roman" w:cs="Times New Roman"/>
          <w:sz w:val="20"/>
        </w:rPr>
        <w:t>[3]</w:t>
      </w:r>
      <w:r w:rsidR="00EA178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This chapter provides an overview of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and its applications in clinical microbiology, including microbial identification, antimicrobial susceptibility testing</w:t>
      </w:r>
      <w:r w:rsidR="000F51C3">
        <w:rPr>
          <w:rFonts w:ascii="Times New Roman" w:eastAsia="Times New Roman" w:hAnsi="Times New Roman" w:cs="Times New Roman"/>
          <w:sz w:val="20"/>
          <w:szCs w:val="20"/>
        </w:rPr>
        <w:t xml:space="preserve"> (AST)</w:t>
      </w:r>
      <w:r>
        <w:rPr>
          <w:rFonts w:ascii="Times New Roman" w:eastAsia="Times New Roman" w:hAnsi="Times New Roman" w:cs="Times New Roman"/>
          <w:sz w:val="20"/>
          <w:szCs w:val="20"/>
        </w:rPr>
        <w:t>, bacterial toxin detection, and environmental and foodborne pathogen analysis. Additionally, this chapter explores the challenges associated with implementing MS in clinical laboratories.</w:t>
      </w:r>
    </w:p>
    <w:p w14:paraId="3716D384" w14:textId="77777777" w:rsidR="00CF00F8" w:rsidRDefault="00000000">
      <w:pPr>
        <w:pStyle w:val="Heading1"/>
        <w:jc w:val="center"/>
        <w:rPr>
          <w:rFonts w:ascii="Times New Roman" w:eastAsia="Times New Roman" w:hAnsi="Times New Roman" w:cs="Times New Roman"/>
          <w:b/>
          <w:sz w:val="20"/>
          <w:szCs w:val="20"/>
        </w:rPr>
      </w:pPr>
      <w:bookmarkStart w:id="1" w:name="_Toc191553253"/>
      <w:r>
        <w:rPr>
          <w:rFonts w:ascii="Times New Roman" w:eastAsia="Times New Roman" w:hAnsi="Times New Roman" w:cs="Times New Roman"/>
          <w:b/>
          <w:color w:val="000000"/>
          <w:sz w:val="20"/>
          <w:szCs w:val="20"/>
        </w:rPr>
        <w:t>II. MICROBIAL IDENTIFICATION</w:t>
      </w:r>
      <w:bookmarkEnd w:id="1"/>
    </w:p>
    <w:p w14:paraId="01BD4187" w14:textId="32BA95C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Microbial identification in clinical diagnostic microbiology laboratories has traditionally relied on biochemical reactions or phenotypic characteristics. While these methods can provide accurate identification, they are often time-consuming, costly, and require the expertise of senior technicians for precise interpretation. The advent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transformed the landscape of microbial identification, offering a rapid and efficient approach to detecting and characterizing microorganisms </w:t>
      </w:r>
      <w:r w:rsidR="00EA1788">
        <w:rPr>
          <w:rFonts w:ascii="Times New Roman" w:eastAsia="Times New Roman" w:hAnsi="Times New Roman" w:cs="Times New Roman"/>
          <w:sz w:val="20"/>
          <w:szCs w:val="20"/>
        </w:rPr>
        <w:fldChar w:fldCharType="begin"/>
      </w:r>
      <w:r w:rsidR="00EA1788">
        <w:rPr>
          <w:rFonts w:ascii="Times New Roman" w:eastAsia="Times New Roman" w:hAnsi="Times New Roman" w:cs="Times New Roman"/>
          <w:sz w:val="20"/>
          <w:szCs w:val="20"/>
        </w:rPr>
        <w:instrText xml:space="preserve"> ADDIN ZOTERO_ITEM CSL_CITATION {"citationID":"zED8cqRD","properties":{"formattedCitation":"[4]","plainCitation":"[4]","noteIndex":0},"citationItems":[{"id":1097,"uris":["http://zotero.org/users/12998224/items/NR69ST3N"],"itemData":{"id":1097,"type":"article-journal","abstract":"MALDI-TOF-mass spectrometry (MS) has been successfully adapted for the routine identification of microorganisms in clinical microbiology laboratories in the past 10 years. This revolutionary technique allows for easier and faster diagnosis of human pathogens than conventional phenotypic and molecular identification methods, with unquestionable reliability and cost-effectiveness. This article will review the application of MALDI-TOF-MS tools in routine clinical diagnosis, including the identification of bacteria at the species, subspecies, strain and lineage levels, and the identification of bacterial toxins and antibiotic-resistance type. We will also discuss the application of MALDI-TOF-MS tools in the identification of Archaea, eukaryotes and viruses. Pathogenic identification from colony-cultured, blood-cultured, urine and environmental samples is also reviewed.","container-title":"Future Microbiology","DOI":"10.2217/fmb.10.127","ISSN":"1746-0921","issue":"11","journalAbbreviation":"Future Microbiol","language":"eng","note":"PMID: 21133692","page":"1733-1754","source":"PubMed","title":"MALDI-TOF-mass spectrometry applications in clinical microbiology","volume":"5","author":[{"family":"Seng","given":"Piseth"},{"family":"Rolain","given":"Jean-Marc"},{"family":"Fournier","given":"Pierre Edouard"},{"family":"La Scola","given":"Bernard"},{"family":"Drancourt","given":"Michel"},{"family":"Raoult","given":"Didier"}],"issued":{"date-parts":[["2010",11]]}}}],"schema":"https://github.com/citation-style-language/schema/raw/master/csl-citation.json"} </w:instrText>
      </w:r>
      <w:r w:rsidR="00EA1788">
        <w:rPr>
          <w:rFonts w:ascii="Times New Roman" w:eastAsia="Times New Roman" w:hAnsi="Times New Roman" w:cs="Times New Roman"/>
          <w:sz w:val="20"/>
          <w:szCs w:val="20"/>
        </w:rPr>
        <w:fldChar w:fldCharType="separate"/>
      </w:r>
      <w:r w:rsidR="00EA1788" w:rsidRPr="00EA1788">
        <w:rPr>
          <w:rFonts w:ascii="Times New Roman" w:hAnsi="Times New Roman" w:cs="Times New Roman"/>
          <w:sz w:val="20"/>
        </w:rPr>
        <w:t>[4]</w:t>
      </w:r>
      <w:r w:rsidR="00EA178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technology is capable of sequencing proteins, mapping biomolecules within tissues, and detecting epidemic lineages, making it an invaluable tool in both clinical and research settings.</w:t>
      </w:r>
    </w:p>
    <w:p w14:paraId="548791F6" w14:textId="35602BB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Unlike conventional methods, which can take hours or days,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can identify microorganisms within minutes by directly analyzing colonies. This reduction in diagnostic time has had a profound impact on clinical workflows, enabling faster initiation of targeted treatments.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relies on pre-established mass spectra databases or automated identification software, such as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(Bruker </w:t>
      </w:r>
      <w:proofErr w:type="spellStart"/>
      <w:r>
        <w:rPr>
          <w:rFonts w:ascii="Times New Roman" w:eastAsia="Times New Roman" w:hAnsi="Times New Roman" w:cs="Times New Roman"/>
          <w:sz w:val="20"/>
          <w:szCs w:val="20"/>
        </w:rPr>
        <w:t>Daltonics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(Shimadzu &amp; </w:t>
      </w:r>
      <w:proofErr w:type="spellStart"/>
      <w:r>
        <w:rPr>
          <w:rFonts w:ascii="Times New Roman" w:eastAsia="Times New Roman" w:hAnsi="Times New Roman" w:cs="Times New Roman"/>
          <w:sz w:val="20"/>
          <w:szCs w:val="20"/>
        </w:rPr>
        <w:t>Anagnostec</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MicrobeLynx</w:t>
      </w:r>
      <w:proofErr w:type="spellEnd"/>
      <w:r>
        <w:rPr>
          <w:rFonts w:ascii="Times New Roman" w:eastAsia="Times New Roman" w:hAnsi="Times New Roman" w:cs="Times New Roman"/>
          <w:sz w:val="20"/>
          <w:szCs w:val="20"/>
        </w:rPr>
        <w:t xml:space="preserve">™ (Waters Corporation), which integrate proprietary databases for accurate microbial identification </w:t>
      </w:r>
      <w:r w:rsidR="00EA1788">
        <w:rPr>
          <w:rFonts w:ascii="Times New Roman" w:eastAsia="Times New Roman" w:hAnsi="Times New Roman" w:cs="Times New Roman"/>
          <w:sz w:val="20"/>
          <w:szCs w:val="20"/>
        </w:rPr>
        <w:fldChar w:fldCharType="begin"/>
      </w:r>
      <w:r w:rsidR="00EA1788">
        <w:rPr>
          <w:rFonts w:ascii="Times New Roman" w:eastAsia="Times New Roman" w:hAnsi="Times New Roman" w:cs="Times New Roman"/>
          <w:sz w:val="20"/>
          <w:szCs w:val="20"/>
        </w:rPr>
        <w:instrText xml:space="preserve"> ADDIN ZOTERO_ITEM CSL_CITATION {"citationID":"wEVC9RgS","properties":{"formattedCitation":"[5]","plainCitation":"[5]","noteIndex":0},"citationItems":[{"id":1099,"uris":["http://zotero.org/users/12998224/items/YLF5SVIU"],"itemData":{"id":1099,"type":"article-journal","abstract":"Mass spectrometry (MS) is a type of analysis used to determine what molecules make up a sample, based on the mass spectrum that are created by the ions. Mass spectrometers are able to perform traditional target analyte identification and quantitation; however, they may also be used within a clinical setting for the rapid identification of bacteria. The causative agent in sepsis is changed over time, and clinical decisions affecting the management of infections are often based on the outcomes of bacterial identification. Therefore, it is essential that such identifications are performed quickly and interpreted correctly. Matrix-assisted laser desorption/ionization-time of flight (MALDI-TOF) mass spectrometer is one of the most popular MS instruments used in biology, due to its rapid and precise identification of genus and species of an extensive range of Gram-negative and -positive bacteria. Microorganism identification by Mass spectrometry is based on identifying a characteristic spectrum of each species and then matched with a large database within the instrument. The present review gives a contemporary perspective on the challenges and opportunities for bacterial identification as well as a written report of how technological innovation has advanced MS. Future clinical applications will also be addressed, particularly the use of MALDI-TOF MS in the field of microbiology for the identification and the analysis of antibiotic resistance.","container-title":"Journal of Food and Drug Analysis","DOI":"10.1016/j.jfda.2019.01.001","ISSN":"2224-6614","issue":"2","journalAbbreviation":"J Food Drug Anal","language":"eng","note":"PMID: 30987712\nPMCID: PMC9296205","page":"404-414","source":"PubMed","title":"Current status of MALDI-TOF mass spectrometry in clinical microbiology","volume":"27","author":[{"family":"Hou","given":"Tsung-Yun"},{"family":"Chiang-Ni","given":"Chuan"},{"family":"Teng","given":"Shih-Hua"}],"issued":{"date-parts":[["2019",4]]}}}],"schema":"https://github.com/citation-style-language/schema/raw/master/csl-citation.json"} </w:instrText>
      </w:r>
      <w:r w:rsidR="00EA1788">
        <w:rPr>
          <w:rFonts w:ascii="Times New Roman" w:eastAsia="Times New Roman" w:hAnsi="Times New Roman" w:cs="Times New Roman"/>
          <w:sz w:val="20"/>
          <w:szCs w:val="20"/>
        </w:rPr>
        <w:fldChar w:fldCharType="separate"/>
      </w:r>
      <w:r w:rsidR="00EA1788" w:rsidRPr="00EA1788">
        <w:rPr>
          <w:rFonts w:ascii="Times New Roman" w:hAnsi="Times New Roman" w:cs="Times New Roman"/>
          <w:sz w:val="20"/>
        </w:rPr>
        <w:t>[5]</w:t>
      </w:r>
      <w:r w:rsidR="00EA178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 study comparing the performance of two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systems, the BD Bruker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Vitek</w:t>
      </w:r>
      <w:proofErr w:type="spellEnd"/>
      <w:r>
        <w:rPr>
          <w:rFonts w:ascii="Times New Roman" w:eastAsia="Times New Roman" w:hAnsi="Times New Roman" w:cs="Times New Roman"/>
          <w:sz w:val="20"/>
          <w:szCs w:val="20"/>
        </w:rPr>
        <w:t xml:space="preserve"> MS, demonstrated significant differences in their accuracy when identifying anaerobic isolates. The Bruker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system outperformed the </w:t>
      </w:r>
      <w:proofErr w:type="spellStart"/>
      <w:r>
        <w:rPr>
          <w:rFonts w:ascii="Times New Roman" w:eastAsia="Times New Roman" w:hAnsi="Times New Roman" w:cs="Times New Roman"/>
          <w:sz w:val="20"/>
          <w:szCs w:val="20"/>
        </w:rPr>
        <w:t>Vitek</w:t>
      </w:r>
      <w:proofErr w:type="spellEnd"/>
      <w:r>
        <w:rPr>
          <w:rFonts w:ascii="Times New Roman" w:eastAsia="Times New Roman" w:hAnsi="Times New Roman" w:cs="Times New Roman"/>
          <w:sz w:val="20"/>
          <w:szCs w:val="20"/>
        </w:rPr>
        <w:t xml:space="preserve"> MS, achieving higher identification rates at both species (85.3% vs. 65.5%) and genus (89.7% vs. 71.2%) levels while also showing fewer instances of misidentification and non-identification. Despite the effectiveness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microbial diagnostics, its success relies on the comprehensiveness of its spectral databases. Expanding these databases by adding more reference spectra for clinically relevant bacteria can further improve the precision of identification. </w:t>
      </w:r>
      <w:r w:rsidR="008951DE">
        <w:rPr>
          <w:rFonts w:ascii="Times New Roman" w:eastAsia="Times New Roman" w:hAnsi="Times New Roman" w:cs="Times New Roman"/>
          <w:sz w:val="20"/>
          <w:szCs w:val="20"/>
        </w:rPr>
        <w:t xml:space="preserve">Additionally, </w:t>
      </w:r>
      <w:r>
        <w:rPr>
          <w:rFonts w:ascii="Times New Roman" w:eastAsia="Times New Roman" w:hAnsi="Times New Roman" w:cs="Times New Roman"/>
          <w:sz w:val="20"/>
          <w:szCs w:val="20"/>
        </w:rPr>
        <w:t xml:space="preserve">continuous database updates </w:t>
      </w:r>
      <w:r w:rsidR="008951DE">
        <w:rPr>
          <w:rFonts w:ascii="Times New Roman" w:eastAsia="Times New Roman" w:hAnsi="Times New Roman" w:cs="Times New Roman"/>
          <w:sz w:val="20"/>
          <w:szCs w:val="20"/>
        </w:rPr>
        <w:t xml:space="preserve">are important </w:t>
      </w:r>
      <w:r>
        <w:rPr>
          <w:rFonts w:ascii="Times New Roman" w:eastAsia="Times New Roman" w:hAnsi="Times New Roman" w:cs="Times New Roman"/>
          <w:sz w:val="20"/>
          <w:szCs w:val="20"/>
        </w:rPr>
        <w:t xml:space="preserve">to ensure </w:t>
      </w:r>
      <w:r w:rsidR="008951DE">
        <w:rPr>
          <w:rFonts w:ascii="Times New Roman" w:eastAsia="Times New Roman" w:hAnsi="Times New Roman" w:cs="Times New Roman"/>
          <w:sz w:val="20"/>
          <w:szCs w:val="20"/>
        </w:rPr>
        <w:t xml:space="preserve">that </w:t>
      </w: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remains a reliable and essential tool for microbial identification in clinical settings </w:t>
      </w:r>
      <w:r w:rsidR="00643D6F" w:rsidRPr="00643D6F">
        <w:rPr>
          <w:rFonts w:ascii="Times New Roman" w:hAnsi="Times New Roman" w:cs="Times New Roman"/>
          <w:sz w:val="20"/>
          <w:szCs w:val="20"/>
        </w:rPr>
        <w:fldChar w:fldCharType="begin"/>
      </w:r>
      <w:r w:rsidR="00643D6F" w:rsidRPr="00643D6F">
        <w:rPr>
          <w:rFonts w:ascii="Times New Roman" w:hAnsi="Times New Roman" w:cs="Times New Roman"/>
          <w:sz w:val="20"/>
          <w:szCs w:val="20"/>
        </w:rPr>
        <w:instrText xml:space="preserve"> ADDIN ZOTERO_ITEM CSL_CITATION {"citationID":"pvq7iO9t","properties":{"formattedCitation":"[6]","plainCitation":"[6]","noteIndex":0},"citationItems":[{"id":1235,"uris":["http://zotero.org/users/12998224/items/3IVVM94V"],"itemData":{"id":1235,"type":"article-journal","abstract":"The aim of this study was to compare the performance of two MALDI-TOF MS systems in the identification of clinically relevant strict anaerobic bacteria. The 16S rRNA gene sequencing was the gold standard method when discrepancies or inconsistencies were observed between platforms. A total of 333 isolates were recovered from clinical samples of different centers in Buenos Aires City between 2016 and 2021. The isolates were identified in duplicate using two MALDI-TOF MS systems, BD Bruker Biotyper (Bruker Daltonics, Bremen, Germany) and Vitek MS (bioMèrieux, Marcy-l’Etoile, France). Using the Vitek MS system, the identification of anaerobic isolates yielded the following percentages: 65.5% (n: 218) at the species or species–complex level, 71.2% (n: 237) at the genus level, 29.4% (n: 98) with no identification and 5.1% (n: 17) with misidentification. Using the Bruker Biotyper system, the identification rates were as follows: 85.3% (n: 284) at the species or species–complex level, 89.7% (n: 299) at the genus level, 14.1% (n: 47) with no identification and 0.6% (n: 2) with misidentification. Differences in the performance of both methods were statistically significant (p-values &lt;0.0001). In conclusion, MALDI-TOF MS systems speed up microbial identification and are particularly effective for slow-growing microorganisms, such as anaerobic bacteria, which are difficult to identify by traditional methods. In this study, the Bruker system showed greater accuracy than the Vitek system. In order to be truly effective, it is essential to update the databases of both systems by increasing the number of each main spectrum profile within the platforms.\nResumen\nEl objetivo de este estudio fue comparar el desempeño de dos sistemas MALDI-TOF MS en la identificación de bacterias anaerobias estrictas de interés clínico. La secuenciación del gen 16S ARNr fue el método de referencia utilizado cuando se observaron discrepancias o inconsistencias entre plataformas. Se recuperaron 333 aislados de muestras clínicas de diferentes centros de la Ciudad Autónoma de Buenos Aires entre 2016 y 2021. Los aislados se identificaron por duplicado mediante dos sistemas MALDI-TOF MS: el BD Bruker Biotyper (Bruker Daltonics, Bremen, Alemania) y el Vitek MS (bioMèrieux, Marcy-l’Etoile, Francia). A través del sistema Vitek MS, los mismos fueron identificados a nivel de especie o complejo de especies en un 65,5% (n: 218) y de género en un 71,2% (n: 237), mientras que no se identificaron en un 29,4% (n: 98) y fue incorrecta en el 5,1% (n: 17). Mediante el sistema Bruker Biotyper, dichos valores fueron del 85,3% (n: 284), del 89,7% (n: 299), del 14,1% (n: 47) y del 0,6% (n: 2), respectivamente. La diferencia entre ambos métodos fue estadísticamente significativa (p&lt;0,0001). En conclusión, los sistemas MALDI-TOF MS aceleran la identificación microbiana. Son especialmente útiles para los microorganismos de crecimiento lento, como las bacterias anaerobias, que son difíciles de identificar con los métodos tradicionales. El sistema Bruker demostró ser más preciso que el Vitek MS. Para que estos métodos sean realmente efectivos es fundamental actualizar las bases de datos de ambos sistemas e incrementar el número de espectros de referencia dentro de las plataformas.","container-title":"Revista Argentina de Microbiología","DOI":"10.1016/j.ram.2023.12.001","ISSN":"0325-7541","issue":"1","journalAbbreviation":"Revista Argentina de Microbiología","page":"33-61","source":"ScienceDirect","title":"Comparison of two MALDI-TOF MS systems for the identification of clinically relevant anaerobic bacteria in Argentina","volume":"56","author":[{"family":"Litterio","given":"Mirta"},{"family":"Castello","given":"Liliana"},{"family":"Venuta","given":"María Elena"},{"family":"Abel","given":"Sofía"},{"family":"Fernández-Canigia","given":"Liliana"},{"family":"Legaria","given":"María Cristina"},{"family":"Rollet","given":"Raquel"},{"family":"Vaustat","given":"Daniela"},{"family":"Azula","given":"Natalia"},{"family":"Fox","given":"Bárbara"},{"family":"Otero","given":"Silvina"},{"family":"Maldonado","given":"María Laura"},{"family":"Mangieri","given":"Natalia Alejandra"},{"family":"Rossetti","given":"María Adelaida"},{"family":"Predari","given":"Silvia Carla"},{"family":"Cejas","given":"Daniela"},{"family":"Barberis","given":"Claudia"}],"issued":{"date-parts":[["2024",1,1]]}}}],"schema":"https://github.com/citation-style-language/schema/raw/master/csl-citation.json"} </w:instrText>
      </w:r>
      <w:r w:rsidR="00643D6F" w:rsidRPr="00643D6F">
        <w:rPr>
          <w:rFonts w:ascii="Times New Roman" w:hAnsi="Times New Roman" w:cs="Times New Roman"/>
          <w:sz w:val="20"/>
          <w:szCs w:val="20"/>
        </w:rPr>
        <w:fldChar w:fldCharType="separate"/>
      </w:r>
      <w:r w:rsidR="00643D6F" w:rsidRPr="00643D6F">
        <w:rPr>
          <w:rFonts w:ascii="Times New Roman" w:hAnsi="Times New Roman" w:cs="Times New Roman"/>
          <w:sz w:val="20"/>
          <w:szCs w:val="20"/>
        </w:rPr>
        <w:t>[6]</w:t>
      </w:r>
      <w:r w:rsidR="00643D6F" w:rsidRPr="00643D6F">
        <w:rPr>
          <w:rFonts w:ascii="Times New Roman" w:hAnsi="Times New Roman" w:cs="Times New Roman"/>
          <w:sz w:val="20"/>
          <w:szCs w:val="20"/>
        </w:rPr>
        <w:fldChar w:fldCharType="end"/>
      </w:r>
      <w:r w:rsidR="00643D6F">
        <w:rPr>
          <w:rFonts w:ascii="Times New Roman" w:eastAsia="Times New Roman" w:hAnsi="Times New Roman" w:cs="Times New Roman"/>
          <w:sz w:val="20"/>
          <w:szCs w:val="20"/>
        </w:rPr>
        <w:t>.</w:t>
      </w:r>
    </w:p>
    <w:p w14:paraId="6FF773DE" w14:textId="7C706D61" w:rsidR="00CF00F8" w:rsidRDefault="003E4821">
      <w:pPr>
        <w:spacing w:before="240" w:after="240" w:line="240" w:lineRule="auto"/>
        <w:ind w:firstLine="720"/>
        <w:jc w:val="both"/>
        <w:rPr>
          <w:rFonts w:ascii="Times New Roman" w:eastAsia="Times New Roman" w:hAnsi="Times New Roman" w:cs="Times New Roman"/>
          <w:sz w:val="20"/>
          <w:szCs w:val="20"/>
        </w:rPr>
      </w:pPr>
      <w:r w:rsidRPr="003E4821">
        <w:rPr>
          <w:rFonts w:ascii="Times New Roman" w:eastAsia="Times New Roman" w:hAnsi="Times New Roman" w:cs="Times New Roman"/>
          <w:sz w:val="20"/>
          <w:szCs w:val="20"/>
        </w:rPr>
        <w:t>The principle behind MALDI-</w:t>
      </w:r>
      <w:proofErr w:type="spellStart"/>
      <w:r w:rsidRPr="003E4821">
        <w:rPr>
          <w:rFonts w:ascii="Times New Roman" w:eastAsia="Times New Roman" w:hAnsi="Times New Roman" w:cs="Times New Roman"/>
          <w:sz w:val="20"/>
          <w:szCs w:val="20"/>
        </w:rPr>
        <w:t>TOF</w:t>
      </w:r>
      <w:proofErr w:type="spellEnd"/>
      <w:r w:rsidRPr="003E4821">
        <w:rPr>
          <w:rFonts w:ascii="Times New Roman" w:eastAsia="Times New Roman" w:hAnsi="Times New Roman" w:cs="Times New Roman"/>
          <w:sz w:val="20"/>
          <w:szCs w:val="20"/>
        </w:rPr>
        <w:t xml:space="preserve"> MS involves the use of a UV laser to ionize proteins within a microbial sample, with the aid of a matrix that absorbs the laser energy and facilitates desorption and ionization.</w:t>
      </w:r>
      <w:r>
        <w:rPr>
          <w:rFonts w:ascii="Times New Roman" w:eastAsia="Times New Roman" w:hAnsi="Times New Roman" w:cs="Times New Roman"/>
          <w:sz w:val="20"/>
          <w:szCs w:val="20"/>
        </w:rPr>
        <w:t xml:space="preserve"> These ions are analyzed to determine their mass-to-charge ratios, producing a unique protein "fingerprint" that is compared to known spectra in a database for identification </w:t>
      </w:r>
      <w:r w:rsidR="00643D6F">
        <w:rPr>
          <w:rFonts w:ascii="Times New Roman" w:eastAsia="Times New Roman" w:hAnsi="Times New Roman" w:cs="Times New Roman"/>
          <w:sz w:val="20"/>
          <w:szCs w:val="20"/>
        </w:rPr>
        <w:fldChar w:fldCharType="begin"/>
      </w:r>
      <w:r w:rsidR="00643D6F">
        <w:rPr>
          <w:rFonts w:ascii="Times New Roman" w:eastAsia="Times New Roman" w:hAnsi="Times New Roman" w:cs="Times New Roman"/>
          <w:sz w:val="20"/>
          <w:szCs w:val="20"/>
        </w:rPr>
        <w:instrText xml:space="preserve"> ADDIN ZOTERO_ITEM CSL_CITATION {"citationID":"4gudTDhp","properties":{"formattedCitation":"[7], [8]","plainCitation":"[7], [8]","noteIndex":0},"citationItems":[{"id":1102,"uris":["http://zotero.org/users/12998224/items/THXGE464"],"itemData":{"id":1102,"type":"article-journal","abstract":"Background &amp; objectives:\nPathogenic bacteria often cause life threatening infections especially in immunocompromised individuals. Therefore, rapid and reliable species identification is essential for a successful treatment and disease management. We evaluated a rapid, proteomic based technique for identification of clinical bacterial isolates by protein profiling using matrix-assisted laser desorption-ionization time - of - flight mass spectrometry (MALDI-TOF MS).\n\nMethods:\nFreshly grown bacterial isolates were selected from culture plates. Ethanol/formic acid extraction procedure was carried out, followed by charging of MALDI target plate with the extract and overlaying with α-cyano-4 hydroxy-cinnamic acid matrix solution. Identification was performed using the MALDI BioTyper 1.1, software for microbial identification (Bruker Daltonik GmbH, Bremen, Germany).\n\nResults:\nA comparative analysis of 82 clinical bacterial isolates using MALDI -TOF MS and conventional techniques was carried out. Amongst the clinical isolates, the accuracy at the species level for clinical isolates was 98.78%. One out of 82 isolates was not in accordance with the conventional assays because MALDI-TOF MS established it as Streptococcus pneumoniae and conventional methods as Streptococcus viridans.\n\nInterpretation &amp; conclusions:\nMALDI - TOF MS was found to be an accurate, rapid, cost-effective and robust system for identification of clinical bacterial isolates. This innovative approach holds promise for earlier therapeutic intervention leading to better patient care.","container-title":"The Indian Journal of Medical Research","ISSN":"0971-5916","issue":"6","journalAbbreviation":"Indian J Med Res","note":"PMID: 25758576\nPMCID: PMC4365351","page":"770-777","source":"PubMed Central","title":"MALDI-TOF mass spectrometry proteomic based identification of clinical bacterial isolates","volume":"140","author":[{"family":"Panda","given":"Ashutosh"},{"family":"Kurapati","given":"Sravya"},{"family":"Samantaray","given":"Jyotish C."},{"family":"Srinivasan","given":"Alagiri"},{"family":"Khalil","given":"Shehla"}],"issued":{"date-parts":[["2014",12]]}}},{"id":1105,"uris":["http://zotero.org/users/12998224/items/BZ5FXKE6"],"itemData":{"id":1105,"type":"article-journal","abstract":"Until recently, microbial identification in clinical diagnostic laboratories has mainly relied on conventional phenotypic and gene sequencing identification techniques. The development of matrix-assisted laser desorption ionization time-of-flight mass spectrometry (MALDI-TOF MS) devices has revolutionized the routine identification of microorganisms in clinical microbiology laboratories by introducing an easy, rapid, high throughput, low-cost, and efficient identification technique. This technology has been adapted to the constraint of clinical diagnostic laboratories and has the potential to replace and/or complement conventional identification techniques for both bacterial and fungal strains. Using standardized procedures, the resolution of MALDI-TOF MS allows accurate identification at the species level of most Gram-positive and Gram-negative bacterial strains with the exception of a few difficult strains that require more attention and further development of the method. Similarly, the routine identification by MALDI-TOF MS of yeast isolates is reliable and much quicker than conventional techniques. Recent studies have shown that MALDI-TOF MS has also the potential to accurately identify filamentous fungi and dermatophytes, providing that specific standardized procedures are established for these microorganisms. Moreover, MALDI-TOF MS has been used successfully for microbial typing and identification at the subspecies level, demonstrating that this technology is a potential efficient tool for epidemiological studies and for taxonomical classification.","container-title":"FEMS microbiology reviews","DOI":"10.1111/j.1574-6976.2011.00298.x","ISSN":"1574-6976","issue":"2","journalAbbreviation":"FEMS Microbiol Rev","language":"eng","note":"PMID: 22092265","page":"380-407","source":"PubMed","title":"Applications of MALDI-TOF mass spectrometry in clinical diagnostic microbiology","volume":"36","author":[{"family":"Croxatto","given":"Antony"},{"family":"Prod'hom","given":"Guy"},{"family":"Greub","given":"Gilbert"}],"issued":{"date-parts":[["2012",3]]}}}],"schema":"https://github.com/citation-style-language/schema/raw/master/csl-citation.json"} </w:instrText>
      </w:r>
      <w:r w:rsidR="00643D6F">
        <w:rPr>
          <w:rFonts w:ascii="Times New Roman" w:eastAsia="Times New Roman" w:hAnsi="Times New Roman" w:cs="Times New Roman"/>
          <w:sz w:val="20"/>
          <w:szCs w:val="20"/>
        </w:rPr>
        <w:fldChar w:fldCharType="separate"/>
      </w:r>
      <w:r w:rsidR="00643D6F" w:rsidRPr="00643D6F">
        <w:rPr>
          <w:rFonts w:ascii="Times New Roman" w:hAnsi="Times New Roman" w:cs="Times New Roman"/>
          <w:sz w:val="20"/>
        </w:rPr>
        <w:t>[7], [8]</w:t>
      </w:r>
      <w:r w:rsidR="00643D6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approach offers significantly faster and more accurate results compared to traditional phenotypic methods, such as polymerase chain reaction (PCR) or genome sequencing.</w:t>
      </w:r>
    </w:p>
    <w:p w14:paraId="0324F2E7" w14:textId="2BB42F46"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uses two main methods for microorganism characterization. The first method relies on fingerprint databases to compare mass spectra. Unique spectra of intact cells are generated and matched with available fingerprint libraries, offering quick results that are easily adapted for routine diagnostic use. The second method matches biomarker masses to a proteome database, identifying unknown microorganisms by comparing biomarker protein masses in the spectrum with predicted molecular masses derived from genomic data. This method accommodates variations in protein profiles, accounting for differences in culture growth rates and sample processing conditions </w:t>
      </w:r>
      <w:r w:rsidR="00643D6F">
        <w:rPr>
          <w:rFonts w:ascii="Times New Roman" w:eastAsia="Times New Roman" w:hAnsi="Times New Roman" w:cs="Times New Roman"/>
          <w:sz w:val="20"/>
          <w:szCs w:val="20"/>
        </w:rPr>
        <w:fldChar w:fldCharType="begin"/>
      </w:r>
      <w:r w:rsidR="00643D6F">
        <w:rPr>
          <w:rFonts w:ascii="Times New Roman" w:eastAsia="Times New Roman" w:hAnsi="Times New Roman" w:cs="Times New Roman"/>
          <w:sz w:val="20"/>
          <w:szCs w:val="20"/>
        </w:rPr>
        <w:instrText xml:space="preserve"> ADDIN ZOTERO_ITEM CSL_CITATION {"citationID":"vENcu4OX","properties":{"formattedCitation":"[9]","plainCitation":"[9]","noteIndex":0},"citationItems":[{"id":1108,"uris":["http://zotero.org/users/12998224/items/8J8GZBE6"],"itemData":{"id":1108,"type":"article-journal","abstract":"&lt;p&gt;Currently microorganisms are best identified using 16S rRNA and 18S rRNA gene sequencing. However, in recent years matrix assisted laser desorption ionization-time of flight mass spectrometry (MALDI-TOF MS) has emerged as a potential tool for microbial identification and diagnosis. During the MALDI-TOF MS process, microbes are identified using either intact cells or cell extracts. The process is rapid, sensitive, and economical in terms of both labor and costs involved. The technology has been readily imbibed by microbiologists who have reported usage of MALDI-TOF MS for a number of purposes like, microbial identification and strain typing, epidemiological studies, detection of biological warfare agents, detection of water- and food-borne pathogens, detection of antibiotic resistance and detection of blood and urinary tract pathogens etc. The limitation of the technology is that identification of new isolates is possible only if the spectral database contains peptide mass fingerprints of the type strains of specific genera/species/subspecies/strains. This review provides an overview of the status and recent applications of mass spectrometry for microbial identification. It also explores the usefulness of this exciting new technology for diagnosis of diseases caused by bacteria, viruses, and fungi.&lt;/p&gt;","container-title":"Frontiers in Microbiology","DOI":"10.3389/fmicb.2015.00791","ISSN":"1664-302X","journalAbbreviation":"Front. Microbiol.","language":"English","note":"publisher: Frontiers","source":"Frontiers","title":"MALDI-TOF mass spectrometry: an emerging technology for microbial identification and diagnosis","title-short":"MALDI-TOF mass spectrometry","URL":"https://www.frontiersin.org/journals/microbiology/articles/10.3389/fmicb.2015.00791/full","volume":"6","author":[{"family":"Singhal","given":"Neelja"},{"family":"Kumar","given":"Manish"},{"family":"Kanaujia","given":"Pawan K."},{"family":"Virdi","given":"Jugsharan S."}],"accessed":{"date-parts":[["2025",2,1]]},"issued":{"date-parts":[["2015",8,5]]}}}],"schema":"https://github.com/citation-style-language/schema/raw/master/csl-citation.json"} </w:instrText>
      </w:r>
      <w:r w:rsidR="00643D6F">
        <w:rPr>
          <w:rFonts w:ascii="Times New Roman" w:eastAsia="Times New Roman" w:hAnsi="Times New Roman" w:cs="Times New Roman"/>
          <w:sz w:val="20"/>
          <w:szCs w:val="20"/>
        </w:rPr>
        <w:fldChar w:fldCharType="separate"/>
      </w:r>
      <w:r w:rsidR="00643D6F" w:rsidRPr="00643D6F">
        <w:rPr>
          <w:rFonts w:ascii="Times New Roman" w:hAnsi="Times New Roman" w:cs="Times New Roman"/>
          <w:sz w:val="20"/>
        </w:rPr>
        <w:t>[9]</w:t>
      </w:r>
      <w:r w:rsidR="00643D6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B874715" w14:textId="16787EBC" w:rsidR="00CF00F8" w:rsidRPr="004B1623" w:rsidRDefault="00000000" w:rsidP="004B1623">
      <w:pPr>
        <w:spacing w:before="240" w:after="240" w:line="240" w:lineRule="auto"/>
        <w:ind w:firstLine="720"/>
        <w:jc w:val="center"/>
        <w:rPr>
          <w:rFonts w:ascii="Times New Roman" w:eastAsia="Times New Roman" w:hAnsi="Times New Roman" w:cs="Times New Roman"/>
          <w:color w:val="FF0000"/>
          <w:sz w:val="20"/>
          <w:szCs w:val="20"/>
        </w:rPr>
      </w:pPr>
      <w:r>
        <w:rPr>
          <w:rFonts w:ascii="Times New Roman" w:eastAsia="Times New Roman" w:hAnsi="Times New Roman" w:cs="Times New Roman"/>
          <w:b/>
          <w:noProof/>
          <w:color w:val="FF0000"/>
          <w:sz w:val="20"/>
          <w:szCs w:val="20"/>
        </w:rPr>
        <w:lastRenderedPageBreak/>
        <w:drawing>
          <wp:inline distT="114300" distB="114300" distL="114300" distR="114300" wp14:anchorId="2896BC7C" wp14:editId="39C9B27F">
            <wp:extent cx="5319713" cy="3729913"/>
            <wp:effectExtent l="0" t="0" r="0" b="0"/>
            <wp:docPr id="7561205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19713" cy="3729913"/>
                    </a:xfrm>
                    <a:prstGeom prst="rect">
                      <a:avLst/>
                    </a:prstGeom>
                    <a:ln/>
                  </pic:spPr>
                </pic:pic>
              </a:graphicData>
            </a:graphic>
          </wp:inline>
        </w:drawing>
      </w:r>
      <w:r>
        <w:rPr>
          <w:rFonts w:ascii="Times New Roman" w:eastAsia="Times New Roman" w:hAnsi="Times New Roman" w:cs="Times New Roman"/>
          <w:b/>
          <w:color w:val="FF0000"/>
          <w:sz w:val="20"/>
          <w:szCs w:val="20"/>
        </w:rPr>
        <w:br/>
      </w:r>
      <w:r w:rsidRPr="004B1623">
        <w:rPr>
          <w:rFonts w:ascii="Times New Roman" w:eastAsia="Times New Roman" w:hAnsi="Times New Roman" w:cs="Times New Roman"/>
          <w:b/>
          <w:sz w:val="20"/>
          <w:szCs w:val="20"/>
        </w:rPr>
        <w:t>Figure</w:t>
      </w:r>
      <w:r>
        <w:rPr>
          <w:rFonts w:ascii="Times New Roman" w:eastAsia="Times New Roman" w:hAnsi="Times New Roman" w:cs="Times New Roman"/>
          <w:b/>
          <w:sz w:val="20"/>
          <w:szCs w:val="20"/>
        </w:rPr>
        <w:t xml:space="preserve"> 1. MALDI-</w:t>
      </w:r>
      <w:proofErr w:type="spellStart"/>
      <w:r>
        <w:rPr>
          <w:rFonts w:ascii="Times New Roman" w:eastAsia="Times New Roman" w:hAnsi="Times New Roman" w:cs="Times New Roman"/>
          <w:b/>
          <w:sz w:val="20"/>
          <w:szCs w:val="20"/>
        </w:rPr>
        <w:t>TOF</w:t>
      </w:r>
      <w:proofErr w:type="spellEnd"/>
      <w:r>
        <w:rPr>
          <w:rFonts w:ascii="Times New Roman" w:eastAsia="Times New Roman" w:hAnsi="Times New Roman" w:cs="Times New Roman"/>
          <w:b/>
          <w:sz w:val="20"/>
          <w:szCs w:val="20"/>
        </w:rPr>
        <w:t xml:space="preserve"> MS Workflow in Microbial Identification</w:t>
      </w:r>
      <w:r w:rsidR="004B1623">
        <w:rPr>
          <w:rFonts w:ascii="Times New Roman" w:eastAsia="Times New Roman" w:hAnsi="Times New Roman" w:cs="Times New Roman"/>
          <w:b/>
          <w:sz w:val="20"/>
          <w:szCs w:val="20"/>
        </w:rPr>
        <w:t xml:space="preserve">. </w:t>
      </w:r>
      <w:r w:rsidR="004B1623" w:rsidRPr="00336519">
        <w:rPr>
          <w:rFonts w:ascii="Times New Roman" w:eastAsia="Times New Roman" w:hAnsi="Times New Roman" w:cs="Times New Roman"/>
          <w:b/>
          <w:i/>
          <w:iCs/>
          <w:sz w:val="20"/>
          <w:szCs w:val="20"/>
        </w:rPr>
        <w:t xml:space="preserve">The image was regenerated using </w:t>
      </w:r>
      <w:proofErr w:type="spellStart"/>
      <w:r w:rsidR="004B1623" w:rsidRPr="00336519">
        <w:rPr>
          <w:rFonts w:ascii="Times New Roman" w:eastAsia="Times New Roman" w:hAnsi="Times New Roman" w:cs="Times New Roman"/>
          <w:b/>
          <w:i/>
          <w:iCs/>
          <w:sz w:val="20"/>
          <w:szCs w:val="20"/>
        </w:rPr>
        <w:t>Biorender</w:t>
      </w:r>
      <w:proofErr w:type="spellEnd"/>
      <w:r w:rsidR="004B1623" w:rsidRPr="00336519">
        <w:rPr>
          <w:rFonts w:ascii="Times New Roman" w:eastAsia="Times New Roman" w:hAnsi="Times New Roman" w:cs="Times New Roman"/>
          <w:b/>
          <w:i/>
          <w:iCs/>
          <w:sz w:val="20"/>
          <w:szCs w:val="20"/>
        </w:rPr>
        <w:t xml:space="preserve"> Premium 2025</w:t>
      </w:r>
    </w:p>
    <w:p w14:paraId="661F5E1E" w14:textId="37C3ACC0" w:rsidR="00CF00F8" w:rsidRPr="00643D6F" w:rsidRDefault="00000000" w:rsidP="00643D6F">
      <w:pPr>
        <w:spacing w:before="240" w:after="240" w:line="240" w:lineRule="auto"/>
        <w:ind w:firstLine="72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color w:val="000000"/>
          <w:sz w:val="20"/>
          <w:szCs w:val="20"/>
        </w:rPr>
        <w:t>II.A</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Identification of bacteria at the species level</w:t>
      </w:r>
    </w:p>
    <w:p w14:paraId="4B045259" w14:textId="2E0EB669" w:rsidR="00643D6F" w:rsidRDefault="00643D6F">
      <w:pPr>
        <w:spacing w:before="240" w:after="240" w:line="240" w:lineRule="auto"/>
        <w:ind w:firstLine="720"/>
        <w:jc w:val="both"/>
        <w:rPr>
          <w:rFonts w:ascii="Times New Roman" w:eastAsia="Times New Roman" w:hAnsi="Times New Roman" w:cs="Times New Roman"/>
          <w:sz w:val="20"/>
          <w:szCs w:val="20"/>
        </w:rPr>
      </w:pPr>
      <w:r w:rsidRPr="00643D6F">
        <w:rPr>
          <w:rFonts w:ascii="Times New Roman" w:eastAsia="Times New Roman" w:hAnsi="Times New Roman" w:cs="Times New Roman"/>
          <w:sz w:val="20"/>
          <w:szCs w:val="20"/>
        </w:rPr>
        <w:t>MALDI-</w:t>
      </w:r>
      <w:proofErr w:type="spellStart"/>
      <w:r w:rsidRPr="00643D6F">
        <w:rPr>
          <w:rFonts w:ascii="Times New Roman" w:eastAsia="Times New Roman" w:hAnsi="Times New Roman" w:cs="Times New Roman"/>
          <w:sz w:val="20"/>
          <w:szCs w:val="20"/>
        </w:rPr>
        <w:t>TOF</w:t>
      </w:r>
      <w:proofErr w:type="spellEnd"/>
      <w:r w:rsidRPr="00643D6F">
        <w:rPr>
          <w:rFonts w:ascii="Times New Roman" w:eastAsia="Times New Roman" w:hAnsi="Times New Roman" w:cs="Times New Roman"/>
          <w:sz w:val="20"/>
          <w:szCs w:val="20"/>
        </w:rPr>
        <w:t xml:space="preserve"> MS has demonstrated remarkable accuracy in identifying bacteria at the genus and species levels, including both Gram-negative and Gram-positive isolates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{"citationID":"vckEezfM","properties":{"formattedCitation":"[10]","plainCitation":"[10]","noteIndex":0},"citationItems":[{"id":1110,"uris":["http://zotero.org/users/12998224/items/82XLBWQA"],"itemData":{"id":1110,"type":"article-journal","abstract":"Within the past decade, clinical microbiology laboratories experienced revolutionary changes in the way in which microorganisms are identified, moving away from slow, traditional microbial identification algorithms toward rapid molecular methods and mass spectrometry (MS). Historically, MS was clinically utilized as a high-complexity method adapted for protein-centered analysis of samples in chemistry and hematology laboratories. Today, matrix-assisted laser desorption ionization-time of flight (MALDI-TOF) MS is adapted for use in microbiology laboratories, where it serves as a paradigm-shifting, rapid, and robust method for accurate microbial identification. Multiple instrument platforms, marketed by well-established manufacturers, are beginning to displace automated phenotypic identification instruments and in some cases genetic sequence-based identification practices. This review summarizes the current position of MALDI-TOF MS in clinical research and in diagnostic clinical microbiology laboratories and serves as a primer to examine the \"nuts and bolts\" of MALDI-TOF MS, highlighting research associated with sample preparation, spectral analysis, and accuracy. Currently available MALDI-TOF MS hardware and software platforms that support the use of MALDI-TOF with direct and precultured specimens and integration of the technology into the laboratory workflow are also discussed. Finally, this review closes with a prospective view of the future of MALDI-TOF MS in the clinical microbiology laboratory to accelerate diagnosis and microbial identification to improve patient care.","container-title":"Clinical Microbiology Reviews","DOI":"10.1128/CMR.00072-12","ISSN":"1098-6618","issue":"3","journalAbbreviation":"Clin Microbiol Rev","language":"eng","note":"PMID: 23824373\nPMCID: PMC3719498","page":"547-603","source":"PubMed","title":"Matrix-assisted laser desorption ionization-time of flight mass spectrometry: a fundamental shift in the routine practice of clinical microbiology","title-short":"Matrix-assisted laser desorption ionization-time of flight mass spectrometry","volume":"26","author":[{"family":"Clark","given":"Andrew E."},{"family":"Kaleta","given":"Erin J."},{"family":"Arora","given":"Amit"},{"family":"Wolk","given":"Donna M."}],"issued":{"date-parts":[["2013",7]]}}}],"schema":"https://github.com/citation-style-language/schema/raw/master/csl-citation.json"} </w:instrText>
      </w:r>
      <w:r>
        <w:rPr>
          <w:rFonts w:ascii="Times New Roman" w:eastAsia="Times New Roman" w:hAnsi="Times New Roman" w:cs="Times New Roman"/>
          <w:sz w:val="20"/>
          <w:szCs w:val="20"/>
        </w:rPr>
        <w:fldChar w:fldCharType="separate"/>
      </w:r>
      <w:r w:rsidRPr="00643D6F">
        <w:rPr>
          <w:rFonts w:ascii="Times New Roman" w:hAnsi="Times New Roman" w:cs="Times New Roman"/>
          <w:sz w:val="20"/>
        </w:rPr>
        <w:t>[10]</w:t>
      </w:r>
      <w:r>
        <w:rPr>
          <w:rFonts w:ascii="Times New Roman" w:eastAsia="Times New Roman" w:hAnsi="Times New Roman" w:cs="Times New Roman"/>
          <w:sz w:val="20"/>
          <w:szCs w:val="20"/>
        </w:rPr>
        <w:fldChar w:fldCharType="end"/>
      </w:r>
      <w:r w:rsidRPr="00643D6F">
        <w:rPr>
          <w:rFonts w:ascii="Times New Roman" w:eastAsia="Times New Roman" w:hAnsi="Times New Roman" w:cs="Times New Roman"/>
          <w:sz w:val="20"/>
          <w:szCs w:val="20"/>
        </w:rPr>
        <w:t>. By ionizing a sample matrix with a laser beam, MALDI-</w:t>
      </w:r>
      <w:proofErr w:type="spellStart"/>
      <w:r w:rsidRPr="00643D6F">
        <w:rPr>
          <w:rFonts w:ascii="Times New Roman" w:eastAsia="Times New Roman" w:hAnsi="Times New Roman" w:cs="Times New Roman"/>
          <w:sz w:val="20"/>
          <w:szCs w:val="20"/>
        </w:rPr>
        <w:t>TOF</w:t>
      </w:r>
      <w:proofErr w:type="spellEnd"/>
      <w:r w:rsidRPr="00643D6F">
        <w:rPr>
          <w:rFonts w:ascii="Times New Roman" w:eastAsia="Times New Roman" w:hAnsi="Times New Roman" w:cs="Times New Roman"/>
          <w:sz w:val="20"/>
          <w:szCs w:val="20"/>
        </w:rPr>
        <w:t xml:space="preserve"> MS generates a unique mass spectrum that represents the protein profile of the microorganism. This spectrum is matched against a database of known spectra using pattern-matching algorithms. Scores of ≥2.0 indicate reliable species-level identification, while scores between 1.7 and 2.0 suggest genus-level identification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{"citationID":"oTeTAz6G","properties":{"formattedCitation":"[10]","plainCitation":"[10]","noteIndex":0},"citationItems":[{"id":1110,"uris":["http://zotero.org/users/12998224/items/82XLBWQA"],"itemData":{"id":1110,"type":"article-journal","abstract":"Within the past decade, clinical microbiology laboratories experienced revolutionary changes in the way in which microorganisms are identified, moving away from slow, traditional microbial identification algorithms toward rapid molecular methods and mass spectrometry (MS). Historically, MS was clinically utilized as a high-complexity method adapted for protein-centered analysis of samples in chemistry and hematology laboratories. Today, matrix-assisted laser desorption ionization-time of flight (MALDI-TOF) MS is adapted for use in microbiology laboratories, where it serves as a paradigm-shifting, rapid, and robust method for accurate microbial identification. Multiple instrument platforms, marketed by well-established manufacturers, are beginning to displace automated phenotypic identification instruments and in some cases genetic sequence-based identification practices. This review summarizes the current position of MALDI-TOF MS in clinical research and in diagnostic clinical microbiology laboratories and serves as a primer to examine the \"nuts and bolts\" of MALDI-TOF MS, highlighting research associated with sample preparation, spectral analysis, and accuracy. Currently available MALDI-TOF MS hardware and software platforms that support the use of MALDI-TOF with direct and precultured specimens and integration of the technology into the laboratory workflow are also discussed. Finally, this review closes with a prospective view of the future of MALDI-TOF MS in the clinical microbiology laboratory to accelerate diagnosis and microbial identification to improve patient care.","container-title":"Clinical Microbiology Reviews","DOI":"10.1128/CMR.00072-12","ISSN":"1098-6618","issue":"3","journalAbbreviation":"Clin Microbiol Rev","language":"eng","note":"PMID: 23824373\nPMCID: PMC3719498","page":"547-603","source":"PubMed","title":"Matrix-assisted laser desorption ionization-time of flight mass spectrometry: a fundamental shift in the routine practice of clinical microbiology","title-short":"Matrix-assisted laser desorption ionization-time of flight mass spectrometry","volume":"26","author":[{"family":"Clark","given":"Andrew E."},{"family":"Kaleta","given":"Erin J."},{"family":"Arora","given":"Amit"},{"family":"Wolk","given":"Donna M."}],"issued":{"date-parts":[["2013",7]]}}}],"schema":"https://github.com/citation-style-language/schema/raw/master/csl-citation.json"} </w:instrText>
      </w:r>
      <w:r>
        <w:rPr>
          <w:rFonts w:ascii="Times New Roman" w:eastAsia="Times New Roman" w:hAnsi="Times New Roman" w:cs="Times New Roman"/>
          <w:sz w:val="20"/>
          <w:szCs w:val="20"/>
        </w:rPr>
        <w:fldChar w:fldCharType="separate"/>
      </w:r>
      <w:r w:rsidRPr="00643D6F">
        <w:rPr>
          <w:rFonts w:ascii="Times New Roman" w:hAnsi="Times New Roman" w:cs="Times New Roman"/>
          <w:sz w:val="20"/>
        </w:rPr>
        <w:t>[10]</w:t>
      </w:r>
      <w:r>
        <w:rPr>
          <w:rFonts w:ascii="Times New Roman" w:eastAsia="Times New Roman" w:hAnsi="Times New Roman" w:cs="Times New Roman"/>
          <w:sz w:val="20"/>
          <w:szCs w:val="20"/>
        </w:rPr>
        <w:fldChar w:fldCharType="end"/>
      </w:r>
      <w:r w:rsidRPr="00643D6F">
        <w:rPr>
          <w:rFonts w:ascii="Times New Roman" w:eastAsia="Times New Roman" w:hAnsi="Times New Roman" w:cs="Times New Roman"/>
          <w:sz w:val="20"/>
          <w:szCs w:val="20"/>
        </w:rPr>
        <w:t>.</w:t>
      </w:r>
    </w:p>
    <w:p w14:paraId="5C6AA480" w14:textId="33E2FFE8"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one study, the variability of 17–25 mass peaks in the mass spectral fingerprints of each strain was used to identify 32 strains from 17 </w:t>
      </w:r>
      <w:r>
        <w:rPr>
          <w:rFonts w:ascii="Times New Roman" w:eastAsia="Times New Roman" w:hAnsi="Times New Roman" w:cs="Times New Roman"/>
          <w:i/>
          <w:sz w:val="20"/>
          <w:szCs w:val="20"/>
        </w:rPr>
        <w:t>Aeromonas</w:t>
      </w:r>
      <w:r>
        <w:rPr>
          <w:rFonts w:ascii="Times New Roman" w:eastAsia="Times New Roman" w:hAnsi="Times New Roman" w:cs="Times New Roman"/>
          <w:sz w:val="20"/>
          <w:szCs w:val="20"/>
        </w:rPr>
        <w:t xml:space="preserve"> species at both the species and strain levels </w:t>
      </w:r>
      <w:r w:rsidR="00643D6F">
        <w:rPr>
          <w:rFonts w:ascii="Times New Roman" w:eastAsia="Times New Roman" w:hAnsi="Times New Roman" w:cs="Times New Roman"/>
          <w:sz w:val="20"/>
          <w:szCs w:val="20"/>
        </w:rPr>
        <w:fldChar w:fldCharType="begin"/>
      </w:r>
      <w:r w:rsidR="00643D6F">
        <w:rPr>
          <w:rFonts w:ascii="Times New Roman" w:eastAsia="Times New Roman" w:hAnsi="Times New Roman" w:cs="Times New Roman"/>
          <w:sz w:val="20"/>
          <w:szCs w:val="20"/>
        </w:rPr>
        <w:instrText xml:space="preserve"> ADDIN ZOTERO_ITEM CSL_CITATION {"citationID":"WyISnbkN","properties":{"formattedCitation":"[11]","plainCitation":"[11]","noteIndex":0},"citationItems":[{"id":1113,"uris":["http://zotero.org/users/12998224/items/5H83SSV8"],"itemData":{"id":1113,"type":"article-journal","abstract":"This report describes the development of a method to detect the waterborne pathogen Aeromonas using matrix-assisted laser desorption/ionization mass spectrometry (MALDI-MS). The genus Aeromonas is one of several medically significant genera that have gained prominence due to their evolving taxonomy and controversial role in human diseases. In this study, MALDI-MS was applied to the characterization of seventeen species of Aeromonas. These seventeen species were represented by thirty-two strains, which included type, reference and clinical isolates. Intact cells from each strain were used to generate a reproducible library of protein mass spectral fingerprints or m/z signatures. Under the test conditions used, peak lists of the mass ions observed in each species revealed that three mass ions were conserved among all the seventeen species tested. These common mass ions having an average m/z of 6301, 12,160 or 12,254, and 13,450, can be potentially used as genus-specific biomarkers to identify Aeromonas in unknown samples. A dendrogram generated using the m/z signatures of all the strains tested indicated that the mass spectral data contained sufficient information to distinguish between genera, species, and strains. There are several advantages of using MALDI-MS based protein mass spectral fingerprinting of whole cells for the identification of microorganisms as well as for their differentiation at the sub-species level: (1) the capability to detect proteins, (2) high throughput, and (3) relatively simple sample preparation techniques. The accuracy and speed with which data can be obtained makes MALDI-MS a powerful tool especially suited for environmental monitoring and detection of biological hazards.","container-title":"Journal of Microbiological Methods","DOI":"10.1016/j.mimet.2005.08.005","ISSN":"0167-7012","issue":"3","journalAbbreviation":"J Microbiol Methods","language":"eng","note":"PMID: 16176841","page":"380-389","source":"PubMed","title":"The development of a matrix-assisted laser desorption/ionization mass spectrometry-based method for the protein fingerprinting and identification of Aeromonas species using whole cells","volume":"65","author":[{"family":"Donohue","given":"Maura J."},{"family":"Smallwood","given":"Anthony W."},{"family":"Pfaller","given":"Stacy"},{"family":"Rodgers","given":"Mark"},{"family":"Shoemaker","given":"Jody A."}],"issued":{"date-parts":[["2006",6]]}}}],"schema":"https://github.com/citation-style-language/schema/raw/master/csl-citation.json"} </w:instrText>
      </w:r>
      <w:r w:rsidR="00643D6F">
        <w:rPr>
          <w:rFonts w:ascii="Times New Roman" w:eastAsia="Times New Roman" w:hAnsi="Times New Roman" w:cs="Times New Roman"/>
          <w:sz w:val="20"/>
          <w:szCs w:val="20"/>
        </w:rPr>
        <w:fldChar w:fldCharType="separate"/>
      </w:r>
      <w:r w:rsidR="00643D6F" w:rsidRPr="00643D6F">
        <w:rPr>
          <w:rFonts w:ascii="Times New Roman" w:hAnsi="Times New Roman" w:cs="Times New Roman"/>
          <w:sz w:val="20"/>
        </w:rPr>
        <w:t>[11]</w:t>
      </w:r>
      <w:r w:rsidR="00643D6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results were validated by comparison with databases containing 45 reference strains of 17 </w:t>
      </w:r>
      <w:r>
        <w:rPr>
          <w:rFonts w:ascii="Times New Roman" w:eastAsia="Times New Roman" w:hAnsi="Times New Roman" w:cs="Times New Roman"/>
          <w:i/>
          <w:sz w:val="20"/>
          <w:szCs w:val="20"/>
        </w:rPr>
        <w:t xml:space="preserve">Aeromonas </w:t>
      </w:r>
      <w:r>
        <w:rPr>
          <w:rFonts w:ascii="Times New Roman" w:eastAsia="Times New Roman" w:hAnsi="Times New Roman" w:cs="Times New Roman"/>
          <w:sz w:val="20"/>
          <w:szCs w:val="20"/>
        </w:rPr>
        <w:t xml:space="preserve">species to blindly identify 52 </w:t>
      </w:r>
      <w:r>
        <w:rPr>
          <w:rFonts w:ascii="Times New Roman" w:eastAsia="Times New Roman" w:hAnsi="Times New Roman" w:cs="Times New Roman"/>
          <w:i/>
          <w:sz w:val="20"/>
          <w:szCs w:val="20"/>
        </w:rPr>
        <w:t>Aeromonas</w:t>
      </w:r>
      <w:r>
        <w:rPr>
          <w:rFonts w:ascii="Times New Roman" w:eastAsia="Times New Roman" w:hAnsi="Times New Roman" w:cs="Times New Roman"/>
          <w:sz w:val="20"/>
          <w:szCs w:val="20"/>
        </w:rPr>
        <w:t xml:space="preserve"> strains from drinking water samples.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successfully identified 82.7% of the 52 environmental strains, compared to biochemical methods used as a positive control </w:t>
      </w:r>
      <w:r w:rsidR="00643D6F">
        <w:rPr>
          <w:rFonts w:ascii="Times New Roman" w:eastAsia="Times New Roman" w:hAnsi="Times New Roman" w:cs="Times New Roman"/>
          <w:sz w:val="20"/>
          <w:szCs w:val="20"/>
        </w:rPr>
        <w:fldChar w:fldCharType="begin"/>
      </w:r>
      <w:r w:rsidR="00643D6F">
        <w:rPr>
          <w:rFonts w:ascii="Times New Roman" w:eastAsia="Times New Roman" w:hAnsi="Times New Roman" w:cs="Times New Roman"/>
          <w:sz w:val="20"/>
          <w:szCs w:val="20"/>
        </w:rPr>
        <w:instrText xml:space="preserve"> ADDIN ZOTERO_ITEM CSL_CITATION {"citationID":"MJ4txxvR","properties":{"formattedCitation":"[4]","plainCitation":"[4]","noteIndex":0},"citationItems":[{"id":1097,"uris":["http://zotero.org/users/12998224/items/NR69ST3N"],"itemData":{"id":1097,"type":"article-journal","abstract":"MALDI-TOF-mass spectrometry (MS) has been successfully adapted for the routine identification of microorganisms in clinical microbiology laboratories in the past 10 years. This revolutionary technique allows for easier and faster diagnosis of human pathogens than conventional phenotypic and molecular identification methods, with unquestionable reliability and cost-effectiveness. This article will review the application of MALDI-TOF-MS tools in routine clinical diagnosis, including the identification of bacteria at the species, subspecies, strain and lineage levels, and the identification of bacterial toxins and antibiotic-resistance type. We will also discuss the application of MALDI-TOF-MS tools in the identification of Archaea, eukaryotes and viruses. Pathogenic identification from colony-cultured, blood-cultured, urine and environmental samples is also reviewed.","container-title":"Future Microbiology","DOI":"10.2217/fmb.10.127","ISSN":"1746-0921","issue":"11","journalAbbreviation":"Future Microbiol","language":"eng","note":"PMID: 21133692","page":"1733-1754","source":"PubMed","title":"MALDI-TOF-mass spectrometry applications in clinical microbiology","volume":"5","author":[{"family":"Seng","given":"Piseth"},{"family":"Rolain","given":"Jean-Marc"},{"family":"Fournier","given":"Pierre Edouard"},{"family":"La Scola","given":"Bernard"},{"family":"Drancourt","given":"Michel"},{"family":"Raoult","given":"Didier"}],"issued":{"date-parts":[["2010",11]]}}}],"schema":"https://github.com/citation-style-language/schema/raw/master/csl-citation.json"} </w:instrText>
      </w:r>
      <w:r w:rsidR="00643D6F">
        <w:rPr>
          <w:rFonts w:ascii="Times New Roman" w:eastAsia="Times New Roman" w:hAnsi="Times New Roman" w:cs="Times New Roman"/>
          <w:sz w:val="20"/>
          <w:szCs w:val="20"/>
        </w:rPr>
        <w:fldChar w:fldCharType="separate"/>
      </w:r>
      <w:r w:rsidR="00643D6F" w:rsidRPr="00643D6F">
        <w:rPr>
          <w:rFonts w:ascii="Times New Roman" w:hAnsi="Times New Roman" w:cs="Times New Roman"/>
          <w:sz w:val="20"/>
        </w:rPr>
        <w:t>[4]</w:t>
      </w:r>
      <w:r w:rsidR="00643D6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0235A928" w14:textId="4726738B"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 evidence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MS's high accuracy was demonstrated in a 2010 study involving bloodstream infection samples. Using the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database, the technology accurately identified 100% of </w:t>
      </w:r>
      <w:r>
        <w:rPr>
          <w:rFonts w:ascii="Times New Roman" w:eastAsia="Times New Roman" w:hAnsi="Times New Roman" w:cs="Times New Roman"/>
          <w:i/>
          <w:sz w:val="20"/>
          <w:szCs w:val="20"/>
        </w:rPr>
        <w:t>Staphylococcus aureus</w:t>
      </w:r>
      <w:r>
        <w:rPr>
          <w:rFonts w:ascii="Times New Roman" w:eastAsia="Times New Roman" w:hAnsi="Times New Roman" w:cs="Times New Roman"/>
          <w:sz w:val="20"/>
          <w:szCs w:val="20"/>
        </w:rPr>
        <w:t xml:space="preserve"> isolates and 99.1% of coagulase-negative </w:t>
      </w:r>
      <w:r>
        <w:rPr>
          <w:rFonts w:ascii="Times New Roman" w:eastAsia="Times New Roman" w:hAnsi="Times New Roman" w:cs="Times New Roman"/>
          <w:i/>
          <w:sz w:val="20"/>
          <w:szCs w:val="20"/>
        </w:rPr>
        <w:t>Staphylococcus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w:t>
      </w:r>
      <w:proofErr w:type="spellEnd"/>
      <w:r>
        <w:rPr>
          <w:rFonts w:ascii="Times New Roman" w:eastAsia="Times New Roman" w:hAnsi="Times New Roman" w:cs="Times New Roman"/>
          <w:sz w:val="20"/>
          <w:szCs w:val="20"/>
        </w:rPr>
        <w:t xml:space="preserve">) isolates from 450 staphylococcal samples </w:t>
      </w:r>
      <w:r w:rsidR="00643D6F">
        <w:rPr>
          <w:rFonts w:ascii="Times New Roman" w:eastAsia="Times New Roman" w:hAnsi="Times New Roman" w:cs="Times New Roman"/>
          <w:sz w:val="20"/>
          <w:szCs w:val="20"/>
        </w:rPr>
        <w:fldChar w:fldCharType="begin"/>
      </w:r>
      <w:r w:rsidR="00643D6F">
        <w:rPr>
          <w:rFonts w:ascii="Times New Roman" w:eastAsia="Times New Roman" w:hAnsi="Times New Roman" w:cs="Times New Roman"/>
          <w:sz w:val="20"/>
          <w:szCs w:val="20"/>
        </w:rPr>
        <w:instrText xml:space="preserve"> ADDIN ZOTERO_ITEM CSL_CITATION {"citationID":"px8VFXdq","properties":{"formattedCitation":"[12]","plainCitation":"[12]","noteIndex":0},"citationItems":[{"id":1115,"uris":["http://zotero.org/users/12998224/items/M2SW3N4Y"],"itemData":{"id":1115,"type":"article-journal","abstract":"As a result of variable expression of biochemical characters, misidentification by conventional phenotypic means often occurs with clinical isolates belonging to Staphylococcus species. Therefore, we evaluated the use of matrix-assisted laser desorption ionization-time-of-flight mass spectrometry (MALDI-TOF MS) for the identification of 450 blood isolates of the most relevant staphylococcal species, using sequence analysis of the rpoB gene as the reference method. A correct species identification by MALDI-TOF was obtained in 99.3% (447/450), with only three isolates being misidentified. In addition, MALDI-TOF correctly identified all the staphylococcal subspecies studied, including Staphylococcus capitis subsp. capitis and subsp. urealyticus, Staphylococcus cohnii subsp. urealyticus, Staphylococcus hominis subsp. novobiosepticus and subsp. hominis, Staphylococcus saprophyticus subsp. saprophyticus, Staphylococcus schleiferi subsp. schleiferi and Staphylococcus sciuri subsp. sciuri. Thus, MALDI-TOF MS-based species identification of staphylococci can be routinely achieved without any substantial costs for consumables or the time needed for labour-intensive DNA sequence analysis.","container-title":"Clinical Microbiology and Infection: The Official Publication of the European Society of Clinical Microbiology and Infectious Diseases","DOI":"10.1111/j.1469-0691.2010.03181.x","ISSN":"1469-0691","issue":"1","journalAbbreviation":"Clin Microbiol Infect","language":"eng","note":"PMID: 20132252","page":"44-49","source":"PubMed","title":"Evaluation of matrix-assisted laser desorption ionization-time-of-flight mass spectrometry in comparison to rpoB gene sequencing for species identification of bloodstream infection staphylococcal isolates","volume":"17","author":[{"family":"Spanu","given":"T."},{"family":"De Carolis","given":"E."},{"family":"Fiori","given":"B."},{"family":"Sanguinetti","given":"M."},{"family":"D'Inzeo","given":"T."},{"family":"Fadda","given":"G."},{"family":"Posteraro","given":"B."}],"issued":{"date-parts":[["2011",1]]}}}],"schema":"https://github.com/citation-style-language/schema/raw/master/csl-citation.json"} </w:instrText>
      </w:r>
      <w:r w:rsidR="00643D6F">
        <w:rPr>
          <w:rFonts w:ascii="Times New Roman" w:eastAsia="Times New Roman" w:hAnsi="Times New Roman" w:cs="Times New Roman"/>
          <w:sz w:val="20"/>
          <w:szCs w:val="20"/>
        </w:rPr>
        <w:fldChar w:fldCharType="separate"/>
      </w:r>
      <w:r w:rsidR="00643D6F" w:rsidRPr="00643D6F">
        <w:rPr>
          <w:rFonts w:ascii="Times New Roman" w:hAnsi="Times New Roman" w:cs="Times New Roman"/>
          <w:sz w:val="20"/>
        </w:rPr>
        <w:t>[12]</w:t>
      </w:r>
      <w:r w:rsidR="00643D6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These findings, validated against PCR sequencing of the </w:t>
      </w:r>
      <w:proofErr w:type="spellStart"/>
      <w:r>
        <w:rPr>
          <w:rFonts w:ascii="Times New Roman" w:eastAsia="Times New Roman" w:hAnsi="Times New Roman" w:cs="Times New Roman"/>
          <w:sz w:val="20"/>
          <w:szCs w:val="20"/>
        </w:rPr>
        <w:t>rpoB</w:t>
      </w:r>
      <w:proofErr w:type="spellEnd"/>
      <w:r>
        <w:rPr>
          <w:rFonts w:ascii="Times New Roman" w:eastAsia="Times New Roman" w:hAnsi="Times New Roman" w:cs="Times New Roman"/>
          <w:sz w:val="20"/>
          <w:szCs w:val="20"/>
        </w:rPr>
        <w:t xml:space="preserve"> gene, highlight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as a reliable tool for bacterial identification.</w:t>
      </w:r>
    </w:p>
    <w:p w14:paraId="1107833E" w14:textId="5E7A65BD" w:rsidR="00586BF9"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Clinical microbiological laboratories increasingly apply this technique. However, its effectiveness has been limited by the availability of spectra databases that primarily cover clinically relevant bacteria, making it less comprehensive for highly pathogenic bacteria (</w:t>
      </w:r>
      <w:proofErr w:type="spellStart"/>
      <w:r>
        <w:rPr>
          <w:rFonts w:ascii="Times New Roman" w:eastAsia="Times New Roman" w:hAnsi="Times New Roman" w:cs="Times New Roman"/>
          <w:sz w:val="20"/>
          <w:szCs w:val="20"/>
        </w:rPr>
        <w:t>HPB</w:t>
      </w:r>
      <w:proofErr w:type="spellEnd"/>
      <w:r>
        <w:rPr>
          <w:rFonts w:ascii="Times New Roman" w:eastAsia="Times New Roman" w:hAnsi="Times New Roman" w:cs="Times New Roman"/>
          <w:sz w:val="20"/>
          <w:szCs w:val="20"/>
        </w:rPr>
        <w:t>). To address this limitation, a project was initiated to fix the weakness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the diagnostics of </w:t>
      </w:r>
      <w:proofErr w:type="spellStart"/>
      <w:r>
        <w:rPr>
          <w:rFonts w:ascii="Times New Roman" w:eastAsia="Times New Roman" w:hAnsi="Times New Roman" w:cs="Times New Roman"/>
          <w:sz w:val="20"/>
          <w:szCs w:val="20"/>
        </w:rPr>
        <w:t>HPB</w:t>
      </w:r>
      <w:proofErr w:type="spellEnd"/>
      <w:r>
        <w:rPr>
          <w:rFonts w:ascii="Times New Roman" w:eastAsia="Times New Roman" w:hAnsi="Times New Roman" w:cs="Times New Roman"/>
          <w:sz w:val="20"/>
          <w:szCs w:val="20"/>
        </w:rPr>
        <w:t xml:space="preserve"> by developing protocols for reliable microbial inactivation and mass spectra acquisition. As a result, publicly available databases now include spectra for </w:t>
      </w:r>
      <w:proofErr w:type="spellStart"/>
      <w:r>
        <w:rPr>
          <w:rFonts w:ascii="Times New Roman" w:eastAsia="Times New Roman" w:hAnsi="Times New Roman" w:cs="Times New Roman"/>
          <w:sz w:val="20"/>
          <w:szCs w:val="20"/>
        </w:rPr>
        <w:t>HPB</w:t>
      </w:r>
      <w:proofErr w:type="spellEnd"/>
      <w:r>
        <w:rPr>
          <w:rFonts w:ascii="Times New Roman" w:eastAsia="Times New Roman" w:hAnsi="Times New Roman" w:cs="Times New Roman"/>
          <w:sz w:val="20"/>
          <w:szCs w:val="20"/>
        </w:rPr>
        <w:t xml:space="preserve">, closely related bacterial strains, and clinically relevant microorganisms. Platforms such as </w:t>
      </w:r>
      <w:proofErr w:type="spellStart"/>
      <w:r>
        <w:rPr>
          <w:rFonts w:ascii="Times New Roman" w:eastAsia="Times New Roman" w:hAnsi="Times New Roman" w:cs="Times New Roman"/>
          <w:sz w:val="20"/>
          <w:szCs w:val="20"/>
        </w:rPr>
        <w:t>ZENODO</w:t>
      </w:r>
      <w:proofErr w:type="spellEnd"/>
      <w:r>
        <w:rPr>
          <w:rFonts w:ascii="Times New Roman" w:eastAsia="Times New Roman" w:hAnsi="Times New Roman" w:cs="Times New Roman"/>
          <w:sz w:val="20"/>
          <w:szCs w:val="20"/>
        </w:rPr>
        <w:t xml:space="preserve"> provide access to datasets containing 11,055 spectra from 1,601 microbial strains across 264 species, significantly improving the tool’s ability </w:t>
      </w:r>
      <w:r>
        <w:rPr>
          <w:rFonts w:ascii="Times New Roman" w:eastAsia="Times New Roman" w:hAnsi="Times New Roman" w:cs="Times New Roman"/>
          <w:sz w:val="20"/>
          <w:szCs w:val="20"/>
        </w:rPr>
        <w:lastRenderedPageBreak/>
        <w:t>to identify bacterial strains with high accuracy. This advancement enables more precise strain differentiation, aiding in outbreak investigations, epidemiological studies, and the tracking of bacterial evolution. By leveraging these expanded databases,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continues to evolve as an indispensable tool for microbial diagnostics, ensuring more comprehensive identification and improved public health responses</w:t>
      </w:r>
      <w:r w:rsidR="00586BF9">
        <w:rPr>
          <w:rFonts w:ascii="Times New Roman" w:eastAsia="Times New Roman" w:hAnsi="Times New Roman" w:cs="Times New Roman"/>
          <w:sz w:val="20"/>
          <w:szCs w:val="20"/>
        </w:rPr>
        <w:t xml:space="preserve"> </w:t>
      </w:r>
      <w:r w:rsidR="00586BF9">
        <w:rPr>
          <w:rFonts w:ascii="Times New Roman" w:eastAsia="Times New Roman" w:hAnsi="Times New Roman" w:cs="Times New Roman"/>
          <w:sz w:val="20"/>
          <w:szCs w:val="20"/>
        </w:rPr>
        <w:fldChar w:fldCharType="begin"/>
      </w:r>
      <w:r w:rsidR="00586BF9">
        <w:rPr>
          <w:rFonts w:ascii="Times New Roman" w:eastAsia="Times New Roman" w:hAnsi="Times New Roman" w:cs="Times New Roman"/>
          <w:sz w:val="20"/>
          <w:szCs w:val="20"/>
        </w:rPr>
        <w:instrText xml:space="preserve"> ADDIN ZOTERO_ITEM CSL_CITATION {"citationID":"UsVea4qH","properties":{"formattedCitation":"[13]","plainCitation":"[13]","noteIndex":0},"citationItems":[{"id":1237,"uris":["http://zotero.org/users/12998224/items/8Q5T8GIM"],"itemData":{"id":1237,"type":"article-journal","abstract":"Today, MALDI-ToF MS is an established technique to characterize and identify pathogenic bacteria. The technique is increasingly applied by clinical microbiological laboratories that use commercially available complete solutions, including spectra databases covering clinically relevant bacteria. Such databases are validated for clinical, or research applications, but are often less comprehensive concerning highly pathogenic bacteria (HPB). To improve MALDI-ToF MS diagnostics of HPB we initiated a program to develop protocols for reliable and MALDI-compatible microbial inactivation and to acquire mass spectra thereof many years ago. As a result of this project, databases covering HPB, closely related bacteria, and bacteria of clinical relevance have been made publicly available on platforms such as ZENODO. This publication in detail describes the most recent version of this database. The dataset contains a total of 11,055 spectra from altogether 1,601 microbial strains and 264 species and is primarily intended to improve the diagnosis of HPB. We hope that our MALDI-ToF MS data may also be a valuable resource for developing machine learning-based bacterial identification and classification methods.","container-title":"Scientific Data","DOI":"10.1038/s41597-025-04504-z","ISSN":"2052-4463","issue":"1","journalAbbreviation":"Sci Data","language":"en","license":"2025 The Author(s)","note":"publisher: Nature Publishing Group","page":"187","source":"www.nature.com","title":"A MALDI-ToF mass spectrometry database for identification and classification of highly pathogenic bacteria","volume":"12","author":[{"family":"Lasch","given":"Peter"},{"family":"Beyer","given":"Wolfgang"},{"family":"Bosch","given":"Alejandra"},{"family":"Borriss","given":"Rainer"},{"family":"Drevinek","given":"Michal"},{"family":"Dupke","given":"Susann"},{"family":"Ehling-Schulz","given":"Monika"},{"family":"Gao","given":"Xuewen"},{"family":"Grunow","given":"Roland"},{"family":"Jacob","given":"Daniela"},{"family":"Klee","given":"Silke R."},{"family":"Paauw","given":"Armand"},{"family":"Rau","given":"Jörg"},{"family":"Schneider","given":"Andy"},{"family":"Scholz","given":"Holger C."},{"family":"Stämmler","given":"Maren"},{"family":"Thanh Tam","given":"Le Thi"},{"family":"Tomaso","given":"Herbert"},{"family":"Werner","given":"Guido"},{"family":"Doellinger","given":"Joerg"}],"issued":{"date-parts":[["2025",1,31]]}}}],"schema":"https://github.com/citation-style-language/schema/raw/master/csl-citation.json"} </w:instrText>
      </w:r>
      <w:r w:rsidR="00586BF9">
        <w:rPr>
          <w:rFonts w:ascii="Times New Roman" w:eastAsia="Times New Roman" w:hAnsi="Times New Roman" w:cs="Times New Roman"/>
          <w:sz w:val="20"/>
          <w:szCs w:val="20"/>
        </w:rPr>
        <w:fldChar w:fldCharType="separate"/>
      </w:r>
      <w:r w:rsidR="00586BF9" w:rsidRPr="00586BF9">
        <w:rPr>
          <w:rFonts w:ascii="Times New Roman" w:hAnsi="Times New Roman" w:cs="Times New Roman"/>
          <w:sz w:val="20"/>
        </w:rPr>
        <w:t>[13]</w:t>
      </w:r>
      <w:r w:rsidR="00586BF9">
        <w:rPr>
          <w:rFonts w:ascii="Times New Roman" w:eastAsia="Times New Roman" w:hAnsi="Times New Roman" w:cs="Times New Roman"/>
          <w:sz w:val="20"/>
          <w:szCs w:val="20"/>
        </w:rPr>
        <w:fldChar w:fldCharType="end"/>
      </w:r>
      <w:r w:rsidR="00586BF9">
        <w:rPr>
          <w:rFonts w:ascii="Times New Roman" w:eastAsia="Times New Roman" w:hAnsi="Times New Roman" w:cs="Times New Roman"/>
          <w:sz w:val="20"/>
          <w:szCs w:val="20"/>
        </w:rPr>
        <w:t>.</w:t>
      </w:r>
    </w:p>
    <w:p w14:paraId="274A437D" w14:textId="7D57D270"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implementation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clinical microbiology has significantly enhanced microbial identification, with Bruker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VITEK-MS (</w:t>
      </w:r>
      <w:proofErr w:type="spellStart"/>
      <w:r>
        <w:rPr>
          <w:rFonts w:ascii="Times New Roman" w:eastAsia="Times New Roman" w:hAnsi="Times New Roman" w:cs="Times New Roman"/>
          <w:sz w:val="20"/>
          <w:szCs w:val="20"/>
        </w:rPr>
        <w:t>bioMérieux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AXIMA</w:t>
      </w:r>
      <w:proofErr w:type="spellEnd"/>
      <w:r>
        <w:rPr>
          <w:rFonts w:ascii="Times New Roman" w:eastAsia="Times New Roman" w:hAnsi="Times New Roman" w:cs="Times New Roman"/>
          <w:sz w:val="20"/>
          <w:szCs w:val="20"/>
        </w:rPr>
        <w:t xml:space="preserv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(Shimadzu), and Zybio EXS 2600 being among the most widely used systems (Table 1). Each system relies on proprietary databases: Bruker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(Bruker Taxonomy Database, 4,320 species), VITEK-MS (</w:t>
      </w: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1,316 species), </w:t>
      </w:r>
      <w:proofErr w:type="spellStart"/>
      <w:r>
        <w:rPr>
          <w:rFonts w:ascii="Times New Roman" w:eastAsia="Times New Roman" w:hAnsi="Times New Roman" w:cs="Times New Roman"/>
          <w:sz w:val="20"/>
          <w:szCs w:val="20"/>
        </w:rPr>
        <w:t>AXIMA</w:t>
      </w:r>
      <w:proofErr w:type="spellEnd"/>
      <w:r>
        <w:rPr>
          <w:rFonts w:ascii="Times New Roman" w:eastAsia="Times New Roman" w:hAnsi="Times New Roman" w:cs="Times New Roman"/>
          <w:sz w:val="20"/>
          <w:szCs w:val="20"/>
        </w:rPr>
        <w:t xml:space="preserv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xml:space="preserve">™, 40,000 mass spectra), and Zybio EXS 2600 (4,000 species). Early comparative study demonstrated that both Bruker and Shimadzu systems significantly reduced identification turnaround time and costs compared to traditional biochemical methods, with Bruker achieving 99.1% accuracy and Shimadzu 99.4% accuracy for routine bacterial identification </w:t>
      </w:r>
      <w:r w:rsidR="00586BF9">
        <w:rPr>
          <w:rFonts w:ascii="Times New Roman" w:eastAsia="Times New Roman" w:hAnsi="Times New Roman" w:cs="Times New Roman"/>
          <w:sz w:val="20"/>
          <w:szCs w:val="20"/>
        </w:rPr>
        <w:fldChar w:fldCharType="begin"/>
      </w:r>
      <w:r w:rsidR="00586BF9">
        <w:rPr>
          <w:rFonts w:ascii="Times New Roman" w:eastAsia="Times New Roman" w:hAnsi="Times New Roman" w:cs="Times New Roman"/>
          <w:sz w:val="20"/>
          <w:szCs w:val="20"/>
        </w:rPr>
        <w:instrText xml:space="preserve"> ADDIN ZOTERO_ITEM CSL_CITATION {"citationID":"hzlGRpcN","properties":{"formattedCitation":"[14]","plainCitation":"[14]","noteIndex":0},"citationItems":[{"id":1239,"uris":["http://zotero.org/users/12998224/items/DKQPUFUV"],"itemData":{"id":1239,"type":"article-journal","abstract":"Bacterial identification relies primarily on culture-based methodologies requiring 24 h for isolation and an additional 24 to 48 h for species identification. Matrix-assisted laser desorption ionization-time of flight mass spectrometry (MALDI-TOF MS) is an emerging technology newly applied to the problem of bacterial species identification. We evaluated two MALDI-TOF MS systems with 720 consecutively isolated bacterial colonies under routine clinical laboratory conditions. Isolates were analyzed in parallel on both devices, using the manufacturers' default recommendations. We compared MS with conventional biochemical test system identifications. Discordant results were resolved with \"gold standard\" 16S rRNA gene sequencing. The first MS system (Bruker) gave high-confidence identifications for 680 isolates, of which 674 (99.1%) were correct; the second MS system (Shimadzu) gave high-confidence identifications for 639 isolates, of which 635 (99.4%) were correct. Had MS been used for initial testing and biochemical identification used only in the absence of high-confidence MS identifications, the laboratory would have saved approximately US$5 per isolate in marginal costs and reduced average turnaround time by more than an 8-h shift, with no loss in accuracy. Our data suggest that implementation of MS as a first test strategy for one-step species identification would improve timeliness and reduce isolate identification costs in clinical bacteriology laboratories now.","container-title":"Journal of Clinical Microbiology","DOI":"10.1128/JCM.01881-09","ISSN":"1098-660X","issue":"4","journalAbbreviation":"J Clin Microbiol","language":"eng","note":"PMID: 20164271\nPMCID: PMC2849558","page":"1169-1175","source":"PubMed","title":"Comparison of two matrix-assisted laser desorption ionization-time of flight mass spectrometry methods with conventional phenotypic identification for routine identification of bacteria to the species level","volume":"48","author":[{"family":"Cherkaoui","given":"Abdessalam"},{"family":"Hibbs","given":"Jonathan"},{"family":"Emonet","given":"Stéphane"},{"family":"Tangomo","given":"Manuela"},{"family":"Girard","given":"Myriam"},{"family":"Francois","given":"Patrice"},{"family":"Schrenzel","given":"Jacques"}],"issued":{"date-parts":[["2010",4]]}}}],"schema":"https://github.com/citation-style-language/schema/raw/master/csl-citation.json"} </w:instrText>
      </w:r>
      <w:r w:rsidR="00586BF9">
        <w:rPr>
          <w:rFonts w:ascii="Times New Roman" w:eastAsia="Times New Roman" w:hAnsi="Times New Roman" w:cs="Times New Roman"/>
          <w:sz w:val="20"/>
          <w:szCs w:val="20"/>
        </w:rPr>
        <w:fldChar w:fldCharType="separate"/>
      </w:r>
      <w:r w:rsidR="00586BF9" w:rsidRPr="00586BF9">
        <w:rPr>
          <w:rFonts w:ascii="Times New Roman" w:hAnsi="Times New Roman" w:cs="Times New Roman"/>
          <w:sz w:val="20"/>
        </w:rPr>
        <w:t>[14]</w:t>
      </w:r>
      <w:r w:rsidR="00586BF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 more recent head-to-head evaluation by </w:t>
      </w:r>
      <w:proofErr w:type="spellStart"/>
      <w:r>
        <w:rPr>
          <w:rFonts w:ascii="Times New Roman" w:eastAsia="Times New Roman" w:hAnsi="Times New Roman" w:cs="Times New Roman"/>
          <w:sz w:val="20"/>
          <w:szCs w:val="20"/>
        </w:rPr>
        <w:t>Dichtl</w:t>
      </w:r>
      <w:proofErr w:type="spellEnd"/>
      <w:r>
        <w:rPr>
          <w:rFonts w:ascii="Times New Roman" w:eastAsia="Times New Roman" w:hAnsi="Times New Roman" w:cs="Times New Roman"/>
          <w:sz w:val="20"/>
          <w:szCs w:val="20"/>
        </w:rPr>
        <w:t xml:space="preserve"> et al. (2023) showed that Bruker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had the highest valid identification rate (98.6%) and 0% misidentification rate, while VITEK-MS demonstrated the highest agreement with </w:t>
      </w:r>
      <w:proofErr w:type="spellStart"/>
      <w:r>
        <w:rPr>
          <w:rFonts w:ascii="Times New Roman" w:eastAsia="Times New Roman" w:hAnsi="Times New Roman" w:cs="Times New Roman"/>
          <w:sz w:val="20"/>
          <w:szCs w:val="20"/>
        </w:rPr>
        <w:t>16S</w:t>
      </w:r>
      <w:proofErr w:type="spellEnd"/>
      <w:r>
        <w:rPr>
          <w:rFonts w:ascii="Times New Roman" w:eastAsia="Times New Roman" w:hAnsi="Times New Roman" w:cs="Times New Roman"/>
          <w:sz w:val="20"/>
          <w:szCs w:val="20"/>
        </w:rPr>
        <w:t xml:space="preserve"> rRNA sequencing (99.7%)</w:t>
      </w:r>
      <w:r w:rsidR="00586BF9">
        <w:rPr>
          <w:rFonts w:ascii="Times New Roman" w:eastAsia="Times New Roman" w:hAnsi="Times New Roman" w:cs="Times New Roman"/>
          <w:sz w:val="20"/>
          <w:szCs w:val="20"/>
        </w:rPr>
        <w:t xml:space="preserve"> </w:t>
      </w:r>
      <w:r w:rsidR="00586BF9">
        <w:rPr>
          <w:rFonts w:ascii="Times New Roman" w:eastAsia="Times New Roman" w:hAnsi="Times New Roman" w:cs="Times New Roman"/>
          <w:sz w:val="20"/>
          <w:szCs w:val="20"/>
        </w:rPr>
        <w:fldChar w:fldCharType="begin"/>
      </w:r>
      <w:r w:rsidR="00586BF9">
        <w:rPr>
          <w:rFonts w:ascii="Times New Roman" w:eastAsia="Times New Roman" w:hAnsi="Times New Roman" w:cs="Times New Roman"/>
          <w:sz w:val="20"/>
          <w:szCs w:val="20"/>
        </w:rPr>
        <w:instrText xml:space="preserve"> ADDIN ZOTERO_ITEM CSL_CITATION {"citationID":"8fwngMjq","properties":{"formattedCitation":"[15]","plainCitation":"[15]","noteIndex":0},"citationItems":[{"id":1242,"uris":["http://zotero.org/users/12998224/items/LLQJUWQB"],"itemData":{"id":1242,"type":"article-journal","abstract":"Matrix-assisted laser desorption/ionization time-of-flight mass spectrometry (MALDI-TOF MS) has revolutionized diagnostics in culture-based microbiology. Commonly used MALDI-TOF MS systems in clinical microbiology laboratories are MALDI Biotyper (Bruker Daltonics) and Vitek MS (bioMérieux), but recently the new EXS2600 (Zybio) has been launched. This study aimed to evaluate the performance of the three devices by comparing the results to 16S rRNA gene sequencing. A set of 356 previously collected difficult-to-identify bacteria was tested in parallel with the three systems. Only the direct smear method and simple formic acid extraction were applied. Valid results were achieved for 98.6%, 94.4%, and 93.3% of all isolates by MALDI Biotyper, EXS2600, and Vitek MS, respectively. Of all valid results, agreement with sequencing data was achieved in 98.9%, 98.5%, and 99.7% by MALDI Biotyper, EXS2600, and Vitek MS, respectively. Considering only the isolates with valid measurements at the single-species level, misidentification rates were 0%, 2.6%, and 1.1% for MALDI Biotyper, EXS2600, and Vitek MS, respectively. Apart from minor performance differences, our data demonstrate that the three systems provide comparable results and are suitable for use in medical diagnostic laboratories.","container-title":"Journal of Clinical Microbiology","DOI":"10.1128/jcm.01913-22","ISSN":"1098-660X","issue":"10","journalAbbreviation":"J Clin Microbiol","language":"eng","note":"PMID: 37732759\nPMCID: PMC10595064","page":"e0191322","source":"PubMed","title":"A head-to-head comparison of three MALDI-TOF mass spectrometry systems with 16S rRNA gene sequencing","volume":"61","author":[{"family":"Dichtl","given":"Karl"},{"family":"Klugherz","given":"Isabel"},{"family":"Greimel","given":"Hanna"},{"family":"Luxner","given":"Josefa"},{"family":"Köberl","given":"Julian"},{"family":"Friedl","given":"Simone"},{"family":"Steinmetz","given":"Ivo"},{"family":"Leitner","given":"Eva"}],"issued":{"date-parts":[["2023",10,24]]}}}],"schema":"https://github.com/citation-style-language/schema/raw/master/csl-citation.json"} </w:instrText>
      </w:r>
      <w:r w:rsidR="00586BF9">
        <w:rPr>
          <w:rFonts w:ascii="Times New Roman" w:eastAsia="Times New Roman" w:hAnsi="Times New Roman" w:cs="Times New Roman"/>
          <w:sz w:val="20"/>
          <w:szCs w:val="20"/>
        </w:rPr>
        <w:fldChar w:fldCharType="separate"/>
      </w:r>
      <w:r w:rsidR="00586BF9" w:rsidRPr="00586BF9">
        <w:rPr>
          <w:rFonts w:ascii="Times New Roman" w:hAnsi="Times New Roman" w:cs="Times New Roman"/>
          <w:sz w:val="20"/>
        </w:rPr>
        <w:t>[15]</w:t>
      </w:r>
      <w:r w:rsidR="00586BF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AXIMA</w:t>
      </w:r>
      <w:proofErr w:type="spellEnd"/>
      <w:r>
        <w:rPr>
          <w:rFonts w:ascii="Times New Roman" w:eastAsia="Times New Roman" w:hAnsi="Times New Roman" w:cs="Times New Roman"/>
          <w:sz w:val="20"/>
          <w:szCs w:val="20"/>
        </w:rPr>
        <w:t xml:space="preserv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benefits from enhanced spectral reproducibility with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xml:space="preserve">™, and Zybio EXS 2600, though newer, achieved a strong 98.5% agreement with sequencing. While all systems provide high accuracy, the choice depends on clinical needs, species coverage, and database integration, with Bruker excelling in broad-spectrum identification, VITEK-MS in clinical validation, Shimadzu in spectral stability, and Zybio as a rising competitor in microbial diagnostics.  </w:t>
      </w:r>
    </w:p>
    <w:p w14:paraId="670BEAF9" w14:textId="77777777" w:rsidR="00CF00F8" w:rsidRDefault="00000000">
      <w:pPr>
        <w:spacing w:before="240"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b/>
          <w:sz w:val="20"/>
          <w:szCs w:val="20"/>
        </w:rPr>
        <w:t>Table 1. Different MALDI-</w:t>
      </w:r>
      <w:proofErr w:type="spellStart"/>
      <w:r>
        <w:rPr>
          <w:rFonts w:ascii="Times New Roman" w:eastAsia="Times New Roman" w:hAnsi="Times New Roman" w:cs="Times New Roman"/>
          <w:b/>
          <w:sz w:val="20"/>
          <w:szCs w:val="20"/>
        </w:rPr>
        <w:t>TOF</w:t>
      </w:r>
      <w:proofErr w:type="spellEnd"/>
      <w:r>
        <w:rPr>
          <w:rFonts w:ascii="Times New Roman" w:eastAsia="Times New Roman" w:hAnsi="Times New Roman" w:cs="Times New Roman"/>
          <w:b/>
          <w:sz w:val="20"/>
          <w:szCs w:val="20"/>
        </w:rPr>
        <w:t xml:space="preserve"> systems with their associated databases for microbial identification.</w:t>
      </w:r>
    </w:p>
    <w:tbl>
      <w:tblPr>
        <w:tblStyle w:val="a5"/>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45"/>
        <w:gridCol w:w="1995"/>
        <w:gridCol w:w="3150"/>
        <w:gridCol w:w="750"/>
      </w:tblGrid>
      <w:tr w:rsidR="00CF00F8" w14:paraId="7CD057DE" w14:textId="77777777">
        <w:tc>
          <w:tcPr>
            <w:tcW w:w="1860" w:type="dxa"/>
            <w:shd w:val="clear" w:color="auto" w:fill="auto"/>
            <w:tcMar>
              <w:top w:w="100" w:type="dxa"/>
              <w:left w:w="100" w:type="dxa"/>
              <w:bottom w:w="100" w:type="dxa"/>
              <w:right w:w="100" w:type="dxa"/>
            </w:tcMar>
          </w:tcPr>
          <w:p w14:paraId="4F42471F" w14:textId="00C04FAC"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MALDI-</w:t>
            </w:r>
            <w:proofErr w:type="spellStart"/>
            <w:r>
              <w:rPr>
                <w:rFonts w:ascii="Times New Roman" w:eastAsia="Times New Roman" w:hAnsi="Times New Roman" w:cs="Times New Roman"/>
                <w:b/>
                <w:sz w:val="20"/>
                <w:szCs w:val="20"/>
              </w:rPr>
              <w:t>TOF</w:t>
            </w:r>
            <w:proofErr w:type="spellEnd"/>
            <w:r>
              <w:rPr>
                <w:rFonts w:ascii="Times New Roman" w:eastAsia="Times New Roman" w:hAnsi="Times New Roman" w:cs="Times New Roman"/>
                <w:b/>
                <w:sz w:val="20"/>
                <w:szCs w:val="20"/>
              </w:rPr>
              <w:t xml:space="preserve"> SYSTEM</w:t>
            </w:r>
          </w:p>
        </w:tc>
        <w:tc>
          <w:tcPr>
            <w:tcW w:w="1545" w:type="dxa"/>
            <w:shd w:val="clear" w:color="auto" w:fill="auto"/>
            <w:tcMar>
              <w:top w:w="100" w:type="dxa"/>
              <w:left w:w="100" w:type="dxa"/>
              <w:bottom w:w="100" w:type="dxa"/>
              <w:right w:w="100" w:type="dxa"/>
            </w:tcMar>
          </w:tcPr>
          <w:p w14:paraId="3CAF42FC"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 of Release</w:t>
            </w:r>
          </w:p>
        </w:tc>
        <w:tc>
          <w:tcPr>
            <w:tcW w:w="1995" w:type="dxa"/>
            <w:shd w:val="clear" w:color="auto" w:fill="auto"/>
            <w:tcMar>
              <w:top w:w="100" w:type="dxa"/>
              <w:left w:w="100" w:type="dxa"/>
              <w:bottom w:w="100" w:type="dxa"/>
              <w:right w:w="100" w:type="dxa"/>
            </w:tcMar>
          </w:tcPr>
          <w:p w14:paraId="2AA98568"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Associated Database for Identification</w:t>
            </w:r>
          </w:p>
        </w:tc>
        <w:tc>
          <w:tcPr>
            <w:tcW w:w="3150" w:type="dxa"/>
            <w:shd w:val="clear" w:color="auto" w:fill="auto"/>
            <w:tcMar>
              <w:top w:w="100" w:type="dxa"/>
              <w:left w:w="100" w:type="dxa"/>
              <w:bottom w:w="100" w:type="dxa"/>
              <w:right w:w="100" w:type="dxa"/>
            </w:tcMar>
          </w:tcPr>
          <w:p w14:paraId="446FA1AD"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available Species with Reference Spectra on Database (updated to 2024)</w:t>
            </w:r>
          </w:p>
        </w:tc>
        <w:tc>
          <w:tcPr>
            <w:tcW w:w="750" w:type="dxa"/>
            <w:shd w:val="clear" w:color="auto" w:fill="auto"/>
            <w:tcMar>
              <w:top w:w="100" w:type="dxa"/>
              <w:left w:w="100" w:type="dxa"/>
              <w:bottom w:w="100" w:type="dxa"/>
              <w:right w:w="100" w:type="dxa"/>
            </w:tcMar>
          </w:tcPr>
          <w:p w14:paraId="099A3AD9"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c>
      </w:tr>
      <w:tr w:rsidR="00CF00F8" w14:paraId="46F661AB" w14:textId="77777777">
        <w:tc>
          <w:tcPr>
            <w:tcW w:w="1860" w:type="dxa"/>
            <w:shd w:val="clear" w:color="auto" w:fill="auto"/>
            <w:tcMar>
              <w:top w:w="100" w:type="dxa"/>
              <w:left w:w="100" w:type="dxa"/>
              <w:bottom w:w="100" w:type="dxa"/>
              <w:right w:w="100" w:type="dxa"/>
            </w:tcMar>
          </w:tcPr>
          <w:p w14:paraId="5FC7D2F6"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Vitek</w:t>
            </w:r>
            <w:proofErr w:type="spellEnd"/>
            <w:r>
              <w:rPr>
                <w:rFonts w:ascii="Times New Roman" w:eastAsia="Times New Roman" w:hAnsi="Times New Roman" w:cs="Times New Roman"/>
                <w:sz w:val="20"/>
                <w:szCs w:val="20"/>
              </w:rPr>
              <w:t>-MS (</w:t>
            </w:r>
            <w:proofErr w:type="spellStart"/>
            <w:r>
              <w:rPr>
                <w:rFonts w:ascii="Times New Roman" w:eastAsia="Times New Roman" w:hAnsi="Times New Roman" w:cs="Times New Roman"/>
                <w:sz w:val="20"/>
                <w:szCs w:val="20"/>
              </w:rPr>
              <w:t>Biomerieux</w:t>
            </w:r>
            <w:proofErr w:type="spellEnd"/>
            <w:r>
              <w:rPr>
                <w:rFonts w:ascii="Times New Roman" w:eastAsia="Times New Roman" w:hAnsi="Times New Roman" w:cs="Times New Roman"/>
                <w:sz w:val="20"/>
                <w:szCs w:val="20"/>
              </w:rPr>
              <w:t>)</w:t>
            </w:r>
          </w:p>
        </w:tc>
        <w:tc>
          <w:tcPr>
            <w:tcW w:w="1545" w:type="dxa"/>
            <w:shd w:val="clear" w:color="auto" w:fill="auto"/>
            <w:tcMar>
              <w:top w:w="100" w:type="dxa"/>
              <w:left w:w="100" w:type="dxa"/>
              <w:bottom w:w="100" w:type="dxa"/>
              <w:right w:w="100" w:type="dxa"/>
            </w:tcMar>
          </w:tcPr>
          <w:p w14:paraId="0FF5163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2011</w:t>
            </w:r>
          </w:p>
        </w:tc>
        <w:tc>
          <w:tcPr>
            <w:tcW w:w="1995" w:type="dxa"/>
            <w:shd w:val="clear" w:color="auto" w:fill="auto"/>
            <w:tcMar>
              <w:top w:w="100" w:type="dxa"/>
              <w:left w:w="100" w:type="dxa"/>
              <w:bottom w:w="100" w:type="dxa"/>
              <w:right w:w="100" w:type="dxa"/>
            </w:tcMar>
          </w:tcPr>
          <w:p w14:paraId="4860FBB7"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VITEK® MS Knowledge Base</w:t>
            </w:r>
          </w:p>
        </w:tc>
        <w:tc>
          <w:tcPr>
            <w:tcW w:w="3150" w:type="dxa"/>
            <w:shd w:val="clear" w:color="auto" w:fill="auto"/>
            <w:tcMar>
              <w:top w:w="100" w:type="dxa"/>
              <w:left w:w="100" w:type="dxa"/>
              <w:bottom w:w="100" w:type="dxa"/>
              <w:right w:w="100" w:type="dxa"/>
            </w:tcMar>
          </w:tcPr>
          <w:p w14:paraId="4BA571DF"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spectra from over 15,000 distinct microorganism strains with an average of 12 strains per species. </w:t>
            </w:r>
          </w:p>
          <w:p w14:paraId="250E6269"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-1,316 total organisms, with FDA 510(k) clearance for 401 organisms. Among this includes 39 mycobacteria, 16 Nocardia species, and 207 molds and yeasts and other claim/unclaimed organisms.</w:t>
            </w:r>
          </w:p>
          <w:p w14:paraId="33E22D4A" w14:textId="77777777" w:rsidR="00CF00F8" w:rsidRDefault="00CF00F8"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0" w:type="dxa"/>
            <w:shd w:val="clear" w:color="auto" w:fill="auto"/>
            <w:tcMar>
              <w:top w:w="100" w:type="dxa"/>
              <w:left w:w="100" w:type="dxa"/>
              <w:bottom w:w="100" w:type="dxa"/>
              <w:right w:w="100" w:type="dxa"/>
            </w:tcMar>
          </w:tcPr>
          <w:p w14:paraId="06F02CE1" w14:textId="2A5BCA1F" w:rsidR="00CF00F8" w:rsidRPr="00673111" w:rsidRDefault="00673111">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673111">
              <w:rPr>
                <w:rFonts w:ascii="Times New Roman" w:hAnsi="Times New Roman" w:cs="Times New Roman"/>
                <w:sz w:val="20"/>
                <w:szCs w:val="20"/>
              </w:rPr>
              <w:fldChar w:fldCharType="begin"/>
            </w:r>
            <w:r w:rsidR="00D876D1">
              <w:rPr>
                <w:rFonts w:ascii="Times New Roman" w:hAnsi="Times New Roman" w:cs="Times New Roman"/>
                <w:sz w:val="20"/>
                <w:szCs w:val="20"/>
              </w:rPr>
              <w:instrText xml:space="preserve"> ADDIN ZOTERO_ITEM CSL_CITATION {"citationID":"aE7uNzkD","properties":{"formattedCitation":"[16]","plainCitation":"[16]","noteIndex":0},"citationItems":[{"id":1220,"uris":["http://zotero.org/users/12998224/items/JP7DFMIY"],"itemData":{"id":1220,"type":"webpage","abstract":"VITEK® MS is an automated mass spectrometry microbial identification system that uses Matrix Assisted Laser Desorption Ionization Time-of-Flight (MALDI-TOF) technology.","container-title":"bioMérieux Website","genre":"Manufacturer Website","language":"en","title":"VITEK® MS","URL":"https://www.biomerieux.com/corp/en/our-offer/clinical-products/vitek-ms.html","author":[{"family":"","given":"bioMérieux"}],"accessed":{"date-parts":[["2025",2,21]]}}}],"schema":"https://github.com/citation-style-language/schema/raw/master/csl-citation.json"} </w:instrText>
            </w:r>
            <w:r w:rsidRPr="00673111">
              <w:rPr>
                <w:rFonts w:ascii="Times New Roman" w:hAnsi="Times New Roman" w:cs="Times New Roman"/>
                <w:sz w:val="20"/>
                <w:szCs w:val="20"/>
              </w:rPr>
              <w:fldChar w:fldCharType="separate"/>
            </w:r>
            <w:r w:rsidRPr="00673111">
              <w:rPr>
                <w:rFonts w:ascii="Times New Roman" w:hAnsi="Times New Roman" w:cs="Times New Roman"/>
                <w:sz w:val="20"/>
                <w:szCs w:val="20"/>
              </w:rPr>
              <w:t>[16]</w:t>
            </w:r>
            <w:r w:rsidRPr="00673111">
              <w:rPr>
                <w:rFonts w:ascii="Times New Roman" w:hAnsi="Times New Roman" w:cs="Times New Roman"/>
                <w:sz w:val="20"/>
                <w:szCs w:val="20"/>
              </w:rPr>
              <w:fldChar w:fldCharType="end"/>
            </w:r>
          </w:p>
        </w:tc>
      </w:tr>
      <w:tr w:rsidR="00CF00F8" w14:paraId="578EF0E2" w14:textId="77777777">
        <w:tc>
          <w:tcPr>
            <w:tcW w:w="1860" w:type="dxa"/>
            <w:shd w:val="clear" w:color="auto" w:fill="auto"/>
            <w:tcMar>
              <w:top w:w="100" w:type="dxa"/>
              <w:left w:w="100" w:type="dxa"/>
              <w:bottom w:w="100" w:type="dxa"/>
              <w:right w:w="100" w:type="dxa"/>
            </w:tcMar>
          </w:tcPr>
          <w:p w14:paraId="750DC438"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Bruker </w:t>
            </w:r>
            <w:proofErr w:type="spellStart"/>
            <w:r>
              <w:rPr>
                <w:rFonts w:ascii="Times New Roman" w:eastAsia="Times New Roman" w:hAnsi="Times New Roman" w:cs="Times New Roman"/>
                <w:sz w:val="20"/>
                <w:szCs w:val="20"/>
              </w:rPr>
              <w:t>Biotyper</w:t>
            </w:r>
            <w:proofErr w:type="spellEnd"/>
          </w:p>
        </w:tc>
        <w:tc>
          <w:tcPr>
            <w:tcW w:w="1545" w:type="dxa"/>
            <w:shd w:val="clear" w:color="auto" w:fill="auto"/>
            <w:tcMar>
              <w:top w:w="100" w:type="dxa"/>
              <w:left w:w="100" w:type="dxa"/>
              <w:bottom w:w="100" w:type="dxa"/>
              <w:right w:w="100" w:type="dxa"/>
            </w:tcMar>
          </w:tcPr>
          <w:p w14:paraId="2C2D9626"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1995" w:type="dxa"/>
            <w:shd w:val="clear" w:color="auto" w:fill="auto"/>
            <w:tcMar>
              <w:top w:w="100" w:type="dxa"/>
              <w:left w:w="100" w:type="dxa"/>
              <w:bottom w:w="100" w:type="dxa"/>
              <w:right w:w="100" w:type="dxa"/>
            </w:tcMar>
          </w:tcPr>
          <w:p w14:paraId="6BE608BE" w14:textId="2F95E329" w:rsidR="00CF00F8" w:rsidRDefault="00E73E1E"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MBT</w:t>
            </w:r>
            <w:proofErr w:type="spellEnd"/>
            <w:r>
              <w:rPr>
                <w:rFonts w:ascii="Times New Roman" w:eastAsia="Times New Roman" w:hAnsi="Times New Roman" w:cs="Times New Roman"/>
                <w:sz w:val="20"/>
                <w:szCs w:val="20"/>
              </w:rPr>
              <w:t xml:space="preserve"> Compass reference library (2023)</w:t>
            </w:r>
          </w:p>
          <w:p w14:paraId="21F5E268"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798890B6"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20712781"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56FECF31"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51D7F464"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50E50D2B" w14:textId="77777777" w:rsidR="00E73E1E" w:rsidRDefault="00E73E1E" w:rsidP="00E73E1E">
            <w:pPr>
              <w:widowControl w:val="0"/>
              <w:spacing w:after="0" w:line="240" w:lineRule="auto"/>
              <w:rPr>
                <w:rFonts w:ascii="Times New Roman" w:eastAsia="Times New Roman" w:hAnsi="Times New Roman" w:cs="Times New Roman"/>
                <w:sz w:val="20"/>
                <w:szCs w:val="20"/>
              </w:rPr>
            </w:pPr>
          </w:p>
          <w:p w14:paraId="72EA522A" w14:textId="55CB9C97" w:rsidR="00CF00F8" w:rsidRDefault="00E73E1E"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MBT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IVD</w:t>
            </w:r>
            <w:proofErr w:type="spellEnd"/>
            <w:r>
              <w:rPr>
                <w:rFonts w:ascii="Times New Roman" w:eastAsia="Times New Roman" w:hAnsi="Times New Roman" w:cs="Times New Roman"/>
                <w:sz w:val="20"/>
                <w:szCs w:val="20"/>
              </w:rPr>
              <w:t xml:space="preserve"> reference library (version 2023)</w:t>
            </w:r>
          </w:p>
          <w:p w14:paraId="20486DD1"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29848C31"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5723F5C9"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1FCF9AE7"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27F874DD"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2540F7DB"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3F7E0ABB" w14:textId="77777777" w:rsidR="00E73E1E" w:rsidRDefault="00E73E1E" w:rsidP="00E73E1E">
            <w:pPr>
              <w:widowControl w:val="0"/>
              <w:spacing w:after="0" w:line="240" w:lineRule="auto"/>
              <w:ind w:left="720"/>
              <w:rPr>
                <w:rFonts w:ascii="Times New Roman" w:eastAsia="Times New Roman" w:hAnsi="Times New Roman" w:cs="Times New Roman"/>
                <w:sz w:val="20"/>
                <w:szCs w:val="20"/>
              </w:rPr>
            </w:pPr>
          </w:p>
          <w:p w14:paraId="225EF9E3" w14:textId="37282AC1" w:rsidR="00CF00F8" w:rsidRDefault="00E73E1E"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MALDI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CA library</w:t>
            </w:r>
          </w:p>
        </w:tc>
        <w:tc>
          <w:tcPr>
            <w:tcW w:w="3150" w:type="dxa"/>
            <w:shd w:val="clear" w:color="auto" w:fill="auto"/>
            <w:tcMar>
              <w:top w:w="100" w:type="dxa"/>
              <w:left w:w="100" w:type="dxa"/>
              <w:bottom w:w="100" w:type="dxa"/>
              <w:right w:w="100" w:type="dxa"/>
            </w:tcMar>
          </w:tcPr>
          <w:p w14:paraId="30A55135" w14:textId="2183F9EB" w:rsidR="00CF00F8" w:rsidRPr="00E73E1E" w:rsidRDefault="00E73E1E" w:rsidP="00E73E1E">
            <w:pPr>
              <w:widowControl w:val="0"/>
              <w:spacing w:after="0" w:line="240" w:lineRule="auto"/>
              <w:rPr>
                <w:rFonts w:ascii="Times New Roman" w:eastAsia="Times New Roman" w:hAnsi="Times New Roman" w:cs="Times New Roman"/>
                <w:sz w:val="20"/>
                <w:szCs w:val="20"/>
              </w:rPr>
            </w:pPr>
            <w:r w:rsidRPr="00E73E1E">
              <w:rPr>
                <w:rFonts w:ascii="Times New Roman" w:eastAsia="Times New Roman" w:hAnsi="Times New Roman" w:cs="Times New Roman"/>
                <w:sz w:val="20"/>
                <w:szCs w:val="20"/>
              </w:rPr>
              <w:lastRenderedPageBreak/>
              <w:t>-</w:t>
            </w:r>
            <w:r>
              <w:rPr>
                <w:rFonts w:ascii="Times New Roman" w:eastAsia="Times New Roman" w:hAnsi="Times New Roman" w:cs="Times New Roman"/>
                <w:sz w:val="20"/>
                <w:szCs w:val="20"/>
              </w:rPr>
              <w:t xml:space="preserve"> </w:t>
            </w:r>
            <w:r w:rsidRPr="00E73E1E">
              <w:rPr>
                <w:rFonts w:ascii="Times New Roman" w:eastAsia="Times New Roman" w:hAnsi="Times New Roman" w:cs="Times New Roman"/>
                <w:sz w:val="20"/>
                <w:szCs w:val="20"/>
              </w:rPr>
              <w:t xml:space="preserve">The </w:t>
            </w:r>
            <w:proofErr w:type="spellStart"/>
            <w:r w:rsidRPr="00E73E1E">
              <w:rPr>
                <w:rFonts w:ascii="Times New Roman" w:eastAsia="Times New Roman" w:hAnsi="Times New Roman" w:cs="Times New Roman"/>
                <w:sz w:val="20"/>
                <w:szCs w:val="20"/>
              </w:rPr>
              <w:t>MBT</w:t>
            </w:r>
            <w:proofErr w:type="spellEnd"/>
            <w:r w:rsidRPr="00E73E1E">
              <w:rPr>
                <w:rFonts w:ascii="Times New Roman" w:eastAsia="Times New Roman" w:hAnsi="Times New Roman" w:cs="Times New Roman"/>
                <w:sz w:val="20"/>
                <w:szCs w:val="20"/>
              </w:rPr>
              <w:t xml:space="preserve"> Compass reference database includes 4,320 species spanning 712 microbial genera, making it suitable for research laboratories and industrial applications such as food safety, veterinary diagnostics, and pharmaceutical environments.</w:t>
            </w:r>
          </w:p>
          <w:p w14:paraId="51292CA1" w14:textId="77777777" w:rsidR="00CF00F8" w:rsidRDefault="00CF00F8" w:rsidP="00E73E1E">
            <w:pPr>
              <w:widowControl w:val="0"/>
              <w:spacing w:after="0" w:line="240" w:lineRule="auto"/>
              <w:rPr>
                <w:rFonts w:ascii="Times New Roman" w:eastAsia="Times New Roman" w:hAnsi="Times New Roman" w:cs="Times New Roman"/>
                <w:sz w:val="20"/>
                <w:szCs w:val="20"/>
              </w:rPr>
            </w:pPr>
          </w:p>
          <w:p w14:paraId="33A1F62E" w14:textId="3BACC515"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E73E1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MBT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IVD</w:t>
            </w:r>
            <w:proofErr w:type="spellEnd"/>
            <w:r>
              <w:rPr>
                <w:rFonts w:ascii="Times New Roman" w:eastAsia="Times New Roman" w:hAnsi="Times New Roman" w:cs="Times New Roman"/>
                <w:sz w:val="20"/>
                <w:szCs w:val="20"/>
              </w:rPr>
              <w:t xml:space="preserve"> reference database contains spectra from thousands of microbial strains, covering 4,239 species across 686 genera. It includes both commonly encountered clinical pathogens and rare microorganisms, enhancing its </w:t>
            </w:r>
            <w:r>
              <w:rPr>
                <w:rFonts w:ascii="Times New Roman" w:eastAsia="Times New Roman" w:hAnsi="Times New Roman" w:cs="Times New Roman"/>
                <w:sz w:val="20"/>
                <w:szCs w:val="20"/>
              </w:rPr>
              <w:lastRenderedPageBreak/>
              <w:t>utility in clinical microbiology.</w:t>
            </w:r>
          </w:p>
          <w:p w14:paraId="676E0672" w14:textId="77777777" w:rsidR="00CF00F8" w:rsidRDefault="00CF00F8" w:rsidP="00E73E1E">
            <w:pPr>
              <w:widowControl w:val="0"/>
              <w:spacing w:after="0" w:line="240" w:lineRule="auto"/>
              <w:rPr>
                <w:rFonts w:ascii="Times New Roman" w:eastAsia="Times New Roman" w:hAnsi="Times New Roman" w:cs="Times New Roman"/>
                <w:sz w:val="20"/>
                <w:szCs w:val="20"/>
              </w:rPr>
            </w:pPr>
          </w:p>
          <w:p w14:paraId="02FA250D"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FDA-cleared MALDI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CA System workflow consists of two distinct sections:</w:t>
            </w:r>
          </w:p>
          <w:p w14:paraId="516C0AD6"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+Clinically validated species – The MALDI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CA library comprises 488 microbial species, categorized into anaerobes, gram-positive and gram-negative bacteria, and yeasts. These species have undergone clinical validation for diagnostic use.</w:t>
            </w:r>
          </w:p>
          <w:p w14:paraId="38E8868B"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+Non-clinically validated species – This library contains reference spectra for over 3,400 species that have not been clinically validated. To ensure public health safety, these species are specifically marked in the MALDI </w:t>
            </w:r>
            <w:proofErr w:type="spellStart"/>
            <w:r>
              <w:rPr>
                <w:rFonts w:ascii="Times New Roman" w:eastAsia="Times New Roman" w:hAnsi="Times New Roman" w:cs="Times New Roman"/>
                <w:sz w:val="20"/>
                <w:szCs w:val="20"/>
              </w:rPr>
              <w:t>Biotyper</w:t>
            </w:r>
            <w:proofErr w:type="spellEnd"/>
            <w:r>
              <w:rPr>
                <w:rFonts w:ascii="Times New Roman" w:eastAsia="Times New Roman" w:hAnsi="Times New Roman" w:cs="Times New Roman"/>
                <w:sz w:val="20"/>
                <w:szCs w:val="20"/>
              </w:rPr>
              <w:t xml:space="preserve">® result report, prompting laboratories to confirm identification through alternative methods. Additionally, results from non-clinically validated species cannot be transmitted from the </w:t>
            </w:r>
            <w:proofErr w:type="spellStart"/>
            <w:r>
              <w:rPr>
                <w:rFonts w:ascii="Times New Roman" w:eastAsia="Times New Roman" w:hAnsi="Times New Roman" w:cs="Times New Roman"/>
                <w:sz w:val="20"/>
                <w:szCs w:val="20"/>
              </w:rPr>
              <w:t>MBT</w:t>
            </w:r>
            <w:proofErr w:type="spellEnd"/>
            <w:r>
              <w:rPr>
                <w:rFonts w:ascii="Times New Roman" w:eastAsia="Times New Roman" w:hAnsi="Times New Roman" w:cs="Times New Roman"/>
                <w:sz w:val="20"/>
                <w:szCs w:val="20"/>
              </w:rPr>
              <w:t xml:space="preserve"> CA system to laboratory information systems.</w:t>
            </w:r>
          </w:p>
          <w:p w14:paraId="4B7E41F6" w14:textId="77777777" w:rsidR="00CF00F8" w:rsidRDefault="00CF00F8"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0" w:type="dxa"/>
            <w:shd w:val="clear" w:color="auto" w:fill="auto"/>
            <w:tcMar>
              <w:top w:w="100" w:type="dxa"/>
              <w:left w:w="100" w:type="dxa"/>
              <w:bottom w:w="100" w:type="dxa"/>
              <w:right w:w="100" w:type="dxa"/>
            </w:tcMar>
          </w:tcPr>
          <w:p w14:paraId="45B54E70" w14:textId="00862D01" w:rsidR="00CF00F8" w:rsidRPr="003C3235" w:rsidRDefault="00673111">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3C3235">
              <w:rPr>
                <w:rFonts w:ascii="Times New Roman" w:hAnsi="Times New Roman" w:cs="Times New Roman"/>
                <w:sz w:val="20"/>
                <w:szCs w:val="20"/>
              </w:rPr>
              <w:lastRenderedPageBreak/>
              <w:fldChar w:fldCharType="begin"/>
            </w:r>
            <w:r w:rsidR="00D876D1" w:rsidRPr="003C3235">
              <w:rPr>
                <w:rFonts w:ascii="Times New Roman" w:hAnsi="Times New Roman" w:cs="Times New Roman"/>
                <w:sz w:val="20"/>
                <w:szCs w:val="20"/>
              </w:rPr>
              <w:instrText xml:space="preserve"> ADDIN ZOTERO_ITEM CSL_CITATION {"citationID":"0L9XrZg0","properties":{"formattedCitation":"[17]","plainCitation":"[17]","noteIndex":0},"citationItems":[{"id":1218,"uris":["http://zotero.org/users/12998224/items/KGKCBL7H"],"itemData":{"id":1218,"type":"webpage","abstract":"As the result of a visionary dream at Bruker, MALDI-TOF MS stands out today as the gold standard for microorganism identification.","container-title":"The MALDI Biotyper® - a revolution in microbiology","genre":"Manufacturer Website","language":"en","title":"Microbial Identification","URL":"https://www.bruker.com/en/products-and-solutions/microbiology-and-diagnostics/microbial-identification.html","author":[{"family":"","given":"Bruker"}],"accessed":{"date-parts":[["2025",2,21]]}}}],"schema":"https://github.com/citation-style-language/schema/raw/master/csl-citation.json"} </w:instrText>
            </w:r>
            <w:r w:rsidRPr="003C3235">
              <w:rPr>
                <w:rFonts w:ascii="Times New Roman" w:hAnsi="Times New Roman" w:cs="Times New Roman"/>
                <w:sz w:val="20"/>
                <w:szCs w:val="20"/>
              </w:rPr>
              <w:fldChar w:fldCharType="separate"/>
            </w:r>
            <w:r w:rsidR="00D876D1" w:rsidRPr="003C3235">
              <w:rPr>
                <w:rFonts w:ascii="Times New Roman" w:hAnsi="Times New Roman" w:cs="Times New Roman"/>
                <w:sz w:val="20"/>
                <w:szCs w:val="20"/>
              </w:rPr>
              <w:t>[17]</w:t>
            </w:r>
            <w:r w:rsidRPr="003C3235">
              <w:rPr>
                <w:rFonts w:ascii="Times New Roman" w:hAnsi="Times New Roman" w:cs="Times New Roman"/>
                <w:sz w:val="20"/>
                <w:szCs w:val="20"/>
              </w:rPr>
              <w:fldChar w:fldCharType="end"/>
            </w:r>
            <w:r w:rsidRPr="003C3235">
              <w:rPr>
                <w:rFonts w:ascii="Times New Roman" w:eastAsia="Times New Roman" w:hAnsi="Times New Roman" w:cs="Times New Roman"/>
                <w:sz w:val="20"/>
                <w:szCs w:val="20"/>
              </w:rPr>
              <w:t xml:space="preserve"> </w:t>
            </w:r>
          </w:p>
        </w:tc>
      </w:tr>
      <w:tr w:rsidR="00CF00F8" w14:paraId="2AF75E1B" w14:textId="77777777">
        <w:tc>
          <w:tcPr>
            <w:tcW w:w="1860" w:type="dxa"/>
            <w:shd w:val="clear" w:color="auto" w:fill="auto"/>
            <w:tcMar>
              <w:top w:w="100" w:type="dxa"/>
              <w:left w:w="100" w:type="dxa"/>
              <w:bottom w:w="100" w:type="dxa"/>
              <w:right w:w="100" w:type="dxa"/>
            </w:tcMar>
          </w:tcPr>
          <w:p w14:paraId="21BBF1E9"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AXIMA</w:t>
            </w:r>
            <w:proofErr w:type="spellEnd"/>
            <w:r>
              <w:rPr>
                <w:rFonts w:ascii="Times New Roman" w:eastAsia="Times New Roman" w:hAnsi="Times New Roman" w:cs="Times New Roman"/>
                <w:sz w:val="20"/>
                <w:szCs w:val="20"/>
              </w:rPr>
              <w:t xml:space="preserve"> (Shimadzu Cooperation)</w:t>
            </w:r>
          </w:p>
        </w:tc>
        <w:tc>
          <w:tcPr>
            <w:tcW w:w="1545" w:type="dxa"/>
            <w:shd w:val="clear" w:color="auto" w:fill="auto"/>
            <w:tcMar>
              <w:top w:w="100" w:type="dxa"/>
              <w:left w:w="100" w:type="dxa"/>
              <w:bottom w:w="100" w:type="dxa"/>
              <w:right w:w="100" w:type="dxa"/>
            </w:tcMar>
          </w:tcPr>
          <w:p w14:paraId="423C2906"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1995" w:type="dxa"/>
            <w:shd w:val="clear" w:color="auto" w:fill="auto"/>
            <w:tcMar>
              <w:top w:w="100" w:type="dxa"/>
              <w:left w:w="100" w:type="dxa"/>
              <w:bottom w:w="100" w:type="dxa"/>
              <w:right w:w="100" w:type="dxa"/>
            </w:tcMar>
          </w:tcPr>
          <w:p w14:paraId="18FE998F"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(1999—regularly updated until now)</w:t>
            </w:r>
          </w:p>
        </w:tc>
        <w:tc>
          <w:tcPr>
            <w:tcW w:w="3150" w:type="dxa"/>
            <w:shd w:val="clear" w:color="auto" w:fill="auto"/>
            <w:tcMar>
              <w:top w:w="100" w:type="dxa"/>
              <w:left w:w="100" w:type="dxa"/>
              <w:bottom w:w="100" w:type="dxa"/>
              <w:right w:w="100" w:type="dxa"/>
            </w:tcMar>
          </w:tcPr>
          <w:p w14:paraId="7A55B646"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A comprehensive spectral archive that integrates both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xml:space="preserve">™ and reference spectra derived from well-characterized isolates. These isolates are validated through widely accepted microbiological methods, including phenotyping, </w:t>
            </w:r>
            <w:proofErr w:type="spellStart"/>
            <w:r>
              <w:rPr>
                <w:rFonts w:ascii="Times New Roman" w:eastAsia="Times New Roman" w:hAnsi="Times New Roman" w:cs="Times New Roman"/>
                <w:sz w:val="20"/>
                <w:szCs w:val="20"/>
              </w:rPr>
              <w:t>16S</w:t>
            </w:r>
            <w:proofErr w:type="spellEnd"/>
            <w:r>
              <w:rPr>
                <w:rFonts w:ascii="Times New Roman" w:eastAsia="Times New Roman" w:hAnsi="Times New Roman" w:cs="Times New Roman"/>
                <w:sz w:val="20"/>
                <w:szCs w:val="20"/>
              </w:rPr>
              <w:t xml:space="preserve"> rRNA sequencing, and Multi-Locus Sequence Typing</w:t>
            </w:r>
            <w:r>
              <w:rPr>
                <w:rFonts w:ascii="Times New Roman" w:eastAsia="Times New Roman" w:hAnsi="Times New Roman" w:cs="Times New Roman"/>
                <w:b/>
                <w:sz w:val="20"/>
                <w:szCs w:val="20"/>
              </w:rPr>
              <w:t>.</w:t>
            </w:r>
          </w:p>
          <w:p w14:paraId="453E8587"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Each </w:t>
            </w:r>
            <w:proofErr w:type="spellStart"/>
            <w:r>
              <w:rPr>
                <w:rFonts w:ascii="Times New Roman" w:eastAsia="Times New Roman" w:hAnsi="Times New Roman" w:cs="Times New Roman"/>
                <w:sz w:val="20"/>
                <w:szCs w:val="20"/>
              </w:rPr>
              <w:t>SuperSpectrum</w:t>
            </w:r>
            <w:proofErr w:type="spellEnd"/>
            <w:r>
              <w:rPr>
                <w:rFonts w:ascii="Times New Roman" w:eastAsia="Times New Roman" w:hAnsi="Times New Roman" w:cs="Times New Roman"/>
                <w:sz w:val="20"/>
                <w:szCs w:val="20"/>
              </w:rPr>
              <w:t xml:space="preserve"> is made up of several reference spectra (mass profiles) that were collected from at least eight different isolates of the same species at different times and under different growth conditions.</w:t>
            </w:r>
          </w:p>
          <w:p w14:paraId="0A956DAE"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combined </w:t>
            </w: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database currently holds approximately 40,000 mass spectra, allowing for the identification of both common and rarely detected microbial species, making it a highly valuable tool in clinical microbiology</w:t>
            </w:r>
          </w:p>
          <w:p w14:paraId="219D5353"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Since its initial release in 1999, the </w:t>
            </w:r>
            <w:proofErr w:type="spellStart"/>
            <w:r>
              <w:rPr>
                <w:rFonts w:ascii="Times New Roman" w:eastAsia="Times New Roman" w:hAnsi="Times New Roman" w:cs="Times New Roman"/>
                <w:sz w:val="20"/>
                <w:szCs w:val="20"/>
              </w:rPr>
              <w:t>SARAMIS</w:t>
            </w:r>
            <w:proofErr w:type="spellEnd"/>
            <w:r>
              <w:rPr>
                <w:rFonts w:ascii="Times New Roman" w:eastAsia="Times New Roman" w:hAnsi="Times New Roman" w:cs="Times New Roman"/>
                <w:sz w:val="20"/>
                <w:szCs w:val="20"/>
              </w:rPr>
              <w:t xml:space="preserve">™ database has expanded significantly, originally </w:t>
            </w:r>
            <w:r>
              <w:rPr>
                <w:rFonts w:ascii="Times New Roman" w:eastAsia="Times New Roman" w:hAnsi="Times New Roman" w:cs="Times New Roman"/>
                <w:sz w:val="20"/>
                <w:szCs w:val="20"/>
              </w:rPr>
              <w:lastRenderedPageBreak/>
              <w:t xml:space="preserve">covering 2,000 species and 500 genera but now containing over 2,800 </w:t>
            </w:r>
            <w:proofErr w:type="spellStart"/>
            <w:r>
              <w:rPr>
                <w:rFonts w:ascii="Times New Roman" w:eastAsia="Times New Roman" w:hAnsi="Times New Roman" w:cs="Times New Roman"/>
                <w:sz w:val="20"/>
                <w:szCs w:val="20"/>
              </w:rPr>
              <w:t>SuperSpectra</w:t>
            </w:r>
            <w:proofErr w:type="spellEnd"/>
            <w:r>
              <w:rPr>
                <w:rFonts w:ascii="Times New Roman" w:eastAsia="Times New Roman" w:hAnsi="Times New Roman" w:cs="Times New Roman"/>
                <w:sz w:val="20"/>
                <w:szCs w:val="20"/>
              </w:rPr>
              <w:t>™ entries for bacterial and fungal identification.</w:t>
            </w:r>
          </w:p>
        </w:tc>
        <w:tc>
          <w:tcPr>
            <w:tcW w:w="750" w:type="dxa"/>
            <w:shd w:val="clear" w:color="auto" w:fill="auto"/>
            <w:tcMar>
              <w:top w:w="100" w:type="dxa"/>
              <w:left w:w="100" w:type="dxa"/>
              <w:bottom w:w="100" w:type="dxa"/>
              <w:right w:w="100" w:type="dxa"/>
            </w:tcMar>
          </w:tcPr>
          <w:p w14:paraId="2B9269F3" w14:textId="00AB772F" w:rsidR="00CF00F8" w:rsidRDefault="003C323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fldChar w:fldCharType="begin"/>
            </w:r>
            <w:r>
              <w:rPr>
                <w:rFonts w:ascii="Times New Roman" w:eastAsia="Times New Roman" w:hAnsi="Times New Roman" w:cs="Times New Roman"/>
                <w:sz w:val="20"/>
                <w:szCs w:val="20"/>
              </w:rPr>
              <w:instrText xml:space="preserve"> ADDIN ZOTERO_ITEM CSL_CITATION {"citationID":"kPvsVVyV","properties":{"formattedCitation":"[18]","plainCitation":"[18]","noteIndex":0},"citationItems":[{"id":1209,"uris":["http://zotero.org/users/12998224/items/MLN69THW"],"itemData":{"id":1209,"type":"webpage","abstract":"The AXIMA Microorganism Identification System presents a new solution for the identification of microorganisms for microorganism research in the pharmaceutical, food, science, energy, environment, clinical and health fields.","container-title":"AXIMA Microorganism Identification System","genre":"Manufacturer Website","language":"en","title":"AXIMA Microorganism Identification System","URL":"https://www.shimadzu.com/an/products/maldi/ms-systems/axima-microorganism-identification-system/index.html","author":[{"family":"","given":"Shimadzu Cooperation"}],"accessed":{"date-parts":[["2025",2,21]]}}}],"schema":"https://github.com/citation-style-language/schema/raw/master/csl-citation.json"} </w:instrText>
            </w:r>
            <w:r>
              <w:rPr>
                <w:rFonts w:ascii="Times New Roman" w:eastAsia="Times New Roman" w:hAnsi="Times New Roman" w:cs="Times New Roman"/>
                <w:sz w:val="20"/>
                <w:szCs w:val="20"/>
              </w:rPr>
              <w:fldChar w:fldCharType="separate"/>
            </w:r>
            <w:r w:rsidRPr="003C3235">
              <w:rPr>
                <w:rFonts w:ascii="Times New Roman" w:hAnsi="Times New Roman" w:cs="Times New Roman"/>
                <w:sz w:val="20"/>
              </w:rPr>
              <w:t>[18]</w:t>
            </w:r>
            <w:r>
              <w:rPr>
                <w:rFonts w:ascii="Times New Roman" w:eastAsia="Times New Roman" w:hAnsi="Times New Roman" w:cs="Times New Roman"/>
                <w:sz w:val="20"/>
                <w:szCs w:val="20"/>
              </w:rPr>
              <w:fldChar w:fldCharType="end"/>
            </w:r>
          </w:p>
        </w:tc>
      </w:tr>
      <w:tr w:rsidR="00CF00F8" w14:paraId="2FEF5FEB" w14:textId="77777777">
        <w:tc>
          <w:tcPr>
            <w:tcW w:w="1860" w:type="dxa"/>
            <w:shd w:val="clear" w:color="auto" w:fill="auto"/>
            <w:tcMar>
              <w:top w:w="100" w:type="dxa"/>
              <w:left w:w="100" w:type="dxa"/>
              <w:bottom w:w="100" w:type="dxa"/>
              <w:right w:w="100" w:type="dxa"/>
            </w:tcMar>
          </w:tcPr>
          <w:p w14:paraId="6EE1E894"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Zybio EXS 2600</w:t>
            </w:r>
          </w:p>
        </w:tc>
        <w:tc>
          <w:tcPr>
            <w:tcW w:w="1545" w:type="dxa"/>
            <w:shd w:val="clear" w:color="auto" w:fill="auto"/>
            <w:tcMar>
              <w:top w:w="100" w:type="dxa"/>
              <w:left w:w="100" w:type="dxa"/>
              <w:bottom w:w="100" w:type="dxa"/>
              <w:right w:w="100" w:type="dxa"/>
            </w:tcMar>
          </w:tcPr>
          <w:p w14:paraId="6BA46D8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995" w:type="dxa"/>
            <w:shd w:val="clear" w:color="auto" w:fill="auto"/>
            <w:tcMar>
              <w:top w:w="100" w:type="dxa"/>
              <w:left w:w="100" w:type="dxa"/>
              <w:bottom w:w="100" w:type="dxa"/>
              <w:right w:w="100" w:type="dxa"/>
            </w:tcMar>
          </w:tcPr>
          <w:p w14:paraId="1E09AB88" w14:textId="77777777" w:rsidR="00CF00F8" w:rsidRDefault="00000000" w:rsidP="00E73E1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v3.0.2.2</w:t>
            </w:r>
            <w:proofErr w:type="spellEnd"/>
            <w:r>
              <w:rPr>
                <w:rFonts w:ascii="Times New Roman" w:eastAsia="Times New Roman" w:hAnsi="Times New Roman" w:cs="Times New Roman"/>
                <w:sz w:val="20"/>
                <w:szCs w:val="20"/>
              </w:rPr>
              <w:t xml:space="preserve"> (2024)</w:t>
            </w:r>
          </w:p>
        </w:tc>
        <w:tc>
          <w:tcPr>
            <w:tcW w:w="3150" w:type="dxa"/>
            <w:shd w:val="clear" w:color="auto" w:fill="auto"/>
            <w:tcMar>
              <w:top w:w="100" w:type="dxa"/>
              <w:left w:w="100" w:type="dxa"/>
              <w:bottom w:w="100" w:type="dxa"/>
              <w:right w:w="100" w:type="dxa"/>
            </w:tcMar>
          </w:tcPr>
          <w:p w14:paraId="740646C3" w14:textId="77777777" w:rsidR="00CF00F8" w:rsidRDefault="00000000" w:rsidP="00E73E1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Proprietary database containing over 4,000 local microbial species, including bacteria and fungi, with ongoing expansions to enhance identification accuracy</w:t>
            </w:r>
          </w:p>
        </w:tc>
        <w:tc>
          <w:tcPr>
            <w:tcW w:w="750" w:type="dxa"/>
            <w:shd w:val="clear" w:color="auto" w:fill="auto"/>
            <w:tcMar>
              <w:top w:w="100" w:type="dxa"/>
              <w:left w:w="100" w:type="dxa"/>
              <w:bottom w:w="100" w:type="dxa"/>
              <w:right w:w="100" w:type="dxa"/>
            </w:tcMar>
          </w:tcPr>
          <w:p w14:paraId="2FD5962F" w14:textId="19F42DE2" w:rsidR="00CF00F8" w:rsidRDefault="00E62E0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{"citationID":"OxmZbbdj","properties":{"formattedCitation":"[19]","plainCitation":"[19]","noteIndex":0},"citationItems":[{"id":1226,"uris":["http://zotero.org/users/12998224/items/24HCHLKZ"],"itemData":{"id":1226,"type":"webpage","container-title":"EXS 2600 Mass Spectrometry System","genre":"Manufacturer Website","title":"EXS 2600_Zybio","URL":"https://www.zybio.com/productxq/40/20/EXS2600.html","author":[{"family":"","given":"Zybio"}],"accessed":{"date-parts":[["2025",2,21]]}}}],"schema":"https://github.com/citation-style-language/schema/raw/master/csl-citation.json"} </w:instrText>
            </w:r>
            <w:r>
              <w:rPr>
                <w:rFonts w:ascii="Times New Roman" w:eastAsia="Times New Roman" w:hAnsi="Times New Roman" w:cs="Times New Roman"/>
                <w:sz w:val="20"/>
                <w:szCs w:val="20"/>
              </w:rPr>
              <w:fldChar w:fldCharType="separate"/>
            </w:r>
            <w:r w:rsidRPr="00E62E0E">
              <w:rPr>
                <w:rFonts w:ascii="Times New Roman" w:hAnsi="Times New Roman" w:cs="Times New Roman"/>
                <w:sz w:val="20"/>
              </w:rPr>
              <w:t>[19]</w:t>
            </w:r>
            <w:r>
              <w:rPr>
                <w:rFonts w:ascii="Times New Roman" w:eastAsia="Times New Roman" w:hAnsi="Times New Roman" w:cs="Times New Roman"/>
                <w:sz w:val="20"/>
                <w:szCs w:val="20"/>
              </w:rPr>
              <w:fldChar w:fldCharType="end"/>
            </w:r>
          </w:p>
        </w:tc>
      </w:tr>
    </w:tbl>
    <w:p w14:paraId="3B57E839" w14:textId="77777777" w:rsidR="00CF00F8" w:rsidRDefault="00000000">
      <w:pPr>
        <w:pStyle w:val="Heading2"/>
        <w:rPr>
          <w:rFonts w:ascii="Times New Roman" w:eastAsia="Times New Roman" w:hAnsi="Times New Roman" w:cs="Times New Roman"/>
          <w:b/>
          <w:sz w:val="20"/>
          <w:szCs w:val="20"/>
        </w:rPr>
      </w:pPr>
      <w:bookmarkStart w:id="2" w:name="_heading=h.yffficpf3aja" w:colFirst="0" w:colLast="0"/>
      <w:bookmarkStart w:id="3" w:name="_heading=h.7jighu1r98oh" w:colFirst="0" w:colLast="0"/>
      <w:bookmarkStart w:id="4" w:name="_heading=h.qcpabkhgu04a" w:colFirst="0" w:colLast="0"/>
      <w:bookmarkStart w:id="5" w:name="_heading=h.twihackrcqox" w:colFirst="0" w:colLast="0"/>
      <w:bookmarkStart w:id="6" w:name="_heading=h.xu489kn8nd4h" w:colFirst="0" w:colLast="0"/>
      <w:bookmarkStart w:id="7" w:name="_heading=h.mi9fj451i76a" w:colFirst="0" w:colLast="0"/>
      <w:bookmarkStart w:id="8" w:name="_heading=h.ms9n6lhc6b33" w:colFirst="0" w:colLast="0"/>
      <w:bookmarkStart w:id="9" w:name="_heading=h.t6xtz2xdxoxs" w:colFirst="0" w:colLast="0"/>
      <w:bookmarkStart w:id="10" w:name="_heading=h.za2ikiwoonjg" w:colFirst="0" w:colLast="0"/>
      <w:bookmarkStart w:id="11" w:name="_heading=h.6ecmygfs1lvv" w:colFirst="0" w:colLast="0"/>
      <w:bookmarkStart w:id="12" w:name="_Toc191553254"/>
      <w:bookmarkEnd w:id="2"/>
      <w:bookmarkEnd w:id="3"/>
      <w:bookmarkEnd w:id="4"/>
      <w:bookmarkEnd w:id="5"/>
      <w:bookmarkEnd w:id="6"/>
      <w:bookmarkEnd w:id="7"/>
      <w:bookmarkEnd w:id="8"/>
      <w:bookmarkEnd w:id="9"/>
      <w:bookmarkEnd w:id="10"/>
      <w:bookmarkEnd w:id="11"/>
      <w:proofErr w:type="spellStart"/>
      <w:r>
        <w:rPr>
          <w:rFonts w:ascii="Times New Roman" w:eastAsia="Times New Roman" w:hAnsi="Times New Roman" w:cs="Times New Roman"/>
          <w:b/>
          <w:color w:val="000000"/>
          <w:sz w:val="20"/>
          <w:szCs w:val="20"/>
        </w:rPr>
        <w:t>II.B</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Identification of bacteria at the subspecies or strain levels</w:t>
      </w:r>
      <w:bookmarkEnd w:id="12"/>
    </w:p>
    <w:p w14:paraId="3674A235" w14:textId="457D5B23"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w:t>
      </w:r>
      <w:r w:rsidR="007C5FC6">
        <w:rPr>
          <w:rFonts w:ascii="Times New Roman" w:eastAsia="Times New Roman" w:hAnsi="Times New Roman" w:cs="Times New Roman"/>
          <w:sz w:val="20"/>
          <w:szCs w:val="20"/>
        </w:rPr>
        <w:t xml:space="preserve">MS </w:t>
      </w:r>
      <w:r>
        <w:rPr>
          <w:rFonts w:ascii="Times New Roman" w:eastAsia="Times New Roman" w:hAnsi="Times New Roman" w:cs="Times New Roman"/>
          <w:sz w:val="20"/>
          <w:szCs w:val="20"/>
        </w:rPr>
        <w:t xml:space="preserve">is highly effective for species-level bacterial identification, achieving strain-level differentiation can be challenging. Advanced techniques, such as specialized reference databases and sophisticated data analysis algorithms, enable the detection of subtle variations in protein profiles to distinguish strains within a species. However, these methods may not always provide reliable strain-level identification in all cases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{"citationID":"42IcqLuf","properties":{"formattedCitation":"[9]","plainCitation":"[9]","noteIndex":0},"citationItems":[{"id":1108,"uris":["http://zotero.org/users/12998224/items/8J8GZBE6"],"itemData":{"id":1108,"type":"article-journal","abstract":"&lt;p&gt;Currently microorganisms are best identified using 16S rRNA and 18S rRNA gene sequencing. However, in recent years matrix assisted laser desorption ionization-time of flight mass spectrometry (MALDI-TOF MS) has emerged as a potential tool for microbial identification and diagnosis. During the MALDI-TOF MS process, microbes are identified using either intact cells or cell extracts. The process is rapid, sensitive, and economical in terms of both labor and costs involved. The technology has been readily imbibed by microbiologists who have reported usage of MALDI-TOF MS for a number of purposes like, microbial identification and strain typing, epidemiological studies, detection of biological warfare agents, detection of water- and food-borne pathogens, detection of antibiotic resistance and detection of blood and urinary tract pathogens etc. The limitation of the technology is that identification of new isolates is possible only if the spectral database contains peptide mass fingerprints of the type strains of specific genera/species/subspecies/strains. This review provides an overview of the status and recent applications of mass spectrometry for microbial identification. It also explores the usefulness of this exciting new technology for diagnosis of diseases caused by bacteria, viruses, and fungi.&lt;/p&gt;","container-title":"Frontiers in Microbiology","DOI":"10.3389/fmicb.2015.00791","ISSN":"1664-302X","journalAbbreviation":"Front. Microbiol.","language":"English","note":"publisher: Frontiers","source":"Frontiers","title":"MALDI-TOF mass spectrometry: an emerging technology for microbial identification and diagnosis","title-short":"MALDI-TOF mass spectrometry","URL":"https://www.frontiersin.org/journals/microbiology/articles/10.3389/fmicb.2015.00791/full","volume":"6","author":[{"family":"Singhal","given":"Neelja"},{"family":"Kumar","given":"Manish"},{"family":"Kanaujia","given":"Pawan K."},{"family":"Virdi","given":"Jugsharan S."}],"accessed":{"date-parts":[["2025",2,1]]},"issued":{"date-parts":[["2015",8,5]]}}}],"schema":"https://github.com/citation-style-language/schema/raw/master/csl-citation.json"}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[9]</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strain-level resolution has been achieved for various bacteria using library-based and bioinformatics-driven approaches. This includes three key types of strain-level characterization: strain categorization, differentiation, and identification. Enhancements to library-based methods often involve sample pre-treatment, such as extraction or purification of specific biomolecules (e.g., lipids or proteins), and data reduction strategies to refine spectral quality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{"citationID":"xmS9V8xZ","properties":{"formattedCitation":"[20]","plainCitation":"[20]","noteIndex":0},"citationItems":[{"id":1117,"uris":["http://zotero.org/users/12998224/items/VPDUCW3I"],"itemData":{"id":1117,"type":"article-journal","abstract":"Since the advent of the use of matrix-assisted laser desorption/ionization (MALDI) time-of-flight mass spectrometry (TOF MS) as a tool for microbial characterization, efforts to increase the taxonomic resolution of the approach have been made. The rapidity and efficacy of the approach have suggested applications in counter-bioterrorism, prevention of food contamination, and monitoring the spread of antibiotic-resistant bacteria. Strain-level resolution has been reported with diverse bacteria, using library-based and bioinformatics-enabled approaches. Three types of characterization at the strain level have been reported: strain categorization, strain differentiation, and strain identification. Efforts to enhance the library-based approach have involved sample pre-treatment and data reduction strategies. Bioinformatics approaches have leveraged the ever-increasing amount of publicly available genomic and proteomic data to attain strain-level characterization. Bioinformatics-enabled strategies have facilitated strain characterization via intact biomarker identification, bottom-up, and top-down approaches. Rigorous quantitative and advanced statistical analyses have fostered success at the strain level with both approaches. Library-based approaches can be limited by effects of sample preparation and culture conditions on reproducibility, whereas bioinformatics-enabled approaches are typically limited to bacteria, for which genetic and/or proteomic data are available. Biological molecules other than proteins produced in strain-specific manners, including lipids and lipopeptides, might represent other avenues by which strain-level resolution might be attained. Immunological and lectin-based chemistries have shown promise to enhance sensitivity and specificity. Whereas the limits of the taxonomic resolution of MALDI TOF MS profiling of bacteria appears bacterium-specific, recent data suggest that these limits might not yet have been reached.","container-title":"Mass Spectrometry Reviews","DOI":"10.1002/mas.21359","ISSN":"1098-2787","issue":"3","journalAbbreviation":"Mass Spectrom Rev","language":"eng","note":"PMID: 22996584","page":"188-217","source":"PubMed","title":"MALDI TOF MS profiling of bacteria at the strain level: a review","title-short":"MALDI TOF MS profiling of bacteria at the strain level","volume":"32","author":[{"family":"Sandrin","given":"Todd R."},{"family":"Goldstein","given":"Jason E."},{"family":"Schumaker","given":"Stephanie"}],"issued":{"date-parts":[["2013"]]}}}],"schema":"https://github.com/citation-style-language/schema/raw/master/csl-citation.json"}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[20]</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37F9A61" w14:textId="330EF2E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Strain-level identification relies on detecting subtle variations in the mass spectra, such as differences in protein expression or minor modifications in ribosomal proteins and other biomolecules. Bioinformatics tools, including machine learning algorithms and multivariate analysis, are used to analyze these fine spectral differences. Techniques like tandem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w:t>
      </w:r>
      <w:r w:rsidR="007C5FC6">
        <w:rPr>
          <w:rFonts w:ascii="Times New Roman" w:eastAsia="Times New Roman" w:hAnsi="Times New Roman" w:cs="Times New Roman"/>
          <w:sz w:val="20"/>
          <w:szCs w:val="20"/>
        </w:rPr>
        <w:t xml:space="preserve">or </w:t>
      </w:r>
      <w:r>
        <w:rPr>
          <w:rFonts w:ascii="Times New Roman" w:eastAsia="Times New Roman" w:hAnsi="Times New Roman" w:cs="Times New Roman"/>
          <w:sz w:val="20"/>
          <w:szCs w:val="20"/>
        </w:rPr>
        <w:t>MS/MS can further enhance resolution by identifying unique peptide markers associated with specific strains. Furthermore, integrating genomic data into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workflows has proven valuable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{"citationID":"hLyOqjaF","properties":{"formattedCitation":"[9]","plainCitation":"[9]","noteIndex":0},"citationItems":[{"id":1108,"uris":["http://zotero.org/users/12998224/items/8J8GZBE6"],"itemData":{"id":1108,"type":"article-journal","abstract":"&lt;p&gt;Currently microorganisms are best identified using 16S rRNA and 18S rRNA gene sequencing. However, in recent years matrix assisted laser desorption ionization-time of flight mass spectrometry (MALDI-TOF MS) has emerged as a potential tool for microbial identification and diagnosis. During the MALDI-TOF MS process, microbes are identified using either intact cells or cell extracts. The process is rapid, sensitive, and economical in terms of both labor and costs involved. The technology has been readily imbibed by microbiologists who have reported usage of MALDI-TOF MS for a number of purposes like, microbial identification and strain typing, epidemiological studies, detection of biological warfare agents, detection of water- and food-borne pathogens, detection of antibiotic resistance and detection of blood and urinary tract pathogens etc. The limitation of the technology is that identification of new isolates is possible only if the spectral database contains peptide mass fingerprints of the type strains of specific genera/species/subspecies/strains. This review provides an overview of the status and recent applications of mass spectrometry for microbial identification. It also explores the usefulness of this exciting new technology for diagnosis of diseases caused by bacteria, viruses, and fungi.&lt;/p&gt;","container-title":"Frontiers in Microbiology","DOI":"10.3389/fmicb.2015.00791","ISSN":"1664-302X","journalAbbreviation":"Front. Microbiol.","language":"English","note":"publisher: Frontiers","source":"Frontiers","title":"MALDI-TOF mass spectrometry: an emerging technology for microbial identification and diagnosis","title-short":"MALDI-TOF mass spectrometry","URL":"https://www.frontiersin.org/journals/microbiology/articles/10.3389/fmicb.2015.00791/full","volume":"6","author":[{"family":"Singhal","given":"Neelja"},{"family":"Kumar","given":"Manish"},{"family":"Kanaujia","given":"Pawan K."},{"family":"Virdi","given":"Jugsharan S."}],"accessed":{"date-parts":[["2025",2,1]]},"issued":{"date-parts":[["2015",8,5]]}}}],"schema":"https://github.com/citation-style-language/schema/raw/master/csl-citation.json"}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[9]</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By correlating specific spectral peaks with genetic differences, researchers can improve the accuracy of strain-level identification. Applications include the identification of antibiotic-resistant strains, tracking outbreak strains in epidemiology, and distinguishing pathogenic strains from non-pathogenic ones.</w:t>
      </w:r>
    </w:p>
    <w:p w14:paraId="41524DE2"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Integrating genomic data with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workflows has proven particularly valuable. By correlating specific spectral peaks with genetic differences, researchers can improve the accuracy of strain-level identification. Applications include identifying antibiotic-resistant strains, tracking outbreak strains in epidemiological investigations, and distinguishing pathogenic strains from non-pathogenic ones. </w:t>
      </w:r>
    </w:p>
    <w:p w14:paraId="0D82BE5B" w14:textId="54FF922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one notable study, cluster analysis using bioassays identified 16 </w:t>
      </w:r>
      <w:r>
        <w:rPr>
          <w:rFonts w:ascii="Times New Roman" w:eastAsia="Times New Roman" w:hAnsi="Times New Roman" w:cs="Times New Roman"/>
          <w:i/>
          <w:sz w:val="20"/>
          <w:szCs w:val="20"/>
        </w:rPr>
        <w:t>Pseudomonas putida</w:t>
      </w:r>
      <w:r>
        <w:rPr>
          <w:rFonts w:ascii="Times New Roman" w:eastAsia="Times New Roman" w:hAnsi="Times New Roman" w:cs="Times New Roman"/>
          <w:sz w:val="20"/>
          <w:szCs w:val="20"/>
        </w:rPr>
        <w:t xml:space="preserve"> isolates at the strain level. Phylogenetic classification of </w:t>
      </w:r>
      <w:r>
        <w:rPr>
          <w:rFonts w:ascii="Times New Roman" w:eastAsia="Times New Roman" w:hAnsi="Times New Roman" w:cs="Times New Roman"/>
          <w:i/>
          <w:sz w:val="20"/>
          <w:szCs w:val="20"/>
        </w:rPr>
        <w:t>P. putida</w:t>
      </w:r>
      <w:r>
        <w:rPr>
          <w:rFonts w:ascii="Times New Roman" w:eastAsia="Times New Roman" w:hAnsi="Times New Roman" w:cs="Times New Roman"/>
          <w:sz w:val="20"/>
          <w:szCs w:val="20"/>
        </w:rPr>
        <w:t xml:space="preserve"> using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was conducted on 43 putative species, and strain-specific </w:t>
      </w:r>
      <w:proofErr w:type="spellStart"/>
      <w:r>
        <w:rPr>
          <w:rFonts w:ascii="Times New Roman" w:eastAsia="Times New Roman" w:hAnsi="Times New Roman" w:cs="Times New Roman"/>
          <w:sz w:val="20"/>
          <w:szCs w:val="20"/>
        </w:rPr>
        <w:t>bioions</w:t>
      </w:r>
      <w:proofErr w:type="spellEnd"/>
      <w:r>
        <w:rPr>
          <w:rFonts w:ascii="Times New Roman" w:eastAsia="Times New Roman" w:hAnsi="Times New Roman" w:cs="Times New Roman"/>
          <w:sz w:val="20"/>
          <w:szCs w:val="20"/>
        </w:rPr>
        <w:t xml:space="preserve"> were identified through comparative analysis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{"citationID":"7mlNc1EP","properties":{"formattedCitation":"[21]","plainCitation":"[21]","noteIndex":0},"citationItems":[{"id":1119,"uris":["http://zotero.org/users/12998224/items/GRJ7Q5XT"],"itemData":{"id":1119,"type":"article-journal","abstract":"A new method for phylogenetic classification of bacterial strains using matrix-assisted laser desorption/ionization-mass spectrometry (MALDI-MS) is proposed. This method was developed using a bioinformatics-based approach to the rapid identification of bacteria as previously proposed by Demirev and co-workers, which uses ribosomal proteins composed of approximately 50 subunit proteins as biomarkers. Although the amino acid sequences of ribosomal proteins are highly conserved, slight sequence variations can occur at the strain level. Since ribosomal subunit proteins are a complex of housekeeping proteins that have different phylogenetic evolution rates, sequence variation detected as mass differences by MALDI-MS may be useful for the phylogenetic classification of bacteria at strain level. In our proposed method, the first step is the selection of reliable biomarkers through characterization of the expressed ribosomal subunit proteins of a reference strain (usually a genome-sequenced strain) by MALDI-MS. The observed masses in the MALDI mass spectra of cell lysates of sample strains are then compared with the biomarker masses of the reference strain. The biomarkers for each sample strain were designated as present or absent at the reference masses, indicated by 1 or 0, respectively, which were summarized in a table. This table is processed by cluster analysis, generating a phylogenetic tree. In this study, the success of this approach was confirmed by classification of Pseudomonas putida strains because its classification is much more complicated than that of other bacterial strains. Forty-three reliable biomarkers were selected from ribosomal sub-unit proteins of a genome-sequenced strain, P. putida KT2440. The numbers and kinds of biomarkers observed for 16 strains of P. putida, including different biovars, were markedly different, reflecting the variety of the strains. The classification results by the proposed method were highly comparable to those based on the DNA gyrase subunit B gene (gyrB) sequence analysis, suggesting our proposed method would be a useful high-throughput method for phylogenetic classification of newly isolated bacteria.","container-title":"Analytical Chemistry","DOI":"10.1021/ac701905r","ISSN":"0003-2700","issue":"22","journalAbbreviation":"Anal Chem","language":"eng","note":"PMID: 17939647","page":"8712-8719","source":"PubMed","title":"Phylogenetic classification of Pseudomonas putida strains by MALDI-MS using ribosomal subunit proteins as biomarkers","volume":"79","author":[{"family":"Teramoto","given":"Kanae"},{"family":"Sato","given":"Hiroaki"},{"family":"Sun","given":"Liwei"},{"family":"Torimura","given":"Masaki"},{"family":"Tao","given":"Hiroaki"},{"family":"Yoshikawa","given":"Hiromichi"},{"family":"Hotta","given":"Yudai"},{"family":"Hosoda","given":"Akifumi"},{"family":"Tamura","given":"Hiroto"}],"issued":{"date-parts":[["2007",11,15]]}}}],"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[21]</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These biomarkers were further predicted from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spectra by referencing genome sequences from cell lysates and purified ribosomal proteins of the </w:t>
      </w:r>
      <w:r>
        <w:rPr>
          <w:rFonts w:ascii="Times New Roman" w:eastAsia="Times New Roman" w:hAnsi="Times New Roman" w:cs="Times New Roman"/>
          <w:i/>
          <w:sz w:val="20"/>
          <w:szCs w:val="20"/>
        </w:rPr>
        <w:t>P. putida</w:t>
      </w:r>
      <w:r>
        <w:rPr>
          <w:rFonts w:ascii="Times New Roman" w:eastAsia="Times New Roman" w:hAnsi="Times New Roman" w:cs="Times New Roman"/>
          <w:sz w:val="20"/>
          <w:szCs w:val="20"/>
        </w:rPr>
        <w:t xml:space="preserve"> strain </w:t>
      </w:r>
      <w:proofErr w:type="spellStart"/>
      <w:r>
        <w:rPr>
          <w:rFonts w:ascii="Times New Roman" w:eastAsia="Times New Roman" w:hAnsi="Times New Roman" w:cs="Times New Roman"/>
          <w:sz w:val="20"/>
          <w:szCs w:val="20"/>
        </w:rPr>
        <w:t>KT2440</w:t>
      </w:r>
      <w:proofErr w:type="spellEnd"/>
      <w:r>
        <w:rPr>
          <w:rFonts w:ascii="Times New Roman" w:eastAsia="Times New Roman" w:hAnsi="Times New Roman" w:cs="Times New Roman"/>
          <w:sz w:val="20"/>
          <w:szCs w:val="20"/>
        </w:rPr>
        <w:t xml:space="preserve">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{"citationID":"xTzTUxjO","properties":{"formattedCitation":"[8]","plainCitation":"[8]","noteIndex":0},"citationItems":[{"id":1105,"uris":["http://zotero.org/users/12998224/items/BZ5FXKE6"],"itemData":{"id":1105,"type":"article-journal","abstract":"Until recently, microbial identification in clinical diagnostic laboratories has mainly relied on conventional phenotypic and gene sequencing identification techniques. The development of matrix-assisted laser desorption ionization time-of-flight mass spectrometry (MALDI-TOF MS) devices has revolutionized the routine identification of microorganisms in clinical microbiology laboratories by introducing an easy, rapid, high throughput, low-cost, and efficient identification technique. This technology has been adapted to the constraint of clinical diagnostic laboratories and has the potential to replace and/or complement conventional identification techniques for both bacterial and fungal strains. Using standardized procedures, the resolution of MALDI-TOF MS allows accurate identification at the species level of most Gram-positive and Gram-negative bacterial strains with the exception of a few difficult strains that require more attention and further development of the method. Similarly, the routine identification by MALDI-TOF MS of yeast isolates is reliable and much quicker than conventional techniques. Recent studies have shown that MALDI-TOF MS has also the potential to accurately identify filamentous fungi and dermatophytes, providing that specific standardized procedures are established for these microorganisms. Moreover, MALDI-TOF MS has been used successfully for microbial typing and identification at the subspecies level, demonstrating that this technology is a potential efficient tool for epidemiological studies and for taxonomical classification.","container-title":"FEMS microbiology reviews","DOI":"10.1111/j.1574-6976.2011.00298.x","ISSN":"1574-6976","issue":"2","journalAbbreviation":"FEMS Microbiol Rev","language":"eng","note":"PMID: 22092265","page":"380-407","source":"PubMed","title":"Applications of MALDI-TOF mass spectrometry in clinical diagnostic microbiology","volume":"36","author":[{"family":"Croxatto","given":"Antony"},{"family":"Prod'hom","given":"Guy"},{"family":"Greub","given":"Gilbert"}],"issued":{"date-parts":[["2012",3]]}}}],"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[8]</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 phylogenetic data obtained from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matched DNA gyrase subunit-B gene sequences, demonstrating consistency between the methods. Moreover,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revealed diverse mass profiles among biovars A and B of </w:t>
      </w:r>
      <w:r>
        <w:rPr>
          <w:rFonts w:ascii="Times New Roman" w:eastAsia="Times New Roman" w:hAnsi="Times New Roman" w:cs="Times New Roman"/>
          <w:i/>
          <w:sz w:val="20"/>
          <w:szCs w:val="20"/>
        </w:rPr>
        <w:t>P. putida</w:t>
      </w:r>
      <w:r>
        <w:rPr>
          <w:rFonts w:ascii="Times New Roman" w:eastAsia="Times New Roman" w:hAnsi="Times New Roman" w:cs="Times New Roman"/>
          <w:sz w:val="20"/>
          <w:szCs w:val="20"/>
        </w:rPr>
        <w:t xml:space="preserve"> strains, which were accurately classified using phylogenetic techniques.</w:t>
      </w:r>
    </w:p>
    <w:p w14:paraId="6BCD6812" w14:textId="77777777" w:rsidR="00CF00F8" w:rsidRDefault="00000000">
      <w:pPr>
        <w:pStyle w:val="Heading1"/>
        <w:jc w:val="center"/>
        <w:rPr>
          <w:rFonts w:ascii="Times New Roman" w:eastAsia="Times New Roman" w:hAnsi="Times New Roman" w:cs="Times New Roman"/>
          <w:b/>
          <w:sz w:val="20"/>
          <w:szCs w:val="20"/>
        </w:rPr>
      </w:pPr>
      <w:bookmarkStart w:id="13" w:name="_Toc191553255"/>
      <w:r>
        <w:rPr>
          <w:rFonts w:ascii="Times New Roman" w:eastAsia="Times New Roman" w:hAnsi="Times New Roman" w:cs="Times New Roman"/>
          <w:b/>
          <w:color w:val="000000"/>
          <w:sz w:val="20"/>
          <w:szCs w:val="20"/>
        </w:rPr>
        <w:t>III. ANTIMICROBIAL SUSCEPTIBILITY TESTING (AST)</w:t>
      </w:r>
      <w:bookmarkEnd w:id="13"/>
    </w:p>
    <w:p w14:paraId="421E7186" w14:textId="4370E992"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can be used for AST by detecting metabolic changes or the degradation of antibiotics in the presence of pathogens.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-based AST is a rapid and efficient method for determining bacterial antibiotic susceptibility. This technique analyzes the unique protein profiles of bacteria after exposure to different antibiotic concentrations, enabling the quick identification of resistant strains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{"citationID":"mAQ6cqGv","properties":{"formattedCitation":"[22]","plainCitation":"[22]","noteIndex":0},"citationItems":[{"id":1087,"uris":["http://zotero.org/users/12998224/items/2X672U4S"],"itemData":{"id":1087,"type":"article-journal","abstract":"&lt;p&gt;Several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[22]</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Compared to traditional methods like broth dilution or disk diffusion,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-based AST offers significantly faster results. The process starts with exposure to varying antibiotic concentrations. Then, bacterial cells are prepared and analyzed using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The resulting </w:t>
      </w:r>
      <w:r>
        <w:rPr>
          <w:rFonts w:ascii="Times New Roman" w:eastAsia="Times New Roman" w:hAnsi="Times New Roman" w:cs="Times New Roman"/>
          <w:sz w:val="20"/>
          <w:szCs w:val="20"/>
        </w:rPr>
        <w:lastRenderedPageBreak/>
        <w:t>protein spectra are compared to a reference database to detect changes in protein expression, providing insights into antibiotic resistance mechanisms.</w:t>
      </w:r>
    </w:p>
    <w:p w14:paraId="24F60C9B" w14:textId="1499066B"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successfully applied to determine antibiotic susceptibility in urinary tract infections (</w:t>
      </w:r>
      <w:proofErr w:type="spellStart"/>
      <w:r>
        <w:rPr>
          <w:rFonts w:ascii="Times New Roman" w:eastAsia="Times New Roman" w:hAnsi="Times New Roman" w:cs="Times New Roman"/>
          <w:sz w:val="20"/>
          <w:szCs w:val="20"/>
        </w:rPr>
        <w:t>UTIs</w:t>
      </w:r>
      <w:proofErr w:type="spellEnd"/>
      <w:r>
        <w:rPr>
          <w:rFonts w:ascii="Times New Roman" w:eastAsia="Times New Roman" w:hAnsi="Times New Roman" w:cs="Times New Roman"/>
          <w:sz w:val="20"/>
          <w:szCs w:val="20"/>
        </w:rPr>
        <w:t xml:space="preserve">) directly from patients’ urine samples. This approach enables the rapid identification of pathogens and AST for Gram-negative </w:t>
      </w:r>
      <w:proofErr w:type="spellStart"/>
      <w:r>
        <w:rPr>
          <w:rFonts w:ascii="Times New Roman" w:eastAsia="Times New Roman" w:hAnsi="Times New Roman" w:cs="Times New Roman"/>
          <w:sz w:val="20"/>
          <w:szCs w:val="20"/>
        </w:rPr>
        <w:t>UTIs</w:t>
      </w:r>
      <w:proofErr w:type="spellEnd"/>
      <w:r>
        <w:rPr>
          <w:rFonts w:ascii="Times New Roman" w:eastAsia="Times New Roman" w:hAnsi="Times New Roman" w:cs="Times New Roman"/>
          <w:sz w:val="20"/>
          <w:szCs w:val="20"/>
        </w:rPr>
        <w:t xml:space="preserve"> within just 4.5 hours of receiving the samples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{"citationID":"4HRW4h08","properties":{"formattedCitation":"[4]","plainCitation":"[4]","noteIndex":0},"citationItems":[{"id":1097,"uris":["http://zotero.org/users/12998224/items/NR69ST3N"],"itemData":{"id":1097,"type":"article-journal","abstract":"MALDI-TOF-mass spectrometry (MS) has been successfully adapted for the routine identification of microorganisms in clinical microbiology laboratories in the past 10 years. This revolutionary technique allows for easier and faster diagnosis of human pathogens than conventional phenotypic and molecular identification methods, with unquestionable reliability and cost-effectiveness. This article will review the application of MALDI-TOF-MS tools in routine clinical diagnosis, including the identification of bacteria at the species, subspecies, strain and lineage levels, and the identification of bacterial toxins and antibiotic-resistance type. We will also discuss the application of MALDI-TOF-MS tools in the identification of Archaea, eukaryotes and viruses. Pathogenic identification from colony-cultured, blood-cultured, urine and environmental samples is also reviewed.","container-title":"Future Microbiology","DOI":"10.2217/fmb.10.127","ISSN":"1746-0921","issue":"11","journalAbbreviation":"Future Microbiol","language":"eng","note":"PMID: 21133692","page":"1733-1754","source":"PubMed","title":"MALDI-TOF-mass spectrometry applications in clinical microbiology","volume":"5","author":[{"family":"Seng","given":"Piseth"},{"family":"Rolain","given":"Jean-Marc"},{"family":"Fournier","given":"Pierre Edouard"},{"family":"La Scola","given":"Bernard"},{"family":"Drancourt","given":"Michel"},{"family":"Raoult","given":"Didier"}],"issued":{"date-parts":[["2010",11]]}}}],"schema":"https://github.com/citation-style-language/schema/raw/master/csl-citation.json"}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[4]</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However, while promising, it is still under development and not widely used in routine clinical practice for all types of bacteria and antibiotic combinations. </w:t>
      </w:r>
    </w:p>
    <w:p w14:paraId="0E4E5181" w14:textId="1923F82F" w:rsidR="00CF00F8" w:rsidRDefault="00000000">
      <w:pPr>
        <w:pStyle w:val="Heading2"/>
        <w:rPr>
          <w:rFonts w:ascii="Times New Roman" w:eastAsia="Times New Roman" w:hAnsi="Times New Roman" w:cs="Times New Roman"/>
          <w:b/>
          <w:sz w:val="20"/>
          <w:szCs w:val="20"/>
        </w:rPr>
      </w:pPr>
      <w:bookmarkStart w:id="14" w:name="_Toc191553256"/>
      <w:proofErr w:type="spellStart"/>
      <w:r>
        <w:rPr>
          <w:rFonts w:ascii="Times New Roman" w:eastAsia="Times New Roman" w:hAnsi="Times New Roman" w:cs="Times New Roman"/>
          <w:b/>
          <w:color w:val="000000"/>
          <w:sz w:val="20"/>
          <w:szCs w:val="20"/>
        </w:rPr>
        <w:t>III.A</w:t>
      </w:r>
      <w:proofErr w:type="spellEnd"/>
      <w:r>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ab/>
        <w:t xml:space="preserve"> Detection of resistant </w:t>
      </w:r>
      <w:bookmarkEnd w:id="14"/>
      <w:r w:rsidR="00111AF2">
        <w:rPr>
          <w:rFonts w:ascii="Times New Roman" w:eastAsia="Times New Roman" w:hAnsi="Times New Roman" w:cs="Times New Roman"/>
          <w:b/>
          <w:color w:val="000000"/>
          <w:sz w:val="20"/>
          <w:szCs w:val="20"/>
        </w:rPr>
        <w:t>isolates</w:t>
      </w:r>
    </w:p>
    <w:p w14:paraId="6D99885E"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applied to pathogen identification by combining multiple techniques to enhance its diagnostic capabilities. These include detecting mass spectral differences between susceptible and resistant isolates of a given microorganism using classical strain-typing methods, analyzing bacterial hydrolysis of β-lactam antibiotics, detecting stable (non-radioactive) isotope-labeled amino acids, and assessing bacterial growth in the presence and absence of antibiotics using an internal standard. These advancements have significantly improved the ability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to detect drug resistance across a broad range of microorganisms, including viruses.</w:t>
      </w:r>
    </w:p>
    <w:p w14:paraId="36117B6E"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noProof/>
        </w:rPr>
        <w:drawing>
          <wp:anchor distT="0" distB="0" distL="114300" distR="114300" simplePos="0" relativeHeight="251658240" behindDoc="1" locked="0" layoutInCell="1" hidden="0" allowOverlap="1" wp14:anchorId="09D176A0" wp14:editId="43C08C5A">
            <wp:simplePos x="0" y="0"/>
            <wp:positionH relativeFrom="column">
              <wp:posOffset>1114425</wp:posOffset>
            </wp:positionH>
            <wp:positionV relativeFrom="paragraph">
              <wp:posOffset>76200</wp:posOffset>
            </wp:positionV>
            <wp:extent cx="3870699" cy="2500415"/>
            <wp:effectExtent l="0" t="0" r="0" b="0"/>
            <wp:wrapNone/>
            <wp:docPr id="756120535" name="image1.png" descr="A diagram of a scientific experi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scientific experiment&#10;&#10;AI-generated content may be incorrect."/>
                    <pic:cNvPicPr preferRelativeResize="0"/>
                  </pic:nvPicPr>
                  <pic:blipFill>
                    <a:blip r:embed="rId11"/>
                    <a:srcRect/>
                    <a:stretch>
                      <a:fillRect/>
                    </a:stretch>
                  </pic:blipFill>
                  <pic:spPr>
                    <a:xfrm>
                      <a:off x="0" y="0"/>
                      <a:ext cx="3870699" cy="2500415"/>
                    </a:xfrm>
                    <a:prstGeom prst="rect">
                      <a:avLst/>
                    </a:prstGeom>
                    <a:ln/>
                  </pic:spPr>
                </pic:pic>
              </a:graphicData>
            </a:graphic>
          </wp:anchor>
        </w:drawing>
      </w:r>
    </w:p>
    <w:p w14:paraId="57B8F969"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6E4511CD"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6AC8CB73"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3431DCDC"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77F2B4EB"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351382C6"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488CB2E1" w14:textId="77777777" w:rsidR="00CF00F8" w:rsidRDefault="00CF00F8">
      <w:pPr>
        <w:spacing w:before="240" w:after="240" w:line="240" w:lineRule="auto"/>
        <w:ind w:firstLine="720"/>
        <w:jc w:val="both"/>
        <w:rPr>
          <w:rFonts w:ascii="Times New Roman" w:eastAsia="Times New Roman" w:hAnsi="Times New Roman" w:cs="Times New Roman"/>
          <w:sz w:val="20"/>
          <w:szCs w:val="20"/>
        </w:rPr>
      </w:pPr>
    </w:p>
    <w:p w14:paraId="58B7507B" w14:textId="77777777" w:rsidR="00CF00F8" w:rsidRDefault="00CF00F8">
      <w:pPr>
        <w:spacing w:before="240" w:after="240" w:line="240" w:lineRule="auto"/>
        <w:ind w:firstLine="720"/>
        <w:jc w:val="center"/>
        <w:rPr>
          <w:rFonts w:ascii="Times New Roman" w:eastAsia="Times New Roman" w:hAnsi="Times New Roman" w:cs="Times New Roman"/>
          <w:b/>
          <w:sz w:val="20"/>
          <w:szCs w:val="20"/>
        </w:rPr>
      </w:pPr>
    </w:p>
    <w:p w14:paraId="4AD7FF92" w14:textId="1A248B02" w:rsidR="00CF00F8" w:rsidRPr="004B1623" w:rsidRDefault="00000000" w:rsidP="004B1623">
      <w:pPr>
        <w:spacing w:before="240" w:after="240" w:line="240" w:lineRule="auto"/>
        <w:ind w:firstLine="720"/>
        <w:jc w:val="center"/>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Fig 2. The MALDI-</w:t>
      </w:r>
      <w:proofErr w:type="spellStart"/>
      <w:r>
        <w:rPr>
          <w:rFonts w:ascii="Times New Roman" w:eastAsia="Times New Roman" w:hAnsi="Times New Roman" w:cs="Times New Roman"/>
          <w:b/>
          <w:sz w:val="20"/>
          <w:szCs w:val="20"/>
        </w:rPr>
        <w:t>TOF</w:t>
      </w:r>
      <w:proofErr w:type="spellEnd"/>
      <w:r>
        <w:rPr>
          <w:rFonts w:ascii="Times New Roman" w:eastAsia="Times New Roman" w:hAnsi="Times New Roman" w:cs="Times New Roman"/>
          <w:b/>
          <w:sz w:val="20"/>
          <w:szCs w:val="20"/>
        </w:rPr>
        <w:t xml:space="preserve"> MS process detects β-lactamase producers through the hydrolysis of the target β-lactam antibiotic.</w:t>
      </w:r>
      <w:r w:rsidR="004B1623">
        <w:rPr>
          <w:rFonts w:ascii="Times New Roman" w:eastAsia="Times New Roman" w:hAnsi="Times New Roman" w:cs="Times New Roman"/>
          <w:b/>
          <w:sz w:val="20"/>
          <w:szCs w:val="20"/>
        </w:rPr>
        <w:t xml:space="preserve"> </w:t>
      </w:r>
      <w:r w:rsidR="004B1623" w:rsidRPr="00336519">
        <w:rPr>
          <w:rFonts w:ascii="Times New Roman" w:eastAsia="Times New Roman" w:hAnsi="Times New Roman" w:cs="Times New Roman"/>
          <w:b/>
          <w:i/>
          <w:iCs/>
          <w:sz w:val="20"/>
          <w:szCs w:val="20"/>
        </w:rPr>
        <w:t xml:space="preserve">The image was regenerated using </w:t>
      </w:r>
      <w:proofErr w:type="spellStart"/>
      <w:r w:rsidR="004B1623" w:rsidRPr="00336519">
        <w:rPr>
          <w:rFonts w:ascii="Times New Roman" w:eastAsia="Times New Roman" w:hAnsi="Times New Roman" w:cs="Times New Roman"/>
          <w:b/>
          <w:i/>
          <w:iCs/>
          <w:sz w:val="20"/>
          <w:szCs w:val="20"/>
        </w:rPr>
        <w:t>Biorender</w:t>
      </w:r>
      <w:proofErr w:type="spellEnd"/>
      <w:r w:rsidR="004B1623" w:rsidRPr="00336519">
        <w:rPr>
          <w:rFonts w:ascii="Times New Roman" w:eastAsia="Times New Roman" w:hAnsi="Times New Roman" w:cs="Times New Roman"/>
          <w:b/>
          <w:i/>
          <w:iCs/>
          <w:sz w:val="20"/>
          <w:szCs w:val="20"/>
        </w:rPr>
        <w:t xml:space="preserve"> Premium 2025</w:t>
      </w:r>
    </w:p>
    <w:p w14:paraId="5B746E10" w14:textId="06F58786"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success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accurately differentiating methicillin-resistant </w:t>
      </w:r>
      <w:r>
        <w:rPr>
          <w:rFonts w:ascii="Times New Roman" w:eastAsia="Times New Roman" w:hAnsi="Times New Roman" w:cs="Times New Roman"/>
          <w:i/>
          <w:sz w:val="20"/>
          <w:szCs w:val="20"/>
        </w:rPr>
        <w:t>S.</w:t>
      </w:r>
      <w:r w:rsidR="00E73E1E">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aureus</w:t>
      </w:r>
      <w:r>
        <w:rPr>
          <w:rFonts w:ascii="Times New Roman" w:eastAsia="Times New Roman" w:hAnsi="Times New Roman" w:cs="Times New Roman"/>
          <w:sz w:val="20"/>
          <w:szCs w:val="20"/>
        </w:rPr>
        <w:t xml:space="preserve"> (MRSA) from methicillin-susceptible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 (MSSA) has proven valuable for guiding antibiotic selection and improving diagnostic outcomes. Specific spectral peaks characteristic of MRSA and MSSA have been identified, and variations in the mass spectra of MRSA isolates may allow differentiation between clonal complexes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{"citationID":"Mbkuc5YQ","properties":{"formattedCitation":"[23]","plainCitation":"[23]","noteIndex":0},"citationItems":[{"id":1123,"uris":["http://zotero.org/users/12998224/items/WP28JQMC"],"itemData":{"id":1123,"type":"article-journal","abstract":"The laboratory diagnosis of infections is based on pathogen identification and antimicrobial susceptibility determination. The gold standard of cultivation, isolation and susceptibility testing is a time-consuming procedure and in some cases this can be threatening for patients' outcome. In the current review the applications of mass spectrometry in pathogen identification and especially in detecting biomarkers of antimicrobial resistance are analyzed. MALDI-TOF (matrix-assisted laser desorption/ionization time-of-flight) mass spectrometry is a new technology that has revolutionized pathogen identification and has also proven to accelerate detection of antimicrobial resistance compared to the traditional antibiotic susceptibility tests (AST) as well as DNA amplification methodologies. The technology has incorporated up to know four different methodologies: (I) the detection of differences of mass spectra of susceptible and resistant isolates of a given microorganism using the classical strain typing methodology; (II) the analysis of bacterial induced hydrolysis of β-lactam antibiotics; (III) the detection of stable (non-radioactive) isotope-labeled amino acids; and (IV) the analysis of bacterial growth in the presence and absence of antibiotics using an internal standard. The implementation of MALDI-TOF methodologies has improved detection of resistance in aerobic, Gram-positive and Gram-negative bacteria, mycobacteria, anaerobic bacteria, fungi and viruses. The MALDI-TOF is an easy to use, rapid, reliable, economical, and environmentally friendly methodology. However, this technology needs further development of research protocols that will be validated for routine application.","container-title":"Annals of Translational Medicine","DOI":"10.21037/atm.2018.06.28","ISSN":"2305-5839","issue":"12","journalAbbreviation":"Ann Transl Med","language":"eng","note":"PMID: 30069442\nPMCID: PMC6046294","page":"240","source":"PubMed","title":"MALDI-TOF mass spectrometry technology for detecting biomarkers of antimicrobial resistance: current achievements and future perspectives","title-short":"MALDI-TOF mass spectrometry technology for detecting biomarkers of antimicrobial resistance","volume":"6","author":[{"family":"Vrioni","given":"Georgia"},{"family":"Tsiamis","given":"Constantinos"},{"family":"Oikonomidis","given":"George"},{"family":"Theodoridou","given":"Kalliopi"},{"family":"Kapsimali","given":"Violeta"},{"family":"Tsakris","given":"Athanasios"}],"issued":{"date-parts":[["2018",6]]}}}],"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[23]</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However, while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can distinguish MRSA isolates, its ability to subtype and classify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 at the level of individual clonal complexes remains limited and is still under investigation. </w:t>
      </w:r>
    </w:p>
    <w:p w14:paraId="1CAF367A" w14:textId="120CC99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also demonstrated the ability to differentiate vancomycin-resistant from vancomycin-susceptible </w:t>
      </w:r>
      <w:r>
        <w:rPr>
          <w:rFonts w:ascii="Times New Roman" w:eastAsia="Times New Roman" w:hAnsi="Times New Roman" w:cs="Times New Roman"/>
          <w:i/>
          <w:sz w:val="20"/>
          <w:szCs w:val="20"/>
        </w:rPr>
        <w:t>Enterococcus faecium</w:t>
      </w:r>
      <w:r>
        <w:rPr>
          <w:rFonts w:ascii="Times New Roman" w:eastAsia="Times New Roman" w:hAnsi="Times New Roman" w:cs="Times New Roman"/>
          <w:sz w:val="20"/>
          <w:szCs w:val="20"/>
        </w:rPr>
        <w:t xml:space="preserve"> by detecting the presence or absence of specific peaks in </w:t>
      </w:r>
      <w:proofErr w:type="spellStart"/>
      <w:r w:rsidRPr="000F51C3">
        <w:rPr>
          <w:rFonts w:ascii="Times New Roman" w:eastAsia="Times New Roman" w:hAnsi="Times New Roman" w:cs="Times New Roman"/>
          <w:i/>
          <w:iCs/>
          <w:sz w:val="20"/>
          <w:szCs w:val="20"/>
        </w:rPr>
        <w:t>vanB</w:t>
      </w:r>
      <w:proofErr w:type="spellEnd"/>
      <w:r>
        <w:rPr>
          <w:rFonts w:ascii="Times New Roman" w:eastAsia="Times New Roman" w:hAnsi="Times New Roman" w:cs="Times New Roman"/>
          <w:sz w:val="20"/>
          <w:szCs w:val="20"/>
        </w:rPr>
        <w:t>-positive cases. In comparison to PCR,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showed higher sensitivity and specificity. A 2015 study testing </w:t>
      </w:r>
      <w:r>
        <w:rPr>
          <w:rFonts w:ascii="Times New Roman" w:eastAsia="Times New Roman" w:hAnsi="Times New Roman" w:cs="Times New Roman"/>
          <w:i/>
          <w:sz w:val="20"/>
          <w:szCs w:val="20"/>
        </w:rPr>
        <w:t>Enterococcus</w:t>
      </w:r>
      <w:r>
        <w:rPr>
          <w:rFonts w:ascii="Times New Roman" w:eastAsia="Times New Roman" w:hAnsi="Times New Roman" w:cs="Times New Roman"/>
          <w:sz w:val="20"/>
          <w:szCs w:val="20"/>
        </w:rPr>
        <w:t xml:space="preserve"> strains reported that the method for detecting vancomycin-resistant </w:t>
      </w:r>
      <w:r>
        <w:rPr>
          <w:rFonts w:ascii="Times New Roman" w:eastAsia="Times New Roman" w:hAnsi="Times New Roman" w:cs="Times New Roman"/>
          <w:i/>
          <w:sz w:val="20"/>
          <w:szCs w:val="20"/>
        </w:rPr>
        <w:t>enterococci</w:t>
      </w:r>
      <w:r>
        <w:rPr>
          <w:rFonts w:ascii="Times New Roman" w:eastAsia="Times New Roman" w:hAnsi="Times New Roman" w:cs="Times New Roman"/>
          <w:sz w:val="20"/>
          <w:szCs w:val="20"/>
        </w:rPr>
        <w:t xml:space="preserve"> (VRE) achieved a sensitivity of 80% and a specificity of 90%, highlighting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as an effective clinical tool for combating VRE pathogens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{"citationID":"3WGFxsGD","properties":{"formattedCitation":"[24]","plainCitation":"[24]","noteIndex":0},"citationItems":[{"id":1126,"uris":["http://zotero.org/users/12998224/items/MHN5WWSR"],"itemData":{"id":1126,"type":"article-journal","abstract":"Infections attributable to vancomycin-resistant Enterococcus (VRE) strains have become increasingly prevalent over the past decade. Prompt identification of colonized patients combined with effective multifaceted infection control practices can reduce the transmission of VRE and aid in the prevention of hospital-acquired infections (HAIs). Increasingly, the clinical microbiology laboratory is being asked to support infection control efforts through the early identification of potential patient or environmental reservoirs. This review discusses the factors that contribute to the rise of VRE as an important health care-associated pathogen, the utility of laboratory screening and various infection control strategies, and the available laboratory methods to identify VRE in clinical specimens.","container-title":"Journal of Clinical Microbiology","DOI":"10.1128/JCM.00211-16","ISSN":"1098-660X","issue":"10","journalAbbreviation":"J Clin Microbiol","language":"eng","note":"PMID: 27147728\nPMCID: PMC5035425","page":"2436-2447","source":"PubMed","title":"Resistance Mechanisms, Epidemiology, and Approaches to Screening for Vancomycin-Resistant Enterococcus in the Health Care Setting","volume":"54","author":[{"family":"Faron","given":"Matthew L."},{"family":"Ledeboer","given":"Nathan A."},{"family":"Buchan","given":"Blake W."}],"issued":{"date-parts":[["2016",10]]}}}],"schema":"https://github.com/citation-style-language/schema/raw/master/csl-citation.json"}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[24]</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08C9B7EC" w14:textId="42FC7882" w:rsidR="00CF00F8" w:rsidRDefault="00000000">
      <w:pPr>
        <w:pStyle w:val="Heading2"/>
        <w:rPr>
          <w:rFonts w:ascii="Times New Roman" w:eastAsia="Times New Roman" w:hAnsi="Times New Roman" w:cs="Times New Roman"/>
          <w:b/>
          <w:sz w:val="20"/>
          <w:szCs w:val="20"/>
        </w:rPr>
      </w:pPr>
      <w:bookmarkStart w:id="15" w:name="_Toc191553257"/>
      <w:proofErr w:type="spellStart"/>
      <w:r>
        <w:rPr>
          <w:rFonts w:ascii="Times New Roman" w:eastAsia="Times New Roman" w:hAnsi="Times New Roman" w:cs="Times New Roman"/>
          <w:b/>
          <w:color w:val="000000"/>
          <w:sz w:val="20"/>
          <w:szCs w:val="20"/>
        </w:rPr>
        <w:lastRenderedPageBreak/>
        <w:t>III.B</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Monitoring</w:t>
      </w:r>
      <w:r w:rsidR="00111AF2">
        <w:rPr>
          <w:rFonts w:ascii="Times New Roman" w:eastAsia="Times New Roman" w:hAnsi="Times New Roman" w:cs="Times New Roman"/>
          <w:b/>
          <w:color w:val="000000"/>
          <w:sz w:val="20"/>
          <w:szCs w:val="20"/>
        </w:rPr>
        <w:t xml:space="preserve"> of</w:t>
      </w:r>
      <w:r>
        <w:rPr>
          <w:rFonts w:ascii="Times New Roman" w:eastAsia="Times New Roman" w:hAnsi="Times New Roman" w:cs="Times New Roman"/>
          <w:b/>
          <w:color w:val="000000"/>
          <w:sz w:val="20"/>
          <w:szCs w:val="20"/>
        </w:rPr>
        <w:t xml:space="preserve"> antibiotic efficacy</w:t>
      </w:r>
      <w:bookmarkEnd w:id="15"/>
    </w:p>
    <w:p w14:paraId="3DA184CB" w14:textId="5DB2B87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can be applied to evaluate the effectiveness of different antibiotic concentrations on bacterial strains. A laser desorption/ionization (</w:t>
      </w:r>
      <w:proofErr w:type="spellStart"/>
      <w:r>
        <w:rPr>
          <w:rFonts w:ascii="Times New Roman" w:eastAsia="Times New Roman" w:hAnsi="Times New Roman" w:cs="Times New Roman"/>
          <w:sz w:val="20"/>
          <w:szCs w:val="20"/>
        </w:rPr>
        <w:t>LDI</w:t>
      </w:r>
      <w:proofErr w:type="spellEnd"/>
      <w:r>
        <w:rPr>
          <w:rFonts w:ascii="Times New Roman" w:eastAsia="Times New Roman" w:hAnsi="Times New Roman" w:cs="Times New Roman"/>
          <w:sz w:val="20"/>
          <w:szCs w:val="20"/>
        </w:rPr>
        <w:t xml:space="preserve">)-MS-based method has been developed to assess bacterial viability using redox dyes as indicators. Resazurin (RS), a redox dye, absorbs the laser energy and undergoes ionization without requiring the addition of a matrix for MS analysis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{"citationID":"uknVHKau","properties":{"formattedCitation":"[24]","plainCitation":"[24]","noteIndex":0},"citationItems":[{"id":1126,"uris":["http://zotero.org/users/12998224/items/MHN5WWSR"],"itemData":{"id":1126,"type":"article-journal","abstract":"Infections attributable to vancomycin-resistant Enterococcus (VRE) strains have become increasingly prevalent over the past decade. Prompt identification of colonized patients combined with effective multifaceted infection control practices can reduce the transmission of VRE and aid in the prevention of hospital-acquired infections (HAIs). Increasingly, the clinical microbiology laboratory is being asked to support infection control efforts through the early identification of potential patient or environmental reservoirs. This review discusses the factors that contribute to the rise of VRE as an important health care-associated pathogen, the utility of laboratory screening and various infection control strategies, and the available laboratory methods to identify VRE in clinical specimens.","container-title":"Journal of Clinical Microbiology","DOI":"10.1128/JCM.00211-16","ISSN":"1098-660X","issue":"10","journalAbbreviation":"J Clin Microbiol","language":"eng","note":"PMID: 27147728\nPMCID: PMC5035425","page":"2436-2447","source":"PubMed","title":"Resistance Mechanisms, Epidemiology, and Approaches to Screening for Vancomycin-Resistant Enterococcus in the Health Care Setting","volume":"54","author":[{"family":"Faron","given":"Matthew L."},{"family":"Ledeboer","given":"Nathan A."},{"family":"Buchan","given":"Blake W."}],"issued":{"date-parts":[["2016",10]]}}}],"schema":"https://github.com/citation-style-language/schema/raw/master/csl-citation.json"}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[24]</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the peaks of RS and its reduction product, fluorescent resorufin (RF), can be accurately detected by </w:t>
      </w:r>
      <w:proofErr w:type="spellStart"/>
      <w:r>
        <w:rPr>
          <w:rFonts w:ascii="Times New Roman" w:eastAsia="Times New Roman" w:hAnsi="Times New Roman" w:cs="Times New Roman"/>
          <w:sz w:val="20"/>
          <w:szCs w:val="20"/>
        </w:rPr>
        <w:t>LDI</w:t>
      </w:r>
      <w:proofErr w:type="spellEnd"/>
      <w:r>
        <w:rPr>
          <w:rFonts w:ascii="Times New Roman" w:eastAsia="Times New Roman" w:hAnsi="Times New Roman" w:cs="Times New Roman"/>
          <w:sz w:val="20"/>
          <w:szCs w:val="20"/>
        </w:rPr>
        <w:t xml:space="preserve">-MS. Bacterial cell viability is then assessed based on the peak ratio of RF to RS. This approach has been used to study changes in the viability of pathogenic bacteria, including </w:t>
      </w:r>
      <w:r>
        <w:rPr>
          <w:rFonts w:ascii="Times New Roman" w:eastAsia="Times New Roman" w:hAnsi="Times New Roman" w:cs="Times New Roman"/>
          <w:i/>
          <w:sz w:val="20"/>
          <w:szCs w:val="20"/>
        </w:rPr>
        <w:t>Escherichia coli, Pseudomonas aeruginosa, Klebsiella pneumoniae,</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 in the presence of antibiotics such as ciprofloxacin, ampicillin, tetracycline, oxytetracycline, and levofloxacin. The </w:t>
      </w:r>
      <w:proofErr w:type="spellStart"/>
      <w:r>
        <w:rPr>
          <w:rFonts w:ascii="Times New Roman" w:eastAsia="Times New Roman" w:hAnsi="Times New Roman" w:cs="Times New Roman"/>
          <w:sz w:val="20"/>
          <w:szCs w:val="20"/>
        </w:rPr>
        <w:t>LDI</w:t>
      </w:r>
      <w:proofErr w:type="spellEnd"/>
      <w:r>
        <w:rPr>
          <w:rFonts w:ascii="Times New Roman" w:eastAsia="Times New Roman" w:hAnsi="Times New Roman" w:cs="Times New Roman"/>
          <w:sz w:val="20"/>
          <w:szCs w:val="20"/>
        </w:rPr>
        <w:t xml:space="preserve">-MS-based assay is faster and more sensitive than the optical absorption method, which uses the same redox dye as an indicator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{"citationID":"bJsK6Olh","properties":{"formattedCitation":"[24]","plainCitation":"[24]","noteIndex":0},"citationItems":[{"id":1126,"uris":["http://zotero.org/users/12998224/items/MHN5WWSR"],"itemData":{"id":1126,"type":"article-journal","abstract":"Infections attributable to vancomycin-resistant Enterococcus (VRE) strains have become increasingly prevalent over the past decade. Prompt identification of colonized patients combined with effective multifaceted infection control practices can reduce the transmission of VRE and aid in the prevention of hospital-acquired infections (HAIs). Increasingly, the clinical microbiology laboratory is being asked to support infection control efforts through the early identification of potential patient or environmental reservoirs. This review discusses the factors that contribute to the rise of VRE as an important health care-associated pathogen, the utility of laboratory screening and various infection control strategies, and the available laboratory methods to identify VRE in clinical specimens.","container-title":"Journal of Clinical Microbiology","DOI":"10.1128/JCM.00211-16","ISSN":"1098-660X","issue":"10","journalAbbreviation":"J Clin Microbiol","language":"eng","note":"PMID: 27147728\nPMCID: PMC5035425","page":"2436-2447","source":"PubMed","title":"Resistance Mechanisms, Epidemiology, and Approaches to Screening for Vancomycin-Resistant Enterococcus in the Health Care Setting","volume":"54","author":[{"family":"Faron","given":"Matthew L."},{"family":"Ledeboer","given":"Nathan A."},{"family":"Buchan","given":"Blake W."}],"issued":{"date-parts":[["2016",10]]}}}],"schema":"https://github.com/citation-style-language/schema/raw/master/csl-citation.json"}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[24]</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78703217" w14:textId="5683768E" w:rsidR="00CF00F8" w:rsidRDefault="00000000">
      <w:pPr>
        <w:pStyle w:val="Heading1"/>
        <w:jc w:val="center"/>
        <w:rPr>
          <w:rFonts w:ascii="Times New Roman" w:eastAsia="Times New Roman" w:hAnsi="Times New Roman" w:cs="Times New Roman"/>
          <w:sz w:val="20"/>
          <w:szCs w:val="20"/>
        </w:rPr>
      </w:pPr>
      <w:bookmarkStart w:id="16" w:name="_Toc191553258"/>
      <w:r>
        <w:rPr>
          <w:rFonts w:ascii="Times New Roman" w:eastAsia="Times New Roman" w:hAnsi="Times New Roman" w:cs="Times New Roman"/>
          <w:b/>
          <w:color w:val="000000"/>
          <w:sz w:val="20"/>
          <w:szCs w:val="20"/>
        </w:rPr>
        <w:t xml:space="preserve">IV. DETECTION OF </w:t>
      </w:r>
      <w:r w:rsidR="00111AF2">
        <w:rPr>
          <w:rFonts w:ascii="Times New Roman" w:eastAsia="Times New Roman" w:hAnsi="Times New Roman" w:cs="Times New Roman"/>
          <w:b/>
          <w:color w:val="000000"/>
          <w:sz w:val="20"/>
          <w:szCs w:val="20"/>
        </w:rPr>
        <w:t xml:space="preserve">ANTIMICROBIAL </w:t>
      </w:r>
      <w:r>
        <w:rPr>
          <w:rFonts w:ascii="Times New Roman" w:eastAsia="Times New Roman" w:hAnsi="Times New Roman" w:cs="Times New Roman"/>
          <w:b/>
          <w:color w:val="000000"/>
          <w:sz w:val="20"/>
          <w:szCs w:val="20"/>
        </w:rPr>
        <w:t>RESISTANCE MECHANISMS</w:t>
      </w:r>
      <w:bookmarkEnd w:id="16"/>
    </w:p>
    <w:p w14:paraId="033E8E1A" w14:textId="0A217A4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MS-based methods have shown great potential in detecting antibiotic resistance. This technology has successfully identified antimicrobial resistance across various classes of antibiotics in numerous clinically significant bacterial species. These include members of the </w:t>
      </w:r>
      <w:r>
        <w:rPr>
          <w:rFonts w:ascii="Times New Roman" w:eastAsia="Times New Roman" w:hAnsi="Times New Roman" w:cs="Times New Roman"/>
          <w:i/>
          <w:sz w:val="20"/>
          <w:szCs w:val="20"/>
        </w:rPr>
        <w:t>Enterobacteriaceae</w:t>
      </w:r>
      <w:r>
        <w:rPr>
          <w:rFonts w:ascii="Times New Roman" w:eastAsia="Times New Roman" w:hAnsi="Times New Roman" w:cs="Times New Roman"/>
          <w:sz w:val="20"/>
          <w:szCs w:val="20"/>
        </w:rPr>
        <w:t xml:space="preserve"> family, non-fermenting Gram-negative bacteria, Gram-positive cocci, anaerobic bacteria, and mycobacteria. These advancements highlight the promise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facilitating further clinically important developments in this field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{"citationID":"113d8eOn","properties":{"formattedCitation":"[22]","plainCitation":"[22]","noteIndex":0},"citationItems":[{"id":1087,"uris":["http://zotero.org/users/12998224/items/2X672U4S"],"itemData":{"id":1087,"type":"article-journal","abstract":"&lt;p&gt;Several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[22]</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11DE24BC" w14:textId="2DB31CA4"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research on this topic focuses on three main mechanisms: (1) detecting β-lactamase activity by visualizing the hydrolysis of the β-lactam ring; (2) identifying biomarkers responsible for or associated with drug resistance or non-susceptibility; and (3) analyzing differences in proteomic profiles of bacteria incubated with or without antimicrobial drugs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{"citationID":"JB0GmW9K","properties":{"formattedCitation":"[22]","plainCitation":"[22]","noteIndex":0},"citationItems":[{"id":1087,"uris":["http://zotero.org/users/12998224/items/2X672U4S"],"itemData":{"id":1087,"type":"article-journal","abstract":"&lt;p&gt;Several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[22]</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Early detection of drug resistance is a critical priority for clinicians, as it enables the rationalization of antibiotic therapy and improves patient outcomes.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offers a significant advantage in saving time during the diagnostic process, making it an invaluable tool when rapid and effective antibiotic treatment is essential for patient survival.</w:t>
      </w:r>
    </w:p>
    <w:p w14:paraId="1233F700" w14:textId="77777777" w:rsidR="00CF00F8" w:rsidRDefault="00000000">
      <w:pPr>
        <w:pStyle w:val="Heading2"/>
        <w:rPr>
          <w:rFonts w:ascii="Times New Roman" w:eastAsia="Times New Roman" w:hAnsi="Times New Roman" w:cs="Times New Roman"/>
          <w:b/>
          <w:sz w:val="20"/>
          <w:szCs w:val="20"/>
        </w:rPr>
      </w:pPr>
      <w:bookmarkStart w:id="17" w:name="_Toc191553259"/>
      <w:proofErr w:type="spellStart"/>
      <w:r>
        <w:rPr>
          <w:rFonts w:ascii="Times New Roman" w:eastAsia="Times New Roman" w:hAnsi="Times New Roman" w:cs="Times New Roman"/>
          <w:b/>
          <w:color w:val="000000"/>
          <w:sz w:val="20"/>
          <w:szCs w:val="20"/>
        </w:rPr>
        <w:t>IV.A</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Identification of antibiotic resistance markers</w:t>
      </w:r>
      <w:bookmarkEnd w:id="17"/>
    </w:p>
    <w:p w14:paraId="6E97760A" w14:textId="3A4A1695"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has proven effective in detecting hydrolyzed antibiotics resulting from β-lactamase activity, making it a reliable method for assessing β-lactam susceptibility and resistance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{"citationID":"WjEaM1ut","properties":{"formattedCitation":"[23]","plainCitation":"[23]","noteIndex":0},"citationItems":[{"id":1123,"uris":["http://zotero.org/users/12998224/items/WP28JQMC"],"itemData":{"id":1123,"type":"article-journal","abstract":"The laboratory diagnosis of infections is based on pathogen identification and antimicrobial susceptibility determination. The gold standard of cultivation, isolation and susceptibility testing is a time-consuming procedure and in some cases this can be threatening for patients' outcome. In the current review the applications of mass spectrometry in pathogen identification and especially in detecting biomarkers of antimicrobial resistance are analyzed. MALDI-TOF (matrix-assisted laser desorption/ionization time-of-flight) mass spectrometry is a new technology that has revolutionized pathogen identification and has also proven to accelerate detection of antimicrobial resistance compared to the traditional antibiotic susceptibility tests (AST) as well as DNA amplification methodologies. The technology has incorporated up to know four different methodologies: (I) the detection of differences of mass spectra of susceptible and resistant isolates of a given microorganism using the classical strain typing methodology; (II) the analysis of bacterial induced hydrolysis of β-lactam antibiotics; (III) the detection of stable (non-radioactive) isotope-labeled amino acids; and (IV) the analysis of bacterial growth in the presence and absence of antibiotics using an internal standard. The implementation of MALDI-TOF methodologies has improved detection of resistance in aerobic, Gram-positive and Gram-negative bacteria, mycobacteria, anaerobic bacteria, fungi and viruses. The MALDI-TOF is an easy to use, rapid, reliable, economical, and environmentally friendly methodology. However, this technology needs further development of research protocols that will be validated for routine application.","container-title":"Annals of Translational Medicine","DOI":"10.21037/atm.2018.06.28","ISSN":"2305-5839","issue":"12","journalAbbreviation":"Ann Transl Med","language":"eng","note":"PMID: 30069442\nPMCID: PMC6046294","page":"240","source":"PubMed","title":"MALDI-TOF mass spectrometry technology for detecting biomarkers of antimicrobial resistance: current achievements and future perspectives","title-short":"MALDI-TOF mass spectrometry technology for detecting biomarkers of antimicrobial resistance","volume":"6","author":[{"family":"Vrioni","given":"Georgia"},{"family":"Tsiamis","given":"Constantinos"},{"family":"Oikonomidis","given":"George"},{"family":"Theodoridou","given":"Kalliopi"},{"family":"Kapsimali","given":"Violeta"},{"family":"Tsakris","given":"Athanasios"}],"issued":{"date-parts":[["2018",6]]}}}],"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[23]</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β-lactam antibiotic group includes various types, all of which share a β-lactam ring in their molecular structure. The primary resistance mechanism against most β-lactam antibiotics involves the destruction of this β-lactam ring through the expression of β-lactamase, rendering the antibiotics ineffective. Many research outcomes revealed the hydrolysis of the β-lactam ring after exposure of β-lactam antibiotics to β-lactamase-producing (aerobic and anaerobic) bacteria could be revealed in mass spectra by a decrease of the peak corresponding to the antibiotic and the appearance of peaks representing its hydrolysis products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{"citationID":"uzE7AcdH","properties":{"formattedCitation":"[22]","plainCitation":"[22]","noteIndex":0},"citationItems":[{"id":1087,"uris":["http://zotero.org/users/12998224/items/2X672U4S"],"itemData":{"id":1087,"type":"article-journal","abstract":"&lt;p&gt;Several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[22]</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439862EE" w14:textId="4A98C19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applicability of the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method has been demonstrated in various Gram-negative bacteria, including </w:t>
      </w:r>
      <w:r>
        <w:rPr>
          <w:rFonts w:ascii="Times New Roman" w:eastAsia="Times New Roman" w:hAnsi="Times New Roman" w:cs="Times New Roman"/>
          <w:i/>
          <w:sz w:val="20"/>
          <w:szCs w:val="20"/>
        </w:rPr>
        <w:t>E. coli</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Klebsiella pneumoniae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 aeruginosa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Acinetobacter baumannii</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Enterobacter cloacae</w:t>
      </w:r>
      <w:r>
        <w:rPr>
          <w:rFonts w:ascii="Times New Roman" w:eastAsia="Times New Roman" w:hAnsi="Times New Roman" w:cs="Times New Roman"/>
          <w:sz w:val="20"/>
          <w:szCs w:val="20"/>
        </w:rPr>
        <w:t xml:space="preserve">. Additionally, it has been successfully applied to assess resistance against different β-lactam antibiotics, such as ampicillin, piperacillin, cefotaxime, ceftazidime, ertapenem, imipenem, and meropenem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{"citationID":"Hx6cCrSg","properties":{"formattedCitation":"[2]","plainCitation":"[2]","noteIndex":0},"citationItems":[{"id":1092,"uris":["http://zotero.org/users/12998224/items/9F7874TS"],"itemData":{"id":1092,"type":"article-journal","abstract":"Matrix-assisted laser desorption ionization-time of flight mass spectrometry (MALDI-TOF MS) has been successfully applied as an identification procedure in clinical microbiology and has been widely used in routine laboratory practice because of its economical and diagnostic benefits. The range of applications of MALDI-TOF MS has been growing constantly, from rapid species identification to labor-intensive proteomic studies of bacterial physiology. The purpose of this review is to summarize the contribution of the studies already performed with MALDI-TOF MS concerning antibiotic resistance and to analyze future perspectives in this field. We believe that current research should continue in four main directions, including the detection of antibiotic modifications by degrading enzymes, the detection of resistance mechanism determinants through proteomic studies of multiresistant bacteria, and the analysis of modifications of target sites, such as ribosomal methylation. The quantification of antibiotics is suggested as a new approach to study influx and efflux in bacterial cells. The results of the presented studies demonstrate that MALDI-TOF MS is a relevant tool for the detection of antibiotic resistance and opens new avenues for both clinical and experimental microbiology.","container-title":"Clinical Microbiology Reviews","DOI":"10.1128/CMR.00058-12","ISSN":"1098-6618","issue":"1","journalAbbreviation":"Clin Microbiol Rev","language":"eng","note":"PMID: 23297261\nPMCID: PMC3553667","page":"103-114","source":"PubMed","title":"Matrix-assisted laser desorption ionization-time of flight (maldi-tof) mass spectrometry for detection of antibiotic resistance mechanisms: from research to routine diagnosis","title-short":"Matrix-assisted laser desorption ionization-time of flight (maldi-tof) mass spectrometry for detection of antibiotic resistance mechanisms","volume":"26","author":[{"family":"Hrabák","given":"Jaroslav"},{"family":"Chudácková","given":"Eva"},{"family":"Walková","given":"Radka"}],"issued":{"date-parts":[["2013",1]]}}}],"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Another successful application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is the screening of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activity directly from blood culture bottles inoculated with human blood and spiked with </w:t>
      </w:r>
      <w:r>
        <w:rPr>
          <w:rFonts w:ascii="Times New Roman" w:eastAsia="Times New Roman" w:hAnsi="Times New Roman" w:cs="Times New Roman"/>
          <w:i/>
          <w:sz w:val="20"/>
          <w:szCs w:val="20"/>
        </w:rPr>
        <w:t>Bacteroides fragilis</w:t>
      </w:r>
      <w:r>
        <w:rPr>
          <w:rFonts w:ascii="Times New Roman" w:eastAsia="Times New Roman" w:hAnsi="Times New Roman" w:cs="Times New Roman"/>
          <w:sz w:val="20"/>
          <w:szCs w:val="20"/>
        </w:rPr>
        <w:t xml:space="preserve">. This approach detects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production in </w:t>
      </w:r>
      <w:r>
        <w:rPr>
          <w:rFonts w:ascii="Times New Roman" w:eastAsia="Times New Roman" w:hAnsi="Times New Roman" w:cs="Times New Roman"/>
          <w:i/>
          <w:sz w:val="20"/>
          <w:szCs w:val="20"/>
        </w:rPr>
        <w:t>Bacteroides fragilis</w:t>
      </w:r>
      <w:r>
        <w:rPr>
          <w:rFonts w:ascii="Times New Roman" w:eastAsia="Times New Roman" w:hAnsi="Times New Roman" w:cs="Times New Roman"/>
          <w:sz w:val="20"/>
          <w:szCs w:val="20"/>
        </w:rPr>
        <w:t xml:space="preserve"> strains harboring the </w:t>
      </w:r>
      <w:proofErr w:type="spellStart"/>
      <w:r>
        <w:rPr>
          <w:rFonts w:ascii="Times New Roman" w:eastAsia="Times New Roman" w:hAnsi="Times New Roman" w:cs="Times New Roman"/>
          <w:sz w:val="20"/>
          <w:szCs w:val="20"/>
        </w:rPr>
        <w:t>cfiA</w:t>
      </w:r>
      <w:proofErr w:type="spellEnd"/>
      <w:r>
        <w:rPr>
          <w:rFonts w:ascii="Times New Roman" w:eastAsia="Times New Roman" w:hAnsi="Times New Roman" w:cs="Times New Roman"/>
          <w:sz w:val="20"/>
          <w:szCs w:val="20"/>
        </w:rPr>
        <w:t xml:space="preserve"> gene, which encodes for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{"citationID":"Te2bcCXh","properties":{"formattedCitation":"[25]","plainCitation":"[25]","noteIndex":0},"citationItems":[{"id":1129,"uris":["http://zotero.org/users/12998224/items/NQ5ATPPX"],"itemData":{"id":1129,"type":"article-journal","abstract":"OBJECTIVES: Recently, matrix-assisted laser desorption ionization-time-of-flight mass spectrometry (MALDI-TOF MS) was successfully applied for the detection of carbapenemase activity directly from Gram-negative colonies. Based on this principle, we evaluated the performance of MALDI-TOF MS for rapid detection of carbapenemase activity directly from positive blood culture vials.\nMETHODS: A total of 100 blood culture vials were randomly selected. MALDI-TOF MS carbapenemase assay results were confirmed by the detection of carbapenemase-encoding genes.\nRESULTS: A total of 110 bacterial isolates were recovered. The MALDI-TOF MS carbapenemase assay identified 21 of 29 (72.4%) of the carbapenemase-producing isolates directly from the blood culture vials, especially those encoding KPC-2 (100%) and SPM-1 (100%), after a 4 h incubation period. Although the majority of OXA-23-producing Acinetobacter baumannii isolates were not identified on day 1, all isolates were identified as carbapenemase producers directly from the colony on the next day.\nCONCLUSIONS: The MALDI-TOF MS carbapenemase assay is a feasible and rapid test to identify carbapenemase activity directly from blood culture vials. It may contribute to faster readjustment of empirical antimicrobial therapy and implementation of infection control measures.","container-title":"The Journal of Antimicrobial Chemotherapy","DOI":"10.1093/jac/dku094","ISSN":"1460-2091","issue":"8","journalAbbreviation":"J Antimicrob Chemother","language":"eng","note":"PMID: 24722840","page":"2132-2136","source":"PubMed","title":"Detection of carbapenemase activity directly from blood culture vials using MALDI-TOF MS: a quick answer for the right decision","title-short":"Detection of carbapenemase activity directly from blood culture vials using MALDI-TOF MS","volume":"69","author":[{"family":"Carvalhaes","given":"Cecilia G."},{"family":"Cayô","given":"Rodrigo"},{"family":"Visconde","given":"Marina F."},{"family":"Barone","given":"Talita"},{"family":"Frigatto","given":"Eliete A. M."},{"family":"Okamoto","given":"Debora"},{"family":"Assis","given":"Diego M."},{"family":"Juliano","given":"Luiz"},{"family":"Machado","given":"Antonia M. O."},{"family":"Gales","given":"Ana C."}],"issued":{"date-parts":[["2014",8]]}}}],"schema":"https://github.com/citation-style-language/schema/raw/master/csl-citation.json"}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[25]</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method has been used to differentiate strains based on their ertapenem minimum inhibitory concentrations (MICs). </w:t>
      </w:r>
    </w:p>
    <w:p w14:paraId="481823B2" w14:textId="3D7486FB"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effectively applied to detect </w:t>
      </w:r>
      <w:proofErr w:type="spellStart"/>
      <w:r>
        <w:rPr>
          <w:rFonts w:ascii="Times New Roman" w:eastAsia="Times New Roman" w:hAnsi="Times New Roman" w:cs="Times New Roman"/>
          <w:sz w:val="20"/>
          <w:szCs w:val="20"/>
        </w:rPr>
        <w:t>carbapenemases</w:t>
      </w:r>
      <w:proofErr w:type="spellEnd"/>
      <w:r>
        <w:rPr>
          <w:rFonts w:ascii="Times New Roman" w:eastAsia="Times New Roman" w:hAnsi="Times New Roman" w:cs="Times New Roman"/>
          <w:sz w:val="20"/>
          <w:szCs w:val="20"/>
        </w:rPr>
        <w:t xml:space="preserve"> in Gram-negative bacteria. One study utilized commercial antibiotic susceptibility test disks as a source of ertapenem substrate in a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MS-based assay to identify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-producing </w:t>
      </w:r>
      <w:proofErr w:type="spellStart"/>
      <w:r>
        <w:rPr>
          <w:rFonts w:ascii="Times New Roman" w:eastAsia="Times New Roman" w:hAnsi="Times New Roman" w:cs="Times New Roman"/>
          <w:sz w:val="20"/>
          <w:szCs w:val="20"/>
        </w:rPr>
        <w:t>Enterobacterales</w:t>
      </w:r>
      <w:proofErr w:type="spellEnd"/>
      <w:r>
        <w:rPr>
          <w:rFonts w:ascii="Times New Roman" w:eastAsia="Times New Roman" w:hAnsi="Times New Roman" w:cs="Times New Roman"/>
          <w:sz w:val="20"/>
          <w:szCs w:val="20"/>
        </w:rPr>
        <w:t xml:space="preserve"> (CPE). The assay was validated on 48 CPE isolates from eight different species expressing NDM-, VIM-, KPC-, and </w:t>
      </w:r>
      <w:proofErr w:type="spellStart"/>
      <w:r>
        <w:rPr>
          <w:rFonts w:ascii="Times New Roman" w:eastAsia="Times New Roman" w:hAnsi="Times New Roman" w:cs="Times New Roman"/>
          <w:sz w:val="20"/>
          <w:szCs w:val="20"/>
        </w:rPr>
        <w:t>OXA</w:t>
      </w:r>
      <w:proofErr w:type="spellEnd"/>
      <w:r>
        <w:rPr>
          <w:rFonts w:ascii="Times New Roman" w:eastAsia="Times New Roman" w:hAnsi="Times New Roman" w:cs="Times New Roman"/>
          <w:sz w:val="20"/>
          <w:szCs w:val="20"/>
        </w:rPr>
        <w:t xml:space="preserve">-48-type </w:t>
      </w:r>
      <w:proofErr w:type="spellStart"/>
      <w:r>
        <w:rPr>
          <w:rFonts w:ascii="Times New Roman" w:eastAsia="Times New Roman" w:hAnsi="Times New Roman" w:cs="Times New Roman"/>
          <w:sz w:val="20"/>
          <w:szCs w:val="20"/>
        </w:rPr>
        <w:t>carbapenemases</w:t>
      </w:r>
      <w:proofErr w:type="spellEnd"/>
      <w:r>
        <w:rPr>
          <w:rFonts w:ascii="Times New Roman" w:eastAsia="Times New Roman" w:hAnsi="Times New Roman" w:cs="Times New Roman"/>
          <w:sz w:val="20"/>
          <w:szCs w:val="20"/>
        </w:rPr>
        <w:t xml:space="preserve">, which exhibited a wide range of carbapenem resistance levels (MIC range: 0.25–&gt;32 mg/L)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{"citationID":"GDdLuGcj","properties":{"formattedCitation":"[26]","plainCitation":"[26]","noteIndex":0},"citationItems":[{"id":1131,"uris":["http://zotero.org/users/12998224/items/45NI2TQF"],"itemData":{"id":1131,"type":"article-journal","abstract":"MALDI-TOF mass spectrometry has become widely used in clinical microbiology and has proved highly accurate for detection of carbapenemases in Gram-negative bacteria. However, the use of carbapenem-hydrolysis assays in routine diagnostics is hampered by the need for antibiotic substances and for making their fresh solutions each time an assay is conducted. Here, we evaluated the use of commercial antibiotic susceptibility-testing disks as source of ertapenem substrate in MALDI-TOF MS-based assay for detection of carbapenemase-producing Enterobacterales (CPE). The assay was validated on 48 CPE isolates of 8 different species expressing NDM-, VIM-, KPC- and OXA-48-type carbapenemases and exhibiting various levels of resistance to carbapenems (MIC range: 0.25- &gt; 32 mg/l), as well as on 48 carbapenemase-non-producing isolates. The assay conditions were optimized as follows: 10-μl loopful of bacterial colonies was suspended in 150 μl 0.01 M Na-PBS buffer, pH 7.4, a 10 μg ertapenem susceptibility-testing disk was immersed in the suspension and incubated 3 h at 35°C, after which supernatant was obtained by centrifugation and applied on a target plate with alpha-cyano-4-hydroxycinnamic acid matrix. Mass spectra were analyzed between 440 and 560 m/z. Carbapenemase activity was detected in all tested CPE isolates by the appearance of m/z peaks corresponding to ertapenem hydrolysis products: [Mh + H]+:494.2, [Mh + Na]+:516.2, [Mh + 2Na]+:538.2, [Mh/d + H]+:450.2, [Mh/d + Na]+:472.2, and simultaneous decrease or loss of peaks of intact antibiotic: [M + H]+:476.2, [M + Na]+:498.1, [M + 2Na]+:520.1. No hydrolysis peaks or loss of intact ertapenem peaks were observed for carbapenemase-negative strains. We therefore report the development of a sensitive, specific and cost-effective MALDI-TOF MS-based assay for detection of CPE, which makes use of antibiotic disks readily available in most laboratories.","container-title":"Frontiers in Microbiology","DOI":"10.3389/fmicb.2022.1059104","ISSN":"1664-302X","journalAbbreviation":"Front Microbiol","language":"eng","note":"PMID: 36504823\nPMCID: PMC9727098","page":"1059104","source":"PubMed","title":"Detection of carbapenemase-producing Enterobacterales by means of matrix-assisted laser desorption ionization time-of-flight mass spectrometry with ertapenem susceptibility-testing disks as source of carbapenem substrate","volume":"13","author":[{"family":"Shaidullina","given":"Elvira R."},{"family":"Romanov","given":"Andrey V."},{"family":"Skleenova","given":"Elena Y."},{"family":"Sheck","given":"Eugene A."},{"family":"Sukhorukova","given":"Marina V."},{"family":"Kozlov","given":"Roman S."},{"family":"Edelstein","given":"Mikhail V."}],"issued":{"date-parts":[["2022"]]}}}],"schema":"https://github.com/citation-style-language/schema/raw/master/csl-citation.json"}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[26]</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Additionally, the assay was tested on 48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non-producing isolates. No hydrolysis peaks were detected for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-negative strains, and intact ertapenem peaks remained unchanged, confirming the assay's specificity. Another study used LC-MS/MS </w:t>
      </w:r>
      <w:r>
        <w:rPr>
          <w:rFonts w:ascii="Times New Roman" w:eastAsia="Times New Roman" w:hAnsi="Times New Roman" w:cs="Times New Roman"/>
          <w:sz w:val="20"/>
          <w:szCs w:val="20"/>
        </w:rPr>
        <w:lastRenderedPageBreak/>
        <w:t xml:space="preserve">assay to detect the proteins responsible for resistance, including KPC, </w:t>
      </w:r>
      <w:proofErr w:type="spellStart"/>
      <w:r>
        <w:rPr>
          <w:rFonts w:ascii="Times New Roman" w:eastAsia="Times New Roman" w:hAnsi="Times New Roman" w:cs="Times New Roman"/>
          <w:sz w:val="20"/>
          <w:szCs w:val="20"/>
        </w:rPr>
        <w:t>OXA</w:t>
      </w:r>
      <w:proofErr w:type="spellEnd"/>
      <w:r>
        <w:rPr>
          <w:rFonts w:ascii="Times New Roman" w:eastAsia="Times New Roman" w:hAnsi="Times New Roman" w:cs="Times New Roman"/>
          <w:sz w:val="20"/>
          <w:szCs w:val="20"/>
        </w:rPr>
        <w:t xml:space="preserve">-48-like, NDM, and VIM </w:t>
      </w:r>
      <w:proofErr w:type="spellStart"/>
      <w:r>
        <w:rPr>
          <w:rFonts w:ascii="Times New Roman" w:eastAsia="Times New Roman" w:hAnsi="Times New Roman" w:cs="Times New Roman"/>
          <w:sz w:val="20"/>
          <w:szCs w:val="20"/>
        </w:rPr>
        <w:t>carbapenemases</w:t>
      </w:r>
      <w:proofErr w:type="spellEnd"/>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E. coli</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K. pneumoniae</w:t>
      </w:r>
      <w:r>
        <w:rPr>
          <w:rFonts w:ascii="Times New Roman" w:eastAsia="Times New Roman" w:hAnsi="Times New Roman" w:cs="Times New Roman"/>
          <w:sz w:val="20"/>
          <w:szCs w:val="20"/>
        </w:rPr>
        <w:t xml:space="preserve"> simultaneously. The method was validated using 83 isolates of</w:t>
      </w:r>
      <w:r>
        <w:rPr>
          <w:rFonts w:ascii="Times New Roman" w:eastAsia="Times New Roman" w:hAnsi="Times New Roman" w:cs="Times New Roman"/>
          <w:i/>
          <w:sz w:val="20"/>
          <w:szCs w:val="20"/>
        </w:rPr>
        <w:t xml:space="preserve"> K. pneumoniae</w:t>
      </w:r>
      <w:r>
        <w:rPr>
          <w:rFonts w:ascii="Times New Roman" w:eastAsia="Times New Roman" w:hAnsi="Times New Roman" w:cs="Times New Roman"/>
          <w:sz w:val="20"/>
          <w:szCs w:val="20"/>
        </w:rPr>
        <w:t xml:space="preserve"> and</w:t>
      </w:r>
      <w:r>
        <w:rPr>
          <w:rFonts w:ascii="Times New Roman" w:eastAsia="Times New Roman" w:hAnsi="Times New Roman" w:cs="Times New Roman"/>
          <w:i/>
          <w:sz w:val="20"/>
          <w:szCs w:val="20"/>
        </w:rPr>
        <w:t xml:space="preserve"> E. coli </w:t>
      </w:r>
      <w:r>
        <w:rPr>
          <w:rFonts w:ascii="Times New Roman" w:eastAsia="Times New Roman" w:hAnsi="Times New Roman" w:cs="Times New Roman"/>
          <w:sz w:val="20"/>
          <w:szCs w:val="20"/>
        </w:rPr>
        <w:t xml:space="preserve">by defining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-specific target peptides through comparative analysis of GenBank sequences. The assay detected all </w:t>
      </w:r>
      <w:proofErr w:type="spellStart"/>
      <w:r>
        <w:rPr>
          <w:rFonts w:ascii="Times New Roman" w:eastAsia="Times New Roman" w:hAnsi="Times New Roman" w:cs="Times New Roman"/>
          <w:sz w:val="20"/>
          <w:szCs w:val="20"/>
        </w:rPr>
        <w:t>carbapenemases</w:t>
      </w:r>
      <w:proofErr w:type="spellEnd"/>
      <w:r>
        <w:rPr>
          <w:rFonts w:ascii="Times New Roman" w:eastAsia="Times New Roman" w:hAnsi="Times New Roman" w:cs="Times New Roman"/>
          <w:sz w:val="20"/>
          <w:szCs w:val="20"/>
        </w:rPr>
        <w:t xml:space="preserve"> with 100% specificity and no peptide carry-over, demonstrating its accuracy and reliability </w:t>
      </w:r>
      <w:r w:rsidR="00E42B6C">
        <w:rPr>
          <w:rFonts w:ascii="Times New Roman" w:eastAsia="Times New Roman" w:hAnsi="Times New Roman" w:cs="Times New Roman"/>
          <w:sz w:val="20"/>
          <w:szCs w:val="20"/>
        </w:rPr>
        <w:fldChar w:fldCharType="begin"/>
      </w:r>
      <w:r w:rsidR="00E42B6C">
        <w:rPr>
          <w:rFonts w:ascii="Times New Roman" w:eastAsia="Times New Roman" w:hAnsi="Times New Roman" w:cs="Times New Roman"/>
          <w:sz w:val="20"/>
          <w:szCs w:val="20"/>
        </w:rPr>
        <w:instrText xml:space="preserve"> ADDIN ZOTERO_ITEM CSL_CITATION {"citationID":"TNWxNC7F","properties":{"formattedCitation":"[27]","plainCitation":"[27]","noteIndex":0},"citationItems":[{"id":1134,"uris":["http://zotero.org/users/12998224/items/I46X7NQM"],"itemData":{"id":1134,"type":"article-journal","abstract":"BACKGROUND: At present, phenotypic growth inhibition techniques are used in routine diagnostic microbiology to determine antimicrobial resistance of bacteria. Molecular techniques such as PCR are often used for confirmation but are indirect as they detect particular resistance genes. A direct technique would be able to detect the proteins of the resistance mechanism itself. In the present study targeted high resolution mass spectrometry assay was developed for the simultaneous detection of KPC, OXA-48-like, NDM, and VIM carbapenemases.\nMETHODS: Carbapenemase specific target peptides were defined by comparing available sequences in GenBank. Selected peptide sequences were validated using 62 Klebsiella pneumoniae and Escherichia coli isolates containing: 16 KPC, 21 OXA-48-like, 16 NDM, 13 VIM genes, and 21 carbapenemase negative isolates.\nRESULTS: For each carbapenemase, two candidate peptides were validated. Method validation was performed in a blinded manner for all 83 isolates. All carbapenemases were detected. The majority was detected by both target peptides. All target peptides were 100% specific in the tested isolates and no peptide carry-over was detected.\nCONCLUSION: The applied targeted bottom-up mass spectrometry technique is able to accurately detect the four most prevalent carbapenemases in a single analysis.","container-title":"Frontiers in Microbiology","DOI":"10.3389/fmicb.2019.02760","ISSN":"1664-302X","journalAbbreviation":"Front Microbiol","language":"eng","note":"PMID: 31849899\nPMCID: PMC6901907","page":"2760","source":"PubMed","title":"Accurate Detection of the Four Most Prevalent Carbapenemases in E. coli and K. pneumoniae by High-Resolution Mass Spectrometry","volume":"10","author":[{"family":"Foudraine","given":"Dimard E."},{"family":"Dekker","given":"Lennard J. M."},{"family":"Strepis","given":"Nikolaos"},{"family":"Bexkens","given":"Michiel L."},{"family":"Klaassen","given":"Corné H. W."},{"family":"Luider","given":"Theo M."},{"family":"Goessens","given":"Wil H. F."}],"issued":{"date-parts":[["2019"]]}}}],"schema":"https://github.com/citation-style-language/schema/raw/master/csl-citation.json"} </w:instrText>
      </w:r>
      <w:r w:rsidR="00E42B6C">
        <w:rPr>
          <w:rFonts w:ascii="Times New Roman" w:eastAsia="Times New Roman" w:hAnsi="Times New Roman" w:cs="Times New Roman"/>
          <w:sz w:val="20"/>
          <w:szCs w:val="20"/>
        </w:rPr>
        <w:fldChar w:fldCharType="separate"/>
      </w:r>
      <w:r w:rsidR="00E42B6C" w:rsidRPr="00E42B6C">
        <w:rPr>
          <w:rFonts w:ascii="Times New Roman" w:hAnsi="Times New Roman" w:cs="Times New Roman"/>
          <w:sz w:val="20"/>
        </w:rPr>
        <w:t>[27]</w:t>
      </w:r>
      <w:r w:rsidR="00E42B6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This approach offers a direct and precise alternative to traditional phenotypic and molecular techniques for detecting antimicrobial resistance. </w:t>
      </w:r>
    </w:p>
    <w:p w14:paraId="611E3855" w14:textId="0643C2A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Additionally, a study compared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method performance with real-time PCR detection of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genes (</w:t>
      </w:r>
      <w:proofErr w:type="spellStart"/>
      <w:r>
        <w:rPr>
          <w:rFonts w:ascii="Times New Roman" w:eastAsia="Times New Roman" w:hAnsi="Times New Roman" w:cs="Times New Roman"/>
          <w:sz w:val="20"/>
          <w:szCs w:val="20"/>
        </w:rPr>
        <w:t>blaKPC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blaOXA</w:t>
      </w:r>
      <w:proofErr w:type="spellEnd"/>
      <w:r>
        <w:rPr>
          <w:rFonts w:ascii="Times New Roman" w:eastAsia="Times New Roman" w:hAnsi="Times New Roman" w:cs="Times New Roman"/>
          <w:sz w:val="20"/>
          <w:szCs w:val="20"/>
        </w:rPr>
        <w:t xml:space="preserve">-48, and </w:t>
      </w:r>
      <w:proofErr w:type="spellStart"/>
      <w:r>
        <w:rPr>
          <w:rFonts w:ascii="Times New Roman" w:eastAsia="Times New Roman" w:hAnsi="Times New Roman" w:cs="Times New Roman"/>
          <w:sz w:val="20"/>
          <w:szCs w:val="20"/>
        </w:rPr>
        <w:t>blaNDM</w:t>
      </w:r>
      <w:proofErr w:type="spellEnd"/>
      <w:r>
        <w:rPr>
          <w:rFonts w:ascii="Times New Roman" w:eastAsia="Times New Roman" w:hAnsi="Times New Roman" w:cs="Times New Roman"/>
          <w:sz w:val="20"/>
          <w:szCs w:val="20"/>
        </w:rPr>
        <w:t xml:space="preserve">) and determined carbapenem MICs using imipenem, meropenem, and ertapenem. Positive and negative controls were included for validation, using </w:t>
      </w:r>
      <w:r>
        <w:rPr>
          <w:rFonts w:ascii="Times New Roman" w:eastAsia="Times New Roman" w:hAnsi="Times New Roman" w:cs="Times New Roman"/>
          <w:i/>
          <w:sz w:val="20"/>
          <w:szCs w:val="20"/>
        </w:rPr>
        <w:t>K. pneumoniae</w:t>
      </w:r>
      <w:r>
        <w:rPr>
          <w:rFonts w:ascii="Times New Roman" w:eastAsia="Times New Roman" w:hAnsi="Times New Roman" w:cs="Times New Roman"/>
          <w:sz w:val="20"/>
          <w:szCs w:val="20"/>
        </w:rPr>
        <w:t xml:space="preserve"> NCTC 13438 and </w:t>
      </w:r>
      <w:r>
        <w:rPr>
          <w:rFonts w:ascii="Times New Roman" w:eastAsia="Times New Roman" w:hAnsi="Times New Roman" w:cs="Times New Roman"/>
          <w:i/>
          <w:sz w:val="20"/>
          <w:szCs w:val="20"/>
        </w:rPr>
        <w:t>E. coli</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ATCC</w:t>
      </w:r>
      <w:proofErr w:type="spellEnd"/>
      <w:r>
        <w:rPr>
          <w:rFonts w:ascii="Times New Roman" w:eastAsia="Times New Roman" w:hAnsi="Times New Roman" w:cs="Times New Roman"/>
          <w:sz w:val="20"/>
          <w:szCs w:val="20"/>
        </w:rPr>
        <w:t xml:space="preserve"> 25922, respectively. Out of the 74 isolates, 65 were resistant to carbapenems, and nine were susceptible </w:t>
      </w:r>
      <w:r w:rsidR="007E50C8">
        <w:rPr>
          <w:rFonts w:ascii="Times New Roman" w:eastAsia="Times New Roman" w:hAnsi="Times New Roman" w:cs="Times New Roman"/>
          <w:sz w:val="20"/>
          <w:szCs w:val="20"/>
        </w:rPr>
        <w:fldChar w:fldCharType="begin"/>
      </w:r>
      <w:r w:rsidR="007E50C8">
        <w:rPr>
          <w:rFonts w:ascii="Times New Roman" w:eastAsia="Times New Roman" w:hAnsi="Times New Roman" w:cs="Times New Roman"/>
          <w:sz w:val="20"/>
          <w:szCs w:val="20"/>
        </w:rPr>
        <w:instrText xml:space="preserve"> ADDIN ZOTERO_ITEM CSL_CITATION {"citationID":"rvBoFehu","properties":{"formattedCitation":"[28]","plainCitation":"[28]","noteIndex":0},"citationItems":[{"id":1137,"uris":["http://zotero.org/users/12998224/items/QZV486ZB"],"itemData":{"id":1137,"type":"article-journal","abstract":"BACKGROUND: Resistance to carbapenem antibiotics is emerging worldwide among Enterobacteriaceae. To prevent hospital transmission due to unnoticed carriage of carbapenemase producing micro-organisms in newly admitted patients, or follow-up of patients in an outbreak setting, a molecular screening method was developed for detection of the most prevalent carbapenemase genes; blaOXA-48, blaVIM, blaIMP, blaNDM and blaKPC.\nMETHODS: A real-time multiplex PCR assay was evaluated using a collection of 86 Gram negative isolates, including 62 carbapenemase producers. Seven different laboratories carried out this method and used the assay for detection of the carbapenemase genes on a selection of 20 isolates.\nRESULTS: Both sensitivity and specificity of the multiplex PCR assay was 100%, as established by results on the strain collection and the inter-laboratory comparisons.\nCONCLUSIONS: In this study, we present a multiplex real-time PCR that is a robust, reliable and rapid method for the detection of the most prevalent carbapenemases blaOXA-48, blaVIM, blaIMP, blaNDM and blaKPC, and is suitable for screening of broth cultured rectal swabs and for identification of carbapenemase genes in cultures.","container-title":"BMC infectious diseases","DOI":"10.1186/1471-2334-14-27","ISSN":"1471-2334","journalAbbreviation":"BMC Infect Dis","language":"eng","note":"PMID: 24422880\nPMCID: PMC3897903","page":"27","source":"PubMed","title":"Multi-centre evaluation of real-time multiplex PCR for detection of carbapenemase genes OXA-48, VIM, IMP, NDM and KPC","volume":"14","author":[{"family":"Zee","given":"Anneke","non-dropping-particle":"van der"},{"family":"Roorda","given":"Lieuwe"},{"family":"Bosman","given":"Gerda"},{"family":"Fluit","given":"Ad C."},{"family":"Hermans","given":"Mirjam"},{"family":"Smits","given":"Paul H. M."},{"family":"Zanden","given":"Adri G. M.","non-dropping-particle":"van der"},{"family":"Te Witt","given":"René"},{"family":"Bruijnesteijn van Coppenraet","given":"Lesla E. S."},{"family":"Cohen Stuart","given":"James"},{"family":"Ossewaarde","given":"Jacobus M."}],"issued":{"date-parts":[["2014",1,14]]}}}],"schema":"https://github.com/citation-style-language/schema/raw/master/csl-citation.json"} </w:instrText>
      </w:r>
      <w:r w:rsidR="007E50C8">
        <w:rPr>
          <w:rFonts w:ascii="Times New Roman" w:eastAsia="Times New Roman" w:hAnsi="Times New Roman" w:cs="Times New Roman"/>
          <w:sz w:val="20"/>
          <w:szCs w:val="20"/>
        </w:rPr>
        <w:fldChar w:fldCharType="separate"/>
      </w:r>
      <w:r w:rsidR="007E50C8" w:rsidRPr="007E50C8">
        <w:rPr>
          <w:rFonts w:ascii="Times New Roman" w:hAnsi="Times New Roman" w:cs="Times New Roman"/>
          <w:sz w:val="20"/>
        </w:rPr>
        <w:t>[28]</w:t>
      </w:r>
      <w:r w:rsidR="007E50C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PCR analysis identified </w:t>
      </w:r>
      <w:proofErr w:type="spellStart"/>
      <w:r>
        <w:rPr>
          <w:rFonts w:ascii="Times New Roman" w:eastAsia="Times New Roman" w:hAnsi="Times New Roman" w:cs="Times New Roman"/>
          <w:sz w:val="20"/>
          <w:szCs w:val="20"/>
        </w:rPr>
        <w:t>blaOXA</w:t>
      </w:r>
      <w:proofErr w:type="spellEnd"/>
      <w:r>
        <w:rPr>
          <w:rFonts w:ascii="Times New Roman" w:eastAsia="Times New Roman" w:hAnsi="Times New Roman" w:cs="Times New Roman"/>
          <w:sz w:val="20"/>
          <w:szCs w:val="20"/>
        </w:rPr>
        <w:t xml:space="preserve">-48 in 57 isolates, </w:t>
      </w:r>
      <w:proofErr w:type="spellStart"/>
      <w:r>
        <w:rPr>
          <w:rFonts w:ascii="Times New Roman" w:eastAsia="Times New Roman" w:hAnsi="Times New Roman" w:cs="Times New Roman"/>
          <w:sz w:val="20"/>
          <w:szCs w:val="20"/>
        </w:rPr>
        <w:t>blaNDM</w:t>
      </w:r>
      <w:proofErr w:type="spellEnd"/>
      <w:r>
        <w:rPr>
          <w:rFonts w:ascii="Times New Roman" w:eastAsia="Times New Roman" w:hAnsi="Times New Roman" w:cs="Times New Roman"/>
          <w:sz w:val="20"/>
          <w:szCs w:val="20"/>
        </w:rPr>
        <w:t xml:space="preserve"> in 15 isolates, and </w:t>
      </w:r>
      <w:proofErr w:type="spellStart"/>
      <w:r>
        <w:rPr>
          <w:rFonts w:ascii="Times New Roman" w:eastAsia="Times New Roman" w:hAnsi="Times New Roman" w:cs="Times New Roman"/>
          <w:sz w:val="20"/>
          <w:szCs w:val="20"/>
        </w:rPr>
        <w:t>blaKPC</w:t>
      </w:r>
      <w:proofErr w:type="spellEnd"/>
      <w:r>
        <w:rPr>
          <w:rFonts w:ascii="Times New Roman" w:eastAsia="Times New Roman" w:hAnsi="Times New Roman" w:cs="Times New Roman"/>
          <w:sz w:val="20"/>
          <w:szCs w:val="20"/>
        </w:rPr>
        <w:t xml:space="preserve"> in four isolates, with 11 strains harboring both </w:t>
      </w:r>
      <w:proofErr w:type="spellStart"/>
      <w:r>
        <w:rPr>
          <w:rFonts w:ascii="Times New Roman" w:eastAsia="Times New Roman" w:hAnsi="Times New Roman" w:cs="Times New Roman"/>
          <w:sz w:val="20"/>
          <w:szCs w:val="20"/>
        </w:rPr>
        <w:t>blaOXA</w:t>
      </w:r>
      <w:proofErr w:type="spellEnd"/>
      <w:r>
        <w:rPr>
          <w:rFonts w:ascii="Times New Roman" w:eastAsia="Times New Roman" w:hAnsi="Times New Roman" w:cs="Times New Roman"/>
          <w:sz w:val="20"/>
          <w:szCs w:val="20"/>
        </w:rPr>
        <w:t xml:space="preserve">-48 and </w:t>
      </w:r>
      <w:proofErr w:type="spellStart"/>
      <w:r>
        <w:rPr>
          <w:rFonts w:ascii="Times New Roman" w:eastAsia="Times New Roman" w:hAnsi="Times New Roman" w:cs="Times New Roman"/>
          <w:sz w:val="20"/>
          <w:szCs w:val="20"/>
        </w:rPr>
        <w:t>blaNDM</w:t>
      </w:r>
      <w:proofErr w:type="spellEnd"/>
      <w:r>
        <w:rPr>
          <w:rFonts w:ascii="Times New Roman" w:eastAsia="Times New Roman" w:hAnsi="Times New Roman" w:cs="Times New Roman"/>
          <w:sz w:val="20"/>
          <w:szCs w:val="20"/>
        </w:rPr>
        <w:t xml:space="preserve"> genes. No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genes were detected in the nine susceptible strains. The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method demonstrated a sensitivity of 83.1% at the second hour of incubation and reached 100% at the fourth hour, with 100% specificity across both time points and no false-positive results. The improved sensitivity with extended incubation highlights the importance of optimizing incubation time to enhance detection accuracy </w:t>
      </w:r>
      <w:r w:rsidR="007E50C8">
        <w:rPr>
          <w:rFonts w:ascii="Times New Roman" w:eastAsia="Times New Roman" w:hAnsi="Times New Roman" w:cs="Times New Roman"/>
          <w:sz w:val="20"/>
          <w:szCs w:val="20"/>
        </w:rPr>
        <w:fldChar w:fldCharType="begin"/>
      </w:r>
      <w:r w:rsidR="007E50C8">
        <w:rPr>
          <w:rFonts w:ascii="Times New Roman" w:eastAsia="Times New Roman" w:hAnsi="Times New Roman" w:cs="Times New Roman"/>
          <w:sz w:val="20"/>
          <w:szCs w:val="20"/>
        </w:rPr>
        <w:instrText xml:space="preserve"> ADDIN ZOTERO_ITEM CSL_CITATION {"citationID":"8ygO0e2K","properties":{"formattedCitation":"[29]","plainCitation":"[29]","noteIndex":0},"citationItems":[{"id":1140,"uris":["http://zotero.org/users/12998224/items/JK4WCSMU"],"itemData":{"id":1140,"type":"article-journal","abstract":"PURPOSE: We aimed to develop a new procedure for rapid detection of the carbapenemase activity using MALDI-TOF MS, and to determine the sensitivity and specificity of the method. Also, we aimed to determine the distribution of carbapenemase genes among the K.pneumoniae strains isolated in our hospital using real-time PCR.\nMETHOD: Between January 2017-February 2019; K. pneumoniae strains(n = 74) isolated from blood culture samples were included. Klebsiella pneumoniae NCTC 13438 was used as a positive control and Escherichia coli ATCC 25922 as a negative control. First, Imipenem, meropenem, and ertapenem MIC values of strains were determined. Then blaKPC, blaOXA-48, and/or blaNDM genes were investigated with PCR. Carbapenemase activity was investigated in strains with the newly developed method using MALDI-TOF MS. The performance of the new method was evaluated for both the second and fourth hours of the incubation period.\nRESULTS: While 65 strains were found resistant to tested carbapenems, nine of them were susceptible. Of the 65 resistant strains, 57 had blaOXA-48, 15 had blaNDM, and four had blaKPC genes. BlaOXA-48 and blaNDM genes were detected together in 11 strains. BlaOXA-48, blaNDM, and blaKPC genes were not detected in any of the susceptible strains. The sensitivity and specificity of MALDI-TOF MS at the second hour were 83.1% and 100%, respectively. At the fourth hour, the sensitivity and specificity of MALDI-TOF MS were 100%. No false-positive results were observed.\nCONCLUSION: The sensitivity of the method at the fourth hour was better than the second hour. The false-negative results observed in the second hour disappeared when the incubation period was extended to 4 h. MALDI-TOF MS which is still under development is a fast, cost-effective, promising method for the detection of carbapenemase activity.","container-title":"Indian Journal of Medical Microbiology","DOI":"10.1016/j.ijmmb.2021.03.013","ISSN":"1998-3646","issue":"3","journalAbbreviation":"Indian J Med Microbiol","language":"eng","note":"PMID: 33824061","page":"300-305","source":"PubMed","title":"Investigation of the presence of carbapenemases in carbapenem-resistant Klebsiella pneumoniae strains by MALDI-TOF MS (matrix-assisted laser desorption ionization-time of flight mass spectrometry) and comparison with real-time PCR method","volume":"39","author":[{"family":"Yaşar-Duman","given":"Melike"},{"family":"Çilli","given":"Fatma Feriha"}],"issued":{"date-parts":[["2021",7]]}}}],"schema":"https://github.com/citation-style-language/schema/raw/master/csl-citation.json"} </w:instrText>
      </w:r>
      <w:r w:rsidR="007E50C8">
        <w:rPr>
          <w:rFonts w:ascii="Times New Roman" w:eastAsia="Times New Roman" w:hAnsi="Times New Roman" w:cs="Times New Roman"/>
          <w:sz w:val="20"/>
          <w:szCs w:val="20"/>
        </w:rPr>
        <w:fldChar w:fldCharType="separate"/>
      </w:r>
      <w:r w:rsidR="007E50C8" w:rsidRPr="007E50C8">
        <w:rPr>
          <w:rFonts w:ascii="Times New Roman" w:hAnsi="Times New Roman" w:cs="Times New Roman"/>
          <w:sz w:val="20"/>
        </w:rPr>
        <w:t>[29]</w:t>
      </w:r>
      <w:r w:rsidR="007E50C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8951DE">
        <w:rPr>
          <w:rFonts w:ascii="Times New Roman" w:eastAsia="Times New Roman" w:hAnsi="Times New Roman" w:cs="Times New Roman"/>
          <w:sz w:val="20"/>
          <w:szCs w:val="20"/>
        </w:rPr>
        <w:t xml:space="preserve">That </w:t>
      </w: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directly detects </w:t>
      </w:r>
      <w:proofErr w:type="spellStart"/>
      <w:r>
        <w:rPr>
          <w:rFonts w:ascii="Times New Roman" w:eastAsia="Times New Roman" w:hAnsi="Times New Roman" w:cs="Times New Roman"/>
          <w:sz w:val="20"/>
          <w:szCs w:val="20"/>
        </w:rPr>
        <w:t>carbapenemase</w:t>
      </w:r>
      <w:proofErr w:type="spellEnd"/>
      <w:r>
        <w:rPr>
          <w:rFonts w:ascii="Times New Roman" w:eastAsia="Times New Roman" w:hAnsi="Times New Roman" w:cs="Times New Roman"/>
          <w:sz w:val="20"/>
          <w:szCs w:val="20"/>
        </w:rPr>
        <w:t xml:space="preserve"> activity, providing a more functional assessment of resistance</w:t>
      </w:r>
      <w:r w:rsidR="008951DE">
        <w:rPr>
          <w:rFonts w:ascii="Times New Roman" w:eastAsia="Times New Roman" w:hAnsi="Times New Roman" w:cs="Times New Roman"/>
          <w:sz w:val="20"/>
          <w:szCs w:val="20"/>
        </w:rPr>
        <w:t xml:space="preserve"> makes practical advantages of MALDI-</w:t>
      </w:r>
      <w:proofErr w:type="spellStart"/>
      <w:r w:rsidR="008951DE">
        <w:rPr>
          <w:rFonts w:ascii="Times New Roman" w:eastAsia="Times New Roman" w:hAnsi="Times New Roman" w:cs="Times New Roman"/>
          <w:sz w:val="20"/>
          <w:szCs w:val="20"/>
        </w:rPr>
        <w:t>TOF</w:t>
      </w:r>
      <w:proofErr w:type="spellEnd"/>
      <w:r w:rsidR="008951DE">
        <w:rPr>
          <w:rFonts w:ascii="Times New Roman" w:eastAsia="Times New Roman" w:hAnsi="Times New Roman" w:cs="Times New Roman"/>
          <w:sz w:val="20"/>
          <w:szCs w:val="20"/>
        </w:rPr>
        <w:t xml:space="preserve"> MS for routine diagnostic microbiology </w:t>
      </w:r>
      <w:r w:rsidR="008951DE">
        <w:rPr>
          <w:rFonts w:ascii="Times New Roman" w:eastAsia="Times New Roman" w:hAnsi="Times New Roman" w:cs="Times New Roman"/>
          <w:sz w:val="20"/>
          <w:szCs w:val="20"/>
        </w:rPr>
        <w:fldChar w:fldCharType="begin"/>
      </w:r>
      <w:r w:rsidR="008951DE">
        <w:rPr>
          <w:rFonts w:ascii="Times New Roman" w:eastAsia="Times New Roman" w:hAnsi="Times New Roman" w:cs="Times New Roman"/>
          <w:sz w:val="20"/>
          <w:szCs w:val="20"/>
        </w:rPr>
        <w:instrText xml:space="preserve"> ADDIN ZOTERO_ITEM CSL_CITATION {"citationID":"8ygO0e2K","properties":{"formattedCitation":"[29]","plainCitation":"[29]","noteIndex":0},"citationItems":[{"id":1140,"uris":["http://zotero.org/users/12998224/items/JK4WCSMU"],"itemData":{"id":1140,"type":"article-journal","abstract":"PURPOSE: We aimed to develop a new procedure for rapid detection of the carbapenemase activity using MALDI-TOF MS, and to determine the sensitivity and specificity of the method. Also, we aimed to determine the distribution of carbapenemase genes among the K.pneumoniae strains isolated in our hospital using real-time PCR.\nMETHOD: Between January 2017-February 2019; K. pneumoniae strains(n = 74) isolated from blood culture samples were included. Klebsiella pneumoniae NCTC 13438 was used as a positive control and Escherichia coli ATCC 25922 as a negative control. First, Imipenem, meropenem, and ertapenem MIC values of strains were determined. Then blaKPC, blaOXA-48, and/or blaNDM genes were investigated with PCR. Carbapenemase activity was investigated in strains with the newly developed method using MALDI-TOF MS. The performance of the new method was evaluated for both the second and fourth hours of the incubation period.\nRESULTS: While 65 strains were found resistant to tested carbapenems, nine of them were susceptible. Of the 65 resistant strains, 57 had blaOXA-48, 15 had blaNDM, and four had blaKPC genes. BlaOXA-48 and blaNDM genes were detected together in 11 strains. BlaOXA-48, blaNDM, and blaKPC genes were not detected in any of the susceptible strains. The sensitivity and specificity of MALDI-TOF MS at the second hour were 83.1% and 100%, respectively. At the fourth hour, the sensitivity and specificity of MALDI-TOF MS were 100%. No false-positive results were observed.\nCONCLUSION: The sensitivity of the method at the fourth hour was better than the second hour. The false-negative results observed in the second hour disappeared when the incubation period was extended to 4 h. MALDI-TOF MS which is still under development is a fast, cost-effective, promising method for the detection of carbapenemase activity.","container-title":"Indian Journal of Medical Microbiology","DOI":"10.1016/j.ijmmb.2021.03.013","ISSN":"1998-3646","issue":"3","journalAbbreviation":"Indian J Med Microbiol","language":"eng","note":"PMID: 33824061","page":"300-305","source":"PubMed","title":"Investigation of the presence of carbapenemases in carbapenem-resistant Klebsiella pneumoniae strains by MALDI-TOF MS (matrix-assisted laser desorption ionization-time of flight mass spectrometry) and comparison with real-time PCR method","volume":"39","author":[{"family":"Yaşar-Duman","given":"Melike"},{"family":"Çilli","given":"Fatma Feriha"}],"issued":{"date-parts":[["2021",7]]}}}],"schema":"https://github.com/citation-style-language/schema/raw/master/csl-citation.json"} </w:instrText>
      </w:r>
      <w:r w:rsidR="008951DE">
        <w:rPr>
          <w:rFonts w:ascii="Times New Roman" w:eastAsia="Times New Roman" w:hAnsi="Times New Roman" w:cs="Times New Roman"/>
          <w:sz w:val="20"/>
          <w:szCs w:val="20"/>
        </w:rPr>
        <w:fldChar w:fldCharType="separate"/>
      </w:r>
      <w:r w:rsidR="008951DE" w:rsidRPr="007E50C8">
        <w:rPr>
          <w:rFonts w:ascii="Times New Roman" w:hAnsi="Times New Roman" w:cs="Times New Roman"/>
          <w:sz w:val="20"/>
        </w:rPr>
        <w:t>[29]</w:t>
      </w:r>
      <w:r w:rsidR="008951DE">
        <w:rPr>
          <w:rFonts w:ascii="Times New Roman" w:eastAsia="Times New Roman" w:hAnsi="Times New Roman" w:cs="Times New Roman"/>
          <w:sz w:val="20"/>
          <w:szCs w:val="20"/>
        </w:rPr>
        <w:fldChar w:fldCharType="end"/>
      </w:r>
      <w:r w:rsidR="008951DE">
        <w:rPr>
          <w:rFonts w:ascii="Times New Roman" w:eastAsia="Times New Roman" w:hAnsi="Times New Roman" w:cs="Times New Roman"/>
          <w:sz w:val="20"/>
          <w:szCs w:val="20"/>
        </w:rPr>
        <w:t>.</w:t>
      </w:r>
    </w:p>
    <w:p w14:paraId="5F63F875" w14:textId="037EA9A5"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can be used to detect methicillin resistance in bacteria, specifically by identifying unique protein markers associated with resistant strains like MRSA through their distinct mass-to-charge ratio in the mass spectrum; this allows for rapid identification of resistant bacteria compared to traditional culture methods </w:t>
      </w:r>
      <w:r w:rsidR="007E50C8">
        <w:rPr>
          <w:rFonts w:ascii="Times New Roman" w:eastAsia="Times New Roman" w:hAnsi="Times New Roman" w:cs="Times New Roman"/>
          <w:sz w:val="20"/>
          <w:szCs w:val="20"/>
        </w:rPr>
        <w:fldChar w:fldCharType="begin"/>
      </w:r>
      <w:r w:rsidR="007E50C8">
        <w:rPr>
          <w:rFonts w:ascii="Times New Roman" w:eastAsia="Times New Roman" w:hAnsi="Times New Roman" w:cs="Times New Roman"/>
          <w:sz w:val="20"/>
          <w:szCs w:val="20"/>
        </w:rPr>
        <w:instrText xml:space="preserve"> ADDIN ZOTERO_ITEM CSL_CITATION {"citationID":"3ua2Ivxe","properties":{"formattedCitation":"[22]","plainCitation":"[22]","noteIndex":0},"citationItems":[{"id":1087,"uris":["http://zotero.org/users/12998224/items/2X672U4S"],"itemData":{"id":1087,"type":"article-journal","abstract":"&lt;p&gt;Several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7E50C8">
        <w:rPr>
          <w:rFonts w:ascii="Times New Roman" w:eastAsia="Times New Roman" w:hAnsi="Times New Roman" w:cs="Times New Roman"/>
          <w:sz w:val="20"/>
          <w:szCs w:val="20"/>
        </w:rPr>
        <w:fldChar w:fldCharType="separate"/>
      </w:r>
      <w:r w:rsidR="007E50C8" w:rsidRPr="007E50C8">
        <w:rPr>
          <w:rFonts w:ascii="Times New Roman" w:hAnsi="Times New Roman" w:cs="Times New Roman"/>
          <w:sz w:val="20"/>
        </w:rPr>
        <w:t>[22]</w:t>
      </w:r>
      <w:r w:rsidR="007E50C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Detecting penicillin-binding protein </w:t>
      </w:r>
      <w:proofErr w:type="spellStart"/>
      <w:r>
        <w:rPr>
          <w:rFonts w:ascii="Times New Roman" w:eastAsia="Times New Roman" w:hAnsi="Times New Roman" w:cs="Times New Roman"/>
          <w:sz w:val="20"/>
          <w:szCs w:val="20"/>
        </w:rPr>
        <w:t>2a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PBP2a</w:t>
      </w:r>
      <w:proofErr w:type="spellEnd"/>
      <w:r>
        <w:rPr>
          <w:rFonts w:ascii="Times New Roman" w:eastAsia="Times New Roman" w:hAnsi="Times New Roman" w:cs="Times New Roman"/>
          <w:sz w:val="20"/>
          <w:szCs w:val="20"/>
        </w:rPr>
        <w:t xml:space="preserve">) is a common method for identifying MRSA. Initial studies of </w:t>
      </w:r>
      <w:proofErr w:type="spellStart"/>
      <w:r>
        <w:rPr>
          <w:rFonts w:ascii="Times New Roman" w:eastAsia="Times New Roman" w:hAnsi="Times New Roman" w:cs="Times New Roman"/>
          <w:sz w:val="20"/>
          <w:szCs w:val="20"/>
        </w:rPr>
        <w:t>PBP2a</w:t>
      </w:r>
      <w:proofErr w:type="spellEnd"/>
      <w:r>
        <w:rPr>
          <w:rFonts w:ascii="Times New Roman" w:eastAsia="Times New Roman" w:hAnsi="Times New Roman" w:cs="Times New Roman"/>
          <w:sz w:val="20"/>
          <w:szCs w:val="20"/>
        </w:rPr>
        <w:t xml:space="preserve"> revealed the presence of glycan modifications, which contribute to the complexity of this resistance protein and present challenges for drug resistance detection. To address this, a proof-of-concept tandem MS method was developed, involving the generation of N-terminal </w:t>
      </w:r>
      <w:proofErr w:type="spellStart"/>
      <w:r>
        <w:rPr>
          <w:rFonts w:ascii="Times New Roman" w:eastAsia="Times New Roman" w:hAnsi="Times New Roman" w:cs="Times New Roman"/>
          <w:sz w:val="20"/>
          <w:szCs w:val="20"/>
        </w:rPr>
        <w:t>PBP2a</w:t>
      </w:r>
      <w:proofErr w:type="spellEnd"/>
      <w:r>
        <w:rPr>
          <w:rFonts w:ascii="Times New Roman" w:eastAsia="Times New Roman" w:hAnsi="Times New Roman" w:cs="Times New Roman"/>
          <w:sz w:val="20"/>
          <w:szCs w:val="20"/>
        </w:rPr>
        <w:t xml:space="preserve"> peptide-like fragments and the detection of unique ions through top-down proteomic analysis. This approach successfully identified two </w:t>
      </w:r>
      <w:proofErr w:type="spellStart"/>
      <w:r>
        <w:rPr>
          <w:rFonts w:ascii="Times New Roman" w:eastAsia="Times New Roman" w:hAnsi="Times New Roman" w:cs="Times New Roman"/>
          <w:sz w:val="20"/>
          <w:szCs w:val="20"/>
        </w:rPr>
        <w:t>PBP2a</w:t>
      </w:r>
      <w:proofErr w:type="spellEnd"/>
      <w:r>
        <w:rPr>
          <w:rFonts w:ascii="Times New Roman" w:eastAsia="Times New Roman" w:hAnsi="Times New Roman" w:cs="Times New Roman"/>
          <w:sz w:val="20"/>
          <w:szCs w:val="20"/>
        </w:rPr>
        <w:t xml:space="preserve"> variants, </w:t>
      </w:r>
      <w:proofErr w:type="spellStart"/>
      <w:r>
        <w:rPr>
          <w:rFonts w:ascii="Times New Roman" w:eastAsia="Times New Roman" w:hAnsi="Times New Roman" w:cs="Times New Roman"/>
          <w:sz w:val="20"/>
          <w:szCs w:val="20"/>
        </w:rPr>
        <w:t>PBP2amecA</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PBP2amecC</w:t>
      </w:r>
      <w:proofErr w:type="spellEnd"/>
      <w:r>
        <w:rPr>
          <w:rFonts w:ascii="Times New Roman" w:eastAsia="Times New Roman" w:hAnsi="Times New Roman" w:cs="Times New Roman"/>
          <w:sz w:val="20"/>
          <w:szCs w:val="20"/>
        </w:rPr>
        <w:t xml:space="preserve">, across a panel of MRSA strains with diverse genetic backgrounds. Additionally, </w:t>
      </w:r>
      <w:proofErr w:type="spellStart"/>
      <w:r>
        <w:rPr>
          <w:rFonts w:ascii="Times New Roman" w:eastAsia="Times New Roman" w:hAnsi="Times New Roman" w:cs="Times New Roman"/>
          <w:sz w:val="20"/>
          <w:szCs w:val="20"/>
        </w:rPr>
        <w:t>PBP2amecA</w:t>
      </w:r>
      <w:proofErr w:type="spellEnd"/>
      <w:r>
        <w:rPr>
          <w:rFonts w:ascii="Times New Roman" w:eastAsia="Times New Roman" w:hAnsi="Times New Roman" w:cs="Times New Roman"/>
          <w:sz w:val="20"/>
          <w:szCs w:val="20"/>
        </w:rPr>
        <w:t xml:space="preserve"> was accurately detected in clinical isolates using a rapid five-minute liquid chromatography separation </w:t>
      </w:r>
      <w:r w:rsidR="007E50C8">
        <w:rPr>
          <w:rFonts w:ascii="Times New Roman" w:eastAsia="Times New Roman" w:hAnsi="Times New Roman" w:cs="Times New Roman"/>
          <w:sz w:val="20"/>
          <w:szCs w:val="20"/>
        </w:rPr>
        <w:fldChar w:fldCharType="begin"/>
      </w:r>
      <w:r w:rsidR="007E50C8">
        <w:rPr>
          <w:rFonts w:ascii="Times New Roman" w:eastAsia="Times New Roman" w:hAnsi="Times New Roman" w:cs="Times New Roman"/>
          <w:sz w:val="20"/>
          <w:szCs w:val="20"/>
        </w:rPr>
        <w:instrText xml:space="preserve"> ADDIN ZOTERO_ITEM CSL_CITATION {"citationID":"xDOoQVUl","properties":{"formattedCitation":"[30]","plainCitation":"[30]","noteIndex":0},"citationItems":[{"id":1142,"uris":["http://zotero.org/users/12998224/items/YWRBI2EU"],"itemData":{"id":1142,"type":"article-journal","abstract":"Treatment of antibiotic-resistant infections is dependent on the detection of specific bacterial genes or proteins in clinical assays. Identification of methicillin-resistant Staphylococcus aureus (MRSA) is often accomplished through the detection of penicillin-binding protein 2a (PBP2a). With greater dependence on mass spectrometry (MS)-based bacterial identification, complementary efforts to detect resistance have been hindered by the complexity of those proteins responsible. Initial characterization of PBP2a indicates the presence of glycan modifications. To simplify detection, we demonstrate a proof-of-concept tandem MS approach involving the generation of N-terminal PBP2a peptide-like fragments and detection of unique product ions during top-down proteomic sample analyses. This approach was implemented for two PBP2a variants, PBP2amecA and PBP2amecC, and was accurate across a representative panel of MRSA strains with different genetic backgrounds. Additionally, PBP2amecA was successfully detected from clinical isolates using a five-minute liquid chromatographic separation and implementation of this MS detection strategy. Our results highlight the capability of direct MS-based resistance marker detection and potential advantages for implementing these approaches in clinical diagnostics.","container-title":"Scientific Reports","DOI":"10.1038/s41598-021-97844-w","ISSN":"2045-2322","issue":"1","journalAbbreviation":"Sci Rep","language":"eng","note":"PMID: 34526615\nPMCID: PMC8443585","page":"18309","source":"PubMed","title":"Rapid MRSA detection via tandem mass spectrometry of the intact 80 kDa PBP2a resistance protein","volume":"11","author":[{"family":"Neil","given":"Jason R."},{"family":"Verma","given":"Arvind"},{"family":"Kronewitter","given":"Scott R."},{"family":"McGee","given":"William M."},{"family":"Mullen","given":"Christopher"},{"family":"Viirtola","given":"Marjaana"},{"family":"Kotovuori","given":"Annika"},{"family":"Friedrich","given":"Herdis"},{"family":"Finell","given":"Johan"},{"family":"Rannisto","given":"Joni"},{"family":"Syka","given":"John E. P."},{"family":"Stephenson","given":"James L."}],"issued":{"date-parts":[["2021",9,15]]}}}],"schema":"https://github.com/citation-style-language/schema/raw/master/csl-citation.json"} </w:instrText>
      </w:r>
      <w:r w:rsidR="007E50C8">
        <w:rPr>
          <w:rFonts w:ascii="Times New Roman" w:eastAsia="Times New Roman" w:hAnsi="Times New Roman" w:cs="Times New Roman"/>
          <w:sz w:val="20"/>
          <w:szCs w:val="20"/>
        </w:rPr>
        <w:fldChar w:fldCharType="separate"/>
      </w:r>
      <w:r w:rsidR="007E50C8" w:rsidRPr="007E50C8">
        <w:rPr>
          <w:rFonts w:ascii="Times New Roman" w:hAnsi="Times New Roman" w:cs="Times New Roman"/>
          <w:sz w:val="20"/>
        </w:rPr>
        <w:t>[30]</w:t>
      </w:r>
      <w:r w:rsidR="007E50C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These findings demonstrate the potential of direct MS-based detection of resistance markers and highlight the advantages of integrating such approaches into clinical diagnostics.</w:t>
      </w:r>
    </w:p>
    <w:p w14:paraId="4312F433" w14:textId="54963D5F" w:rsidR="007E50C8" w:rsidRDefault="007E50C8">
      <w:pPr>
        <w:spacing w:before="240" w:after="240" w:line="240" w:lineRule="auto"/>
        <w:ind w:firstLine="720"/>
        <w:jc w:val="both"/>
        <w:rPr>
          <w:rFonts w:ascii="Times New Roman" w:eastAsia="Times New Roman" w:hAnsi="Times New Roman" w:cs="Times New Roman"/>
          <w:sz w:val="20"/>
          <w:szCs w:val="20"/>
        </w:rPr>
      </w:pPr>
      <w:r w:rsidRPr="007E50C8">
        <w:rPr>
          <w:rFonts w:ascii="Times New Roman" w:eastAsia="Times New Roman" w:hAnsi="Times New Roman" w:cs="Times New Roman"/>
          <w:sz w:val="20"/>
          <w:szCs w:val="20"/>
        </w:rPr>
        <w:t>MALDI-</w:t>
      </w:r>
      <w:proofErr w:type="spellStart"/>
      <w:r w:rsidRPr="007E50C8">
        <w:rPr>
          <w:rFonts w:ascii="Times New Roman" w:eastAsia="Times New Roman" w:hAnsi="Times New Roman" w:cs="Times New Roman"/>
          <w:sz w:val="20"/>
          <w:szCs w:val="20"/>
        </w:rPr>
        <w:t>TOF</w:t>
      </w:r>
      <w:proofErr w:type="spellEnd"/>
      <w:r w:rsidRPr="007E50C8">
        <w:rPr>
          <w:rFonts w:ascii="Times New Roman" w:eastAsia="Times New Roman" w:hAnsi="Times New Roman" w:cs="Times New Roman"/>
          <w:sz w:val="20"/>
          <w:szCs w:val="20"/>
        </w:rPr>
        <w:t xml:space="preserve"> MS-based direct-on-target microdroplet growth assay (DOT-MGA) has been applied to detect methicillin resistance in Gram-positive bacteria. </w:t>
      </w:r>
      <w:r w:rsidR="008951DE">
        <w:rPr>
          <w:rFonts w:ascii="Times New Roman" w:eastAsia="Times New Roman" w:hAnsi="Times New Roman" w:cs="Times New Roman"/>
          <w:sz w:val="20"/>
          <w:szCs w:val="20"/>
        </w:rPr>
        <w:t>A</w:t>
      </w:r>
      <w:r w:rsidRPr="007E50C8">
        <w:rPr>
          <w:rFonts w:ascii="Times New Roman" w:eastAsia="Times New Roman" w:hAnsi="Times New Roman" w:cs="Times New Roman"/>
          <w:sz w:val="20"/>
          <w:szCs w:val="20"/>
        </w:rPr>
        <w:t xml:space="preserve"> study analyzed 14 consecutively collected MRSA strains, 14 MSSA strains, and a collection of MRSA challenge strains representing various </w:t>
      </w:r>
      <w:proofErr w:type="spellStart"/>
      <w:r w:rsidRPr="007E50C8">
        <w:rPr>
          <w:rFonts w:ascii="Times New Roman" w:eastAsia="Times New Roman" w:hAnsi="Times New Roman" w:cs="Times New Roman"/>
          <w:sz w:val="20"/>
          <w:szCs w:val="20"/>
        </w:rPr>
        <w:t>SCCmec</w:t>
      </w:r>
      <w:proofErr w:type="spellEnd"/>
      <w:r w:rsidRPr="007E50C8">
        <w:rPr>
          <w:rFonts w:ascii="Times New Roman" w:eastAsia="Times New Roman" w:hAnsi="Times New Roman" w:cs="Times New Roman"/>
          <w:sz w:val="20"/>
          <w:szCs w:val="20"/>
        </w:rPr>
        <w:t xml:space="preserve"> types, </w:t>
      </w:r>
      <w:proofErr w:type="spellStart"/>
      <w:r w:rsidRPr="007E50C8">
        <w:rPr>
          <w:rFonts w:ascii="Times New Roman" w:eastAsia="Times New Roman" w:hAnsi="Times New Roman" w:cs="Times New Roman"/>
          <w:sz w:val="20"/>
          <w:szCs w:val="20"/>
        </w:rPr>
        <w:t>mec</w:t>
      </w:r>
      <w:proofErr w:type="spellEnd"/>
      <w:r w:rsidRPr="007E50C8">
        <w:rPr>
          <w:rFonts w:ascii="Times New Roman" w:eastAsia="Times New Roman" w:hAnsi="Times New Roman" w:cs="Times New Roman"/>
          <w:sz w:val="20"/>
          <w:szCs w:val="20"/>
        </w:rPr>
        <w:t xml:space="preserve"> genes, and spa types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{"citationID":"dx3Dnmc3","properties":{"formattedCitation":"[31]","plainCitation":"[31]","noteIndex":0},"citationItems":[{"id":1145,"uris":["http://zotero.org/users/12998224/items/2KWMV97Z"],"itemData":{"id":1145,"type":"article-journal","abstract":"Matrix-assisted laser desorption/ionization time-of-flight-mass spectrometry (MALDI-TOF MS)-based direct-on-target microdroplet growth assay (DOT-MGA) was recently described as a novel method of phenotypic antimicrobial susceptibility testing (AST). Here, we developed the application of MALDI-TOF MS-based DOT-MGA for Gram-positive bacteria including AST from agar cultures and directly from positive blood cultures (BCs) using the detection of methicillin resistance as example. Consecutively collected, a total of 14 methicillin-resistant Staphylococcus aureus (MRSA) and 14 methicillin-susceptible S. aureus (MSSA) clinical isolates were included. Furthermore, a collection of MRSA challenge strains comprising different SCCmec types, mec genes, and spa types was tested. Blood samples were spiked with MRSA and MSSA and positive BC broth processed by three different methods: serial dilution of BC broth, lysis/centrifugation, and differential centrifugation. Processed BC broth was directly used for rapid AST using DOT-MGA. Droplets of 6 μl with and without cefoxitin at the EUCAST breakpoint concentration were spotted in triplicates onto the surface of a MALDI target. Targets were incubated in a humidity chamber, followed by medium removal and on-target protein extraction with formic acid before adding matrix with an internal standard as a quality control (QC). Spectra were acquired and evaluated using MALDI Biotyper software. First, tests were considered as valid, if the growth control achieved an identification score of ≥1.7. For valid tests, same score criterion was used for resistant isolates when incubated with cefoxitin. An identification score &lt;1.7 after incubation with cefoxitin defined susceptible isolates. On-target protein extraction using formic acid considerably improved detection of methicillin resistance in S. aureus and DOT-MGA showed feasible results for AST from agar cultures after 4 h incubation time. Comparing the different processing methods of positive BC broth, lysis/centrifugation method with a final dilution step 10-1 of the 0.5 McFarland suspension resulted in best test performance after 4 h incubation time. Overall, 96.4% test validity, 100% sensitivity, and 100% specificity were achieved for detection of methicillin resistance in clinical isolates. All strains of the MRSA challenge collection were successfully tested as methicillin-resistant. This first study on Gram-positive organisms showed feasibility and accuracy of MALDI-TOF MS-based DOT-MGA for rapid AST of S. aureus from agar cultures and directly from positive BCs.","container-title":"Frontiers in Microbiology","DOI":"10.3389/fmicb.2020.00232","ISSN":"1664-302X","journalAbbreviation":"Front Microbiol","language":"eng","note":"PMID: 32117194\nPMCID: PMC7033577","page":"232","source":"PubMed","title":"Detection of Methicillin Resistance in Staphylococcus aureus From Agar Cultures and Directly From Positive Blood Cultures Using MALDI-TOF Mass Spectrometry-Based Direct-on-Target Microdroplet Growth Assay","volume":"11","author":[{"family":"Nix","given":"Ilka D."},{"family":"Idelevich","given":"Evgeny A."},{"family":"Storck","given":"Luise M."},{"family":"Sparbier","given":"Katrin"},{"family":"Drews","given":"Oliver"},{"family":"Kostrzewa","given":"Markus"},{"family":"Becker","given":"Karsten"}],"issued":{"date-parts":[["2020"]]}}}],"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[31]</w:t>
      </w:r>
      <w:r w:rsidR="00A34857">
        <w:rPr>
          <w:rFonts w:ascii="Times New Roman" w:eastAsia="Times New Roman" w:hAnsi="Times New Roman" w:cs="Times New Roman"/>
          <w:sz w:val="20"/>
          <w:szCs w:val="20"/>
        </w:rPr>
        <w:fldChar w:fldCharType="end"/>
      </w:r>
      <w:r w:rsidRPr="007E50C8">
        <w:rPr>
          <w:rFonts w:ascii="Times New Roman" w:eastAsia="Times New Roman" w:hAnsi="Times New Roman" w:cs="Times New Roman"/>
          <w:sz w:val="20"/>
          <w:szCs w:val="20"/>
        </w:rPr>
        <w:t xml:space="preserve">. Spectra were acquired and evaluated using MALDI </w:t>
      </w:r>
      <w:proofErr w:type="spellStart"/>
      <w:r w:rsidRPr="007E50C8">
        <w:rPr>
          <w:rFonts w:ascii="Times New Roman" w:eastAsia="Times New Roman" w:hAnsi="Times New Roman" w:cs="Times New Roman"/>
          <w:sz w:val="20"/>
          <w:szCs w:val="20"/>
        </w:rPr>
        <w:t>Biotyper</w:t>
      </w:r>
      <w:proofErr w:type="spellEnd"/>
      <w:r w:rsidRPr="007E50C8">
        <w:rPr>
          <w:rFonts w:ascii="Times New Roman" w:eastAsia="Times New Roman" w:hAnsi="Times New Roman" w:cs="Times New Roman"/>
          <w:sz w:val="20"/>
          <w:szCs w:val="20"/>
        </w:rPr>
        <w:t xml:space="preserve"> software. The test was considered valid if the growth control achieved an identification score of ≥1.7, while susceptible isolates were classified with an identification score of &lt;1.7. The method demonstrated a test validity of 96.4%, along with 100% sensitivity and 100% specificity in detecting methicillin resistance in clinical isolates. Furthermore, all strains in the MRSA challenge collection were successfully identified as methicillin-resistant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{"citationID":"HRZ6BWNb","properties":{"formattedCitation":"[31]","plainCitation":"[31]","noteIndex":0},"citationItems":[{"id":1145,"uris":["http://zotero.org/users/12998224/items/2KWMV97Z"],"itemData":{"id":1145,"type":"article-journal","abstract":"Matrix-assisted laser desorption/ionization time-of-flight-mass spectrometry (MALDI-TOF MS)-based direct-on-target microdroplet growth assay (DOT-MGA) was recently described as a novel method of phenotypic antimicrobial susceptibility testing (AST). Here, we developed the application of MALDI-TOF MS-based DOT-MGA for Gram-positive bacteria including AST from agar cultures and directly from positive blood cultures (BCs) using the detection of methicillin resistance as example. Consecutively collected, a total of 14 methicillin-resistant Staphylococcus aureus (MRSA) and 14 methicillin-susceptible S. aureus (MSSA) clinical isolates were included. Furthermore, a collection of MRSA challenge strains comprising different SCCmec types, mec genes, and spa types was tested. Blood samples were spiked with MRSA and MSSA and positive BC broth processed by three different methods: serial dilution of BC broth, lysis/centrifugation, and differential centrifugation. Processed BC broth was directly used for rapid AST using DOT-MGA. Droplets of 6 μl with and without cefoxitin at the EUCAST breakpoint concentration were spotted in triplicates onto the surface of a MALDI target. Targets were incubated in a humidity chamber, followed by medium removal and on-target protein extraction with formic acid before adding matrix with an internal standard as a quality control (QC). Spectra were acquired and evaluated using MALDI Biotyper software. First, tests were considered as valid, if the growth control achieved an identification score of ≥1.7. For valid tests, same score criterion was used for resistant isolates when incubated with cefoxitin. An identification score &lt;1.7 after incubation with cefoxitin defined susceptible isolates. On-target protein extraction using formic acid considerably improved detection of methicillin resistance in S. aureus and DOT-MGA showed feasible results for AST from agar cultures after 4 h incubation time. Comparing the different processing methods of positive BC broth, lysis/centrifugation method with a final dilution step 10-1 of the 0.5 McFarland suspension resulted in best test performance after 4 h incubation time. Overall, 96.4% test validity, 100% sensitivity, and 100% specificity were achieved for detection of methicillin resistance in clinical isolates. All strains of the MRSA challenge collection were successfully tested as methicillin-resistant. This first study on Gram-positive organisms showed feasibility and accuracy of MALDI-TOF MS-based DOT-MGA for rapid AST of S. aureus from agar cultures and directly from positive BCs.","container-title":"Frontiers in Microbiology","DOI":"10.3389/fmicb.2020.00232","ISSN":"1664-302X","journalAbbreviation":"Front Microbiol","language":"eng","note":"PMID: 32117194\nPMCID: PMC7033577","page":"232","source":"PubMed","title":"Detection of Methicillin Resistance in Staphylococcus aureus From Agar Cultures and Directly From Positive Blood Cultures Using MALDI-TOF Mass Spectrometry-Based Direct-on-Target Microdroplet Growth Assay","volume":"11","author":[{"family":"Nix","given":"Ilka D."},{"family":"Idelevich","given":"Evgeny A."},{"family":"Storck","given":"Luise M."},{"family":"Sparbier","given":"Katrin"},{"family":"Drews","given":"Oliver"},{"family":"Kostrzewa","given":"Markus"},{"family":"Becker","given":"Karsten"}],"issued":{"date-parts":[["2020"]]}}}],"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[31]</w:t>
      </w:r>
      <w:r w:rsidR="00A34857">
        <w:rPr>
          <w:rFonts w:ascii="Times New Roman" w:eastAsia="Times New Roman" w:hAnsi="Times New Roman" w:cs="Times New Roman"/>
          <w:sz w:val="20"/>
          <w:szCs w:val="20"/>
        </w:rPr>
        <w:fldChar w:fldCharType="end"/>
      </w:r>
      <w:r w:rsidRPr="007E50C8">
        <w:rPr>
          <w:rFonts w:ascii="Times New Roman" w:eastAsia="Times New Roman" w:hAnsi="Times New Roman" w:cs="Times New Roman"/>
          <w:sz w:val="20"/>
          <w:szCs w:val="20"/>
        </w:rPr>
        <w:t>. This highlights the potential of MALDI-</w:t>
      </w:r>
      <w:proofErr w:type="spellStart"/>
      <w:r w:rsidRPr="007E50C8">
        <w:rPr>
          <w:rFonts w:ascii="Times New Roman" w:eastAsia="Times New Roman" w:hAnsi="Times New Roman" w:cs="Times New Roman"/>
          <w:sz w:val="20"/>
          <w:szCs w:val="20"/>
        </w:rPr>
        <w:t>TOF</w:t>
      </w:r>
      <w:proofErr w:type="spellEnd"/>
      <w:r w:rsidRPr="007E50C8">
        <w:rPr>
          <w:rFonts w:ascii="Times New Roman" w:eastAsia="Times New Roman" w:hAnsi="Times New Roman" w:cs="Times New Roman"/>
          <w:sz w:val="20"/>
          <w:szCs w:val="20"/>
        </w:rPr>
        <w:t xml:space="preserve"> MS combined with DOT-MGA as a reliable and accurate method for detecting methicillin resistance in clinical settings.</w:t>
      </w:r>
    </w:p>
    <w:p w14:paraId="35929921" w14:textId="77777777" w:rsidR="00CF00F8" w:rsidRDefault="00000000">
      <w:pPr>
        <w:pStyle w:val="Heading2"/>
        <w:rPr>
          <w:rFonts w:ascii="Times New Roman" w:eastAsia="Times New Roman" w:hAnsi="Times New Roman" w:cs="Times New Roman"/>
          <w:b/>
          <w:sz w:val="20"/>
          <w:szCs w:val="20"/>
        </w:rPr>
      </w:pPr>
      <w:bookmarkStart w:id="18" w:name="_Toc191553260"/>
      <w:proofErr w:type="spellStart"/>
      <w:r>
        <w:rPr>
          <w:rFonts w:ascii="Times New Roman" w:eastAsia="Times New Roman" w:hAnsi="Times New Roman" w:cs="Times New Roman"/>
          <w:b/>
          <w:color w:val="000000"/>
          <w:sz w:val="20"/>
          <w:szCs w:val="20"/>
        </w:rPr>
        <w:t>IV.B</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Targeted proteomic and lipidomic analyses to identify resistance-conferring mutations or genes</w:t>
      </w:r>
      <w:bookmarkEnd w:id="18"/>
    </w:p>
    <w:p w14:paraId="54095F8D" w14:textId="5767AC10"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is used to analyze bacterial proteomes by identifying and quantifying the proteins present in a bacterial cell, allowing researchers to detect proteins specifically associated with antibiotic resistance, essentially acting as biomarkers for identifying resistant bacterial strains by comparing their protein profiles to known susceptible bacteria; this approach is crucial for understanding the mechanisms of resistance and developing new therapeutic strategies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{"citationID":"CEBlRWsO","properties":{"formattedCitation":"[32]","plainCitation":"[32]","noteIndex":0},"citationItems":[{"id":1148,"uris":["http://zotero.org/users/12998224/items/PBF5Q5Y2"],"itemData":{"id":1148,"type":"article-journal","abstract":"AIMS: The identification and differentiation of antibiotic-resistant bacteria by matrix-assisted laser desorption/ionization-time of flight-mass spectrometry (MALDI-TOF-MS) profiling remains a challenge due to the difficulty in detecting unique protein biomarkers associated with this trait. To expand the detectable proteome in antibiotic-resistant bacteria, we describe a method implementing offline LC protein separation/fractionation prior to MALDI-ToF-MS and top-down MALDI-ToF/ToF-MS (tandem MS or MS/MS) for the analysis of several antibiotic-resistant Escherichia coli isolates.\nMETHODS AND RESULTS: Coupling offline LC with MALDI-ToF-MS increased the number of detected protein signals in the typically analyzed mass regions (m/z 3000-20 000) by a factor of 13. Using the developed LC-MALDI-ToF-MS protocol in conjunction with supervised principal components analysis, we detected a protein biomarker at m/z 9355 which correlated to β-lactam resistance among the E. coli bacteria tested. Implementing a top-down MALDI-ToF/ToF-MS approach, the prefractionated protein biomarker was inferred as a DNA-binding HU protein, likely translated from the blaCMY-2 gene (encoding AmpC-type β-lactamase) in the incompatibility plasmid complex A/C (IncA/C).\nCONCLUSIONS: Our results demonstrate the utility of LC-MALDI-MS and MS/MS to extend the number of proteins detected and perform MALDI-accessible protein biomarker discovery in microorganisms.\nSIGNIFICANCE AND IMPACT OF THE STUDY: This outcome is significant since it expands the detectable bacterial proteome via MALDI-ToF-MS.","container-title":"Journal of Applied Microbiology","DOI":"10.1111/jam.14507","ISSN":"1365-2672","issue":"3","journalAbbreviation":"J Appl Microbiol","language":"eng","note":"PMID: 31715076\nPMCID: PMC7444928","page":"697-709","source":"PubMed","title":"Detection and identification of a protein biomarker in antibiotic-resistant Escherichia coli using intact protein LC offline MALDI-MS and MS/MS","volume":"128","author":[{"family":"Maus","given":"A."},{"family":"Bisha","given":"B."},{"family":"Fagerquist","given":"C."},{"family":"Basile","given":"F."}],"issued":{"date-parts":[["2020",3]]}}}],"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[32]</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06A398E4" w14:textId="07AE509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Proteomic studies, which investigate the metabolic and protein composition of microorganisms on a global scale, have facilitated the development of high-throughput proteomic technologies to analyze and quantify proteins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{"citationID":"1pXhpO8p","properties":{"formattedCitation":"[33]","plainCitation":"[33]","noteIndex":0},"citationItems":[{"id":1151,"uris":["http://zotero.org/users/12998224/items/MDAQV4DL"],"itemData":{"id":1151,"type":"article-journal","abstract":"Proteomics is the complete evaluation of the function and structure of proteins to understand an organism's nature. Mass spectrometry is an essential tool that is used for profiling proteins in the cell. However, biomarker discovery remains the major challenge of proteomics because of their complexity and dynamicity. Therefore, combining the proteomics approach with genomics and bioinformatics will provide an understanding of the information of biological systems and their disease alteration. However, most studies have investigated a small part of the proteins in the blood. This review highlights the types of proteomics, the available proteomic techniques, and their applications in different research fields.","container-title":"World Journal of Biological Chemistry","DOI":"10.4331/wjbc.v12.i5.57","ISSN":"1949-8454","issue":"5","journalAbbreviation":"World J Biol Chem","language":"eng","note":"PMID: 34630910\nPMCID: PMC8473418","page":"57-69","source":"PubMed","title":"Proteomics: Concepts and applications in human medicine","title-short":"Proteomics","volume":"12","author":[{"family":"Al-Amrani","given":"Safa"},{"family":"Al-Jabri","given":"Zaaima"},{"family":"Al-Zaabi","given":"Adhari"},{"family":"Alshekaili","given":"Jalila"},{"family":"Al-Khabori","given":"Murtadha"}],"issued":{"date-parts":[["2021",9,27]]}}}],"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[33]</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MS-based proteomic approaches, including gel-based and gel-free methods, enable researchers to study bacterial regulatory mechanisms, protein modifications, and interactions, offering valuable insights into antimicrobial </w:t>
      </w:r>
      <w:r>
        <w:rPr>
          <w:rFonts w:ascii="Times New Roman" w:eastAsia="Times New Roman" w:hAnsi="Times New Roman" w:cs="Times New Roman"/>
          <w:sz w:val="20"/>
          <w:szCs w:val="20"/>
        </w:rPr>
        <w:lastRenderedPageBreak/>
        <w:t xml:space="preserve">resistance mechanisms. Techniques such as </w:t>
      </w:r>
      <w:proofErr w:type="spellStart"/>
      <w:r>
        <w:rPr>
          <w:rFonts w:ascii="Times New Roman" w:eastAsia="Times New Roman" w:hAnsi="Times New Roman" w:cs="Times New Roman"/>
          <w:sz w:val="20"/>
          <w:szCs w:val="20"/>
        </w:rPr>
        <w:t>2D</w:t>
      </w:r>
      <w:proofErr w:type="spellEnd"/>
      <w:r>
        <w:rPr>
          <w:rFonts w:ascii="Times New Roman" w:eastAsia="Times New Roman" w:hAnsi="Times New Roman" w:cs="Times New Roman"/>
          <w:sz w:val="20"/>
          <w:szCs w:val="20"/>
        </w:rPr>
        <w:t xml:space="preserve"> gel electrophoresis and its advanced variant, </w:t>
      </w:r>
      <w:proofErr w:type="spellStart"/>
      <w:r>
        <w:rPr>
          <w:rFonts w:ascii="Times New Roman" w:eastAsia="Times New Roman" w:hAnsi="Times New Roman" w:cs="Times New Roman"/>
          <w:sz w:val="20"/>
          <w:szCs w:val="20"/>
        </w:rPr>
        <w:t>2D</w:t>
      </w:r>
      <w:proofErr w:type="spellEnd"/>
      <w:r>
        <w:rPr>
          <w:rFonts w:ascii="Times New Roman" w:eastAsia="Times New Roman" w:hAnsi="Times New Roman" w:cs="Times New Roman"/>
          <w:sz w:val="20"/>
          <w:szCs w:val="20"/>
        </w:rPr>
        <w:t xml:space="preserve">-DIGE, have been used to separate and identify proteins, though their sensitivity is limited for small protein quantities or post-translational modifications. Alternatively, gel-free, label-free proteomics, coupled with MS/MS and liquid chromatography (LC), allows for a broader quantification of proteins with simpler sample preparation and large-scale data accumulation. Quantitative proteomics using MS also supports both relative and absolute protein quantification through labeling techniques like </w:t>
      </w:r>
      <w:proofErr w:type="spellStart"/>
      <w:r>
        <w:rPr>
          <w:rFonts w:ascii="Times New Roman" w:eastAsia="Times New Roman" w:hAnsi="Times New Roman" w:cs="Times New Roman"/>
          <w:sz w:val="20"/>
          <w:szCs w:val="20"/>
        </w:rPr>
        <w:t>SILAC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iTRAQ</w:t>
      </w:r>
      <w:proofErr w:type="spellEnd"/>
      <w:r>
        <w:rPr>
          <w:rFonts w:ascii="Times New Roman" w:eastAsia="Times New Roman" w:hAnsi="Times New Roman" w:cs="Times New Roman"/>
          <w:sz w:val="20"/>
          <w:szCs w:val="20"/>
        </w:rPr>
        <w:t xml:space="preserve">, and TMT, which enable the identification of differentially expressed proteins under various conditions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{"citationID":"NTxrbpGG","properties":{"formattedCitation":"[34]","plainCitation":"[34]","noteIndex":0},"citationItems":[{"id":1154,"uris":["http://zotero.org/users/12998224/items/EIACRDLW"],"itemData":{"id":1154,"type":"article-journal","abstract":"Sequences of the genomes of all-important bacterial pathogens of man, plants, and animals have been completed. Still, it is not enough to achieve complete information of all the mechanisms controlling the biological processes of an organism. Along with all advances in different proteomics technologies, proteomics has completed our knowledge of biological processes all around the world. Proteomics is a valuable technique to explain the complement of proteins in any organism. One of the fields that has been notably benefited from other systems approaches is bacterial pathogenesis. An emerging field is to use proteomics to examine the infectious agents in terms of, among many, the response the host and pathogen to the infection process, which leads to a deeper knowledge of the mechanisms of bacterial virulence. This trend also enables us to identify quantitative measurements for proteins extracted from microorganisms. The present review study is an attempt to summarize a variety of different proteomic techniques and advances. The significant applications in bacterial pathogenesis studies are also covered. Moreover, the areas where proteomics may lead the future studies are introduced.","container-title":"Infection and Drug Resistance","DOI":"10.2147/IDR.S238446","ISSN":"1178-6973","journalAbbreviation":"Infect Drug Resist","language":"eng","note":"PMID: 32606829\nPMCID: PMC7305820","page":"1785-1806","source":"PubMed","title":"Proteomic Applications in Antimicrobial Resistance and Clinical Microbiology Studies","volume":"13","author":[{"family":"Khodadadi","given":"Ehsaneh"},{"family":"Zeinalzadeh","given":"Elham"},{"family":"Taghizadeh","given":"Sepehr"},{"family":"Mehramouz","given":"Bahareh"},{"family":"Kamounah","given":"Fadhil S."},{"family":"Khodadadi","given":"Ehsan"},{"family":"Ganbarov","given":"Khudaverdi"},{"family":"Yousefi","given":"Bahman"},{"family":"Bastami","given":"Milad"},{"family":"Kafil","given":"Hossein Samadi"}],"issued":{"date-parts":[["2020"]]}}}],"schema":"https://github.com/citation-style-language/schema/raw/master/csl-citation.json"}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[34]</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These methods have been instrumental in studying bacterial stress responses, microbial-host interactions, and the mechanisms of resistance, thus advancing our understanding of bacterial pathogenesis and facilitating the development of new diagnostic and therapeutic approaches.</w:t>
      </w:r>
    </w:p>
    <w:p w14:paraId="4D2D0F2F" w14:textId="105B899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can identify microbial biomarkers, including protein fragments obtained after trypsin digestion, that are associated with antimicrobial resistance. For instance, MRSA positive for the </w:t>
      </w:r>
      <w:proofErr w:type="spellStart"/>
      <w:r>
        <w:rPr>
          <w:rFonts w:ascii="Times New Roman" w:eastAsia="Times New Roman" w:hAnsi="Times New Roman" w:cs="Times New Roman"/>
          <w:sz w:val="20"/>
          <w:szCs w:val="20"/>
        </w:rPr>
        <w:t>agr</w:t>
      </w:r>
      <w:proofErr w:type="spellEnd"/>
      <w:r>
        <w:rPr>
          <w:rFonts w:ascii="Times New Roman" w:eastAsia="Times New Roman" w:hAnsi="Times New Roman" w:cs="Times New Roman"/>
          <w:sz w:val="20"/>
          <w:szCs w:val="20"/>
        </w:rPr>
        <w:t xml:space="preserve"> (accessory gene regulator) and harboring the class A </w:t>
      </w:r>
      <w:proofErr w:type="spellStart"/>
      <w:r>
        <w:rPr>
          <w:rFonts w:ascii="Times New Roman" w:eastAsia="Times New Roman" w:hAnsi="Times New Roman" w:cs="Times New Roman"/>
          <w:sz w:val="20"/>
          <w:szCs w:val="20"/>
        </w:rPr>
        <w:t>mec</w:t>
      </w:r>
      <w:proofErr w:type="spellEnd"/>
      <w:r>
        <w:rPr>
          <w:rFonts w:ascii="Times New Roman" w:eastAsia="Times New Roman" w:hAnsi="Times New Roman" w:cs="Times New Roman"/>
          <w:sz w:val="20"/>
          <w:szCs w:val="20"/>
        </w:rPr>
        <w:t xml:space="preserve"> complex was identified through the detection of the small peptide </w:t>
      </w:r>
      <w:proofErr w:type="spellStart"/>
      <w:r>
        <w:rPr>
          <w:rFonts w:ascii="Times New Roman" w:eastAsia="Times New Roman" w:hAnsi="Times New Roman" w:cs="Times New Roman"/>
          <w:sz w:val="20"/>
          <w:szCs w:val="20"/>
        </w:rPr>
        <w:t>PSM-mec</w:t>
      </w:r>
      <w:proofErr w:type="spellEnd"/>
      <w:r>
        <w:rPr>
          <w:rFonts w:ascii="Times New Roman" w:eastAsia="Times New Roman" w:hAnsi="Times New Roman" w:cs="Times New Roman"/>
          <w:sz w:val="20"/>
          <w:szCs w:val="20"/>
        </w:rPr>
        <w:t xml:space="preserve"> in whole cells. Similarly, resistance markers such as peptide fragments linked to beta-lactamases (</w:t>
      </w:r>
      <w:proofErr w:type="spellStart"/>
      <w:r>
        <w:rPr>
          <w:rFonts w:ascii="Times New Roman" w:eastAsia="Times New Roman" w:hAnsi="Times New Roman" w:cs="Times New Roman"/>
          <w:sz w:val="20"/>
          <w:szCs w:val="20"/>
        </w:rPr>
        <w:t>CTX-M1</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CMY</w:t>
      </w:r>
      <w:proofErr w:type="spellEnd"/>
      <w:r>
        <w:rPr>
          <w:rFonts w:ascii="Times New Roman" w:eastAsia="Times New Roman" w:hAnsi="Times New Roman" w:cs="Times New Roman"/>
          <w:sz w:val="20"/>
          <w:szCs w:val="20"/>
        </w:rPr>
        <w:t xml:space="preserve">-2, VIM, and TEM) and aminoglycoside-modifying enzymes were detected in clinical </w:t>
      </w:r>
      <w:r>
        <w:rPr>
          <w:rFonts w:ascii="Times New Roman" w:eastAsia="Times New Roman" w:hAnsi="Times New Roman" w:cs="Times New Roman"/>
          <w:i/>
          <w:sz w:val="20"/>
          <w:szCs w:val="20"/>
        </w:rPr>
        <w:t>E. coli</w:t>
      </w:r>
      <w:r>
        <w:rPr>
          <w:rFonts w:ascii="Times New Roman" w:eastAsia="Times New Roman" w:hAnsi="Times New Roman" w:cs="Times New Roman"/>
          <w:sz w:val="20"/>
          <w:szCs w:val="20"/>
        </w:rPr>
        <w:t xml:space="preserve"> strains using periplasm extraction followed by nano-LC separation. Furthermore, capillary-electrophoresis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has been used to detect </w:t>
      </w:r>
      <w:proofErr w:type="spellStart"/>
      <w:r>
        <w:rPr>
          <w:rFonts w:ascii="Times New Roman" w:eastAsia="Times New Roman" w:hAnsi="Times New Roman" w:cs="Times New Roman"/>
          <w:sz w:val="20"/>
          <w:szCs w:val="20"/>
        </w:rPr>
        <w:t>carbapenemases</w:t>
      </w:r>
      <w:proofErr w:type="spellEnd"/>
      <w:r>
        <w:rPr>
          <w:rFonts w:ascii="Times New Roman" w:eastAsia="Times New Roman" w:hAnsi="Times New Roman" w:cs="Times New Roman"/>
          <w:sz w:val="20"/>
          <w:szCs w:val="20"/>
        </w:rPr>
        <w:t xml:space="preserve"> like </w:t>
      </w:r>
      <w:proofErr w:type="spellStart"/>
      <w:r>
        <w:rPr>
          <w:rFonts w:ascii="Times New Roman" w:eastAsia="Times New Roman" w:hAnsi="Times New Roman" w:cs="Times New Roman"/>
          <w:sz w:val="20"/>
          <w:szCs w:val="20"/>
        </w:rPr>
        <w:t>OXA</w:t>
      </w:r>
      <w:proofErr w:type="spellEnd"/>
      <w:r>
        <w:rPr>
          <w:rFonts w:ascii="Times New Roman" w:eastAsia="Times New Roman" w:hAnsi="Times New Roman" w:cs="Times New Roman"/>
          <w:sz w:val="20"/>
          <w:szCs w:val="20"/>
        </w:rPr>
        <w:t xml:space="preserve">-48 and KPC in multidrug-resistant Gram-negative bacteria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{"citationID":"Kf7x7jZQ","properties":{"formattedCitation":"[35]","plainCitation":"[35]","noteIndex":0},"citationItems":[{"id":1157,"uris":["http://zotero.org/users/12998224/items/BJPHGXT7"],"itemData":{"id":1157,"type":"article-journal","abstract":"Proteomic studies have improved our understanding of the microbial world. The most recent advances in this field have helped us to explore aspects beyond genomics. For example, by studying proteins and their regulation, researchers now understand how some pathogenic bacteria have adapted to the lethal actions of antibiotics. Proteomics has also advanced our knowledge of mechanisms of bacterial virulence and some important aspects of how bacteria interact with human cells and, thus, of the pathogenesis of infectious diseases. This review article addresses these issues in some of the most important human pathogens. It also reports some applications of Matrix-Assisted Laser Desorption/Ionization-Time-Of-Flight (MALDI-TOF) mass spectrometry that may be important for the diagnosis of bacterial resistance in clinical laboratories in the future. The reported advances will enable new diagnostic and therapeutic strategies to be developed in the fight against some of the most lethal bacteria affecting humans.","container-title":"Frontiers in Microbiology","DOI":"10.3389/fmicb.2016.00410","ISSN":"1664-302X","journalAbbreviation":"Front Microbiol","language":"eng","note":"PMID: 27065974\nPMCID: PMC4814472","page":"410","source":"PubMed","title":"Proteomics As a Tool for Studying Bacterial Virulence and Antimicrobial Resistance","volume":"7","author":[{"family":"Pérez-Llarena","given":"Francisco J."},{"family":"Bou","given":"Germán"}],"issued":{"date-parts":[["2016"]]}}}],"schema":"https://github.com/citation-style-language/schema/raw/master/csl-citation.json"}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[35]</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Notably,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demonstrated greater sensitivity in detecting beta-lactamase proteins compared to PCR-based detection of their corresponding genes, underscoring its potential as a robust tool in resistance diagnostics.</w:t>
      </w:r>
    </w:p>
    <w:p w14:paraId="54AC6C4B" w14:textId="41E8ECE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can effectively detect modifications to lipid A, a key component of lipopolysaccharides in bacterial membranes, which can indicate resistance to antimicrobial peptides like colistin, as these modifications often alter the lipid A structure and reduce its affinity for the antibiotic, thus conferring resistance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{"citationID":"O8yjVOT9","properties":{"formattedCitation":"[36]","plainCitation":"[36]","noteIndex":0},"citationItems":[{"id":408,"uris":["http://zotero.org/users/12998224/items/975PCF2R"],"itemData":{"id":408,"type":"article-journal","abstract":"Chemokine (C-C motif) ligand 7 (CCL7), a CC chemokine, is a chemotactic factor and attractant for various kinds of leukocytes, including monocytes and neutrophils. CCL7 is widely expressed in multiple cell types and can participate in anti-inflammatory responses through binding to its receptors to mediate the recruitment of immune cells. Abnormal CCL7 expression is associated with certain immune diseases. Furthermore, CCL7 plays a pivotal role in tumorigenesis. CCL7 promotes tumor progression by supporting the formation of the tumor microenvironment and facilitating tumor invasion and metastasis, although some studies have suggested that CCL7 has tumor suppressor effects. In this review, we summarize the currently available information regarding the influence of CCL7 on tumors.","container-title":"PeerJ","DOI":"10.7717/peerj.4928","ISSN":"2167-8359","journalAbbreviation":"PeerJ","note":"PMID: 29915688\nPMCID: PMC6004300","page":"e4928","source":"PubMed Central","title":"Crucial biological functions of CCL7 in cancer","volume":"6","author":[{"family":"Liu","given":"Yangyang"},{"family":"Cai","given":"Yadi"},{"family":"Liu","given":"Li"},{"family":"Wu","given":"Yudong"},{"family":"Xiong","given":"Xiangyang"}],"issued":{"date-parts":[["2018",6,14]]}}}],"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[36]</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isolating </w:t>
      </w:r>
      <w:proofErr w:type="gramStart"/>
      <w:r>
        <w:rPr>
          <w:rFonts w:ascii="Times New Roman" w:eastAsia="Times New Roman" w:hAnsi="Times New Roman" w:cs="Times New Roman"/>
          <w:sz w:val="20"/>
          <w:szCs w:val="20"/>
        </w:rPr>
        <w:t>lipid</w:t>
      </w:r>
      <w:proofErr w:type="gramEnd"/>
      <w:r>
        <w:rPr>
          <w:rFonts w:ascii="Times New Roman" w:eastAsia="Times New Roman" w:hAnsi="Times New Roman" w:cs="Times New Roman"/>
          <w:sz w:val="20"/>
          <w:szCs w:val="20"/>
        </w:rPr>
        <w:t xml:space="preserve"> A from wild-type and </w:t>
      </w:r>
      <w:proofErr w:type="spellStart"/>
      <w:r w:rsidRPr="00590A53">
        <w:rPr>
          <w:rFonts w:ascii="Times New Roman" w:eastAsia="Times New Roman" w:hAnsi="Times New Roman" w:cs="Times New Roman"/>
          <w:i/>
          <w:iCs/>
          <w:sz w:val="20"/>
          <w:szCs w:val="20"/>
        </w:rPr>
        <w:t>mcr</w:t>
      </w:r>
      <w:proofErr w:type="spellEnd"/>
      <w:r w:rsidRPr="00590A53">
        <w:rPr>
          <w:rFonts w:ascii="Times New Roman" w:eastAsia="Times New Roman" w:hAnsi="Times New Roman" w:cs="Times New Roman"/>
          <w:i/>
          <w:iCs/>
          <w:sz w:val="20"/>
          <w:szCs w:val="20"/>
        </w:rPr>
        <w:t>-1</w:t>
      </w:r>
      <w:r>
        <w:rPr>
          <w:rFonts w:ascii="Times New Roman" w:eastAsia="Times New Roman" w:hAnsi="Times New Roman" w:cs="Times New Roman"/>
          <w:sz w:val="20"/>
          <w:szCs w:val="20"/>
        </w:rPr>
        <w:t xml:space="preserve">-expressing strains, researchers can use MALDI-MS to track </w:t>
      </w:r>
      <w:proofErr w:type="spellStart"/>
      <w:r>
        <w:rPr>
          <w:rFonts w:ascii="Times New Roman" w:eastAsia="Times New Roman" w:hAnsi="Times New Roman" w:cs="Times New Roman"/>
          <w:sz w:val="20"/>
          <w:szCs w:val="20"/>
        </w:rPr>
        <w:t>PEtN</w:t>
      </w:r>
      <w:proofErr w:type="spellEnd"/>
      <w:r>
        <w:rPr>
          <w:rFonts w:ascii="Times New Roman" w:eastAsia="Times New Roman" w:hAnsi="Times New Roman" w:cs="Times New Roman"/>
          <w:sz w:val="20"/>
          <w:szCs w:val="20"/>
        </w:rPr>
        <w:t xml:space="preserve"> addition. This is possible because </w:t>
      </w:r>
      <w:proofErr w:type="spellStart"/>
      <w:r>
        <w:rPr>
          <w:rFonts w:ascii="Times New Roman" w:eastAsia="Times New Roman" w:hAnsi="Times New Roman" w:cs="Times New Roman"/>
          <w:sz w:val="20"/>
          <w:szCs w:val="20"/>
        </w:rPr>
        <w:t>PEtN</w:t>
      </w:r>
      <w:proofErr w:type="spellEnd"/>
      <w:r>
        <w:rPr>
          <w:rFonts w:ascii="Times New Roman" w:eastAsia="Times New Roman" w:hAnsi="Times New Roman" w:cs="Times New Roman"/>
          <w:sz w:val="20"/>
          <w:szCs w:val="20"/>
        </w:rPr>
        <w:t xml:space="preserve"> has a distinct molecular weight (141 Da), and its addition to lipid A results in a detectable mass difference (</w:t>
      </w:r>
      <w:proofErr w:type="spellStart"/>
      <w:r>
        <w:rPr>
          <w:rFonts w:ascii="Times New Roman" w:eastAsia="Times New Roman" w:hAnsi="Times New Roman" w:cs="Times New Roman"/>
          <w:sz w:val="20"/>
          <w:szCs w:val="20"/>
        </w:rPr>
        <w:t>Δm</w:t>
      </w:r>
      <w:proofErr w:type="spellEnd"/>
      <w:r>
        <w:rPr>
          <w:rFonts w:ascii="Times New Roman" w:eastAsia="Times New Roman" w:hAnsi="Times New Roman" w:cs="Times New Roman"/>
          <w:sz w:val="20"/>
          <w:szCs w:val="20"/>
        </w:rPr>
        <w:t xml:space="preserve">/z of 123 in negative-ion mode) due to dehydration between </w:t>
      </w:r>
      <w:proofErr w:type="spellStart"/>
      <w:r>
        <w:rPr>
          <w:rFonts w:ascii="Times New Roman" w:eastAsia="Times New Roman" w:hAnsi="Times New Roman" w:cs="Times New Roman"/>
          <w:sz w:val="20"/>
          <w:szCs w:val="20"/>
        </w:rPr>
        <w:t>PEtN</w:t>
      </w:r>
      <w:proofErr w:type="spellEnd"/>
      <w:r>
        <w:rPr>
          <w:rFonts w:ascii="Times New Roman" w:eastAsia="Times New Roman" w:hAnsi="Times New Roman" w:cs="Times New Roman"/>
          <w:sz w:val="20"/>
          <w:szCs w:val="20"/>
        </w:rPr>
        <w:t xml:space="preserve"> and the lipid A phosphate moiety. Using a lipid matrix such as </w:t>
      </w:r>
      <w:proofErr w:type="spellStart"/>
      <w:r>
        <w:rPr>
          <w:rFonts w:ascii="Times New Roman" w:eastAsia="Times New Roman" w:hAnsi="Times New Roman" w:cs="Times New Roman"/>
          <w:sz w:val="20"/>
          <w:szCs w:val="20"/>
        </w:rPr>
        <w:t>norharmane</w:t>
      </w:r>
      <w:proofErr w:type="spellEnd"/>
      <w:r>
        <w:rPr>
          <w:rFonts w:ascii="Times New Roman" w:eastAsia="Times New Roman" w:hAnsi="Times New Roman" w:cs="Times New Roman"/>
          <w:sz w:val="20"/>
          <w:szCs w:val="20"/>
        </w:rPr>
        <w:t xml:space="preserve">, MS spectra in negative-ion mode allow the identification and estimation of the predicted lipid A structures present in each strain. These structural insights are critical for understanding resistance mechanisms conferred by </w:t>
      </w:r>
      <w:proofErr w:type="spellStart"/>
      <w:r>
        <w:rPr>
          <w:rFonts w:ascii="Times New Roman" w:eastAsia="Times New Roman" w:hAnsi="Times New Roman" w:cs="Times New Roman"/>
          <w:sz w:val="20"/>
          <w:szCs w:val="20"/>
        </w:rPr>
        <w:t>M</w:t>
      </w:r>
      <w:r w:rsidR="007C5FC6">
        <w:rPr>
          <w:rFonts w:ascii="Times New Roman" w:eastAsia="Times New Roman" w:hAnsi="Times New Roman" w:cs="Times New Roman"/>
          <w:sz w:val="20"/>
          <w:szCs w:val="20"/>
        </w:rPr>
        <w:t>cr</w:t>
      </w:r>
      <w:proofErr w:type="spellEnd"/>
      <w:r>
        <w:rPr>
          <w:rFonts w:ascii="Times New Roman" w:eastAsia="Times New Roman" w:hAnsi="Times New Roman" w:cs="Times New Roman"/>
          <w:sz w:val="20"/>
          <w:szCs w:val="20"/>
        </w:rPr>
        <w:t xml:space="preserve">-1 and can guide the development of targeted therapies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{"citationID":"f9G7f4ce","properties":{"formattedCitation":"[35]","plainCitation":"[35]","noteIndex":0},"citationItems":[{"id":1157,"uris":["http://zotero.org/users/12998224/items/BJPHGXT7"],"itemData":{"id":1157,"type":"article-journal","abstract":"Proteomic studies have improved our understanding of the microbial world. The most recent advances in this field have helped us to explore aspects beyond genomics. For example, by studying proteins and their regulation, researchers now understand how some pathogenic bacteria have adapted to the lethal actions of antibiotics. Proteomics has also advanced our knowledge of mechanisms of bacterial virulence and some important aspects of how bacteria interact with human cells and, thus, of the pathogenesis of infectious diseases. This review article addresses these issues in some of the most important human pathogens. It also reports some applications of Matrix-Assisted Laser Desorption/Ionization-Time-Of-Flight (MALDI-TOF) mass spectrometry that may be important for the diagnosis of bacterial resistance in clinical laboratories in the future. The reported advances will enable new diagnostic and therapeutic strategies to be developed in the fight against some of the most lethal bacteria affecting humans.","container-title":"Frontiers in Microbiology","DOI":"10.3389/fmicb.2016.00410","ISSN":"1664-302X","journalAbbreviation":"Front Microbiol","language":"eng","note":"PMID: 27065974\nPMCID: PMC4814472","page":"410","source":"PubMed","title":"Proteomics As a Tool for Studying Bacterial Virulence and Antimicrobial Resistance","volume":"7","author":[{"family":"Pérez-Llarena","given":"Francisco J."},{"family":"Bou","given":"Germán"}],"issued":{"date-parts":[["2016"]]}}}],"schema":"https://github.com/citation-style-language/schema/raw/master/csl-citation.json"}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[35]</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75C35A80" w14:textId="150FF177" w:rsidR="00CF00F8" w:rsidRDefault="00000000">
      <w:pPr>
        <w:pStyle w:val="Heading1"/>
        <w:jc w:val="center"/>
        <w:rPr>
          <w:rFonts w:ascii="Times New Roman" w:eastAsia="Times New Roman" w:hAnsi="Times New Roman" w:cs="Times New Roman"/>
          <w:b/>
          <w:sz w:val="20"/>
          <w:szCs w:val="20"/>
        </w:rPr>
      </w:pPr>
      <w:bookmarkStart w:id="19" w:name="_Toc191553261"/>
      <w:r>
        <w:rPr>
          <w:rFonts w:ascii="Times New Roman" w:eastAsia="Times New Roman" w:hAnsi="Times New Roman" w:cs="Times New Roman"/>
          <w:b/>
          <w:color w:val="000000"/>
          <w:sz w:val="20"/>
          <w:szCs w:val="20"/>
        </w:rPr>
        <w:t>V. DETECTION</w:t>
      </w:r>
      <w:bookmarkEnd w:id="19"/>
      <w:r w:rsidR="00111AF2">
        <w:rPr>
          <w:rFonts w:ascii="Times New Roman" w:eastAsia="Times New Roman" w:hAnsi="Times New Roman" w:cs="Times New Roman"/>
          <w:b/>
          <w:color w:val="000000"/>
          <w:sz w:val="20"/>
          <w:szCs w:val="20"/>
        </w:rPr>
        <w:t xml:space="preserve"> OF SUBSTANCES</w:t>
      </w:r>
    </w:p>
    <w:p w14:paraId="6273D7DC" w14:textId="5C672EDD"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Beyond its applications in microbial identification and resistance profiling,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serves as a versatile tool in clinical microbiology for substance identification. By leveraging its high sensitivity and specificity, MS enables the precise detection and quantification of critical substances, including pathogenic toxins and antimicrobial agents. These capabilities are essential for diagnosing toxin-mediated diseases and optimizing therapeutic interventions, showcasing the adaptability of MS in addressing diverse clinical challenges.</w:t>
      </w:r>
    </w:p>
    <w:p w14:paraId="112CFA67" w14:textId="0C5E3389" w:rsidR="00CF00F8" w:rsidRDefault="00000000">
      <w:pPr>
        <w:pStyle w:val="Heading2"/>
        <w:rPr>
          <w:rFonts w:ascii="Times New Roman" w:eastAsia="Times New Roman" w:hAnsi="Times New Roman" w:cs="Times New Roman"/>
          <w:b/>
          <w:sz w:val="20"/>
          <w:szCs w:val="20"/>
        </w:rPr>
      </w:pPr>
      <w:bookmarkStart w:id="20" w:name="_Toc191553262"/>
      <w:r>
        <w:rPr>
          <w:rFonts w:ascii="Times New Roman" w:eastAsia="Times New Roman" w:hAnsi="Times New Roman" w:cs="Times New Roman"/>
          <w:b/>
          <w:color w:val="000000"/>
          <w:sz w:val="20"/>
          <w:szCs w:val="20"/>
        </w:rPr>
        <w:t xml:space="preserve">V.A. </w:t>
      </w:r>
      <w:r>
        <w:rPr>
          <w:rFonts w:ascii="Times New Roman" w:eastAsia="Times New Roman" w:hAnsi="Times New Roman" w:cs="Times New Roman"/>
          <w:b/>
          <w:color w:val="000000"/>
          <w:sz w:val="20"/>
          <w:szCs w:val="20"/>
        </w:rPr>
        <w:tab/>
        <w:t xml:space="preserve">Detection of </w:t>
      </w:r>
      <w:r w:rsidR="00111AF2">
        <w:rPr>
          <w:rFonts w:ascii="Times New Roman" w:eastAsia="Times New Roman" w:hAnsi="Times New Roman" w:cs="Times New Roman"/>
          <w:b/>
          <w:color w:val="000000"/>
          <w:sz w:val="20"/>
          <w:szCs w:val="20"/>
        </w:rPr>
        <w:t>p</w:t>
      </w:r>
      <w:r>
        <w:rPr>
          <w:rFonts w:ascii="Times New Roman" w:eastAsia="Times New Roman" w:hAnsi="Times New Roman" w:cs="Times New Roman"/>
          <w:b/>
          <w:color w:val="000000"/>
          <w:sz w:val="20"/>
          <w:szCs w:val="20"/>
        </w:rPr>
        <w:t xml:space="preserve">athogenic </w:t>
      </w:r>
      <w:r w:rsidR="00111AF2">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oxins</w:t>
      </w:r>
      <w:bookmarkEnd w:id="20"/>
    </w:p>
    <w:p w14:paraId="058EEEFA" w14:textId="5A234C92"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Among the most clinically significant pathogens, </w:t>
      </w:r>
      <w:proofErr w:type="spellStart"/>
      <w:r>
        <w:rPr>
          <w:rFonts w:ascii="Times New Roman" w:eastAsia="Times New Roman" w:hAnsi="Times New Roman" w:cs="Times New Roman"/>
          <w:i/>
          <w:sz w:val="20"/>
          <w:szCs w:val="20"/>
        </w:rPr>
        <w:t>Clostridioides</w:t>
      </w:r>
      <w:proofErr w:type="spellEnd"/>
      <w:r>
        <w:rPr>
          <w:rFonts w:ascii="Times New Roman" w:eastAsia="Times New Roman" w:hAnsi="Times New Roman" w:cs="Times New Roman"/>
          <w:i/>
          <w:sz w:val="20"/>
          <w:szCs w:val="20"/>
        </w:rPr>
        <w:t xml:space="preserve"> difficile</w:t>
      </w:r>
      <w:r>
        <w:rPr>
          <w:rFonts w:ascii="Times New Roman" w:eastAsia="Times New Roman" w:hAnsi="Times New Roman" w:cs="Times New Roman"/>
          <w:sz w:val="20"/>
          <w:szCs w:val="20"/>
        </w:rPr>
        <w:t xml:space="preserve"> is a Gram-positive, spore-forming anaerobe responsible for healthcare-associated diarrhea. Its pathogenicity is primarily attributed to two exotoxins, </w:t>
      </w:r>
      <w:proofErr w:type="spellStart"/>
      <w:r>
        <w:rPr>
          <w:rFonts w:ascii="Times New Roman" w:eastAsia="Times New Roman" w:hAnsi="Times New Roman" w:cs="Times New Roman"/>
          <w:sz w:val="20"/>
          <w:szCs w:val="20"/>
        </w:rPr>
        <w:t>TcdA</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TcdB</w:t>
      </w:r>
      <w:proofErr w:type="spellEnd"/>
      <w:r>
        <w:rPr>
          <w:rFonts w:ascii="Times New Roman" w:eastAsia="Times New Roman" w:hAnsi="Times New Roman" w:cs="Times New Roman"/>
          <w:sz w:val="20"/>
          <w:szCs w:val="20"/>
        </w:rPr>
        <w:t xml:space="preserve">, which damage the intestinal epithelium and trigger inflammation. Additionally, some hypervirulent strains produce a binary toxin, CDT, that may enhance the production of </w:t>
      </w:r>
      <w:proofErr w:type="spellStart"/>
      <w:r>
        <w:rPr>
          <w:rFonts w:ascii="Times New Roman" w:eastAsia="Times New Roman" w:hAnsi="Times New Roman" w:cs="Times New Roman"/>
          <w:sz w:val="20"/>
          <w:szCs w:val="20"/>
        </w:rPr>
        <w:t>TcdA</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TcdB</w:t>
      </w:r>
      <w:proofErr w:type="spellEnd"/>
      <w:r>
        <w:rPr>
          <w:rFonts w:ascii="Times New Roman" w:eastAsia="Times New Roman" w:hAnsi="Times New Roman" w:cs="Times New Roman"/>
          <w:sz w:val="20"/>
          <w:szCs w:val="20"/>
        </w:rPr>
        <w:t xml:space="preserve">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{"citationID":"aIh0DnLt","properties":{"formattedCitation":"[37]","plainCitation":"[37]","noteIndex":0},"citationItems":[{"id":984,"uris":["http://zotero.org/users/12998224/items/VZUWXLUH"],"itemData":{"id":984,"type":"article-journal","abstract":"Clostridioides difficile detection in community settings is time-intensive, resulting in delays in diagnosing and quarantining infected individuals. However, with the advent of semi-automated devices and improved algorithms in recent decades, the ability to discern CDI infection from asymptomatic carriage has significantly improved. This, in turn, has led to efficiently regulated monitoring systems, further reducing endemic risk, with recent concerns regarding a possible surge in hospital-acquired Clostridioides difficile infections post-COVID failing to materialize. This review highlights established and emerging technologies used to detect community-acquired Clostridioides difficile in research and clinical settings.","container-title":"International Journal of Molecular Sciences","DOI":"10.3390/ijms25168672","ISSN":"1422-0067","issue":"16","journalAbbreviation":"Int J Mol Sci","note":"PMID: 39201359\nPMCID: PMC11354687","page":"8672","source":"PubMed Central","title":"Emerging Diagnostics in Clostridioides difficile Infection","volume":"25","author":[{"family":"Hulme","given":"John P."}],"issued":{"date-parts":[["2024",8,8]]}}}],"schema":"https://github.com/citation-style-language/schema/raw/master/csl-citation.json"}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[37]</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Rapid and precise detection of these toxins is crucial for diagnosing and managing C. difficile infections. A prominent example MS in detecting pathogenic toxins is its application in identifying </w:t>
      </w:r>
      <w:proofErr w:type="spellStart"/>
      <w:r>
        <w:rPr>
          <w:rFonts w:ascii="Times New Roman" w:eastAsia="Times New Roman" w:hAnsi="Times New Roman" w:cs="Times New Roman"/>
          <w:i/>
          <w:sz w:val="20"/>
          <w:szCs w:val="20"/>
        </w:rPr>
        <w:t>Clostridioides</w:t>
      </w:r>
      <w:proofErr w:type="spellEnd"/>
      <w:r>
        <w:rPr>
          <w:rFonts w:ascii="Times New Roman" w:eastAsia="Times New Roman" w:hAnsi="Times New Roman" w:cs="Times New Roman"/>
          <w:i/>
          <w:sz w:val="20"/>
          <w:szCs w:val="20"/>
        </w:rPr>
        <w:t xml:space="preserve"> difficile</w:t>
      </w:r>
      <w:r>
        <w:rPr>
          <w:rFonts w:ascii="Times New Roman" w:eastAsia="Times New Roman" w:hAnsi="Times New Roman" w:cs="Times New Roman"/>
          <w:sz w:val="20"/>
          <w:szCs w:val="20"/>
        </w:rPr>
        <w:t xml:space="preserve"> toxins, specifically Toxin A (</w:t>
      </w:r>
      <w:proofErr w:type="spellStart"/>
      <w:r>
        <w:rPr>
          <w:rFonts w:ascii="Times New Roman" w:eastAsia="Times New Roman" w:hAnsi="Times New Roman" w:cs="Times New Roman"/>
          <w:sz w:val="20"/>
          <w:szCs w:val="20"/>
        </w:rPr>
        <w:t>TcdA</w:t>
      </w:r>
      <w:proofErr w:type="spellEnd"/>
      <w:r>
        <w:rPr>
          <w:rFonts w:ascii="Times New Roman" w:eastAsia="Times New Roman" w:hAnsi="Times New Roman" w:cs="Times New Roman"/>
          <w:sz w:val="20"/>
          <w:szCs w:val="20"/>
        </w:rPr>
        <w:t>) and Toxin B (</w:t>
      </w:r>
      <w:proofErr w:type="spellStart"/>
      <w:r>
        <w:rPr>
          <w:rFonts w:ascii="Times New Roman" w:eastAsia="Times New Roman" w:hAnsi="Times New Roman" w:cs="Times New Roman"/>
          <w:sz w:val="20"/>
          <w:szCs w:val="20"/>
        </w:rPr>
        <w:t>TcdB</w:t>
      </w:r>
      <w:proofErr w:type="spellEnd"/>
      <w:r>
        <w:rPr>
          <w:rFonts w:ascii="Times New Roman" w:eastAsia="Times New Roman" w:hAnsi="Times New Roman" w:cs="Times New Roman"/>
          <w:sz w:val="20"/>
          <w:szCs w:val="20"/>
        </w:rPr>
        <w:t xml:space="preserve">). These exotoxins are pivotal in the pathogenesis of </w:t>
      </w:r>
      <w:r>
        <w:rPr>
          <w:rFonts w:ascii="Times New Roman" w:eastAsia="Times New Roman" w:hAnsi="Times New Roman" w:cs="Times New Roman"/>
          <w:i/>
          <w:sz w:val="20"/>
          <w:szCs w:val="20"/>
        </w:rPr>
        <w:t>C. difficile</w:t>
      </w:r>
      <w:r>
        <w:rPr>
          <w:rFonts w:ascii="Times New Roman" w:eastAsia="Times New Roman" w:hAnsi="Times New Roman" w:cs="Times New Roman"/>
          <w:sz w:val="20"/>
          <w:szCs w:val="20"/>
        </w:rPr>
        <w:t>-associated diarrhea (</w:t>
      </w:r>
      <w:proofErr w:type="spellStart"/>
      <w:r>
        <w:rPr>
          <w:rFonts w:ascii="Times New Roman" w:eastAsia="Times New Roman" w:hAnsi="Times New Roman" w:cs="Times New Roman"/>
          <w:sz w:val="20"/>
          <w:szCs w:val="20"/>
        </w:rPr>
        <w:t>CDAD</w:t>
      </w:r>
      <w:proofErr w:type="spellEnd"/>
      <w:r>
        <w:rPr>
          <w:rFonts w:ascii="Times New Roman" w:eastAsia="Times New Roman" w:hAnsi="Times New Roman" w:cs="Times New Roman"/>
          <w:sz w:val="20"/>
          <w:szCs w:val="20"/>
        </w:rPr>
        <w:t xml:space="preserve">), a leading cause of healthcare-associated infections. Traditional diagnostic methods, such as enzyme immunoassays (EIAs), often suffer from suboptimal sensitivity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{"citationID":"dxNwqM5a","properties":{"formattedCitation":"[38]","plainCitation":"[38]","noteIndex":0},"citationItems":[{"id":987,"uris":["http://zotero.org/users/12998224/items/KVJRIXVU"],"itemData":{"id":987,"type":"article-journal","abstract":"With the frequency of cases of Clostridium difficile infection (CDI) increasing in many developed countries, accurate and reliable laboratory diagnosis of CDI is more important than ever. However, the diagnosis of CDI has been handicapped by the existence of two reference standards, one of which detects C. difficile toxin (cytotoxin assay) and the other only toxigenic strains (cytotoxigenic culture). Being relatively slow and laborious to perform, these reference methods were largely abandoned as routine diagnostic methods for toxin detection in favour of stand-alone rapid enzyme immunoassays (EIAs), which have suboptimal sensitivity and specificity. The management of CDI is undermined by high rates of both false-positive and false-negative test results. More recently developed nucleic acid amplification tests (NAATs) for toxin gene detection offer improved sensitivity over immunoassays, but fail to discriminate between CDI and asymptomatic colonization with C. difficile, and have clear drawbacks as stand-alone diagnostic tests. Two-step or three-step diagnostic algorithms have been proposed as a solution. In a large study of the effectiveness of currently available tests, a diagnostic algorithm was developed that combines available tests to more effectively distinguish patients with CDI from uninfected patients. This two-test protocol, which is now used in National Health Service laboratories in England, comprises an EIA for glutamate dehydrogenase detection or NAATs for toxin gene detection, followed by a relatively sensitive toxin EIA. This algorithm also identifies ‘potential C. difficile excretors’, individuals with diarrhoeal samples that contain C. difficile but without demonstrable toxin, who may be a source of transmission of C. difficile to susceptible patients.","container-title":"Clinical Microbiology and Infection","DOI":"10.1111/1469-0691.12057","ISSN":"1198-743X","journalAbbreviation":"Clinical Microbiology and Infection","page":"13-20","source":"ScienceDirect","title":"Overcoming barriers to effective recognition and diagnosis of &lt;i&gt;Clostridium difficile&lt;/i&gt; infection","volume":"18","author":[{"family":"Wilcox","given":"M. H."}],"issued":{"date-parts":[["2012",1,1]]}}}],"schema":"https://github.com/citation-style-language/schema/raw/master/csl-citation.json"}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[38]</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MS also offers superior multiplexing capabilities, enabling the simultaneous detection of multiple toxins, such as </w:t>
      </w:r>
      <w:proofErr w:type="spellStart"/>
      <w:r>
        <w:rPr>
          <w:rFonts w:ascii="Times New Roman" w:eastAsia="Times New Roman" w:hAnsi="Times New Roman" w:cs="Times New Roman"/>
          <w:i/>
          <w:sz w:val="20"/>
          <w:szCs w:val="20"/>
        </w:rPr>
        <w:t>Clostridioides</w:t>
      </w:r>
      <w:proofErr w:type="spellEnd"/>
      <w:r>
        <w:rPr>
          <w:rFonts w:ascii="Times New Roman" w:eastAsia="Times New Roman" w:hAnsi="Times New Roman" w:cs="Times New Roman"/>
          <w:i/>
          <w:sz w:val="20"/>
          <w:szCs w:val="20"/>
        </w:rPr>
        <w:t xml:space="preserve"> difficile</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TcdA</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TcdB</w:t>
      </w:r>
      <w:proofErr w:type="spellEnd"/>
      <w:r>
        <w:rPr>
          <w:rFonts w:ascii="Times New Roman" w:eastAsia="Times New Roman" w:hAnsi="Times New Roman" w:cs="Times New Roman"/>
          <w:sz w:val="20"/>
          <w:szCs w:val="20"/>
        </w:rPr>
        <w:t>, in a single assay, which is not feasible with traditional EIAs. Additionally, MS benefits from integration with extensive spectral databases, allowing automated and accurate identification of toxins, even for rare or novel variants, where EIAs may lack specific antibodies.</w:t>
      </w:r>
    </w:p>
    <w:p w14:paraId="5772B114" w14:textId="2E36E9CB" w:rsidR="00CF00F8" w:rsidRDefault="007C5FC6">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particularly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increasingly explored for its ability to differentiate </w:t>
      </w:r>
      <w:proofErr w:type="spellStart"/>
      <w:r>
        <w:rPr>
          <w:rFonts w:ascii="Times New Roman" w:eastAsia="Times New Roman" w:hAnsi="Times New Roman" w:cs="Times New Roman"/>
          <w:i/>
          <w:sz w:val="20"/>
          <w:szCs w:val="20"/>
        </w:rPr>
        <w:t>Clostridioides</w:t>
      </w:r>
      <w:proofErr w:type="spellEnd"/>
      <w:r>
        <w:rPr>
          <w:rFonts w:ascii="Times New Roman" w:eastAsia="Times New Roman" w:hAnsi="Times New Roman" w:cs="Times New Roman"/>
          <w:i/>
          <w:sz w:val="20"/>
          <w:szCs w:val="20"/>
        </w:rPr>
        <w:t xml:space="preserve"> difficile</w:t>
      </w:r>
      <w:r>
        <w:rPr>
          <w:rFonts w:ascii="Times New Roman" w:eastAsia="Times New Roman" w:hAnsi="Times New Roman" w:cs="Times New Roman"/>
          <w:sz w:val="20"/>
          <w:szCs w:val="20"/>
        </w:rPr>
        <w:t xml:space="preserve"> toxin-producing strains from non-producers. A recent study developed a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MS-based detection model, integrating </w:t>
      </w:r>
      <w:proofErr w:type="spellStart"/>
      <w:r>
        <w:rPr>
          <w:rFonts w:ascii="Times New Roman" w:eastAsia="Times New Roman" w:hAnsi="Times New Roman" w:cs="Times New Roman"/>
          <w:sz w:val="20"/>
          <w:szCs w:val="20"/>
        </w:rPr>
        <w:t>ClinProTools</w:t>
      </w:r>
      <w:proofErr w:type="spellEnd"/>
      <w:r>
        <w:rPr>
          <w:rFonts w:ascii="Times New Roman" w:eastAsia="Times New Roman" w:hAnsi="Times New Roman" w:cs="Times New Roman"/>
          <w:sz w:val="20"/>
          <w:szCs w:val="20"/>
        </w:rPr>
        <w:t xml:space="preserve"> software to enhance the classification of C. difficile isolates </w:t>
      </w:r>
      <w:r>
        <w:rPr>
          <w:rFonts w:ascii="Times New Roman" w:eastAsia="Times New Roman" w:hAnsi="Times New Roman" w:cs="Times New Roman"/>
          <w:sz w:val="20"/>
          <w:szCs w:val="20"/>
        </w:rPr>
        <w:lastRenderedPageBreak/>
        <w:t xml:space="preserve">recovered from stool samples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{"citationID":"LOMtwZ12","properties":{"formattedCitation":"[39]","plainCitation":"[39]","noteIndex":0},"citationItems":[{"id":976,"uris":["http://zotero.org/users/12998224/items/6YJHF6W8"],"itemData":{"id":976,"type":"article-journal","container-title":"Journal of Infection and Chemotherapy","DOI":"10.1016/j.jiac.2024.02.024","ISSN":"1341-321X, 1437-7780","issue":"9","journalAbbreviation":"Journal of Infection and Chemotherapy","language":"English","note":"publisher: Elsevier\nPMID: 38423297","page":"847-852","source":"www.jiac-j.com","title":"Evaluation of MALDI-TOF mass spectrometry coupled with ClinProTools as a rapid tool for toxin-producing Clostridioides difficile","volume":"30","author":[{"family":"Nakayama","given":"Asami"},{"family":"Morinaga","given":"Yoshitomo"},{"family":"Izuno","given":"Ryota"},{"family":"Morikane","given":"Keita"},{"family":"Yanagihara","given":"Katsunori"}],"issued":{"date-parts":[["2024",9,1]]}}}],"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[39]</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Instead of direct toxin detection, bacterial isolates were first cultured and subjected to ethanol-formic acid protein extraction, followed by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spectral acquisition within a mass range of 2,000–20,000 m/z. The resulting spectral patterns were analyzed using </w:t>
      </w:r>
      <w:proofErr w:type="spellStart"/>
      <w:r>
        <w:rPr>
          <w:rFonts w:ascii="Times New Roman" w:eastAsia="Times New Roman" w:hAnsi="Times New Roman" w:cs="Times New Roman"/>
          <w:sz w:val="20"/>
          <w:szCs w:val="20"/>
        </w:rPr>
        <w:t>ClinProTools</w:t>
      </w:r>
      <w:proofErr w:type="spellEnd"/>
      <w:r>
        <w:rPr>
          <w:rFonts w:ascii="Times New Roman" w:eastAsia="Times New Roman" w:hAnsi="Times New Roman" w:cs="Times New Roman"/>
          <w:sz w:val="20"/>
          <w:szCs w:val="20"/>
        </w:rPr>
        <w:t xml:space="preserve">, a post-processing software designed for biomarker discovery and microbial classification. To construct a robust detection system, the authors developed classification models using three distinct machine-learning algorithms within </w:t>
      </w:r>
      <w:proofErr w:type="spellStart"/>
      <w:r>
        <w:rPr>
          <w:rFonts w:ascii="Times New Roman" w:eastAsia="Times New Roman" w:hAnsi="Times New Roman" w:cs="Times New Roman"/>
          <w:sz w:val="20"/>
          <w:szCs w:val="20"/>
        </w:rPr>
        <w:t>ClinProTools</w:t>
      </w:r>
      <w:proofErr w:type="spellEnd"/>
      <w:r>
        <w:rPr>
          <w:rFonts w:ascii="Times New Roman" w:eastAsia="Times New Roman" w:hAnsi="Times New Roman" w:cs="Times New Roman"/>
          <w:sz w:val="20"/>
          <w:szCs w:val="20"/>
        </w:rPr>
        <w:t xml:space="preserve">: Genetic Algorithm (GA), Supervised Neural Network, and </w:t>
      </w:r>
      <w:proofErr w:type="spellStart"/>
      <w:r>
        <w:rPr>
          <w:rFonts w:ascii="Times New Roman" w:eastAsia="Times New Roman" w:hAnsi="Times New Roman" w:cs="Times New Roman"/>
          <w:sz w:val="20"/>
          <w:szCs w:val="20"/>
        </w:rPr>
        <w:t>QuickClassifier</w:t>
      </w:r>
      <w:proofErr w:type="spellEnd"/>
      <w:r>
        <w:rPr>
          <w:rFonts w:ascii="Times New Roman" w:eastAsia="Times New Roman" w:hAnsi="Times New Roman" w:cs="Times New Roman"/>
          <w:sz w:val="20"/>
          <w:szCs w:val="20"/>
        </w:rPr>
        <w:t xml:space="preserve">. These algorithms were trained on 37 toxin-positive and 24 toxin-negative isolates, as well as validated using independent reference strains. The GA model, which selects peak combinations most relevant for strain differentiation, demonstrated high sensitivity (91.7%) when applied to isolates grown on Brucella with hemin and vitamin K agar, though specificity remained moderate. By contrast, when the same model was tested on isolates grown on </w:t>
      </w:r>
      <w:proofErr w:type="spellStart"/>
      <w:r>
        <w:rPr>
          <w:rFonts w:ascii="Times New Roman" w:eastAsia="Times New Roman" w:hAnsi="Times New Roman" w:cs="Times New Roman"/>
          <w:sz w:val="20"/>
          <w:szCs w:val="20"/>
        </w:rPr>
        <w:t>cycloserine</w:t>
      </w:r>
      <w:proofErr w:type="spellEnd"/>
      <w:r>
        <w:rPr>
          <w:rFonts w:ascii="Times New Roman" w:eastAsia="Times New Roman" w:hAnsi="Times New Roman" w:cs="Times New Roman"/>
          <w:sz w:val="20"/>
          <w:szCs w:val="20"/>
        </w:rPr>
        <w:t>-cefoxitin mannitol agar, specificity improved to 100%, but sensitivity decreased significantly. These findings highlight the critical influence of culture conditions on spectral reproducibility and model performance. By leveraging machine-learning-driven classification, this approach demonstrates the potential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as a cost-effective, rapid diagnostic tool, aiding clinical microbiologists in distinguishing toxigenic C. difficile from non-producers. Further refinements in database expansion and culture standardization could enhance the robustness of this method for routine clinical application.</w:t>
      </w:r>
    </w:p>
    <w:p w14:paraId="6600384F" w14:textId="1DE4A38F"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application of MS for </w:t>
      </w:r>
      <w:r>
        <w:rPr>
          <w:rFonts w:ascii="Times New Roman" w:eastAsia="Times New Roman" w:hAnsi="Times New Roman" w:cs="Times New Roman"/>
          <w:i/>
          <w:sz w:val="20"/>
          <w:szCs w:val="20"/>
        </w:rPr>
        <w:t>C. difficile</w:t>
      </w:r>
      <w:r>
        <w:rPr>
          <w:rFonts w:ascii="Times New Roman" w:eastAsia="Times New Roman" w:hAnsi="Times New Roman" w:cs="Times New Roman"/>
          <w:sz w:val="20"/>
          <w:szCs w:val="20"/>
        </w:rPr>
        <w:t xml:space="preserve"> toxin detection directly impacts patient care by facilitating early and accurate diagnosis. Unlike EIAs, which often yield false negatives due to low toxin concentrations, MS demonstrates enhanced sensitivity. For instance, LC-MS/MS has been used to detect </w:t>
      </w:r>
      <w:r w:rsidR="00CC162F" w:rsidRPr="00CC162F">
        <w:rPr>
          <w:rFonts w:ascii="Times New Roman" w:eastAsia="Times New Roman" w:hAnsi="Times New Roman" w:cs="Times New Roman"/>
          <w:iCs/>
          <w:sz w:val="20"/>
          <w:szCs w:val="20"/>
        </w:rPr>
        <w:t>pathogenic</w:t>
      </w:r>
      <w:r>
        <w:rPr>
          <w:rFonts w:ascii="Times New Roman" w:eastAsia="Times New Roman" w:hAnsi="Times New Roman" w:cs="Times New Roman"/>
          <w:sz w:val="20"/>
          <w:szCs w:val="20"/>
        </w:rPr>
        <w:t xml:space="preserve"> toxins in stool samples with a limit of detection as low as 1 ng/mL, ensuring accurate identification even in subclinical cases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{"citationID":"Lvz05KwE","properties":{"formattedCitation":"[40]","plainCitation":"[40]","noteIndex":0},"citationItems":[{"id":982,"uris":["http://zotero.org/users/12998224/items/CK6M58CE"],"itemData":{"id":982,"type":"article-journal","abstract":"Matrix-assisted laser-desorption time-of-flight (MALDI-TOF) mass spectrometry (MS) is a valuable high-throughput tool for peptide analysis. Liquid chromatography electrospray ionization (LC-ESI) tandem-MS provides sensitive and specific quantification of small molecules and peptides. The high analytic power of MS coupled with high-specificity substrates is ideally suited for detection and quantification of bacterial enzymatic activities. As specific examples of the MS applications in disease diagnosis and select agent detection, we describe recent advances in the analyses of two high profile protein toxin groups, the Bacillus anthracis toxins and the Clostridium botulinum neurotoxins. The two binary toxins produced by B. anthracis consist of protective antigen (PA) which combines with lethal factor (LF) and edema factor (EF), forming lethal toxin and edema toxin respectively. LF is a zinc-dependent endoprotease which hydrolyzes specific proteins involved in inflammation and immunity. EF is an adenylyl cyclase which converts ATP to cyclic-AMP. Toxin-specific enzyme activity for a strategically designed substrate, amplifies reaction products which are detected by MALDI-TOF-MS and LC-ESI-MS/MS. Pre-concentration/purification with toxin specific monoclonal antibodies provides additional specificity. These combined technologies have achieved high specificity, ultrasensitive detection and quantification of the anthrax toxins. We also describe potential applications to diseases of high public health impact, including Clostridium difficile glucosylating toxins and the Bordetella pertussis adenylyl cyclase.","container-title":"Molecules","DOI":"10.3390/molecules16032391","ISSN":"1420-3049","issue":"3","language":"en","license":"http://creativecommons.org/licenses/by/3.0/","note":"number: 3\npublisher: Molecular Diversity Preservation International","page":"2391-2413","source":"www.mdpi.com","title":"Quantitative Mass Spectrometry for Bacterial Protein Toxins — A Sensitive, Specific, High-Throughput Tool for Detection and Diagnosis","volume":"16","author":[{"family":"Boyer","given":"Anne E."},{"family":"Gallegos-Candela","given":"Maribel"},{"family":"Lins","given":"Renato C."},{"family":"Kuklenyik","given":"Zsuzsanna"},{"family":"Woolfitt","given":"Adrian"},{"family":"Moura","given":"Hercules"},{"family":"Kalb","given":"Suzanne"},{"family":"Quinn","given":"Conrad P."},{"family":"Barr","given":"John R."}],"issued":{"date-parts":[["2011",3]]}}}],"schema":"https://github.com/citation-style-language/schema/raw/master/csl-citation.json"}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[40]</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Additionally, quantitative data provided by MS can guide clinicians in assessing disease severity. Elevated toxin levels correlate with more severe disease phenotypes, aiding in prognostic evaluations and therapeutic decision-making. For example, patients with high </w:t>
      </w:r>
      <w:proofErr w:type="spellStart"/>
      <w:r>
        <w:rPr>
          <w:rFonts w:ascii="Times New Roman" w:eastAsia="Times New Roman" w:hAnsi="Times New Roman" w:cs="Times New Roman"/>
          <w:sz w:val="20"/>
          <w:szCs w:val="20"/>
        </w:rPr>
        <w:t>TcdA</w:t>
      </w:r>
      <w:proofErr w:type="spellEnd"/>
      <w:r>
        <w:rPr>
          <w:rFonts w:ascii="Times New Roman" w:eastAsia="Times New Roman" w:hAnsi="Times New Roman" w:cs="Times New Roman"/>
          <w:sz w:val="20"/>
          <w:szCs w:val="20"/>
        </w:rPr>
        <w:t xml:space="preserve"> or </w:t>
      </w:r>
      <w:proofErr w:type="spellStart"/>
      <w:r>
        <w:rPr>
          <w:rFonts w:ascii="Times New Roman" w:eastAsia="Times New Roman" w:hAnsi="Times New Roman" w:cs="Times New Roman"/>
          <w:sz w:val="20"/>
          <w:szCs w:val="20"/>
        </w:rPr>
        <w:t>TcdB</w:t>
      </w:r>
      <w:proofErr w:type="spellEnd"/>
      <w:r>
        <w:rPr>
          <w:rFonts w:ascii="Times New Roman" w:eastAsia="Times New Roman" w:hAnsi="Times New Roman" w:cs="Times New Roman"/>
          <w:sz w:val="20"/>
          <w:szCs w:val="20"/>
        </w:rPr>
        <w:t xml:space="preserve"> levels may benefit from more aggressive treatments, such as fecal microbiota transplantation (</w:t>
      </w:r>
      <w:proofErr w:type="spellStart"/>
      <w:r>
        <w:rPr>
          <w:rFonts w:ascii="Times New Roman" w:eastAsia="Times New Roman" w:hAnsi="Times New Roman" w:cs="Times New Roman"/>
          <w:sz w:val="20"/>
          <w:szCs w:val="20"/>
        </w:rPr>
        <w:t>FMT</w:t>
      </w:r>
      <w:proofErr w:type="spellEnd"/>
      <w:r>
        <w:rPr>
          <w:rFonts w:ascii="Times New Roman" w:eastAsia="Times New Roman" w:hAnsi="Times New Roman" w:cs="Times New Roman"/>
          <w:sz w:val="20"/>
          <w:szCs w:val="20"/>
        </w:rPr>
        <w:t xml:space="preserve">) or adjunctive therapies. In outbreak scenarios, MS-based toxin detection facilitates rapid differentiation of toxigenic strains from non-toxigenic </w:t>
      </w:r>
      <w:r>
        <w:rPr>
          <w:rFonts w:ascii="Times New Roman" w:eastAsia="Times New Roman" w:hAnsi="Times New Roman" w:cs="Times New Roman"/>
          <w:i/>
          <w:sz w:val="20"/>
          <w:szCs w:val="20"/>
        </w:rPr>
        <w:t>C. difficile</w:t>
      </w:r>
      <w:r>
        <w:rPr>
          <w:rFonts w:ascii="Times New Roman" w:eastAsia="Times New Roman" w:hAnsi="Times New Roman" w:cs="Times New Roman"/>
          <w:sz w:val="20"/>
          <w:szCs w:val="20"/>
        </w:rPr>
        <w:t xml:space="preserve"> isolates, streamlining infection control measures. Coupled with strain typing, such as whole-genome sequencing, MS enhances the resolution of epidemiological investigations, enabling precise source tracking and containment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{"citationID":"7HYpB2ru","properties":{"formattedCitation":"[41]","plainCitation":"[41]","noteIndex":0},"citationItems":[{"id":980,"uris":["http://zotero.org/users/12998224/items/LS4K5RL4"],"itemData":{"id":980,"type":"article-journal","abstract":"The epidemiology of Clostridioides difficile infection (CDI) has changed over the last two decades, due to the emergence of C. difficile strains with clinical relevance and responsible for nosocomial outbreaks with severe outcomes. This study reports an outbreak occurred in a Long-term Care Unit from February to March 2022 and tracked by using a Matrix-Assisted Desorption/Ionization Time-of-Flight Mass Spectrometry (MALDI-TOF MS) typing approach (T-MALDI); subsequently, a characterization of the toxigenic and antimicrobial susceptibility profiles of the C. difficile isolates was performed. A total of 143 faecal samples belonging to 112 patients was evaluated and C. difficile DNA was detected in 51 samples (46 patients). Twenty-nine C. difficile isolates were obtained, and three different clusters were revealed by T-MALDI. The most representative cluster accounted 22 strains and was considered to be epidemic, in agreement with PCR-Ribotyping. Such epidemic strains were susceptible to vancomycin (MIC ≤ 0.5 mg/mL) and metronidazole (MIC ≤ 1 mg/mL), but not to moxifloxacin (MIC &gt; 32 mg/mL). Moreover, they produced only the Toxin A and, additionally, the binary toxin. To our knowledge, this is the first reported outbreak referable to a tcdA+/tcdB-/cdt+ genotypic profile. In light of these results, T-MALDI is a valid and rapid approach for discovering and tracking outbreaks.","container-title":"Microorganisms","DOI":"10.3390/microorganisms10071477","ISSN":"2076-2607","issue":"7","language":"en","license":"http://creativecommons.org/licenses/by/3.0/","note":"number: 7\npublisher: Multidisciplinary Digital Publishing Institute","page":"1477","source":"www.mdpi.com","title":"Characterization of Clostridioides difficile Strains from an Outbreak Using MALDI-TOF Mass Spectrometry","volume":"10","author":[{"family":"Calderaro","given":"Adriana"},{"family":"Buttrini","given":"Mirko"},{"family":"Farina","given":"Benedetta"},{"family":"Montecchini","given":"Sara"},{"family":"Martinelli","given":"Monica"},{"family":"Arcangeletti","given":"Maria Cristina"},{"family":"Chezzi","given":"Carlo"},{"family":"De Conto","given":"Flora"}],"issued":{"date-parts":[["2022",7]]}}}],"schema":"https://github.com/citation-style-language/schema/raw/master/csl-citation.json"}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[41]</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Integrating MS with automated sample preparation systems and advanced data analysis algorithms is expected to further improve the accessibility and throughput of toxin detection in clinical laboratories. Advances in high-resolution mass analyzers may also enable the simultaneous detection of multiple toxin isoforms, enhancing diagnostic comprehensiveness.</w:t>
      </w:r>
    </w:p>
    <w:p w14:paraId="317D2C0E" w14:textId="04936782"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techniques, particularly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are not solely relevant to </w:t>
      </w:r>
      <w:r>
        <w:rPr>
          <w:rFonts w:ascii="Times New Roman" w:eastAsia="Times New Roman" w:hAnsi="Times New Roman" w:cs="Times New Roman"/>
          <w:i/>
          <w:sz w:val="20"/>
          <w:szCs w:val="20"/>
        </w:rPr>
        <w:t>C. difficile</w:t>
      </w:r>
      <w:r>
        <w:rPr>
          <w:rFonts w:ascii="Times New Roman" w:eastAsia="Times New Roman" w:hAnsi="Times New Roman" w:cs="Times New Roman"/>
          <w:sz w:val="20"/>
          <w:szCs w:val="20"/>
        </w:rPr>
        <w:t xml:space="preserve"> but have also shown </w:t>
      </w:r>
      <w:r w:rsidR="00A34857">
        <w:rPr>
          <w:rFonts w:ascii="Times New Roman" w:eastAsia="Times New Roman" w:hAnsi="Times New Roman" w:cs="Times New Roman"/>
          <w:sz w:val="20"/>
          <w:szCs w:val="20"/>
        </w:rPr>
        <w:t>effectiveness</w:t>
      </w:r>
      <w:r>
        <w:rPr>
          <w:rFonts w:ascii="Times New Roman" w:eastAsia="Times New Roman" w:hAnsi="Times New Roman" w:cs="Times New Roman"/>
          <w:sz w:val="20"/>
          <w:szCs w:val="20"/>
        </w:rPr>
        <w:t xml:space="preserve"> in identifying other pathogenic toxins, such as Panton-Valentine </w:t>
      </w:r>
      <w:proofErr w:type="spellStart"/>
      <w:r w:rsidR="00590A53">
        <w:rPr>
          <w:rFonts w:ascii="Times New Roman" w:eastAsia="Times New Roman" w:hAnsi="Times New Roman" w:cs="Times New Roman"/>
          <w:sz w:val="20"/>
          <w:szCs w:val="20"/>
        </w:rPr>
        <w:t>L</w:t>
      </w:r>
      <w:r>
        <w:rPr>
          <w:rFonts w:ascii="Times New Roman" w:eastAsia="Times New Roman" w:hAnsi="Times New Roman" w:cs="Times New Roman"/>
          <w:sz w:val="20"/>
          <w:szCs w:val="20"/>
        </w:rPr>
        <w:t>eukocidin</w:t>
      </w:r>
      <w:proofErr w:type="spellEnd"/>
      <w:r>
        <w:rPr>
          <w:rFonts w:ascii="Times New Roman" w:eastAsia="Times New Roman" w:hAnsi="Times New Roman" w:cs="Times New Roman"/>
          <w:sz w:val="20"/>
          <w:szCs w:val="20"/>
        </w:rPr>
        <w:t xml:space="preserve"> (PVL) in </w:t>
      </w:r>
      <w:r>
        <w:rPr>
          <w:rFonts w:ascii="Times New Roman" w:eastAsia="Times New Roman" w:hAnsi="Times New Roman" w:cs="Times New Roman"/>
          <w:i/>
          <w:sz w:val="20"/>
          <w:szCs w:val="20"/>
        </w:rPr>
        <w:t>Staphylococcus aureus</w:t>
      </w:r>
      <w:r>
        <w:rPr>
          <w:rFonts w:ascii="Times New Roman" w:eastAsia="Times New Roman" w:hAnsi="Times New Roman" w:cs="Times New Roman"/>
          <w:sz w:val="20"/>
          <w:szCs w:val="20"/>
        </w:rPr>
        <w:t xml:space="preserve"> strains and </w:t>
      </w:r>
      <w:r>
        <w:rPr>
          <w:rFonts w:ascii="Times New Roman" w:eastAsia="Times New Roman" w:hAnsi="Times New Roman" w:cs="Times New Roman"/>
          <w:i/>
          <w:sz w:val="20"/>
          <w:szCs w:val="20"/>
        </w:rPr>
        <w:t xml:space="preserve">Bacillus thuringiensis </w:t>
      </w:r>
      <w:r>
        <w:rPr>
          <w:rFonts w:ascii="Times New Roman" w:eastAsia="Times New Roman" w:hAnsi="Times New Roman" w:cs="Times New Roman"/>
          <w:sz w:val="20"/>
          <w:szCs w:val="20"/>
        </w:rPr>
        <w:t>toxin.</w:t>
      </w:r>
    </w:p>
    <w:p w14:paraId="2A0FEA81" w14:textId="54AF7A3D"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is utilized in preliminary research to develop a consistent model for the identification of PVL-producing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 Eighty-one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 strains were examined for the presence of Panton-Valentine </w:t>
      </w:r>
      <w:proofErr w:type="spellStart"/>
      <w:r>
        <w:rPr>
          <w:rFonts w:ascii="Times New Roman" w:eastAsia="Times New Roman" w:hAnsi="Times New Roman" w:cs="Times New Roman"/>
          <w:sz w:val="20"/>
          <w:szCs w:val="20"/>
        </w:rPr>
        <w:t>leukocidin</w:t>
      </w:r>
      <w:proofErr w:type="spellEnd"/>
      <w:r>
        <w:rPr>
          <w:rFonts w:ascii="Times New Roman" w:eastAsia="Times New Roman" w:hAnsi="Times New Roman" w:cs="Times New Roman"/>
          <w:sz w:val="20"/>
          <w:szCs w:val="20"/>
        </w:rPr>
        <w:t xml:space="preserve"> (PVL) and toxic shock syndrome toxin-1 (</w:t>
      </w:r>
      <w:proofErr w:type="spellStart"/>
      <w:r>
        <w:rPr>
          <w:rFonts w:ascii="Times New Roman" w:eastAsia="Times New Roman" w:hAnsi="Times New Roman" w:cs="Times New Roman"/>
          <w:sz w:val="20"/>
          <w:szCs w:val="20"/>
        </w:rPr>
        <w:t>TSST</w:t>
      </w:r>
      <w:proofErr w:type="spellEnd"/>
      <w:r>
        <w:rPr>
          <w:rFonts w:ascii="Times New Roman" w:eastAsia="Times New Roman" w:hAnsi="Times New Roman" w:cs="Times New Roman"/>
          <w:sz w:val="20"/>
          <w:szCs w:val="20"/>
        </w:rPr>
        <w:t xml:space="preserve">-1)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{"citationID":"38AuDTbH","properties":{"formattedCitation":"[42]","plainCitation":"[42]","noteIndex":0},"citationItems":[{"id":995,"uris":["http://zotero.org/users/12998224/items/2S5NKU4P"],"itemData":{"id":995,"type":"article-journal","abstract":"Toxin-producing gram-positive bacteria are responsible for emerging and life-threatening infections in humans worldwide. Both rapid toxin detection and adapted therapy are essential to limit the morbidity due to such toxins, especially staphylococcal Panton-Valentine leukocidin (PVL). Here we describe the use of a mass spectrometry profile generated by matrix-assisted laser desorption/ionisation time-of-flight (MALDI-TOF) followed by ClinProTools 2.0 software analysis to find a reproducible model able to identify PVL in Staphylococcus aureus strains. Eighty-one S. aureus strains were used and tested for the presence of PVL, toxic shock syndrome toxin (TSST-1) and mecA genes. The peak at 4448 mass-to-charge ratio (m/z) was the most relevant peak to differentiate between PVL-producing and non-PVL-producing S. aureus. A model using only this peak had an overall recognition capability of 100% and an overall cross-validation of 77.07%. Prospective evaluation of the model allowed two cases of PVL-producing strains to be detected within a few minutes during the time of care and before polymerase chain reaction (PCR) results. Our study represents a proof of concept for the use of such rapid technology as a point-of-care method to identify potential lethal toxin quickly. We believe that such a rapid method will be timely to help change the therapeutic strategy and could be used in the future for other pathogens and infectious diseases.","container-title":"International Journal of Antimicrobial Agents","DOI":"10.1016/j.ijantimicag.2009.03.017","ISSN":"1872-7913","issue":"5","journalAbbreviation":"Int J Antimicrob Agents","language":"eng","note":"PMID: 19409760","page":"467-470","source":"PubMed","title":"MALDI-TOF-MS for rapid detection of staphylococcal Panton-Valentine leukocidin","volume":"34","author":[{"family":"Bittar","given":"Fadi"},{"family":"Ouchenane","given":"Zoulikha"},{"family":"Smati","given":"Farida"},{"family":"Raoult","given":"Didier"},{"family":"Rolain","given":"Jean-Marc"}],"issued":{"date-parts":[["2009",11]]}}}],"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[42]</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 research discovered a peak at a mass-to-charge ratio (m/z) of 4448 as the greatest distinguishing characteristic differentiating PVL-positive from PVL-negative bacteria. A classification model utilizing this peak exhibited a recognition capability of 100% and an overall cross-validation accuracy of 77.07%. Moreover, the potential implementation of this approach facilitated the identification of PVL-producing strains within minutes during clinical care, prior to the results obtained using PCR. This serve</w:t>
      </w:r>
      <w:r w:rsidR="008951DE">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 as a substantial proof of concept for the incorporation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in expedited toxin detection, highlighting its potential as a point-of-care diagnostic instrument</w:t>
      </w:r>
      <w:r w:rsidR="008951DE">
        <w:rPr>
          <w:rFonts w:ascii="Times New Roman" w:eastAsia="Times New Roman" w:hAnsi="Times New Roman" w:cs="Times New Roman"/>
          <w:sz w:val="20"/>
          <w:szCs w:val="20"/>
        </w:rPr>
        <w:t xml:space="preserve"> </w:t>
      </w:r>
      <w:r w:rsidR="008951DE">
        <w:rPr>
          <w:rFonts w:ascii="Times New Roman" w:eastAsia="Times New Roman" w:hAnsi="Times New Roman" w:cs="Times New Roman"/>
          <w:sz w:val="20"/>
          <w:szCs w:val="20"/>
        </w:rPr>
        <w:fldChar w:fldCharType="begin"/>
      </w:r>
      <w:r w:rsidR="008951DE">
        <w:rPr>
          <w:rFonts w:ascii="Times New Roman" w:eastAsia="Times New Roman" w:hAnsi="Times New Roman" w:cs="Times New Roman"/>
          <w:sz w:val="20"/>
          <w:szCs w:val="20"/>
        </w:rPr>
        <w:instrText xml:space="preserve"> ADDIN ZOTERO_ITEM CSL_CITATION {"citationID":"38AuDTbH","properties":{"formattedCitation":"[42]","plainCitation":"[42]","noteIndex":0},"citationItems":[{"id":995,"uris":["http://zotero.org/users/12998224/items/2S5NKU4P"],"itemData":{"id":995,"type":"article-journal","abstract":"Toxin-producing gram-positive bacteria are responsible for emerging and life-threatening infections in humans worldwide. Both rapid toxin detection and adapted therapy are essential to limit the morbidity due to such toxins, especially staphylococcal Panton-Valentine leukocidin (PVL). Here we describe the use of a mass spectrometry profile generated by matrix-assisted laser desorption/ionisation time-of-flight (MALDI-TOF) followed by ClinProTools 2.0 software analysis to find a reproducible model able to identify PVL in Staphylococcus aureus strains. Eighty-one S. aureus strains were used and tested for the presence of PVL, toxic shock syndrome toxin (TSST-1) and mecA genes. The peak at 4448 mass-to-charge ratio (m/z) was the most relevant peak to differentiate between PVL-producing and non-PVL-producing S. aureus. A model using only this peak had an overall recognition capability of 100% and an overall cross-validation of 77.07%. Prospective evaluation of the model allowed two cases of PVL-producing strains to be detected within a few minutes during the time of care and before polymerase chain reaction (PCR) results. Our study represents a proof of concept for the use of such rapid technology as a point-of-care method to identify potential lethal toxin quickly. We believe that such a rapid method will be timely to help change the therapeutic strategy and could be used in the future for other pathogens and infectious diseases.","container-title":"International Journal of Antimicrobial Agents","DOI":"10.1016/j.ijantimicag.2009.03.017","ISSN":"1872-7913","issue":"5","journalAbbreviation":"Int J Antimicrob Agents","language":"eng","note":"PMID: 19409760","page":"467-470","source":"PubMed","title":"MALDI-TOF-MS for rapid detection of staphylococcal Panton-Valentine leukocidin","volume":"34","author":[{"family":"Bittar","given":"Fadi"},{"family":"Ouchenane","given":"Zoulikha"},{"family":"Smati","given":"Farida"},{"family":"Raoult","given":"Didier"},{"family":"Rolain","given":"Jean-Marc"}],"issued":{"date-parts":[["2009",11]]}}}],"schema":"https://github.com/citation-style-language/schema/raw/master/csl-citation.json"} </w:instrText>
      </w:r>
      <w:r w:rsidR="008951DE">
        <w:rPr>
          <w:rFonts w:ascii="Times New Roman" w:eastAsia="Times New Roman" w:hAnsi="Times New Roman" w:cs="Times New Roman"/>
          <w:sz w:val="20"/>
          <w:szCs w:val="20"/>
        </w:rPr>
        <w:fldChar w:fldCharType="separate"/>
      </w:r>
      <w:r w:rsidR="008951DE" w:rsidRPr="00A34857">
        <w:rPr>
          <w:rFonts w:ascii="Times New Roman" w:hAnsi="Times New Roman" w:cs="Times New Roman"/>
          <w:sz w:val="20"/>
        </w:rPr>
        <w:t>[42]</w:t>
      </w:r>
      <w:r w:rsidR="008951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3FA43366" w14:textId="0CB01269"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a prior study conducted in 2002 illustrated the utilization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for the identification of </w:t>
      </w:r>
      <w:r>
        <w:rPr>
          <w:rFonts w:ascii="Times New Roman" w:eastAsia="Times New Roman" w:hAnsi="Times New Roman" w:cs="Times New Roman"/>
          <w:i/>
          <w:sz w:val="20"/>
          <w:szCs w:val="20"/>
        </w:rPr>
        <w:t>Bacillus thuringiensis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Bt</w:t>
      </w:r>
      <w:proofErr w:type="spellEnd"/>
      <w:r>
        <w:rPr>
          <w:rFonts w:ascii="Times New Roman" w:eastAsia="Times New Roman" w:hAnsi="Times New Roman" w:cs="Times New Roman"/>
          <w:sz w:val="20"/>
          <w:szCs w:val="20"/>
        </w:rPr>
        <w:t xml:space="preserve">) crystal (Cry) toxins. The work utilized both established Cry toxins (e.g., </w:t>
      </w:r>
      <w:proofErr w:type="spellStart"/>
      <w:r>
        <w:rPr>
          <w:rFonts w:ascii="Times New Roman" w:eastAsia="Times New Roman" w:hAnsi="Times New Roman" w:cs="Times New Roman"/>
          <w:sz w:val="20"/>
          <w:szCs w:val="20"/>
        </w:rPr>
        <w:t>Cry1Ac</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Cry2A</w:t>
      </w:r>
      <w:proofErr w:type="spellEnd"/>
      <w:r>
        <w:rPr>
          <w:rFonts w:ascii="Times New Roman" w:eastAsia="Times New Roman" w:hAnsi="Times New Roman" w:cs="Times New Roman"/>
          <w:sz w:val="20"/>
          <w:szCs w:val="20"/>
        </w:rPr>
        <w:t>) and newly anticipated toxins as controls, confirming that peptide masses derived from in-gel trypsin digestion corresponded precisely to their respective proteins.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effectively distinguished many Cry toxins with analogous molecular weights and isoelectric points from a singular protein band. This approach also identified novel Cry toxins in </w:t>
      </w:r>
      <w:proofErr w:type="spellStart"/>
      <w:r>
        <w:rPr>
          <w:rFonts w:ascii="Times New Roman" w:eastAsia="Times New Roman" w:hAnsi="Times New Roman" w:cs="Times New Roman"/>
          <w:sz w:val="20"/>
          <w:szCs w:val="20"/>
        </w:rPr>
        <w:t>Bt</w:t>
      </w:r>
      <w:proofErr w:type="spellEnd"/>
      <w:r>
        <w:rPr>
          <w:rFonts w:ascii="Times New Roman" w:eastAsia="Times New Roman" w:hAnsi="Times New Roman" w:cs="Times New Roman"/>
          <w:sz w:val="20"/>
          <w:szCs w:val="20"/>
        </w:rPr>
        <w:t xml:space="preserve"> strains that PCR could not detect the relevant genes for. These findings underscore the efficacy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as a robust instrument for the identification of Cry toxins, especially in novel </w:t>
      </w:r>
      <w:proofErr w:type="spellStart"/>
      <w:r>
        <w:rPr>
          <w:rFonts w:ascii="Times New Roman" w:eastAsia="Times New Roman" w:hAnsi="Times New Roman" w:cs="Times New Roman"/>
          <w:sz w:val="20"/>
          <w:szCs w:val="20"/>
        </w:rPr>
        <w:t>Bt</w:t>
      </w:r>
      <w:proofErr w:type="spellEnd"/>
      <w:r>
        <w:rPr>
          <w:rFonts w:ascii="Times New Roman" w:eastAsia="Times New Roman" w:hAnsi="Times New Roman" w:cs="Times New Roman"/>
          <w:sz w:val="20"/>
          <w:szCs w:val="20"/>
        </w:rPr>
        <w:t xml:space="preserve"> strains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{"citationID":"5QVBFsnx","properties":{"formattedCitation":"[43]","plainCitation":"[43]","noteIndex":0},"citationItems":[{"id":998,"uris":["http://zotero.org/users/12998224/items/XS4T3HTJ"],"itemData":{"id":998,"type":"article-journal","abstract":"Matrix assisted laser desorption ionisation time of flight mass spectrometry (MALDI-TOF MS) was used to study crystal (Cry) toxins from different Bacillus thuringiensis (Bt) strains. Known Cry toxins such as Cry1Ac and Cry2A, as well as novel toxins for which the protein sequences were predicted by their gene sequences, were used as controls in this study. The peptide masses, obtained after in-gel trypsin digestion for all these proteins, matched correctly to the corresponding proteins. Also, MALDI-TOF MS was able to resolve and identify multiple Cry toxins of very similar molecular weights and highly similar isoelectric points, from a single protein band. Furthermore, in novel Bt strains for which PCR techniques were unable to detect the cognate genes, this method was able to detect novel Cry toxins. Hence, present data clearly suggest that MALDI-TOF MS could be used as a tool for identifying Cry toxins from novel Bt strains.","container-title":"Journal of Invertebrate Pathology","DOI":"10.1016/S0022-2011(02)00004-6","ISSN":"0022-2011","issue":"1","journalAbbreviation":"J Invertebr Pathol","language":"eng","note":"PMID: 12054787","page":"51-58","source":"PubMed","title":"Matrix assisted laser desorption ionisation time of flight mass spectrometry (MALDI-TOF MS) for detecting novel Bt toxins","volume":"79","author":[{"family":"Ranasinghe","given":"Charani"},{"family":"Akhurst","given":"Raymond J."}],"issued":{"date-parts":[["2002",1]]}}}],"schema":"https://github.com/citation-style-language/schema/raw/master/csl-citation.json"}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[43]</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954B669" w14:textId="37287459"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 similar manner, Shiga toxins (</w:t>
      </w:r>
      <w:proofErr w:type="spellStart"/>
      <w:r>
        <w:rPr>
          <w:rFonts w:ascii="Times New Roman" w:eastAsia="Times New Roman" w:hAnsi="Times New Roman" w:cs="Times New Roman"/>
          <w:sz w:val="20"/>
          <w:szCs w:val="20"/>
        </w:rPr>
        <w:t>Stx</w:t>
      </w:r>
      <w:proofErr w:type="spellEnd"/>
      <w:r>
        <w:rPr>
          <w:rFonts w:ascii="Times New Roman" w:eastAsia="Times New Roman" w:hAnsi="Times New Roman" w:cs="Times New Roman"/>
          <w:sz w:val="20"/>
          <w:szCs w:val="20"/>
        </w:rPr>
        <w:t xml:space="preserve">) produced by </w:t>
      </w:r>
      <w:r>
        <w:rPr>
          <w:rFonts w:ascii="Times New Roman" w:eastAsia="Times New Roman" w:hAnsi="Times New Roman" w:cs="Times New Roman"/>
          <w:i/>
          <w:sz w:val="20"/>
          <w:szCs w:val="20"/>
        </w:rPr>
        <w:t xml:space="preserve">Escherichia coli </w:t>
      </w:r>
      <w:r>
        <w:rPr>
          <w:rFonts w:ascii="Times New Roman" w:eastAsia="Times New Roman" w:hAnsi="Times New Roman" w:cs="Times New Roman"/>
          <w:sz w:val="20"/>
          <w:szCs w:val="20"/>
        </w:rPr>
        <w:t xml:space="preserve">can also be detected effectively using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further showcasing its versatility in clinical microbiology. Shiga toxin-producing </w:t>
      </w:r>
      <w:r>
        <w:rPr>
          <w:rFonts w:ascii="Times New Roman" w:eastAsia="Times New Roman" w:hAnsi="Times New Roman" w:cs="Times New Roman"/>
          <w:i/>
          <w:sz w:val="20"/>
          <w:szCs w:val="20"/>
        </w:rPr>
        <w:t>E. coli</w:t>
      </w:r>
      <w:r>
        <w:rPr>
          <w:rFonts w:ascii="Times New Roman" w:eastAsia="Times New Roman" w:hAnsi="Times New Roman" w:cs="Times New Roman"/>
          <w:sz w:val="20"/>
          <w:szCs w:val="20"/>
        </w:rPr>
        <w:t xml:space="preserve"> (STEC) has been increasingly linked to major outbreaks of foodborne illness, with </w:t>
      </w:r>
      <w:r w:rsidRPr="00590A53">
        <w:rPr>
          <w:rFonts w:ascii="Times New Roman" w:eastAsia="Times New Roman" w:hAnsi="Times New Roman" w:cs="Times New Roman"/>
          <w:i/>
          <w:iCs/>
          <w:sz w:val="20"/>
          <w:szCs w:val="20"/>
        </w:rPr>
        <w:t>E. coli</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O157:H7</w:t>
      </w:r>
      <w:proofErr w:type="spellEnd"/>
      <w:r>
        <w:rPr>
          <w:rFonts w:ascii="Times New Roman" w:eastAsia="Times New Roman" w:hAnsi="Times New Roman" w:cs="Times New Roman"/>
          <w:sz w:val="20"/>
          <w:szCs w:val="20"/>
        </w:rPr>
        <w:t xml:space="preserve"> (e.g., strain </w:t>
      </w:r>
      <w:proofErr w:type="spellStart"/>
      <w:r>
        <w:rPr>
          <w:rFonts w:ascii="Times New Roman" w:eastAsia="Times New Roman" w:hAnsi="Times New Roman" w:cs="Times New Roman"/>
          <w:sz w:val="20"/>
          <w:szCs w:val="20"/>
        </w:rPr>
        <w:t>EDL933</w:t>
      </w:r>
      <w:proofErr w:type="spellEnd"/>
      <w:r>
        <w:rPr>
          <w:rFonts w:ascii="Times New Roman" w:eastAsia="Times New Roman" w:hAnsi="Times New Roman" w:cs="Times New Roman"/>
          <w:sz w:val="20"/>
          <w:szCs w:val="20"/>
        </w:rPr>
        <w:t xml:space="preserve">) being one of </w:t>
      </w:r>
      <w:r>
        <w:rPr>
          <w:rFonts w:ascii="Times New Roman" w:eastAsia="Times New Roman" w:hAnsi="Times New Roman" w:cs="Times New Roman"/>
          <w:sz w:val="20"/>
          <w:szCs w:val="20"/>
        </w:rPr>
        <w:lastRenderedPageBreak/>
        <w:t xml:space="preserve">the most studied strains due to its dual possession of the </w:t>
      </w:r>
      <w:proofErr w:type="spellStart"/>
      <w:r w:rsidRPr="007C5FC6">
        <w:rPr>
          <w:rFonts w:ascii="Times New Roman" w:eastAsia="Times New Roman" w:hAnsi="Times New Roman" w:cs="Times New Roman"/>
          <w:i/>
          <w:iCs/>
          <w:sz w:val="20"/>
          <w:szCs w:val="20"/>
        </w:rPr>
        <w:t>stx1</w:t>
      </w:r>
      <w:proofErr w:type="spellEnd"/>
      <w:r>
        <w:rPr>
          <w:rFonts w:ascii="Times New Roman" w:eastAsia="Times New Roman" w:hAnsi="Times New Roman" w:cs="Times New Roman"/>
          <w:sz w:val="20"/>
          <w:szCs w:val="20"/>
        </w:rPr>
        <w:t xml:space="preserve"> and </w:t>
      </w:r>
      <w:proofErr w:type="spellStart"/>
      <w:r w:rsidRPr="007C5FC6">
        <w:rPr>
          <w:rFonts w:ascii="Times New Roman" w:eastAsia="Times New Roman" w:hAnsi="Times New Roman" w:cs="Times New Roman"/>
          <w:i/>
          <w:iCs/>
          <w:sz w:val="20"/>
          <w:szCs w:val="20"/>
        </w:rPr>
        <w:t>stx2</w:t>
      </w:r>
      <w:proofErr w:type="spellEnd"/>
      <w:r w:rsidRPr="007C5FC6">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genes, along with additional virulence factors. These toxins, </w:t>
      </w:r>
      <w:proofErr w:type="spellStart"/>
      <w:r>
        <w:rPr>
          <w:rFonts w:ascii="Times New Roman" w:eastAsia="Times New Roman" w:hAnsi="Times New Roman" w:cs="Times New Roman"/>
          <w:sz w:val="20"/>
          <w:szCs w:val="20"/>
        </w:rPr>
        <w:t>Stx1</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Stx2</w:t>
      </w:r>
      <w:proofErr w:type="spellEnd"/>
      <w:r>
        <w:rPr>
          <w:rFonts w:ascii="Times New Roman" w:eastAsia="Times New Roman" w:hAnsi="Times New Roman" w:cs="Times New Roman"/>
          <w:sz w:val="20"/>
          <w:szCs w:val="20"/>
        </w:rPr>
        <w:t>, play a central role in STEC pathogenicity, and their rapid detection is critical for managing public health risks and improving patient outcomes.</w:t>
      </w:r>
    </w:p>
    <w:p w14:paraId="61E69244" w14:textId="4C5D2DFD"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Early work demonstrated the feasibility of using </w:t>
      </w:r>
      <w:r w:rsidR="00590A53">
        <w:rPr>
          <w:rFonts w:ascii="Times New Roman" w:eastAsia="Times New Roman" w:hAnsi="Times New Roman" w:cs="Times New Roman"/>
          <w:sz w:val="20"/>
          <w:szCs w:val="20"/>
        </w:rPr>
        <w:t>MS</w:t>
      </w:r>
      <w:r>
        <w:rPr>
          <w:rFonts w:ascii="Times New Roman" w:eastAsia="Times New Roman" w:hAnsi="Times New Roman" w:cs="Times New Roman"/>
          <w:sz w:val="20"/>
          <w:szCs w:val="20"/>
        </w:rPr>
        <w:t>, coupled with immunoprecipitation, to identify Shiga toxins (</w:t>
      </w:r>
      <w:proofErr w:type="spellStart"/>
      <w:r>
        <w:rPr>
          <w:rFonts w:ascii="Times New Roman" w:eastAsia="Times New Roman" w:hAnsi="Times New Roman" w:cs="Times New Roman"/>
          <w:sz w:val="20"/>
          <w:szCs w:val="20"/>
        </w:rPr>
        <w:t>Stx1</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Stx2</w:t>
      </w:r>
      <w:proofErr w:type="spellEnd"/>
      <w:r>
        <w:rPr>
          <w:rFonts w:ascii="Times New Roman" w:eastAsia="Times New Roman" w:hAnsi="Times New Roman" w:cs="Times New Roman"/>
          <w:sz w:val="20"/>
          <w:szCs w:val="20"/>
        </w:rPr>
        <w:t xml:space="preserve">) from STEC. </w:t>
      </w:r>
      <w:r w:rsidR="00590A53">
        <w:rPr>
          <w:rFonts w:ascii="Times New Roman" w:eastAsia="Times New Roman" w:hAnsi="Times New Roman" w:cs="Times New Roman"/>
          <w:sz w:val="20"/>
          <w:szCs w:val="20"/>
        </w:rPr>
        <w:t>This approach</w:t>
      </w:r>
      <w:r>
        <w:rPr>
          <w:rFonts w:ascii="Times New Roman" w:eastAsia="Times New Roman" w:hAnsi="Times New Roman" w:cs="Times New Roman"/>
          <w:sz w:val="20"/>
          <w:szCs w:val="20"/>
        </w:rPr>
        <w:t xml:space="preserve"> reduced the detection time from two weeks to just two days, providing molecular weight data that confirmed the presence of specific toxins in STEC isolates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{"citationID":"G0haDjZt","properties":{"formattedCitation":"[44]","plainCitation":"[44]","noteIndex":0},"citationItems":[{"id":1000,"uris":["http://zotero.org/users/12998224/items/4JLPTAIY"],"itemData":{"id":1000,"type":"article-journal","abstract":"We developed a rapid and reliable identification method for Shiga toxins in Shiga toxin-producing Escherichia coli (STEC) using immunoprecipitation and high-performance liquid chromatography-electrospray ionization mass spectrometry (HPLC-ESI-MS). Polyclonal antisera specific for Shiga toxin 1 (Stx1) and Shiga toxin 2 (Stx2) were raised in rabbits so as to be used for the immunoprecipitation. The immunoprecipitaion was carried out by mixing sample solutions with 50 µl each of the antisera to Stx1 and Stx2 followed by allowing the mixed solutions to stand for 30 min. The quantity required to obtain the immunoprecipitate was more than 0.5 µg of Shiga toxins. HPLC-ESI-MS analysis of the resulting immunoprecipitates provided accurate molecular weight information on Shiga toxins, leading to direct evidence for the presence of these toxins. It requires at most two days to perform our procedure from toxin extraction to measurement of HPLC-ESI-MS whereas the previous method using isolation procedures required about two weeks to complete. The usefulness of the present method has been demonstrated by identifying Stx1, Stx2 and a variant of Stx2 (Stx2e) in the immunoprecipitates prepared from STEC strains.","container-title":"Analyst","DOI":"10.1039/B309401D","ISSN":"1364-5528","issue":"11","journalAbbreviation":"Analyst","language":"en","note":"publisher: The Royal Society of Chemistry","page":"1360-1364","source":"pubs.rsc.org","title":"Identification of Shiga toxins in Shiga toxin-producing Escherichia coli using immunoprecipitation and high-performance liquid chromatography-electrospray ionization mass spectrometry","volume":"128","author":[{"family":"Kondo","given":"Fumio"},{"family":"Saito","given":"Hiroshi"},{"family":"Hayashi","given":"Rumiko"},{"family":"Onda","given":"Hiroyuki"},{"family":"Kobayashi","given":"Shinichi"},{"family":"Matsumoto","given":"Masakado"},{"family":"Suzuki","given":"Masahiro"},{"family":"Ito","given":"Yuko"},{"family":"Oka","given":"Hisao"},{"family":"Nakanishi","given":"Toyofumi"},{"family":"Shimizu","given":"Akira"}],"issued":{"date-parts":[["2003",11,6]]}}}],"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[44]</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586166A" w14:textId="2E17554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on these foundations, the application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is advanced by integrating top-down proteomic techniques to identify </w:t>
      </w:r>
      <w:proofErr w:type="spellStart"/>
      <w:r>
        <w:rPr>
          <w:rFonts w:ascii="Times New Roman" w:eastAsia="Times New Roman" w:hAnsi="Times New Roman" w:cs="Times New Roman"/>
          <w:sz w:val="20"/>
          <w:szCs w:val="20"/>
        </w:rPr>
        <w:t>Stx2</w:t>
      </w:r>
      <w:proofErr w:type="spellEnd"/>
      <w:r>
        <w:rPr>
          <w:rFonts w:ascii="Times New Roman" w:eastAsia="Times New Roman" w:hAnsi="Times New Roman" w:cs="Times New Roman"/>
          <w:sz w:val="20"/>
          <w:szCs w:val="20"/>
        </w:rPr>
        <w:t xml:space="preserve"> subtypes (e.g., a, c, d, f, and g) directly from bacterial cell lysates.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w:t>
      </w:r>
      <w:r w:rsidR="00590A53">
        <w:rPr>
          <w:rFonts w:ascii="Times New Roman" w:eastAsia="Times New Roman" w:hAnsi="Times New Roman" w:cs="Times New Roman"/>
          <w:sz w:val="20"/>
          <w:szCs w:val="20"/>
        </w:rPr>
        <w:t xml:space="preserve">was revealed </w:t>
      </w:r>
      <w:r>
        <w:rPr>
          <w:rFonts w:ascii="Times New Roman" w:eastAsia="Times New Roman" w:hAnsi="Times New Roman" w:cs="Times New Roman"/>
          <w:sz w:val="20"/>
          <w:szCs w:val="20"/>
        </w:rPr>
        <w:t xml:space="preserve">as a rapid and highly specific tool for distinguishing toxin variants based on their mass and sequence-specific fragment ions. Such subtype differentiation is critical for understanding the virulence potential of STEC strains and informing public health interventions during outbreaks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{"citationID":"gJp8IgGz","properties":{"formattedCitation":"[45]","plainCitation":"[45]","noteIndex":0},"citationItems":[{"id":1001,"uris":["http://zotero.org/users/12998224/items/LS5TYK78"],"itemData":{"id":1001,"type":"article-journal","abstract":"We have analyzed 26 Shiga toxin-producing Escherichia coli (STEC) strains for Shiga toxin 2 (Stx2) production using matrix-assisted laser desorption ionization (MALDI)–tandem time of flight (TOF-TOF) tandem mass spectrometry (MS/MS) and top-down proteomic analysis. STEC strains were induced to overexpress Stx2 by overnight culturing on solid agar supplemented with either ciprofloxacin or mitomycin C. Harvested cells were lysed by bead beating, and unfractionated bacterial cell lysates were ionized by MALDI. The A2 fragment of the A subunit and the mature B subunit of Stx2 were analyzed by MS/MS. Sequence-specific fragment ions were used to identify amino acid subtypes of Stx2 using top-down proteomic analysis using software developed in-house at the U.S. Department of Agriculture (USDA). Stx2 subtypes (a, c, d, f, and g) were identified on the basis of the mass of the A2 fragment and the B subunit as well as from their sequence-specific fragment ions by MS/MS (postsource decay). Top-down proteomic identification was in agreement with DNA sequencing of the full Stx2 operon (stx 2) for all strains. Top-down results were also compared to a bioassay using a Vero-d2EGFP cell line. Our results suggest that top-down proteomic identification is a rapid, highly specific technique for distinguishing Stx2 subtypes.","container-title":"Applied and Environmental Microbiology","DOI":"10.1128/AEM.04058-13","issue":"9","note":"publisher: American Society for Microbiology","page":"2928-2940","source":"journals.asm.org (Atypon)","title":"Top-Down Proteomic Identification of Shiga Toxin 2 Subtypes from Shiga Toxin-Producing Escherichia coli by Matrix-Assisted Laser Desorption Ionization–Tandem Time of Flight Mass Spectrometry","volume":"80","author":[{"family":"Fagerquist","given":"Clifton K."},{"family":"Zaragoza","given":"William J."},{"family":"Sultan","given":"Omar"},{"family":"Woo","given":"Nathan"},{"family":"Quiñones","given":"Beatriz"},{"family":"Cooley","given":"Michael B."},{"family":"Mandrell","given":"Robert E."}],"issued":{"date-parts":[["2014",5]]}}}],"schema":"https://github.com/citation-style-language/schema/raw/master/csl-citation.json"}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[45]</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More recently, t</w:t>
      </w:r>
      <w:r w:rsidR="00590A53">
        <w:rPr>
          <w:rFonts w:ascii="Times New Roman" w:eastAsia="Times New Roman" w:hAnsi="Times New Roman" w:cs="Times New Roman"/>
          <w:sz w:val="20"/>
          <w:szCs w:val="20"/>
        </w:rPr>
        <w:t xml:space="preserve">he </w:t>
      </w:r>
      <w:r>
        <w:rPr>
          <w:rFonts w:ascii="Times New Roman" w:eastAsia="Times New Roman" w:hAnsi="Times New Roman" w:cs="Times New Roman"/>
          <w:sz w:val="20"/>
          <w:szCs w:val="20"/>
        </w:rPr>
        <w:t>scope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expanded by leveraging chemical reduction to enhance the detection of </w:t>
      </w:r>
      <w:r w:rsidRPr="00590A53">
        <w:rPr>
          <w:rFonts w:ascii="Times New Roman" w:eastAsia="Times New Roman" w:hAnsi="Times New Roman" w:cs="Times New Roman"/>
          <w:i/>
          <w:iCs/>
          <w:sz w:val="20"/>
          <w:szCs w:val="20"/>
        </w:rPr>
        <w:t>E. coli</w:t>
      </w:r>
      <w:r>
        <w:rPr>
          <w:rFonts w:ascii="Times New Roman" w:eastAsia="Times New Roman" w:hAnsi="Times New Roman" w:cs="Times New Roman"/>
          <w:sz w:val="20"/>
          <w:szCs w:val="20"/>
        </w:rPr>
        <w:t xml:space="preserve"> toxin biomarkers, including the B-subunit of </w:t>
      </w:r>
      <w:proofErr w:type="spellStart"/>
      <w:r>
        <w:rPr>
          <w:rFonts w:ascii="Times New Roman" w:eastAsia="Times New Roman" w:hAnsi="Times New Roman" w:cs="Times New Roman"/>
          <w:sz w:val="20"/>
          <w:szCs w:val="20"/>
        </w:rPr>
        <w:t>Stx</w:t>
      </w:r>
      <w:proofErr w:type="spellEnd"/>
      <w:r>
        <w:rPr>
          <w:rFonts w:ascii="Times New Roman" w:eastAsia="Times New Roman" w:hAnsi="Times New Roman" w:cs="Times New Roman"/>
          <w:sz w:val="20"/>
          <w:szCs w:val="20"/>
        </w:rPr>
        <w:t xml:space="preserve">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{"citationID":"33LM6Ntu","properties":{"formattedCitation":"[46]","plainCitation":"[46]","noteIndex":0},"citationItems":[{"id":971,"uris":["http://zotero.org/users/12998224/items/5Y6D9ZKP"],"itemData":{"id":971,"type":"article-journal","abstract":"RATIONALE: Shiga toxin-producing Escherichia coli (STEC) are an ongoing threat to public health and agriculture. Our laboratory has developed a rapid method for identification of Shiga toxin (Stx), bacteriophage, and host proteins produced from STEC. We demonstrate this technique on two genomically sequenced STEC O145:H28 strains linked to two major outbreaks of foodborne illness occurring in 2007 (Belgium) and 2010 (Arizona).\nMETHODS: Our approach was to induce expression of stx, prophage, and host genes by antibiotic exposure, chemically reduce samples, and identify protein biomarkers from unfractionated samples using matrix-assisted laser desorption/ionization time-of-flight mass spectrometry, tandem mass spectrometry (MS/MS), and post-source decay (PSD). The protein mass and prominent fragment ions were used to identify protein sequences using top-down proteomic software developed in-house. Prominent fragment ions are the result of polypeptide backbone cleavage resulting from the aspartic acid effect fragmentation mechanism.\nRESULTS: The B-subunit of Stx and acid-stress proteins HdeA and HdeB were identified in both STEC strains in their intramolecular disulfide bond-intact and reduced states. In addition, two cysteine-containing phage tail proteins were detected and identified from the Arizona strain but only under reducing conditions, which suggests that bacteriophage complexes are bound by intermolecular disulfide bonds. An acyl carrier protein (ACP) and a phosphocarrier protein were also identified from the Belgium strain. ACP was post-translationally modified with attachment of a phosphopantetheine linker at residue S36. The abundance of ACP (plus linker) was significantly increased on chemical reduction, suggesting the release of fatty acids bound to the ACP + linker at a thioester bond. MS/MS-PSD revealed dissociative loss of the linker from the precursor ion as well as fragment ions with and without the attached linker consistent with its attachment at S36.\nCONCLUSIONS: This study demonstrates the advantages of chemical reduction in facilitating the detection and top-down identification of protein biomarkers of pathogenic bacteria.","container-title":"Rapid communications in mass spectrometry: RCM","DOI":"10.1002/rcm.9505","ISSN":"1097-0231","issue":"10","journalAbbreviation":"Rapid Commun Mass Spectrom","language":"eng","note":"PMID: 36905351","page":"e9505","source":"PubMed","title":"Toxin and phage production from pathogenic E. coli by antibiotic induction analyzed by chemical reduction, MALDI-TOF-TOF mass spectrometry and top-down proteomic analysis","volume":"37","author":[{"family":"Fagerquist","given":"Clifton K."},{"family":"Shi","given":"Yanlin"},{"family":"Dodd","given":"Claire E."}],"issued":{"date-parts":[["2023",3,30]]}}}],"schema":"https://github.com/citation-style-language/schema/raw/master/csl-citation.json"}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[46]</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590A53">
        <w:rPr>
          <w:rFonts w:ascii="Times New Roman" w:eastAsia="Times New Roman" w:hAnsi="Times New Roman" w:cs="Times New Roman"/>
          <w:sz w:val="20"/>
          <w:szCs w:val="20"/>
        </w:rPr>
        <w:t xml:space="preserve"> Not only ability of MALDI-</w:t>
      </w:r>
      <w:proofErr w:type="spellStart"/>
      <w:r w:rsidR="00590A53">
        <w:rPr>
          <w:rFonts w:ascii="Times New Roman" w:eastAsia="Times New Roman" w:hAnsi="Times New Roman" w:cs="Times New Roman"/>
          <w:sz w:val="20"/>
          <w:szCs w:val="20"/>
        </w:rPr>
        <w:t>TOF</w:t>
      </w:r>
      <w:proofErr w:type="spellEnd"/>
      <w:r w:rsidR="00590A53">
        <w:rPr>
          <w:rFonts w:ascii="Times New Roman" w:eastAsia="Times New Roman" w:hAnsi="Times New Roman" w:cs="Times New Roman"/>
          <w:sz w:val="20"/>
          <w:szCs w:val="20"/>
        </w:rPr>
        <w:t xml:space="preserve"> MS to identify Shiga toxins was affirmed but the capacity to detect other virulence-associated proteins, such as acid-stress and bacteriophage tail proteins was demonstrated </w:t>
      </w:r>
      <w:r w:rsidR="00590A53">
        <w:rPr>
          <w:rFonts w:ascii="Times New Roman" w:eastAsia="Times New Roman" w:hAnsi="Times New Roman" w:cs="Times New Roman"/>
          <w:sz w:val="20"/>
          <w:szCs w:val="20"/>
        </w:rPr>
        <w:fldChar w:fldCharType="begin"/>
      </w:r>
      <w:r w:rsidR="00590A53">
        <w:rPr>
          <w:rFonts w:ascii="Times New Roman" w:eastAsia="Times New Roman" w:hAnsi="Times New Roman" w:cs="Times New Roman"/>
          <w:sz w:val="20"/>
          <w:szCs w:val="20"/>
        </w:rPr>
        <w:instrText xml:space="preserve"> ADDIN ZOTERO_ITEM CSL_CITATION {"citationID":"33LM6Ntu","properties":{"formattedCitation":"[46]","plainCitation":"[46]","noteIndex":0},"citationItems":[{"id":971,"uris":["http://zotero.org/users/12998224/items/5Y6D9ZKP"],"itemData":{"id":971,"type":"article-journal","abstract":"RATIONALE: Shiga toxin-producing Escherichia coli (STEC) are an ongoing threat to public health and agriculture. Our laboratory has developed a rapid method for identification of Shiga toxin (Stx), bacteriophage, and host proteins produced from STEC. We demonstrate this technique on two genomically sequenced STEC O145:H28 strains linked to two major outbreaks of foodborne illness occurring in 2007 (Belgium) and 2010 (Arizona).\nMETHODS: Our approach was to induce expression of stx, prophage, and host genes by antibiotic exposure, chemically reduce samples, and identify protein biomarkers from unfractionated samples using matrix-assisted laser desorption/ionization time-of-flight mass spectrometry, tandem mass spectrometry (MS/MS), and post-source decay (PSD). The protein mass and prominent fragment ions were used to identify protein sequences using top-down proteomic software developed in-house. Prominent fragment ions are the result of polypeptide backbone cleavage resulting from the aspartic acid effect fragmentation mechanism.\nRESULTS: The B-subunit of Stx and acid-stress proteins HdeA and HdeB were identified in both STEC strains in their intramolecular disulfide bond-intact and reduced states. In addition, two cysteine-containing phage tail proteins were detected and identified from the Arizona strain but only under reducing conditions, which suggests that bacteriophage complexes are bound by intermolecular disulfide bonds. An acyl carrier protein (ACP) and a phosphocarrier protein were also identified from the Belgium strain. ACP was post-translationally modified with attachment of a phosphopantetheine linker at residue S36. The abundance of ACP (plus linker) was significantly increased on chemical reduction, suggesting the release of fatty acids bound to the ACP + linker at a thioester bond. MS/MS-PSD revealed dissociative loss of the linker from the precursor ion as well as fragment ions with and without the attached linker consistent with its attachment at S36.\nCONCLUSIONS: This study demonstrates the advantages of chemical reduction in facilitating the detection and top-down identification of protein biomarkers of pathogenic bacteria.","container-title":"Rapid communications in mass spectrometry: RCM","DOI":"10.1002/rcm.9505","ISSN":"1097-0231","issue":"10","journalAbbreviation":"Rapid Commun Mass Spectrom","language":"eng","note":"PMID: 36905351","page":"e9505","source":"PubMed","title":"Toxin and phage production from pathogenic E. coli by antibiotic induction analyzed by chemical reduction, MALDI-TOF-TOF mass spectrometry and top-down proteomic analysis","volume":"37","author":[{"family":"Fagerquist","given":"Clifton K."},{"family":"Shi","given":"Yanlin"},{"family":"Dodd","given":"Claire E."}],"issued":{"date-parts":[["2023",3,30]]}}}],"schema":"https://github.com/citation-style-language/schema/raw/master/csl-citation.json"} </w:instrText>
      </w:r>
      <w:r w:rsidR="00590A53">
        <w:rPr>
          <w:rFonts w:ascii="Times New Roman" w:eastAsia="Times New Roman" w:hAnsi="Times New Roman" w:cs="Times New Roman"/>
          <w:sz w:val="20"/>
          <w:szCs w:val="20"/>
        </w:rPr>
        <w:fldChar w:fldCharType="separate"/>
      </w:r>
      <w:r w:rsidR="00590A53" w:rsidRPr="00A34857">
        <w:rPr>
          <w:rFonts w:ascii="Times New Roman" w:hAnsi="Times New Roman" w:cs="Times New Roman"/>
          <w:sz w:val="20"/>
        </w:rPr>
        <w:t>[46]</w:t>
      </w:r>
      <w:r w:rsidR="00590A53">
        <w:rPr>
          <w:rFonts w:ascii="Times New Roman" w:eastAsia="Times New Roman" w:hAnsi="Times New Roman" w:cs="Times New Roman"/>
          <w:sz w:val="20"/>
          <w:szCs w:val="20"/>
        </w:rPr>
        <w:fldChar w:fldCharType="end"/>
      </w:r>
      <w:r w:rsidR="00590A53">
        <w:rPr>
          <w:rFonts w:ascii="Times New Roman" w:eastAsia="Times New Roman" w:hAnsi="Times New Roman" w:cs="Times New Roman"/>
          <w:sz w:val="20"/>
          <w:szCs w:val="20"/>
        </w:rPr>
        <w:t>.</w:t>
      </w:r>
    </w:p>
    <w:p w14:paraId="6416C6EF" w14:textId="26719719"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conclusion, </w:t>
      </w:r>
      <w:r w:rsidR="00590A53">
        <w:rPr>
          <w:rFonts w:ascii="Times New Roman" w:eastAsia="Times New Roman" w:hAnsi="Times New Roman" w:cs="Times New Roman"/>
          <w:sz w:val="20"/>
          <w:szCs w:val="20"/>
        </w:rPr>
        <w:t>MS</w:t>
      </w:r>
      <w:r>
        <w:rPr>
          <w:rFonts w:ascii="Times New Roman" w:eastAsia="Times New Roman" w:hAnsi="Times New Roman" w:cs="Times New Roman"/>
          <w:sz w:val="20"/>
          <w:szCs w:val="20"/>
        </w:rPr>
        <w:t>, especially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revolutionized pathogenic toxin identification in clinical microbiology with its accuracy, speed, and variety. MS has exceeded EIAs and PCR in sensitivity, specificity, and multiplexing for </w:t>
      </w:r>
      <w:proofErr w:type="spellStart"/>
      <w:r>
        <w:rPr>
          <w:rFonts w:ascii="Times New Roman" w:eastAsia="Times New Roman" w:hAnsi="Times New Roman" w:cs="Times New Roman"/>
          <w:i/>
          <w:sz w:val="20"/>
          <w:szCs w:val="20"/>
        </w:rPr>
        <w:t>Clostridioides</w:t>
      </w:r>
      <w:proofErr w:type="spellEnd"/>
      <w:r>
        <w:rPr>
          <w:rFonts w:ascii="Times New Roman" w:eastAsia="Times New Roman" w:hAnsi="Times New Roman" w:cs="Times New Roman"/>
          <w:i/>
          <w:sz w:val="20"/>
          <w:szCs w:val="20"/>
        </w:rPr>
        <w:t xml:space="preserve"> difficile</w:t>
      </w:r>
      <w:r>
        <w:rPr>
          <w:rFonts w:ascii="Times New Roman" w:eastAsia="Times New Roman" w:hAnsi="Times New Roman" w:cs="Times New Roman"/>
          <w:sz w:val="20"/>
          <w:szCs w:val="20"/>
        </w:rPr>
        <w:t xml:space="preserve"> toxins, Shiga toxins, and other virulence-associated proteins. Patient treatment and public health management benefit from its ability to identify various toxin types, distinguish subtypes, and provide quantitative insights. MS also aids epidemic investigations by tracking and containing toxigenic isolates. MS will become even more important to clinical diagnostics as automated sample preparation, high-resolution analyzers, and real-time data processing improve our ability to fight toxin-mediated diseases and protect world health.</w:t>
      </w:r>
    </w:p>
    <w:p w14:paraId="58DAA447" w14:textId="77777777" w:rsidR="00CF00F8" w:rsidRDefault="00000000">
      <w:pPr>
        <w:pStyle w:val="Heading2"/>
        <w:rPr>
          <w:rFonts w:ascii="Times New Roman" w:eastAsia="Times New Roman" w:hAnsi="Times New Roman" w:cs="Times New Roman"/>
          <w:b/>
          <w:sz w:val="20"/>
          <w:szCs w:val="20"/>
        </w:rPr>
      </w:pPr>
      <w:bookmarkStart w:id="21" w:name="_Toc191553263"/>
      <w:r>
        <w:rPr>
          <w:rFonts w:ascii="Times New Roman" w:eastAsia="Times New Roman" w:hAnsi="Times New Roman" w:cs="Times New Roman"/>
          <w:b/>
          <w:color w:val="000000"/>
          <w:sz w:val="20"/>
          <w:szCs w:val="20"/>
        </w:rPr>
        <w:t xml:space="preserve">V.B. </w:t>
      </w:r>
      <w:r>
        <w:rPr>
          <w:rFonts w:ascii="Times New Roman" w:eastAsia="Times New Roman" w:hAnsi="Times New Roman" w:cs="Times New Roman"/>
          <w:b/>
          <w:color w:val="000000"/>
          <w:sz w:val="20"/>
          <w:szCs w:val="20"/>
        </w:rPr>
        <w:tab/>
        <w:t>Quantification of antimicrobials</w:t>
      </w:r>
      <w:bookmarkEnd w:id="21"/>
    </w:p>
    <w:p w14:paraId="56DD0F62" w14:textId="5334149A"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clinical practice, the standardization of antimicrobial dosing often fails to account for individual patient variability, leading to suboptimal therapeutic outcomes. Factors such as organ dysfunction, critical illness, and genetic differences can significantly alter drug pharmacokinetics and pharmacodynamics, resulting in either subtherapeutic exposure or toxicity. This variability underscores the necessity for precise therapeutic drug monitoring (TDM) to tailor antimicrobial therapy to individual patient needs. TDM involves the measurement of drug concentrations in biological fluids, allowing clinicians to adjust dosing regimens to achieve optimal therapeutic levels while minimizing adverse effects. Incorporating TDM into clinical practice is essential for enhancing patient outcomes and combating the rise of antimicrobial resistance </w:t>
      </w:r>
      <w:r w:rsidR="00A34857">
        <w:rPr>
          <w:rFonts w:ascii="Times New Roman" w:eastAsia="Times New Roman" w:hAnsi="Times New Roman" w:cs="Times New Roman"/>
          <w:sz w:val="20"/>
          <w:szCs w:val="20"/>
        </w:rPr>
        <w:fldChar w:fldCharType="begin"/>
      </w:r>
      <w:r w:rsidR="00A34857">
        <w:rPr>
          <w:rFonts w:ascii="Times New Roman" w:eastAsia="Times New Roman" w:hAnsi="Times New Roman" w:cs="Times New Roman"/>
          <w:sz w:val="20"/>
          <w:szCs w:val="20"/>
        </w:rPr>
        <w:instrText xml:space="preserve"> ADDIN ZOTERO_ITEM CSL_CITATION {"citationID":"5ciOjb07","properties":{"formattedCitation":"[47]","plainCitation":"[47]","noteIndex":0},"citationItems":[{"id":1007,"uris":["http://zotero.org/users/12998224/items/D8M29Z58"],"itemData":{"id":1007,"type":"article-journal","abstract":"Optimizing the prescription of antimicrobials is required to improve clinical outcome from infections and to reduce the development of antimicrobial resistance. One such method to improve antimicrobial dosing in individual patients is through application of therapeutic drug monitoring (TDM). The aim of this manuscript is to review the place of TDM in the dosing of antimicrobial agents, specifically the importance of pharmacokinetics (PK) and pharmacodynamics (PD) to define the antimicrobial exposures necessary for maximizing killing or inhibition of bacterial growth. In this context, there are robust data for some antimicrobials, including the ratio of a PK parameter (e.g. peak concentration) to the minimal inhibitory concentration of the bacteria associated with maximal antimicrobial effect. Blood sampling of an individual patient can then further define the relevant PK parameter value in that patient and, if necessary, antimicrobial dosing can be adjusted to enable achievement of the target PK/PD ratio. To date, the clinical outcome benefits of a systematic TDM programme for antimicrobials have only been demonstrated for aminoglycosides, although the decreasing susceptibility of bacteria to available antimicrobials and the increasing costs of pharmaceuticals, as well as emerging data on pharmacokinetic variability, suggest that benefits are likely.","container-title":"British Journal of Clinical Pharmacology","DOI":"10.1111/j.1365-2125.2011.04080.x","ISSN":"0306-5251","issue":"1","journalAbbreviation":"Br J Clin Pharmacol","note":"PMID: 21831196\nPMCID: PMC3248253","page":"27-36","source":"PubMed Central","title":"Therapeutic drug monitoring of antimicrobials","volume":"73","author":[{"family":"Roberts","given":"Jason A"},{"family":"Norris","given":"Ross"},{"family":"Paterson","given":"David L"},{"family":"Martin","given":"Jennifer H"}],"issued":{"date-parts":[["2012",1]]}}}],"schema":"https://github.com/citation-style-language/schema/raw/master/csl-citation.json"} </w:instrText>
      </w:r>
      <w:r w:rsidR="00A34857">
        <w:rPr>
          <w:rFonts w:ascii="Times New Roman" w:eastAsia="Times New Roman" w:hAnsi="Times New Roman" w:cs="Times New Roman"/>
          <w:sz w:val="20"/>
          <w:szCs w:val="20"/>
        </w:rPr>
        <w:fldChar w:fldCharType="separate"/>
      </w:r>
      <w:r w:rsidR="00A34857" w:rsidRPr="00A34857">
        <w:rPr>
          <w:rFonts w:ascii="Times New Roman" w:hAnsi="Times New Roman" w:cs="Times New Roman"/>
          <w:sz w:val="20"/>
        </w:rPr>
        <w:t>[47]</w:t>
      </w:r>
      <w:r w:rsidR="00A34857">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79A40966" w14:textId="77777777" w:rsidR="00CF00F8" w:rsidRPr="00A34857"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application of analytical methods in TDM hinges on their ability to deliver precise, accurate, and reliable measurements of drug concentrations in biological matrices. Among the available methodologies, MS has emerged as a superior tool, offering capabilities that make it exceptionally well-suited for the clinical demands of TDM. Traditional methods, such as immunoassays and high-performance liquid chromatography (HPLC), while effective for routine monitoring, face inherent limitations in specificity, sensitivity, and multiplexing capabilities, which MS overcomes with unparalleled </w:t>
      </w:r>
      <w:r w:rsidRPr="00A34857">
        <w:rPr>
          <w:rFonts w:ascii="Times New Roman" w:eastAsia="Times New Roman" w:hAnsi="Times New Roman" w:cs="Times New Roman"/>
          <w:sz w:val="20"/>
          <w:szCs w:val="20"/>
        </w:rPr>
        <w:t>efficiency (Table 2).</w:t>
      </w:r>
    </w:p>
    <w:p w14:paraId="2509965A" w14:textId="77777777" w:rsidR="00CF00F8" w:rsidRDefault="00000000">
      <w:pPr>
        <w:spacing w:line="240" w:lineRule="auto"/>
        <w:jc w:val="both"/>
        <w:rPr>
          <w:rFonts w:ascii="Times New Roman" w:eastAsia="Times New Roman" w:hAnsi="Times New Roman" w:cs="Times New Roman"/>
          <w:sz w:val="20"/>
          <w:szCs w:val="20"/>
          <w:highlight w:val="yellow"/>
        </w:rPr>
      </w:pPr>
      <w:r w:rsidRPr="00A34857">
        <w:rPr>
          <w:rFonts w:ascii="Times New Roman" w:eastAsia="Times New Roman" w:hAnsi="Times New Roman" w:cs="Times New Roman"/>
          <w:b/>
          <w:sz w:val="20"/>
          <w:szCs w:val="20"/>
        </w:rPr>
        <w:t>Table 2: Comparison between Mass Spectrometry and conventional methods in Therapeutic Drug Monitoring</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CF00F8" w14:paraId="3FDEE99C" w14:textId="77777777">
        <w:tc>
          <w:tcPr>
            <w:tcW w:w="1560" w:type="dxa"/>
            <w:shd w:val="clear" w:color="auto" w:fill="auto"/>
            <w:tcMar>
              <w:top w:w="100" w:type="dxa"/>
              <w:left w:w="100" w:type="dxa"/>
              <w:bottom w:w="100" w:type="dxa"/>
              <w:right w:w="100" w:type="dxa"/>
            </w:tcMar>
          </w:tcPr>
          <w:p w14:paraId="7BD9BDC1"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Criteria</w:t>
            </w:r>
          </w:p>
        </w:tc>
        <w:tc>
          <w:tcPr>
            <w:tcW w:w="1560" w:type="dxa"/>
            <w:shd w:val="clear" w:color="auto" w:fill="auto"/>
            <w:tcMar>
              <w:top w:w="100" w:type="dxa"/>
              <w:left w:w="100" w:type="dxa"/>
              <w:bottom w:w="100" w:type="dxa"/>
              <w:right w:w="100" w:type="dxa"/>
            </w:tcMar>
          </w:tcPr>
          <w:p w14:paraId="6B5184C1"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Immunoassays</w:t>
            </w:r>
          </w:p>
        </w:tc>
        <w:tc>
          <w:tcPr>
            <w:tcW w:w="1560" w:type="dxa"/>
            <w:shd w:val="clear" w:color="auto" w:fill="auto"/>
            <w:tcMar>
              <w:top w:w="100" w:type="dxa"/>
              <w:left w:w="100" w:type="dxa"/>
              <w:bottom w:w="100" w:type="dxa"/>
              <w:right w:w="100" w:type="dxa"/>
            </w:tcMar>
          </w:tcPr>
          <w:p w14:paraId="315ED2D4"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HPLC</w:t>
            </w:r>
          </w:p>
        </w:tc>
        <w:tc>
          <w:tcPr>
            <w:tcW w:w="1560" w:type="dxa"/>
            <w:shd w:val="clear" w:color="auto" w:fill="auto"/>
            <w:tcMar>
              <w:top w:w="100" w:type="dxa"/>
              <w:left w:w="100" w:type="dxa"/>
              <w:bottom w:w="100" w:type="dxa"/>
              <w:right w:w="100" w:type="dxa"/>
            </w:tcMar>
          </w:tcPr>
          <w:p w14:paraId="1DCAEC74"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Microbiological Assays</w:t>
            </w:r>
          </w:p>
        </w:tc>
        <w:tc>
          <w:tcPr>
            <w:tcW w:w="1560" w:type="dxa"/>
            <w:shd w:val="clear" w:color="auto" w:fill="auto"/>
            <w:tcMar>
              <w:top w:w="100" w:type="dxa"/>
              <w:left w:w="100" w:type="dxa"/>
              <w:bottom w:w="100" w:type="dxa"/>
              <w:right w:w="100" w:type="dxa"/>
            </w:tcMar>
          </w:tcPr>
          <w:p w14:paraId="0CDDE507"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Mass Spectrometry</w:t>
            </w:r>
          </w:p>
        </w:tc>
        <w:tc>
          <w:tcPr>
            <w:tcW w:w="1560" w:type="dxa"/>
            <w:shd w:val="clear" w:color="auto" w:fill="auto"/>
            <w:tcMar>
              <w:top w:w="100" w:type="dxa"/>
              <w:left w:w="100" w:type="dxa"/>
              <w:bottom w:w="100" w:type="dxa"/>
              <w:right w:w="100" w:type="dxa"/>
            </w:tcMar>
          </w:tcPr>
          <w:p w14:paraId="37A7EA93"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c>
      </w:tr>
      <w:tr w:rsidR="00CF00F8" w14:paraId="58903DD3" w14:textId="77777777">
        <w:tc>
          <w:tcPr>
            <w:tcW w:w="1560" w:type="dxa"/>
            <w:shd w:val="clear" w:color="auto" w:fill="auto"/>
            <w:tcMar>
              <w:top w:w="100" w:type="dxa"/>
              <w:left w:w="100" w:type="dxa"/>
              <w:bottom w:w="100" w:type="dxa"/>
              <w:right w:w="100" w:type="dxa"/>
            </w:tcMar>
          </w:tcPr>
          <w:p w14:paraId="65B4E833"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Specificity</w:t>
            </w:r>
          </w:p>
        </w:tc>
        <w:tc>
          <w:tcPr>
            <w:tcW w:w="1560" w:type="dxa"/>
            <w:shd w:val="clear" w:color="auto" w:fill="auto"/>
            <w:tcMar>
              <w:top w:w="100" w:type="dxa"/>
              <w:left w:w="100" w:type="dxa"/>
              <w:bottom w:w="100" w:type="dxa"/>
              <w:right w:w="100" w:type="dxa"/>
            </w:tcMar>
          </w:tcPr>
          <w:p w14:paraId="683CE742"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0380BD0D"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60" w:type="dxa"/>
            <w:shd w:val="clear" w:color="auto" w:fill="auto"/>
            <w:tcMar>
              <w:top w:w="100" w:type="dxa"/>
              <w:left w:w="100" w:type="dxa"/>
              <w:bottom w:w="100" w:type="dxa"/>
              <w:right w:w="100" w:type="dxa"/>
            </w:tcMar>
          </w:tcPr>
          <w:p w14:paraId="7CE148AD"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69AE1473"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c>
          <w:tcPr>
            <w:tcW w:w="1560" w:type="dxa"/>
            <w:shd w:val="clear" w:color="auto" w:fill="auto"/>
            <w:tcMar>
              <w:top w:w="100" w:type="dxa"/>
              <w:left w:w="100" w:type="dxa"/>
              <w:bottom w:w="100" w:type="dxa"/>
              <w:right w:w="100" w:type="dxa"/>
            </w:tcMar>
          </w:tcPr>
          <w:p w14:paraId="56536681" w14:textId="57BDF096" w:rsidR="00CF00F8" w:rsidRDefault="005732B3">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sidR="00F133D0">
              <w:rPr>
                <w:rFonts w:ascii="Times New Roman" w:eastAsia="Times New Roman" w:hAnsi="Times New Roman" w:cs="Times New Roman"/>
                <w:sz w:val="20"/>
                <w:szCs w:val="20"/>
              </w:rPr>
              <w:instrText xml:space="preserve"> ADDIN ZOTERO_ITEM CSL_CITATION {"citationID":"d4ZUSUOi","properties":{"formattedCitation":"[48]","plainCitation":"[48]","noteIndex":0},"citationItems":[{"id":1163,"uris":["http://zotero.org/users/12998224/items/X929METR"],"itemData":{"id":1163,"type":"webpage","abstract":"Mass spectrometry could become widely adopted in clinical diagnostics if the issues with costs, personnel training, and workflow automation are addressed.","container-title":"Diagnostics","genre":"Scientific Article","language":"en","title":"Mass spectrometry in clinical diagnostics | LabLeaders","URL":"https://lableaders.roche.com/global/en/articles/mass-spectrometry-moving-clinical-diagnostics.html","author":[{"family":"Vogeser","given":"Michael"},{"family":"Cobbaert","given":"Christa M."},{"family":"Hämäläinen","given":"Esa"}],"accessed":{"date-parts":[["2025",2,8]]},"issued":{"date-parts":[["2023",9,19]]}}}],"schema":"https://github.com/citation-style-language/schema/raw/master/csl-citation.json"} </w:instrText>
            </w:r>
            <w:r>
              <w:rPr>
                <w:rFonts w:ascii="Times New Roman" w:eastAsia="Times New Roman" w:hAnsi="Times New Roman" w:cs="Times New Roman"/>
                <w:sz w:val="20"/>
                <w:szCs w:val="20"/>
              </w:rPr>
              <w:fldChar w:fldCharType="separate"/>
            </w:r>
            <w:r w:rsidR="00F133D0" w:rsidRPr="00F133D0">
              <w:rPr>
                <w:rFonts w:ascii="Times New Roman" w:hAnsi="Times New Roman" w:cs="Times New Roman"/>
                <w:sz w:val="20"/>
              </w:rPr>
              <w:t>[48]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F133D0">
              <w:rPr>
                <w:rFonts w:ascii="Times New Roman" w:eastAsia="Times New Roman" w:hAnsi="Times New Roman" w:cs="Times New Roman"/>
                <w:sz w:val="20"/>
                <w:szCs w:val="20"/>
              </w:rPr>
              <w:fldChar w:fldCharType="begin"/>
            </w:r>
            <w:r w:rsidR="00F133D0">
              <w:rPr>
                <w:rFonts w:ascii="Times New Roman" w:eastAsia="Times New Roman" w:hAnsi="Times New Roman" w:cs="Times New Roman"/>
                <w:sz w:val="20"/>
                <w:szCs w:val="20"/>
              </w:rPr>
              <w:instrText xml:space="preserve"> ADDIN ZOTERO_ITEM CSL_CITATION {"citationID":"I02Jlqwp","properties":{"formattedCitation":"[49]","plainCitation":"[49]","noteIndex":0},"citationItems":[{"id":1021,"uris":["http://zotero.org/users/12998224/items/HB5CMWIT"],"itemData":{"id":1021,"type":"chapter","abstract":"Immunoassays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sidR="00F133D0">
              <w:rPr>
                <w:rFonts w:ascii="Times New Roman" w:eastAsia="Times New Roman" w:hAnsi="Times New Roman" w:cs="Times New Roman"/>
                <w:sz w:val="20"/>
                <w:szCs w:val="20"/>
              </w:rPr>
              <w:fldChar w:fldCharType="separate"/>
            </w:r>
            <w:r w:rsidR="00F133D0" w:rsidRPr="00F133D0">
              <w:rPr>
                <w:rFonts w:ascii="Times New Roman" w:hAnsi="Times New Roman" w:cs="Times New Roman"/>
                <w:sz w:val="20"/>
              </w:rPr>
              <w:t>[49]</w:t>
            </w:r>
            <w:r w:rsidR="00F133D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F133D0">
              <w:rPr>
                <w:rFonts w:ascii="Times New Roman" w:eastAsia="Times New Roman" w:hAnsi="Times New Roman" w:cs="Times New Roman"/>
                <w:sz w:val="20"/>
                <w:szCs w:val="20"/>
              </w:rPr>
              <w:fldChar w:fldCharType="begin"/>
            </w:r>
            <w:r w:rsidR="00F133D0">
              <w:rPr>
                <w:rFonts w:ascii="Times New Roman" w:eastAsia="Times New Roman" w:hAnsi="Times New Roman" w:cs="Times New Roman"/>
                <w:sz w:val="20"/>
                <w:szCs w:val="20"/>
              </w:rPr>
              <w:instrText xml:space="preserve"> ADDIN ZOTERO_ITEM CSL_CITATION {"citationID":"yS95OhRc","properties":{"formattedCitation":"[50]","plainCitation":"[50]","noteIndex":0},"citationItems":[{"id":1019,"uris":["http://zotero.org/users/12998224/items/YUYBDS78"],"itemData":{"id":1019,"type":"chapter","abstract":"Liquid chromatography–mass spectrometry (LC-MS) is a technology of emerging importance in the field of therapeutic drug monitoring (TDM) because development of commercial immunoassays for new TDM applications is sparse at best. LC-MS approaches have shown tremendous potential in the field of TDM. Assays are highly sensitive and selective, and can overcome challenges associated with conventional immunoassays. However, there are limitations and caveats to be considered when implementing this technology into the clinical laboratory environment. A review of methodological approaches, applications, advantages, and limitations will be discussed in this chapter.","container-title":"Clinical Challenges in Therapeutic Drug Monitoring","event-place":"San Diego","ISBN":"978-0-12-802025-8","note":"DOI: 10.1016/B978-0-12-802025-8.00003-9","page":"45-70","publisher":"Elsevier","publisher-place":"San Diego","source":"ScienceDirect","title":"Chapter 3 - Application of Chromatography Combined With Mass Spectrometry in Therapeutic Drug Monitoring","URL":"https://www.sciencedirect.com/science/article/pii/B9780128020258000039","author":[{"family":"Manohar","given":"Madhuri"},{"family":"Marzinke","given":"Mark A."}],"editor":[{"family":"Clarke","given":"William"},{"family":"Dasgupta","given":"Amitava"}],"accessed":{"date-parts":[["2025",1,29]]},"issued":{"date-parts":[["2016",1,1]]}}}],"schema":"https://github.com/citation-style-language/schema/raw/master/csl-citation.json"} </w:instrText>
            </w:r>
            <w:r w:rsidR="00F133D0">
              <w:rPr>
                <w:rFonts w:ascii="Times New Roman" w:eastAsia="Times New Roman" w:hAnsi="Times New Roman" w:cs="Times New Roman"/>
                <w:sz w:val="20"/>
                <w:szCs w:val="20"/>
              </w:rPr>
              <w:fldChar w:fldCharType="separate"/>
            </w:r>
            <w:r w:rsidR="00F133D0" w:rsidRPr="00F133D0">
              <w:rPr>
                <w:rFonts w:ascii="Times New Roman" w:hAnsi="Times New Roman" w:cs="Times New Roman"/>
                <w:sz w:val="20"/>
              </w:rPr>
              <w:t>[50]</w:t>
            </w:r>
            <w:r w:rsidR="00F133D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F133D0">
              <w:rPr>
                <w:rFonts w:ascii="Times New Roman" w:eastAsia="Times New Roman" w:hAnsi="Times New Roman" w:cs="Times New Roman"/>
                <w:sz w:val="20"/>
                <w:szCs w:val="20"/>
              </w:rPr>
              <w:fldChar w:fldCharType="begin"/>
            </w:r>
            <w:r w:rsidR="00F133D0">
              <w:rPr>
                <w:rFonts w:ascii="Times New Roman" w:eastAsia="Times New Roman" w:hAnsi="Times New Roman" w:cs="Times New Roman"/>
                <w:sz w:val="20"/>
                <w:szCs w:val="20"/>
              </w:rPr>
              <w:instrText xml:space="preserve"> ADDIN ZOTERO_ITEM CSL_CITATION {"citationID":"iYB6RteS","properties":{"formattedCitation":"[51]","plainCitation":"[51]","noteIndex":0},"citationItems":[{"id":1023,"uris":["http://zotero.org/users/12998224/items/XM39RD4B"],"itemData":{"id":1023,"type":"article-journal","abstract":"The most successful application of mass spectrometry (MS) in laboratory medicine is identification (ID) of microorganisms using matrix-assisted laser desorption ionization–time of flight mass spectrometry (MALDI-TOF MS) in blood stream infection. We describe MALDI-TOF MS-based bacterial ID with particular emphasis on the methods so far developed to directly identify microorganisms from positive blood culture bottles with MALDI-TOF MS including our own protocols. We touch upon the increasing roles of Liquid chromatography (LC) coupled with tandem mass spectrometry (MS/MS) as well.","container-title":"Clinical Proteomics","DOI":"10.1186/s12014-020-09278-7","ISSN":"1559-0275","issue":"1","journalAbbreviation":"Clinical Proteomics","page":"14","source":"BioMed Central","title":"Mass spectrometry-based microbiological testing for blood stream infection","volume":"17","author":[{"family":"Nomura","given":"Fumio"},{"family":"Tsuchida","given":"Sachio"},{"family":"Murata","given":"Syota"},{"family":"Satoh","given":"Mamoru"},{"family":"Matsushita","given":"Kazuyuki"}],"issued":{"date-parts":[["2020",5,13]]}}}],"schema":"https://github.com/citation-style-language/schema/raw/master/csl-citation.json"} </w:instrText>
            </w:r>
            <w:r w:rsidR="00F133D0">
              <w:rPr>
                <w:rFonts w:ascii="Times New Roman" w:eastAsia="Times New Roman" w:hAnsi="Times New Roman" w:cs="Times New Roman"/>
                <w:sz w:val="20"/>
                <w:szCs w:val="20"/>
              </w:rPr>
              <w:fldChar w:fldCharType="separate"/>
            </w:r>
            <w:r w:rsidR="00F133D0" w:rsidRPr="00F133D0">
              <w:rPr>
                <w:rFonts w:ascii="Times New Roman" w:hAnsi="Times New Roman" w:cs="Times New Roman"/>
                <w:sz w:val="20"/>
              </w:rPr>
              <w:t>[51]</w:t>
            </w:r>
            <w:r w:rsidR="00F133D0">
              <w:rPr>
                <w:rFonts w:ascii="Times New Roman" w:eastAsia="Times New Roman" w:hAnsi="Times New Roman" w:cs="Times New Roman"/>
                <w:sz w:val="20"/>
                <w:szCs w:val="20"/>
              </w:rPr>
              <w:fldChar w:fldCharType="end"/>
            </w:r>
          </w:p>
        </w:tc>
      </w:tr>
      <w:tr w:rsidR="00CF00F8" w14:paraId="346BD605" w14:textId="77777777">
        <w:tc>
          <w:tcPr>
            <w:tcW w:w="1560" w:type="dxa"/>
            <w:shd w:val="clear" w:color="auto" w:fill="auto"/>
            <w:tcMar>
              <w:top w:w="100" w:type="dxa"/>
              <w:left w:w="100" w:type="dxa"/>
              <w:bottom w:w="100" w:type="dxa"/>
              <w:right w:w="100" w:type="dxa"/>
            </w:tcMar>
          </w:tcPr>
          <w:p w14:paraId="30A0B520"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Sensitivity</w:t>
            </w:r>
          </w:p>
        </w:tc>
        <w:tc>
          <w:tcPr>
            <w:tcW w:w="1560" w:type="dxa"/>
            <w:shd w:val="clear" w:color="auto" w:fill="auto"/>
            <w:tcMar>
              <w:top w:w="100" w:type="dxa"/>
              <w:left w:w="100" w:type="dxa"/>
              <w:bottom w:w="100" w:type="dxa"/>
              <w:right w:w="100" w:type="dxa"/>
            </w:tcMar>
          </w:tcPr>
          <w:p w14:paraId="20514E90"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6A3FBE28"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2A6EE830"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7BCE433D"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c>
          <w:tcPr>
            <w:tcW w:w="1560" w:type="dxa"/>
            <w:shd w:val="clear" w:color="auto" w:fill="auto"/>
            <w:tcMar>
              <w:top w:w="100" w:type="dxa"/>
              <w:left w:w="100" w:type="dxa"/>
              <w:bottom w:w="100" w:type="dxa"/>
              <w:right w:w="100" w:type="dxa"/>
            </w:tcMar>
          </w:tcPr>
          <w:p w14:paraId="32F67824" w14:textId="352B4052" w:rsidR="00CF00F8" w:rsidRDefault="00F133D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{"citationID":"Sxx006CU","properties":{"formattedCitation":"[48]","plainCitation":"[48]","noteIndex":0},"citationItems":[{"id":1163,"uris":["http://zotero.org/users/12998224/items/X929METR"],"itemData":{"id":1163,"type":"webpage","abstract":"Mass spectrometry could become widely adopted in clinical diagnostics if the issues with costs, personnel training, and workflow automation are addressed.","container-title":"Diagnostics","genre":"Scientific Article","language":"en","title":"Mass spectrometry in clinical diagnostics | LabLeaders","URL":"https://lableaders.roche.com/global/en/articles/mass-spectrometry-moving-clinical-diagnostics.html","author":[{"family":"Vogeser","given":"Michael"},{"family":"Cobbaert","given":"Christa M."},{"family":"Hämäläinen","given":"Esa"}],"accessed":{"date-parts":[["2025",2,8]]},"issued":{"date-parts":[["2023",9,19]]}}}],"schema":"https://github.com/citation-style-language/schema/raw/master/csl-citation.json"}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{"citationID":"ejOjWoLe","properties":{"formattedCitation":"[49]","plainCitation":"[49]","noteIndex":0},"citationItems":[{"id":1021,"uris":["http://zotero.org/users/12998224/items/HB5CMWIT"],"itemData":{"id":1021,"type":"chapter","abstract":"Immunoassays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{"citationID":"4md9fX3V","properties":{"formattedCitation":"[50]","plainCitation":"[50]","noteIndex":0},"citationItems":[{"id":1019,"uris":["http://zotero.org/users/12998224/items/YUYBDS78"],"itemData":{"id":1019,"type":"chapter","abstract":"Liquid chromatography–mass spectrometry (LC-MS) is a technology of emerging importance in the field of therapeutic drug monitoring (TDM) because development of commercial immunoassays for new TDM applications is sparse at best. LC-MS approaches have shown tremendous potential in the field of TDM. Assays are highly sensitive and selective, and can overcome challenges associated with conventional immunoassays. However, there are limitations and caveats to be considered when implementing this technology into the clinical laboratory environment. A review of methodological approaches, applications, advantages, and limitations will be discussed in this chapter.","container-title":"Clinical Challenges in Therapeutic Drug Monitoring","event-place":"San Diego","ISBN":"978-0-12-802025-8","note":"DOI: 10.1016/B978-0-12-802025-8.00003-9","page":"45-70","publisher":"Elsevier","publisher-place":"San Diego","source":"ScienceDirect","title":"Chapter 3 - Application of Chromatography Combined With Mass Spectrometry in Therapeutic Drug Monitoring","URL":"https://www.sciencedirect.com/science/article/pii/B9780128020258000039","author":[{"family":"Manohar","given":"Madhuri"},{"family":"Marzinke","given":"Mark 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[50]</w:t>
            </w:r>
            <w:r>
              <w:rPr>
                <w:rFonts w:ascii="Times New Roman" w:eastAsia="Times New Roman" w:hAnsi="Times New Roman" w:cs="Times New Roman"/>
                <w:sz w:val="20"/>
                <w:szCs w:val="20"/>
              </w:rPr>
              <w:fldChar w:fldCharType="end"/>
            </w:r>
          </w:p>
        </w:tc>
      </w:tr>
      <w:tr w:rsidR="00CF00F8" w14:paraId="01DF38AF" w14:textId="77777777">
        <w:tc>
          <w:tcPr>
            <w:tcW w:w="1560" w:type="dxa"/>
            <w:shd w:val="clear" w:color="auto" w:fill="auto"/>
            <w:tcMar>
              <w:top w:w="100" w:type="dxa"/>
              <w:left w:w="100" w:type="dxa"/>
              <w:bottom w:w="100" w:type="dxa"/>
              <w:right w:w="100" w:type="dxa"/>
            </w:tcMar>
          </w:tcPr>
          <w:p w14:paraId="27FE4899"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Multiplexing Capability</w:t>
            </w:r>
          </w:p>
        </w:tc>
        <w:tc>
          <w:tcPr>
            <w:tcW w:w="1560" w:type="dxa"/>
            <w:shd w:val="clear" w:color="auto" w:fill="auto"/>
            <w:tcMar>
              <w:top w:w="100" w:type="dxa"/>
              <w:left w:w="100" w:type="dxa"/>
              <w:bottom w:w="100" w:type="dxa"/>
              <w:right w:w="100" w:type="dxa"/>
            </w:tcMar>
          </w:tcPr>
          <w:p w14:paraId="6133D3B2"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Limited</w:t>
            </w:r>
          </w:p>
        </w:tc>
        <w:tc>
          <w:tcPr>
            <w:tcW w:w="1560" w:type="dxa"/>
            <w:shd w:val="clear" w:color="auto" w:fill="auto"/>
            <w:tcMar>
              <w:top w:w="100" w:type="dxa"/>
              <w:left w:w="100" w:type="dxa"/>
              <w:bottom w:w="100" w:type="dxa"/>
              <w:right w:w="100" w:type="dxa"/>
            </w:tcMar>
          </w:tcPr>
          <w:p w14:paraId="1C4D43C2"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Limited</w:t>
            </w:r>
          </w:p>
        </w:tc>
        <w:tc>
          <w:tcPr>
            <w:tcW w:w="1560" w:type="dxa"/>
            <w:shd w:val="clear" w:color="auto" w:fill="auto"/>
            <w:tcMar>
              <w:top w:w="100" w:type="dxa"/>
              <w:left w:w="100" w:type="dxa"/>
              <w:bottom w:w="100" w:type="dxa"/>
              <w:right w:w="100" w:type="dxa"/>
            </w:tcMar>
          </w:tcPr>
          <w:p w14:paraId="5B2D3920"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1560" w:type="dxa"/>
            <w:shd w:val="clear" w:color="auto" w:fill="auto"/>
            <w:tcMar>
              <w:top w:w="100" w:type="dxa"/>
              <w:left w:w="100" w:type="dxa"/>
              <w:bottom w:w="100" w:type="dxa"/>
              <w:right w:w="100" w:type="dxa"/>
            </w:tcMar>
          </w:tcPr>
          <w:p w14:paraId="70F55DAF"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c>
          <w:tcPr>
            <w:tcW w:w="1560" w:type="dxa"/>
            <w:shd w:val="clear" w:color="auto" w:fill="auto"/>
            <w:tcMar>
              <w:top w:w="100" w:type="dxa"/>
              <w:left w:w="100" w:type="dxa"/>
              <w:bottom w:w="100" w:type="dxa"/>
              <w:right w:w="100" w:type="dxa"/>
            </w:tcMar>
          </w:tcPr>
          <w:p w14:paraId="1017F358" w14:textId="50414A23" w:rsidR="00CF00F8" w:rsidRDefault="00F133D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{"citationID":"AvMgkWuV","properties":{"formattedCitation":"[48]","plainCitation":"[48]","noteIndex":0},"citationItems":[{"id":1163,"uris":["http://zotero.org/users/12998224/items/X929METR"],"itemData":{"id":1163,"type":"webpage","abstract":"Mass spectrometry could become widely adopted in clinical diagnostics if the issues with costs, personnel training, and workflow automation are addressed.","container-title":"Diagnostics","genre":"Scientific Article","language":"en","title":"Mass spectrometry in clinical diagnostics | LabLeaders","URL":"https://lableaders.roche.com/global/en/articles/mass-spectrometry-moving-clinical-diagnostics.html","author":[{"family":"Vogeser","given":"Michael"},{"family":"Cobbaert","given":"Christa M."},{"family":"Hämäläinen","given":"Esa"}],"accessed":{"date-parts":[["2025",2,8]]},"issued":{"date-parts":[["2023",9,19]]}}}],"schema":"https://github.com/citation-style-language/schema/raw/master/csl-citation.json"}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{"citationID":"J9slnksA","properties":{"formattedCitation":"[49]","plainCitation":"[49]","noteIndex":0},"citationItems":[{"id":1021,"uris":["http://zotero.org/users/12998224/items/HB5CMWIT"],"itemData":{"id":1021,"type":"chapter","abstract":"Immunoassays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{"citationID":"F10tFyGd","properties":{"formattedCitation":"[50]","plainCitation":"[50]","noteIndex":0},"citationItems":[{"id":1019,"uris":["http://zotero.org/users/12998224/items/YUYBDS78"],"itemData":{"id":1019,"type":"chapter","abstract":"Liquid chromatography–mass spectrometry (LC-MS) is a technology of emerging importance in the field of therapeutic drug monitoring (TDM) because development of commercial immunoassays for new TDM applications is sparse at best. LC-MS approaches have shown tremendous potential in the field of TDM. Assays are highly sensitive and selective, and can overcome challenges associated with conventional immunoassays. However, there are limitations and caveats to be considered when implementing this technology into the clinical laboratory environment. A review of methodological approaches, applications, advantages, and limitations will be discussed in this chapter.","container-title":"Clinical Challenges in Therapeutic Drug Monitoring","event-place":"San Diego","ISBN":"978-0-12-802025-8","note":"DOI: 10.1016/B978-0-12-802025-8.00003-9","page":"45-70","publisher":"Elsevier","publisher-place":"San Diego","source":"ScienceDirect","title":"Chapter 3 - Application of Chromatography Combined With Mass Spectrometry in Therapeutic Drug Monitoring","URL":"https://www.sciencedirect.com/science/article/pii/B9780128020258000039","author":[{"family":"Manohar","given":"Madhuri"},{"family":"Marzinke","given":"Mark 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[50]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{"citationID":"sSt8N8F1","properties":{"formattedCitation":"[51]","plainCitation":"[51]","noteIndex":0},"citationItems":[{"id":1023,"uris":["http://zotero.org/users/12998224/items/XM39RD4B"],"itemData":{"id":1023,"type":"article-journal","abstract":"The most successful application of mass spectrometry (MS) in laboratory medicine is identification (ID) of microorganisms using matrix-assisted laser desorption ionization–time of flight mass spectrometry (MALDI-TOF MS) in blood stream infection. We describe MALDI-TOF MS-based bacterial ID with particular emphasis on the methods so far developed to directly identify microorganisms from positive blood culture bottles with MALDI-TOF MS including our own protocols. We touch upon the increasing roles of Liquid chromatography (LC) coupled with tandem mass spectrometry (MS/MS) as well.","container-title":"Clinical Proteomics","DOI":"10.1186/s12014-020-09278-7","ISSN":"1559-0275","issue":"1","journalAbbreviation":"Clinical Proteomics","page":"14","source":"BioMed Central","title":"Mass spectrometry-based microbiological testing for blood stream infection","volume":"17","author":[{"family":"Nomura","given":"Fumio"},{"family":"Tsuchida","given":"Sachio"},{"family":"Murata","given":"Syota"},{"family":"Satoh","given":"Mamoru"},{"family":"Matsushita","given":"Kazuyuki"}],"issued":{"date-parts":[["2020",5,13]]}}}],"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[51]</w:t>
            </w:r>
            <w:r>
              <w:rPr>
                <w:rFonts w:ascii="Times New Roman" w:eastAsia="Times New Roman" w:hAnsi="Times New Roman" w:cs="Times New Roman"/>
                <w:sz w:val="20"/>
                <w:szCs w:val="20"/>
              </w:rPr>
              <w:fldChar w:fldCharType="end"/>
            </w:r>
          </w:p>
        </w:tc>
      </w:tr>
      <w:tr w:rsidR="00CF00F8" w14:paraId="02DC746F" w14:textId="77777777">
        <w:tc>
          <w:tcPr>
            <w:tcW w:w="1560" w:type="dxa"/>
            <w:shd w:val="clear" w:color="auto" w:fill="auto"/>
            <w:tcMar>
              <w:top w:w="100" w:type="dxa"/>
              <w:left w:w="100" w:type="dxa"/>
              <w:bottom w:w="100" w:type="dxa"/>
              <w:right w:w="100" w:type="dxa"/>
            </w:tcMar>
          </w:tcPr>
          <w:p w14:paraId="6B8E5083"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Time to Result</w:t>
            </w:r>
          </w:p>
        </w:tc>
        <w:tc>
          <w:tcPr>
            <w:tcW w:w="1560" w:type="dxa"/>
            <w:shd w:val="clear" w:color="auto" w:fill="auto"/>
            <w:tcMar>
              <w:top w:w="100" w:type="dxa"/>
              <w:left w:w="100" w:type="dxa"/>
              <w:bottom w:w="100" w:type="dxa"/>
              <w:right w:w="100" w:type="dxa"/>
            </w:tcMar>
          </w:tcPr>
          <w:p w14:paraId="4DB3A19C"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Rapid</w:t>
            </w:r>
          </w:p>
        </w:tc>
        <w:tc>
          <w:tcPr>
            <w:tcW w:w="1560" w:type="dxa"/>
            <w:shd w:val="clear" w:color="auto" w:fill="auto"/>
            <w:tcMar>
              <w:top w:w="100" w:type="dxa"/>
              <w:left w:w="100" w:type="dxa"/>
              <w:bottom w:w="100" w:type="dxa"/>
              <w:right w:w="100" w:type="dxa"/>
            </w:tcMar>
          </w:tcPr>
          <w:p w14:paraId="7F4BBD5A"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17AC242D"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Long</w:t>
            </w:r>
          </w:p>
        </w:tc>
        <w:tc>
          <w:tcPr>
            <w:tcW w:w="1560" w:type="dxa"/>
            <w:shd w:val="clear" w:color="auto" w:fill="auto"/>
            <w:tcMar>
              <w:top w:w="100" w:type="dxa"/>
              <w:left w:w="100" w:type="dxa"/>
              <w:bottom w:w="100" w:type="dxa"/>
              <w:right w:w="100" w:type="dxa"/>
            </w:tcMar>
          </w:tcPr>
          <w:p w14:paraId="41F49D34"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Rapid</w:t>
            </w:r>
          </w:p>
        </w:tc>
        <w:tc>
          <w:tcPr>
            <w:tcW w:w="1560" w:type="dxa"/>
            <w:shd w:val="clear" w:color="auto" w:fill="auto"/>
            <w:tcMar>
              <w:top w:w="100" w:type="dxa"/>
              <w:left w:w="100" w:type="dxa"/>
              <w:bottom w:w="100" w:type="dxa"/>
              <w:right w:w="100" w:type="dxa"/>
            </w:tcMar>
          </w:tcPr>
          <w:p w14:paraId="603F98F9" w14:textId="79CAF47C" w:rsidR="00CF00F8" w:rsidRDefault="00F133D0">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{"citationID":"P442qy7g","properties":{"formattedCitation":"[49]","plainCitation":"[49]","noteIndex":0},"citationItems":[{"id":1021,"uris":["http://zotero.org/users/12998224/items/HB5CMWIT"],"itemData":{"id":1021,"type":"chapter","abstract":"Immunoassays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{"citationID":"ReJQLo4Q","properties":{"formattedCitation":"[50]","plainCitation":"[50]","noteIndex":0},"citationItems":[{"id":1019,"uris":["http://zotero.org/users/12998224/items/YUYBDS78"],"itemData":{"id":1019,"type":"chapter","abstract":"Liquid chromatography–mass spectrometry (LC-MS) is a technology of emerging importance in the field of therapeutic drug monitoring (TDM) because development of commercial immunoassays for new TDM applications is sparse at best. LC-MS approaches have shown tremendous potential in the field of TDM. Assays are highly sensitive and selective, and can overcome challenges associated with conventional immunoassays. However, there are limitations and caveats to be considered when implementing this technology into the clinical laboratory environment. A review of methodological approaches, applications, advantages, and limitations will be discussed in this chapter.","container-title":"Clinical Challenges in Therapeutic Drug Monitoring","event-place":"San Diego","ISBN":"978-0-12-802025-8","note":"DOI: 10.1016/B978-0-12-802025-8.00003-9","page":"45-70","publisher":"Elsevier","publisher-place":"San Diego","source":"ScienceDirect","title":"Chapter 3 - Application of Chromatography Combined With Mass Spectrometry in Therapeutic Drug Monitoring","URL":"https://www.sciencedirect.com/science/article/pii/B9780128020258000039","author":[{"family":"Manohar","given":"Madhuri"},{"family":"Marzinke","given":"Mark 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[50]</w:t>
            </w:r>
            <w:r>
              <w:rPr>
                <w:rFonts w:ascii="Times New Roman" w:eastAsia="Times New Roman" w:hAnsi="Times New Roman" w:cs="Times New Roman"/>
                <w:sz w:val="20"/>
                <w:szCs w:val="20"/>
              </w:rPr>
              <w:fldChar w:fldCharType="end"/>
            </w:r>
          </w:p>
        </w:tc>
      </w:tr>
      <w:tr w:rsidR="00CF00F8" w14:paraId="52104F2F" w14:textId="77777777">
        <w:tc>
          <w:tcPr>
            <w:tcW w:w="1560" w:type="dxa"/>
            <w:shd w:val="clear" w:color="auto" w:fill="auto"/>
            <w:tcMar>
              <w:top w:w="100" w:type="dxa"/>
              <w:left w:w="100" w:type="dxa"/>
              <w:bottom w:w="100" w:type="dxa"/>
              <w:right w:w="100" w:type="dxa"/>
            </w:tcMar>
          </w:tcPr>
          <w:p w14:paraId="5E6B6FFC"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Cost</w:t>
            </w:r>
          </w:p>
        </w:tc>
        <w:tc>
          <w:tcPr>
            <w:tcW w:w="1560" w:type="dxa"/>
            <w:shd w:val="clear" w:color="auto" w:fill="auto"/>
            <w:tcMar>
              <w:top w:w="100" w:type="dxa"/>
              <w:left w:w="100" w:type="dxa"/>
              <w:bottom w:w="100" w:type="dxa"/>
              <w:right w:w="100" w:type="dxa"/>
            </w:tcMar>
          </w:tcPr>
          <w:p w14:paraId="5AB3F016"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440E6F28"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78CB3256"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26570128"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60" w:type="dxa"/>
            <w:shd w:val="clear" w:color="auto" w:fill="auto"/>
            <w:tcMar>
              <w:top w:w="100" w:type="dxa"/>
              <w:left w:w="100" w:type="dxa"/>
              <w:bottom w:w="100" w:type="dxa"/>
              <w:right w:w="100" w:type="dxa"/>
            </w:tcMar>
          </w:tcPr>
          <w:p w14:paraId="72D4355E" w14:textId="13ACCD56" w:rsidR="00CF00F8" w:rsidRDefault="00F133D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{"citationID":"HaYkyxgG","properties":{"formattedCitation":"[48]","plainCitation":"[48]","noteIndex":0},"citationItems":[{"id":1163,"uris":["http://zotero.org/users/12998224/items/X929METR"],"itemData":{"id":1163,"type":"webpage","abstract":"Mass spectrometry could become widely adopted in clinical diagnostics if the issues with costs, personnel training, and workflow automation are addressed.","container-title":"Diagnostics","genre":"Scientific Article","language":"en","title":"Mass spectrometry in clinical diagnostics | LabLeaders","URL":"https://lableaders.roche.com/global/en/articles/mass-spectrometry-moving-clinical-diagnostics.html","author":[{"family":"Vogeser","given":"Michael"},{"family":"Cobbaert","given":"Christa M."},{"family":"Hämäläinen","given":"Esa"}],"accessed":{"date-parts":[["2025",2,8]]},"issued":{"date-parts":[["2023",9,19]]}}}],"schema":"https://github.com/citation-style-language/schema/raw/master/csl-citation.json"}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{"citationID":"73THvfCS","properties":{"formattedCitation":"[49]","plainCitation":"[49]","noteIndex":0},"citationItems":[{"id":1021,"uris":["http://zotero.org/users/12998224/items/HB5CMWIT"],"itemData":{"id":1021,"type":"chapter","abstract":"Immunoassays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[49]</w:t>
            </w:r>
            <w:r>
              <w:rPr>
                <w:rFonts w:ascii="Times New Roman" w:eastAsia="Times New Roman" w:hAnsi="Times New Roman" w:cs="Times New Roman"/>
                <w:sz w:val="20"/>
                <w:szCs w:val="20"/>
              </w:rPr>
              <w:fldChar w:fldCharType="end"/>
            </w:r>
          </w:p>
        </w:tc>
      </w:tr>
      <w:tr w:rsidR="00CF00F8" w14:paraId="37BBDD5A" w14:textId="77777777">
        <w:tc>
          <w:tcPr>
            <w:tcW w:w="1560" w:type="dxa"/>
            <w:shd w:val="clear" w:color="auto" w:fill="auto"/>
            <w:tcMar>
              <w:top w:w="100" w:type="dxa"/>
              <w:left w:w="100" w:type="dxa"/>
              <w:bottom w:w="100" w:type="dxa"/>
              <w:right w:w="100" w:type="dxa"/>
            </w:tcMar>
          </w:tcPr>
          <w:p w14:paraId="56BA979D"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Skill Required</w:t>
            </w:r>
          </w:p>
        </w:tc>
        <w:tc>
          <w:tcPr>
            <w:tcW w:w="1560" w:type="dxa"/>
            <w:shd w:val="clear" w:color="auto" w:fill="auto"/>
            <w:tcMar>
              <w:top w:w="100" w:type="dxa"/>
              <w:left w:w="100" w:type="dxa"/>
              <w:bottom w:w="100" w:type="dxa"/>
              <w:right w:w="100" w:type="dxa"/>
            </w:tcMar>
          </w:tcPr>
          <w:p w14:paraId="4F573E32"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60F9EE09"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1560" w:type="dxa"/>
            <w:shd w:val="clear" w:color="auto" w:fill="auto"/>
            <w:tcMar>
              <w:top w:w="100" w:type="dxa"/>
              <w:left w:w="100" w:type="dxa"/>
              <w:bottom w:w="100" w:type="dxa"/>
              <w:right w:w="100" w:type="dxa"/>
            </w:tcMar>
          </w:tcPr>
          <w:p w14:paraId="6F2DC25B"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1560" w:type="dxa"/>
            <w:shd w:val="clear" w:color="auto" w:fill="auto"/>
            <w:tcMar>
              <w:top w:w="100" w:type="dxa"/>
              <w:left w:w="100" w:type="dxa"/>
              <w:bottom w:w="100" w:type="dxa"/>
              <w:right w:w="100" w:type="dxa"/>
            </w:tcMar>
          </w:tcPr>
          <w:p w14:paraId="49861D43" w14:textId="77777777" w:rsidR="00CF00F8"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560" w:type="dxa"/>
            <w:shd w:val="clear" w:color="auto" w:fill="auto"/>
            <w:tcMar>
              <w:top w:w="100" w:type="dxa"/>
              <w:left w:w="100" w:type="dxa"/>
              <w:bottom w:w="100" w:type="dxa"/>
              <w:right w:w="100" w:type="dxa"/>
            </w:tcMar>
          </w:tcPr>
          <w:p w14:paraId="391D6516" w14:textId="1AF423B1" w:rsidR="00CF00F8" w:rsidRDefault="00F133D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{"citationID":"ONHPhsR8","properties":{"formattedCitation":"[48]","plainCitation":"[48]","noteIndex":0},"citationItems":[{"id":1163,"uris":["http://zotero.org/users/12998224/items/X929METR"],"itemData":{"id":1163,"type":"webpage","abstract":"Mass spectrometry could become widely adopted in clinical diagnostics if the issues with costs, personnel training, and workflow automation are addressed.","container-title":"Diagnostics","genre":"Scientific Article","language":"en","title":"Mass spectrometry in clinical diagnostics | LabLeaders","URL":"https://lableaders.roche.com/global/en/articles/mass-spectrometry-moving-clinical-diagnostics.html","author":[{"family":"Vogeser","given":"Michael"},{"family":"Cobbaert","given":"Christa M."},{"family":"Hämäläinen","given":"Esa"}],"accessed":{"date-parts":[["2025",2,8]]},"issued":{"date-parts":[["2023",9,19]]}}}],"schema":"https://github.com/citation-style-language/schema/raw/master/csl-citation.json"}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{"citationID":"F0d6vKws","properties":{"formattedCitation":"[49]","plainCitation":"[49]","noteIndex":0},"citationItems":[{"id":1021,"uris":["http://zotero.org/users/12998224/items/HB5CMWIT"],"itemData":{"id":1021,"type":"chapter","abstract":"Immunoassays are widely used for therapeutic drug monitoring (TDM), but they are also subject to interferences. In general, digoxin immunoassays are mostly affected (endogenous digoxin-like immunoreactive substances, digoxin metabolites, spironolactone, Digibind, and DigiFab, as well as ceratin herbal supplements). In addition, interference of carbamazepine-10,11-epoxide in carbamazepine immunoassays may have clinical significance. Hydroxyzine and cetirizine interfere with particle-enhanced turbidimetric inhibition immunoassay. Various drugs affect immunoassays for tricyclic antidepressants. This chapter covers all such interferences in TDM.","container-title":"Clinical Challenges in Therapeutic Drug Monitoring","event-place":"San Diego","ISBN":"978-0-12-802025-8","note":"DOI: 10.1016/B978-0-12-802025-8.00002-7","page":"17-44","publisher":"Elsevier","publisher-place":"San Diego","source":"ScienceDirect","title":"Chapter 2 - Immunoassays and Issues With Interference in Therapeutic Drug Monitoring","URL":"https://www.sciencedirect.com/science/article/pii/B9780128020258000027","author":[{"family":"Dasgupta","given":"Amitav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[49]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{"citationID":"keCbRA6N","properties":{"formattedCitation":"[50]","plainCitation":"[50]","noteIndex":0},"citationItems":[{"id":1019,"uris":["http://zotero.org/users/12998224/items/YUYBDS78"],"itemData":{"id":1019,"type":"chapter","abstract":"Liquid chromatography–mass spectrometry (LC-MS) is a technology of emerging importance in the field of therapeutic drug monitoring (TDM) because development of commercial immunoassays for new TDM applications is sparse at best. LC-MS approaches have shown tremendous potential in the field of TDM. Assays are highly sensitive and selective, and can overcome challenges associated with conventional immunoassays. However, there are limitations and caveats to be considered when implementing this technology into the clinical laboratory environment. A review of methodological approaches, applications, advantages, and limitations will be discussed in this chapter.","container-title":"Clinical Challenges in Therapeutic Drug Monitoring","event-place":"San Diego","ISBN":"978-0-12-802025-8","note":"DOI: 10.1016/B978-0-12-802025-8.00003-9","page":"45-70","publisher":"Elsevier","publisher-place":"San Diego","source":"ScienceDirect","title":"Chapter 3 - Application of Chromatography Combined With Mass Spectrometry in Therapeutic Drug Monitoring","URL":"https://www.sciencedirect.com/science/article/pii/B9780128020258000039","author":[{"family":"Manohar","given":"Madhuri"},{"family":"Marzinke","given":"Mark A."}],"editor":[{"family":"Clarke","given":"William"},{"family":"Dasgupta","given":"Amitava"}],"accessed":{"date-parts":[["2025",1,29]]},"issued":{"date-parts":[["2016",1,1]]}}}],"schema":"https://github.com/citation-style-language/schema/raw/master/csl-citation.json"} </w:instrText>
            </w:r>
            <w:r>
              <w:rPr>
                <w:rFonts w:ascii="Times New Roman" w:eastAsia="Times New Roman" w:hAnsi="Times New Roman" w:cs="Times New Roman"/>
                <w:sz w:val="20"/>
                <w:szCs w:val="20"/>
              </w:rPr>
              <w:fldChar w:fldCharType="separate"/>
            </w:r>
            <w:r w:rsidRPr="00F133D0">
              <w:rPr>
                <w:rFonts w:ascii="Times New Roman" w:hAnsi="Times New Roman" w:cs="Times New Roman"/>
                <w:sz w:val="20"/>
              </w:rPr>
              <w:t>[50]</w:t>
            </w:r>
            <w:r>
              <w:rPr>
                <w:rFonts w:ascii="Times New Roman" w:eastAsia="Times New Roman" w:hAnsi="Times New Roman" w:cs="Times New Roman"/>
                <w:sz w:val="20"/>
                <w:szCs w:val="20"/>
              </w:rPr>
              <w:fldChar w:fldCharType="end"/>
            </w:r>
          </w:p>
        </w:tc>
      </w:tr>
    </w:tbl>
    <w:p w14:paraId="3D278FCD" w14:textId="77777777" w:rsidR="00CF00F8" w:rsidRDefault="00CF00F8">
      <w:pPr>
        <w:spacing w:line="240" w:lineRule="auto"/>
        <w:jc w:val="both"/>
        <w:rPr>
          <w:rFonts w:ascii="Times New Roman" w:eastAsia="Times New Roman" w:hAnsi="Times New Roman" w:cs="Times New Roman"/>
          <w:sz w:val="20"/>
          <w:szCs w:val="20"/>
        </w:rPr>
      </w:pPr>
    </w:p>
    <w:p w14:paraId="31C4779A"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Unlike immunoassays, which are susceptible to cross-reactivity, or HPLC, which often requires extensive sample preparation, MS can precisely distinguish molecules based on their unique mass-to-charge ratios. This ensures accurate drug quantification in complex biological matrices, such as plasma or cerebrospinal fluid, without interference from metabolites or co-administered agents. Its sensitivity further enables the reliable detection of low drug concentrations, critical for antimicrobials with narrow therapeutic windows like vancomycin and aminoglycosides.</w:t>
      </w:r>
    </w:p>
    <w:p w14:paraId="592D1766" w14:textId="07DF66F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Moreover, MS excels in multiplexing capability, enabling the simultaneous detection and quantification of multiple drugs in a single run. This is a significant advantage over immunoassays and HPLC, which are typically limited to one or a few analytes per assay. For example, LC-MS/MS assays can measure several antimicrobial agents, such as vancomycin, azoles, and aminoglycosides, in a single analysis, streamlining workflows and reducing turnaround time </w:t>
      </w:r>
      <w:r w:rsidR="009F530F">
        <w:rPr>
          <w:rFonts w:ascii="Times New Roman" w:eastAsia="Times New Roman" w:hAnsi="Times New Roman" w:cs="Times New Roman"/>
          <w:sz w:val="20"/>
          <w:szCs w:val="20"/>
        </w:rPr>
        <w:fldChar w:fldCharType="begin"/>
      </w:r>
      <w:r w:rsidR="009F530F">
        <w:rPr>
          <w:rFonts w:ascii="Times New Roman" w:eastAsia="Times New Roman" w:hAnsi="Times New Roman" w:cs="Times New Roman"/>
          <w:sz w:val="20"/>
          <w:szCs w:val="20"/>
        </w:rPr>
        <w:instrText xml:space="preserve"> ADDIN ZOTERO_ITEM CSL_CITATION {"citationID":"VIJ51ae4","properties":{"formattedCitation":"[52]","plainCitation":"[52]","noteIndex":0},"citationItems":[{"id":1026,"uris":["http://zotero.org/users/12998224/items/GSNNZI7V"],"itemData":{"id":1026,"type":"article-journal","abstract":"Antimicrobial resistance (AMR) is a major threat to global health due to the wide use of antibacterial drugs. Multiple studies show that the pharmacokinetic/pharmacodynamic (PK/PD) studies of antibiotics are an approach to prevent/delay AMR. The pharmacokinetic parameters of antibiotics are the basis of PK/PD studies, and therapeutic drug monitoring (TDM) is the key method to obtain pharmacokinetic information. We developed an ultra-performance liquid chromatography–tandem mass spectrometry to determine 18 antibacterial drugs (piperacillin, cefazolin, cefuroxime, cefoperazone, ceftriaxone, cefepime, aztreonam, meropenem, imipenem, levofloxacin, moxifloxacin, azithromycin, clindamycin, tigecycline, linezolid, vancomycin, voriconazole and caspofungin) in human plasma for practical clinical usage. Samples were prepared using protein precipitation with methanol. Chromatographic separation was accomplished in 6 min on a BEH C18 column (2.1 × 100 mm, 1.7 µm) using a gradient elution of acetonitrile and 0.1% formic acid in water at a flow rate of 0.3 ml/min. The electrospray ionization source interface was operated in the positive and negative ionization modes. Inter- and intra-day precision, accuracy, recovery, matrix effect, and stability were validated according to the Food and Drug Administration guidance. The correlation coefficients of calibration curves were all greater than 0.99. The accuracies of the 18 antibacterial drugs ranged from 89.1% to 112.4%. The intra-day precision of the analytes ranged from 1.4% to 9.3% and the inter-day precision from 2.1% to 7.2%. The matrix effects ranged from 93.1% to 105.8% and the extraction recoveries ranged between 90.1% and 109.2%. The stabilities of the 18 antibacterial drugs in plasma were evaluated by analyzing three different concentrations following storage at three storage conditions. All samples displayed variations less than 15.0%. The validated method was successfully applied to routine clinical TDM for 231 samples.","container-title":"Frontiers in Pharmacology","DOI":"10.3389/fphar.2022.1044234","ISSN":"1663-9812","journalAbbreviation":"Front Pharmacol","note":"PMID: 36425576\nPMCID: PMC9679284","page":"1044234","source":"PubMed Central","title":"An LC-MS/MS method for the simultaneous determination of 18 antibacterial drugs in human plasma and its application in therapeutic drug monitoring","volume":"13","author":[{"family":"Lu","given":"Wei"},{"family":"Pan","given":"Meng"},{"family":"Ke","given":"Hongqin"},{"family":"Liang","given":"Jun"},{"family":"Liang","given":"Wenbin"},{"family":"Yu","given":"Ping"},{"family":"Zhang","given":"Penghua"},{"family":"Wang","given":"Qibin"}],"issued":{"date-parts":[["2022",11,8]]}}}],"schema":"https://github.com/citation-style-language/schema/raw/master/csl-citation.json"} </w:instrText>
      </w:r>
      <w:r w:rsidR="009F530F">
        <w:rPr>
          <w:rFonts w:ascii="Times New Roman" w:eastAsia="Times New Roman" w:hAnsi="Times New Roman" w:cs="Times New Roman"/>
          <w:sz w:val="20"/>
          <w:szCs w:val="20"/>
        </w:rPr>
        <w:fldChar w:fldCharType="separate"/>
      </w:r>
      <w:r w:rsidR="009F530F" w:rsidRPr="009F530F">
        <w:rPr>
          <w:rFonts w:ascii="Times New Roman" w:hAnsi="Times New Roman" w:cs="Times New Roman"/>
          <w:sz w:val="20"/>
        </w:rPr>
        <w:t>[52]</w:t>
      </w:r>
      <w:r w:rsidR="009F530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While immunoassays offer rapid results, their limited multiplexing and accuracy can compromise therapeutic decisions. Microbiological assays, though cost-effective, are impractical in clinical settings due to their low specificity, sensitivity, and long time-to-result.</w:t>
      </w:r>
    </w:p>
    <w:p w14:paraId="31E796B2" w14:textId="4239832A" w:rsidR="00CF00F8" w:rsidRDefault="00000000" w:rsidP="00590A53">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terms of accessibility, MS requires a higher level of technical expertise and incurs significant upfront costs compared to the low-cost and user-friendly immunoassays. However, the investment is offset by its superior diagnostic performance, particularly in complex cases where precise drug monitoring is critical. For instance, MS has been instrumental in reducing toxicity risks, such as nephrotoxicity from vancomycin or hepatotoxicity from azole antifungals, by maintaining therapeutic levels within a narrow window </w:t>
      </w:r>
      <w:r w:rsidR="009F530F">
        <w:rPr>
          <w:rFonts w:ascii="Times New Roman" w:eastAsia="Times New Roman" w:hAnsi="Times New Roman" w:cs="Times New Roman"/>
          <w:sz w:val="20"/>
          <w:szCs w:val="20"/>
        </w:rPr>
        <w:fldChar w:fldCharType="begin"/>
      </w:r>
      <w:r w:rsidR="009F530F">
        <w:rPr>
          <w:rFonts w:ascii="Times New Roman" w:eastAsia="Times New Roman" w:hAnsi="Times New Roman" w:cs="Times New Roman"/>
          <w:sz w:val="20"/>
          <w:szCs w:val="20"/>
        </w:rPr>
        <w:instrText xml:space="preserve"> ADDIN ZOTERO_ITEM CSL_CITATION {"citationID":"6NQsPp6O","properties":{"formattedCitation":"[53]","plainCitation":"[53]","noteIndex":0},"citationItems":[{"id":1029,"uris":["http://zotero.org/users/12998224/items/VQHD759Q"],"itemData":{"id":1029,"type":"article-journal","abstract":"Therapeutic drug monitoring (TDM), an established practice for many antimicrobials, has recently seen increasing utilization in the management of patients receiving antifungal agents. There is a growing body of literature supporting the use of TDM for itraconazole, voriconazole, posaconazole, and flucytosine. In addition, clinical practice guidelines have been recently published that give recommendations on the appropriate use of TDM for antifungal agents. However, there are still uncertainties regarding the optimal use of antifungal TDM in clinical practice. We conducted a review of recent literature in order to describe the clinical situations and specific antifungal agents for which TDM is ideal and summarize key information about the pharmacokinetics, pharmacodynamics, drug toxicities, TDM concentration targets, and dose adjustment algorithms for antifungals in which routine TDM is performed.","container-title":"Current Clinical Microbiology Reports","DOI":"10.1007/s40588-015-0019-x","ISSN":"2196-5471","issue":"2","journalAbbreviation":"Curr Clin Micro Rpt","language":"en","page":"55-66","source":"Springer Link","title":"Antifungal Drug Therapeutic Monitoring: What are the Issues?","title-short":"Antifungal Drug Therapeutic Monitoring","volume":"2","author":[{"family":"Myers","given":"Eric"},{"family":"Dodds Ashley","given":"Elizabeth"}],"issued":{"date-parts":[["2015",6,1]]}}}],"schema":"https://github.com/citation-style-language/schema/raw/master/csl-citation.json"} </w:instrText>
      </w:r>
      <w:r w:rsidR="009F530F">
        <w:rPr>
          <w:rFonts w:ascii="Times New Roman" w:eastAsia="Times New Roman" w:hAnsi="Times New Roman" w:cs="Times New Roman"/>
          <w:sz w:val="20"/>
          <w:szCs w:val="20"/>
        </w:rPr>
        <w:fldChar w:fldCharType="separate"/>
      </w:r>
      <w:r w:rsidR="009F530F" w:rsidRPr="009F530F">
        <w:rPr>
          <w:rFonts w:ascii="Times New Roman" w:hAnsi="Times New Roman" w:cs="Times New Roman"/>
          <w:sz w:val="20"/>
        </w:rPr>
        <w:t>[53]</w:t>
      </w:r>
      <w:r w:rsidR="009F530F">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These clinical advantages position MS as an indispensable tool for advancing personalized medicine in TDM, surpassing the limitations of traditional methods while delivering higher-quality patient care.</w:t>
      </w:r>
    </w:p>
    <w:p w14:paraId="1C8D010F"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MS detection process involves the separation of drug molecules from biological matrices using liquid chromatography, followed by ionization and mass analysis in a tandem mass spectrometer. LC-MS/MS excels in sensitivity by employing multiple reaction monitoring (MRM) to selectively detect drug-specific ion transitions, minimizing interference from other compounds. Internal standards, often isotope-labeled analogs of the target drugs, are used to enhance accuracy and reproducibility. This precision ensures that even low concentrations of antimicrobials, often required for individualized dosing regimens, are reliably quantified.</w:t>
      </w:r>
    </w:p>
    <w:p w14:paraId="686E607B" w14:textId="38CAA91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application of MS in TDM has evolved significantly over the past two decades. Initially, MS required extensive sample preparation and highly trained personnel, limiting its use to specialized research laboratories. However, advancements in instrumentation and automation have streamlined the workflow, enabling the direct analysis of patient samples with minimal preparation (Table </w:t>
      </w:r>
      <w:r w:rsidR="004B162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p>
    <w:p w14:paraId="6D784C30" w14:textId="77777777" w:rsidR="00CF00F8"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3: Advancements in Mass Spectrometry for Antibiotic Quantification in Therapeutic Drug Monitoring</w:t>
      </w:r>
    </w:p>
    <w:tbl>
      <w:tblPr>
        <w:tblStyle w:val="a7"/>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600"/>
        <w:gridCol w:w="3590"/>
        <w:gridCol w:w="1170"/>
      </w:tblGrid>
      <w:tr w:rsidR="00CF00F8" w14:paraId="292CE8EF" w14:textId="77777777">
        <w:tc>
          <w:tcPr>
            <w:tcW w:w="810" w:type="dxa"/>
            <w:shd w:val="clear" w:color="auto" w:fill="auto"/>
            <w:tcMar>
              <w:top w:w="100" w:type="dxa"/>
              <w:left w:w="100" w:type="dxa"/>
              <w:bottom w:w="100" w:type="dxa"/>
              <w:right w:w="100" w:type="dxa"/>
            </w:tcMar>
          </w:tcPr>
          <w:p w14:paraId="3B0FB0C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w:t>
            </w:r>
          </w:p>
        </w:tc>
        <w:tc>
          <w:tcPr>
            <w:tcW w:w="3600" w:type="dxa"/>
            <w:shd w:val="clear" w:color="auto" w:fill="auto"/>
            <w:tcMar>
              <w:top w:w="100" w:type="dxa"/>
              <w:left w:w="100" w:type="dxa"/>
              <w:bottom w:w="100" w:type="dxa"/>
              <w:right w:w="100" w:type="dxa"/>
            </w:tcMar>
          </w:tcPr>
          <w:p w14:paraId="63FE303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Focus/Development</w:t>
            </w:r>
          </w:p>
        </w:tc>
        <w:tc>
          <w:tcPr>
            <w:tcW w:w="3590" w:type="dxa"/>
            <w:shd w:val="clear" w:color="auto" w:fill="auto"/>
            <w:tcMar>
              <w:top w:w="100" w:type="dxa"/>
              <w:left w:w="100" w:type="dxa"/>
              <w:bottom w:w="100" w:type="dxa"/>
              <w:right w:w="100" w:type="dxa"/>
            </w:tcMar>
          </w:tcPr>
          <w:p w14:paraId="298B967A"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Key Findings</w:t>
            </w:r>
          </w:p>
        </w:tc>
        <w:tc>
          <w:tcPr>
            <w:tcW w:w="1170" w:type="dxa"/>
            <w:shd w:val="clear" w:color="auto" w:fill="auto"/>
            <w:tcMar>
              <w:top w:w="100" w:type="dxa"/>
              <w:left w:w="100" w:type="dxa"/>
              <w:bottom w:w="100" w:type="dxa"/>
              <w:right w:w="100" w:type="dxa"/>
            </w:tcMar>
          </w:tcPr>
          <w:p w14:paraId="6B189584"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c>
      </w:tr>
      <w:tr w:rsidR="00CF00F8" w14:paraId="3F266651" w14:textId="77777777">
        <w:tc>
          <w:tcPr>
            <w:tcW w:w="810" w:type="dxa"/>
            <w:shd w:val="clear" w:color="auto" w:fill="auto"/>
            <w:tcMar>
              <w:top w:w="100" w:type="dxa"/>
              <w:left w:w="100" w:type="dxa"/>
              <w:bottom w:w="100" w:type="dxa"/>
              <w:right w:w="100" w:type="dxa"/>
            </w:tcMar>
          </w:tcPr>
          <w:p w14:paraId="3AF0D597"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3600" w:type="dxa"/>
            <w:shd w:val="clear" w:color="auto" w:fill="auto"/>
            <w:tcMar>
              <w:top w:w="100" w:type="dxa"/>
              <w:left w:w="100" w:type="dxa"/>
              <w:bottom w:w="100" w:type="dxa"/>
              <w:right w:w="100" w:type="dxa"/>
            </w:tcMar>
          </w:tcPr>
          <w:p w14:paraId="443EE79C" w14:textId="34436328" w:rsidR="00CF00F8" w:rsidRDefault="00590A5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t xml:space="preserve">- </w:t>
            </w:r>
            <w:r>
              <w:rPr>
                <w:rFonts w:ascii="Times New Roman" w:eastAsia="Times New Roman" w:hAnsi="Times New Roman" w:cs="Times New Roman"/>
                <w:sz w:val="20"/>
                <w:szCs w:val="20"/>
              </w:rPr>
              <w:t>Development of a rapid and simple LC-MS/MS platform for the quantification of 14 antibiotics and a beta-lactamase inhibitor in plasma samples, aimed at enabling therapeutic drug monitoring (TDM) in critically ill pediatric patients.</w:t>
            </w:r>
          </w:p>
        </w:tc>
        <w:tc>
          <w:tcPr>
            <w:tcW w:w="3590" w:type="dxa"/>
            <w:shd w:val="clear" w:color="auto" w:fill="auto"/>
            <w:tcMar>
              <w:top w:w="100" w:type="dxa"/>
              <w:left w:w="100" w:type="dxa"/>
              <w:bottom w:w="100" w:type="dxa"/>
              <w:right w:w="100" w:type="dxa"/>
            </w:tcMar>
          </w:tcPr>
          <w:p w14:paraId="3C4818C6" w14:textId="00CA0748" w:rsidR="00CF00F8" w:rsidRDefault="00590A5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14A33">
              <w:rPr>
                <w:rFonts w:ascii="Times New Roman" w:eastAsia="Times New Roman" w:hAnsi="Times New Roman" w:cs="Times New Roman"/>
                <w:sz w:val="20"/>
                <w:szCs w:val="20"/>
              </w:rPr>
              <w:t>D</w:t>
            </w:r>
            <w:r>
              <w:rPr>
                <w:rFonts w:ascii="Times New Roman" w:eastAsia="Times New Roman" w:hAnsi="Times New Roman" w:cs="Times New Roman"/>
                <w:sz w:val="20"/>
                <w:szCs w:val="20"/>
              </w:rPr>
              <w:t>emonstrated excellent accuracy (85.3%–112.7%) and reproducibility (1.3%–9.7%), with minimal matrix effects (&lt;15%) and a recovery rate exceeding 85% for all drugs tested. The assay, validated according to EMA guidelines, featured a turnaround time of 20 minutes and required only 50 µL of plasma, making it suitable for real-time, TDM-guided antimicrobial therapy personalization in clinical settings.</w:t>
            </w:r>
          </w:p>
        </w:tc>
        <w:tc>
          <w:tcPr>
            <w:tcW w:w="1170" w:type="dxa"/>
            <w:shd w:val="clear" w:color="auto" w:fill="auto"/>
            <w:tcMar>
              <w:top w:w="100" w:type="dxa"/>
              <w:left w:w="100" w:type="dxa"/>
              <w:bottom w:w="100" w:type="dxa"/>
              <w:right w:w="100" w:type="dxa"/>
            </w:tcMar>
          </w:tcPr>
          <w:p w14:paraId="34EB3A40" w14:textId="0CCF4E39" w:rsidR="00CF00F8" w:rsidRDefault="006E7E0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{"citationID":"8M3mRVfB","properties":{"formattedCitation":"[54]","plainCitation":"[54]","noteIndex":0},"citationItems":[{"id":1165,"uris":["http://zotero.org/users/12998224/items/ZYMTPUJD"],"itemData":{"id":1165,"type":"article-journal","abstract":"BACKGROUND: The accurate measurement of plasma levels of antibiotics is crucial for the individualization of antimicrobial therapies based on PK/PD strategies. In this paper we describe a new rapid and simple LC-MS/MS platform for quantifying 14 antibiotics (amikacin, amoxicillin, ceftazidime, ciprofloxacin, colistin, daptomycin, gentamicin, linezolid, meropenem, piperacillin, teicoplanin, tigecycline, tobramycin and vancomycin) and a beta-lactamase inhibitor (tazobactam) starting from 50 μL plasma samples.\nMETHODS: Analyses were performed on a Thermo Scientific™ Ultimate™ 3000 LC system (Thermo Fisher Scientific, Milan, Italy) coupled to a Thermo Scientific™ TSQ Quantiva™ Triple Quadrupole mass spectrometer. After fast protein precipitation protocols and addition of deuterated internal standards, samples were subjected to a fast HPLC gradient separation and the 15 drugs were quantified using multiple reaction monitoring of specific transitions over a wide range of concentrations. The suitability of the assay for TDM was tested on plasma samples derived from pediatric patients under treatment with one or more antibiotics.\nRESULTS: The overall turnaround time of the assay was 20 min. The assay was validated following EMA guidelines for bioanalytical method validation and showed excellent accuracy (ranging from 85.3 and 112.7) and reproducibility (ranging from 1.3 to 9.7) as well as the absence of matrix effects (&lt;15 %) for all the drugs tested. The lower limits of quantifications were between 0.1 and 2 mg/L. the recovery rate exceeded 85 % for all the drug tested. Stability was evaluated in different conditions thus allowing the setting up of reliable operative procedures.\nCONCLUSIONS: This work provides a LC-MS/MS platform validated for clinical use for a rapid quantification of a broad spectrum of drugs having different chemical characteristics in a small volume of plasma and is suitable for real-time TDM-guided personalization of antimicrobial treatment in critically ill patients.","container-title":"Journal of Pharmaceutical and Biomedical Analysis","DOI":"10.1016/j.jpba.2020.113273","ISSN":"1873-264X","journalAbbreviation":"J Pharm Biomed Anal","language":"eng","note":"PMID: 32251979","page":"113273","source":"PubMed","title":"A liquid chromatography-tandem mass spectrometry platform for the routine therapeutic drug monitoring of 14 antibiotics: Application to critically ill pediatric patients","title-short":"A liquid chromatography-tandem mass spectrometry platform for the routine therapeutic drug monitoring of 14 antibiotics","volume":"186","author":[{"family":"Barco","given":"Sebastiano"},{"family":"Mesini","given":"Alessio"},{"family":"Barbagallo","given":"Laura"},{"family":"Maffia","given":"Angelo"},{"family":"Tripodi","given":"Gino"},{"family":"Pea","given":"Federico"},{"family":"Saffioti","given":"Carolina"},{"family":"Castagnola","given":"Elio"},{"family":"Cangemi","given":"Giuliana"}],"issued":{"date-parts":[["2020",7,15]]}}}],"schema":"https://github.com/citation-style-language/schema/raw/master/csl-citation.json"} </w:instrText>
            </w:r>
            <w:r>
              <w:rPr>
                <w:rFonts w:ascii="Times New Roman" w:eastAsia="Times New Roman" w:hAnsi="Times New Roman" w:cs="Times New Roman"/>
                <w:sz w:val="20"/>
                <w:szCs w:val="20"/>
              </w:rPr>
              <w:fldChar w:fldCharType="separate"/>
            </w:r>
            <w:r w:rsidRPr="006E7E09">
              <w:rPr>
                <w:rFonts w:ascii="Times New Roman" w:hAnsi="Times New Roman" w:cs="Times New Roman"/>
                <w:sz w:val="20"/>
              </w:rPr>
              <w:t>[54]</w:t>
            </w:r>
            <w:r>
              <w:rPr>
                <w:rFonts w:ascii="Times New Roman" w:eastAsia="Times New Roman" w:hAnsi="Times New Roman" w:cs="Times New Roman"/>
                <w:sz w:val="20"/>
                <w:szCs w:val="20"/>
              </w:rPr>
              <w:fldChar w:fldCharType="end"/>
            </w:r>
          </w:p>
        </w:tc>
      </w:tr>
      <w:tr w:rsidR="00CF00F8" w14:paraId="7385D939" w14:textId="77777777">
        <w:tc>
          <w:tcPr>
            <w:tcW w:w="810" w:type="dxa"/>
            <w:shd w:val="clear" w:color="auto" w:fill="auto"/>
            <w:tcMar>
              <w:top w:w="100" w:type="dxa"/>
              <w:left w:w="100" w:type="dxa"/>
              <w:bottom w:w="100" w:type="dxa"/>
              <w:right w:w="100" w:type="dxa"/>
            </w:tcMar>
          </w:tcPr>
          <w:p w14:paraId="3F300CB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2021</w:t>
            </w:r>
          </w:p>
        </w:tc>
        <w:tc>
          <w:tcPr>
            <w:tcW w:w="3600" w:type="dxa"/>
            <w:shd w:val="clear" w:color="auto" w:fill="auto"/>
            <w:tcMar>
              <w:top w:w="100" w:type="dxa"/>
              <w:left w:w="100" w:type="dxa"/>
              <w:bottom w:w="100" w:type="dxa"/>
              <w:right w:w="100" w:type="dxa"/>
            </w:tcMar>
          </w:tcPr>
          <w:p w14:paraId="31639EEB" w14:textId="1DC5D17E" w:rsidR="00CF00F8" w:rsidRDefault="00590A5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Development and validation of an LC-MS/MS method for quantifying 15 antibiotics in critical care settings.</w:t>
            </w:r>
          </w:p>
        </w:tc>
        <w:tc>
          <w:tcPr>
            <w:tcW w:w="3590" w:type="dxa"/>
            <w:shd w:val="clear" w:color="auto" w:fill="auto"/>
            <w:tcMar>
              <w:top w:w="100" w:type="dxa"/>
              <w:left w:w="100" w:type="dxa"/>
              <w:bottom w:w="100" w:type="dxa"/>
              <w:right w:w="100" w:type="dxa"/>
            </w:tcMar>
          </w:tcPr>
          <w:p w14:paraId="55D47530" w14:textId="6E2E3EB6" w:rsidR="00CF00F8" w:rsidRDefault="00214A3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Established a fast, sensitive, and quantitative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-MS/MS assay for routine TDM, requiring minimal plasma volume and achieving high precision.</w:t>
            </w:r>
          </w:p>
        </w:tc>
        <w:tc>
          <w:tcPr>
            <w:tcW w:w="1170" w:type="dxa"/>
            <w:shd w:val="clear" w:color="auto" w:fill="auto"/>
            <w:tcMar>
              <w:top w:w="100" w:type="dxa"/>
              <w:left w:w="100" w:type="dxa"/>
              <w:bottom w:w="100" w:type="dxa"/>
              <w:right w:w="100" w:type="dxa"/>
            </w:tcMar>
          </w:tcPr>
          <w:p w14:paraId="52A087C8" w14:textId="47E45611" w:rsidR="00CF00F8" w:rsidRDefault="006E7E0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{"citationID":"AwXIFCVT","properties":{"formattedCitation":"[55]","plainCitation":"[55]","noteIndex":0},"citationItems":[{"id":1033,"uris":["http://zotero.org/users/12998224/items/CG2NUFS7"],"itemData":{"id":1033,"type":"article-journal","abstract":"Potential under- or overdose of antibiotics may occur in intensive care units due to high variability in plasma concentrations. The risk is either treatment failure or toxicity. Thus, therapeutic drug monitoring of antibiotics may guide dosing adjustment, maximising antibacterial efficacy and minimising toxicity. The aim of this study was to develop and validate a method for the analysis of 15 antibiotics including beta-lactams, linezolid, fluoroquinolones, daptomycin, and clindamycin to have a complete panel in the management of infections. We proposed to develop a fast, sensitive, and quantitative method for the analysis of 15 antibiotics using ultra-performance liquid chromatography coupled with triple quadrupole mass spectrometer (UPLC-MS/MS) technology. this method required only 100 µL of plasma and consisted of a rapid liquid–liquid deproteinisation using methanol. Calibration curves ranged from 0.078 to 500 mg/L depending on the molecules, and were defined according to a therapeutic range. Inter- and intra-assay precisions values were less than 15%. This work described the development and the full validation of a precise, sensitive and accurate assay using UPLC-MS/MS technology. After validation, this new assay was successfully applied to routine therapeutic drug monitoring.","container-title":"Pharmaceuticals","DOI":"10.3390/ph14121214","ISSN":"1424-8247","issue":"12","language":"en","license":"http://creativecommons.org/licenses/by/3.0/","note":"number: 12\npublisher: Multidisciplinary Digital Publishing Institute","page":"1214","source":"www.mdpi.com","title":"Quantification of 15 Antibiotics Widely Used in the Critical Care Unit with a LC-MS/MS System: An Easy Method to Perform a Daily Therapeutic Drug Monitoring","title-short":"Quantification of 15 Antibiotics Widely Used in the Critical Care Unit with a LC-MS/MS System","volume":"14","author":[{"family":"Feliu","given":"Catherine"},{"family":"Konecki","given":"Celine"},{"family":"Candau","given":"Tristan"},{"family":"Vautier","given":"Damien"},{"family":"Haudecoeur","given":"Cyril"},{"family":"Gozalo","given":"Claire"},{"family":"Cazaubon","given":"Yoann"},{"family":"Djerada","given":"Zoubir"}],"issued":{"date-parts":[["2021",12]]}}}],"schema":"https://github.com/citation-style-language/schema/raw/master/csl-citation.json"} </w:instrText>
            </w:r>
            <w:r>
              <w:rPr>
                <w:rFonts w:ascii="Times New Roman" w:eastAsia="Times New Roman" w:hAnsi="Times New Roman" w:cs="Times New Roman"/>
                <w:sz w:val="20"/>
                <w:szCs w:val="20"/>
              </w:rPr>
              <w:fldChar w:fldCharType="separate"/>
            </w:r>
            <w:r w:rsidRPr="006E7E09">
              <w:rPr>
                <w:rFonts w:ascii="Times New Roman" w:hAnsi="Times New Roman" w:cs="Times New Roman"/>
                <w:sz w:val="20"/>
              </w:rPr>
              <w:t>[55]</w:t>
            </w:r>
            <w:r>
              <w:rPr>
                <w:rFonts w:ascii="Times New Roman" w:eastAsia="Times New Roman" w:hAnsi="Times New Roman" w:cs="Times New Roman"/>
                <w:sz w:val="20"/>
                <w:szCs w:val="20"/>
              </w:rPr>
              <w:fldChar w:fldCharType="end"/>
            </w:r>
          </w:p>
        </w:tc>
      </w:tr>
      <w:tr w:rsidR="00CF00F8" w14:paraId="3D131C01" w14:textId="77777777">
        <w:tc>
          <w:tcPr>
            <w:tcW w:w="810" w:type="dxa"/>
            <w:shd w:val="clear" w:color="auto" w:fill="auto"/>
            <w:tcMar>
              <w:top w:w="100" w:type="dxa"/>
              <w:left w:w="100" w:type="dxa"/>
              <w:bottom w:w="100" w:type="dxa"/>
              <w:right w:w="100" w:type="dxa"/>
            </w:tcMar>
          </w:tcPr>
          <w:p w14:paraId="70EB4A2D"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3600" w:type="dxa"/>
            <w:shd w:val="clear" w:color="auto" w:fill="auto"/>
            <w:tcMar>
              <w:top w:w="100" w:type="dxa"/>
              <w:left w:w="100" w:type="dxa"/>
              <w:bottom w:w="100" w:type="dxa"/>
              <w:right w:w="100" w:type="dxa"/>
            </w:tcMar>
          </w:tcPr>
          <w:p w14:paraId="0D89A4E6" w14:textId="77777777" w:rsidR="00CF00F8" w:rsidRDefault="00000000"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an LC-MS/MS method for simultaneous quantification of 18 antibacterial drugs in human plasma for TDM.</w:t>
            </w:r>
          </w:p>
        </w:tc>
        <w:tc>
          <w:tcPr>
            <w:tcW w:w="3590" w:type="dxa"/>
            <w:shd w:val="clear" w:color="auto" w:fill="auto"/>
            <w:tcMar>
              <w:top w:w="100" w:type="dxa"/>
              <w:left w:w="100" w:type="dxa"/>
              <w:bottom w:w="100" w:type="dxa"/>
              <w:right w:w="100" w:type="dxa"/>
            </w:tcMar>
          </w:tcPr>
          <w:p w14:paraId="7487CB77" w14:textId="59F425D1" w:rsidR="00CF00F8" w:rsidRDefault="00214A3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Validated a highly sensitive and precise LC-MS/MS method, successfully applied in routine TDM for 231 clinical samples.</w:t>
            </w:r>
          </w:p>
        </w:tc>
        <w:tc>
          <w:tcPr>
            <w:tcW w:w="1170" w:type="dxa"/>
            <w:shd w:val="clear" w:color="auto" w:fill="auto"/>
            <w:tcMar>
              <w:top w:w="100" w:type="dxa"/>
              <w:left w:w="100" w:type="dxa"/>
              <w:bottom w:w="100" w:type="dxa"/>
              <w:right w:w="100" w:type="dxa"/>
            </w:tcMar>
          </w:tcPr>
          <w:p w14:paraId="1895921D" w14:textId="3EDD17B6" w:rsidR="00CF00F8" w:rsidRDefault="001065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{"citationID":"1nMapCJL","properties":{"formattedCitation":"[52]","plainCitation":"[52]","noteIndex":0},"citationItems":[{"id":1026,"uris":["http://zotero.org/users/12998224/items/GSNNZI7V"],"itemData":{"id":1026,"type":"article-journal","abstract":"Antimicrobial resistance (AMR) is a major threat to global health due to the wide use of antibacterial drugs. Multiple studies show that the pharmacokinetic/pharmacodynamic (PK/PD) studies of antibiotics are an approach to prevent/delay AMR. The pharmacokinetic parameters of antibiotics are the basis of PK/PD studies, and therapeutic drug monitoring (TDM) is the key method to obtain pharmacokinetic information. We developed an ultra-performance liquid chromatography–tandem mass spectrometry to determine 18 antibacterial drugs (piperacillin, cefazolin, cefuroxime, cefoperazone, ceftriaxone, cefepime, aztreonam, meropenem, imipenem, levofloxacin, moxifloxacin, azithromycin, clindamycin, tigecycline, linezolid, vancomycin, voriconazole and caspofungin) in human plasma for practical clinical usage. Samples were prepared using protein precipitation with methanol. Chromatographic separation was accomplished in 6 min on a BEH C18 column (2.1 × 100 mm, 1.7 µm) using a gradient elution of acetonitrile and 0.1% formic acid in water at a flow rate of 0.3 ml/min. The electrospray ionization source interface was operated in the positive and negative ionization modes. Inter- and intra-day precision, accuracy, recovery, matrix effect, and stability were validated according to the Food and Drug Administration guidance. The correlation coefficients of calibration curves were all greater than 0.99. The accuracies of the 18 antibacterial drugs ranged from 89.1% to 112.4%. The intra-day precision of the analytes ranged from 1.4% to 9.3% and the inter-day precision from 2.1% to 7.2%. The matrix effects ranged from 93.1% to 105.8% and the extraction recoveries ranged between 90.1% and 109.2%. The stabilities of the 18 antibacterial drugs in plasma were evaluated by analyzing three different concentrations following storage at three storage conditions. All samples displayed variations less than 15.0%. The validated method was successfully applied to routine clinical TDM for 231 samples.","container-title":"Frontiers in Pharmacology","DOI":"10.3389/fphar.2022.1044234","ISSN":"1663-9812","journalAbbreviation":"Front Pharmacol","note":"PMID: 36425576\nPMCID: PMC9679284","page":"1044234","source":"PubMed Central","title":"An LC-MS/MS method for the simultaneous determination of 18 antibacterial drugs in human plasma and its application in therapeutic drug monitoring","volume":"13","author":[{"family":"Lu","given":"Wei"},{"family":"Pan","given":"Meng"},{"family":"Ke","given":"Hongqin"},{"family":"Liang","given":"Jun"},{"family":"Liang","given":"Wenbin"},{"family":"Yu","given":"Ping"},{"family":"Zhang","given":"Penghua"},{"family":"Wang","given":"Qibin"}],"issued":{"date-parts":[["2022",11,8]]}}}],"schema":"https://github.com/citation-style-language/schema/raw/master/csl-citation.json"} </w:instrText>
            </w:r>
            <w:r>
              <w:rPr>
                <w:rFonts w:ascii="Times New Roman" w:eastAsia="Times New Roman" w:hAnsi="Times New Roman" w:cs="Times New Roman"/>
                <w:sz w:val="20"/>
                <w:szCs w:val="20"/>
              </w:rPr>
              <w:fldChar w:fldCharType="separate"/>
            </w:r>
            <w:r w:rsidRPr="00106548">
              <w:rPr>
                <w:rFonts w:ascii="Times New Roman" w:hAnsi="Times New Roman" w:cs="Times New Roman"/>
                <w:sz w:val="20"/>
              </w:rPr>
              <w:t>[52]</w:t>
            </w:r>
            <w:r>
              <w:rPr>
                <w:rFonts w:ascii="Times New Roman" w:eastAsia="Times New Roman" w:hAnsi="Times New Roman" w:cs="Times New Roman"/>
                <w:sz w:val="20"/>
                <w:szCs w:val="20"/>
              </w:rPr>
              <w:fldChar w:fldCharType="end"/>
            </w:r>
          </w:p>
        </w:tc>
      </w:tr>
      <w:tr w:rsidR="00CF00F8" w14:paraId="4530724C" w14:textId="77777777">
        <w:tc>
          <w:tcPr>
            <w:tcW w:w="810" w:type="dxa"/>
            <w:shd w:val="clear" w:color="auto" w:fill="auto"/>
            <w:tcMar>
              <w:top w:w="100" w:type="dxa"/>
              <w:left w:w="100" w:type="dxa"/>
              <w:bottom w:w="100" w:type="dxa"/>
              <w:right w:w="100" w:type="dxa"/>
            </w:tcMar>
          </w:tcPr>
          <w:p w14:paraId="2126386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3600" w:type="dxa"/>
            <w:shd w:val="clear" w:color="auto" w:fill="auto"/>
            <w:tcMar>
              <w:top w:w="100" w:type="dxa"/>
              <w:left w:w="100" w:type="dxa"/>
              <w:bottom w:w="100" w:type="dxa"/>
              <w:right w:w="100" w:type="dxa"/>
            </w:tcMar>
          </w:tcPr>
          <w:p w14:paraId="524F237B" w14:textId="77777777" w:rsidR="00CF00F8" w:rsidRDefault="00000000"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Development of a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-MS/MS method for simultaneous quantification of 14 antibiotics in plasma and cerebrospinal fluid.</w:t>
            </w:r>
          </w:p>
        </w:tc>
        <w:tc>
          <w:tcPr>
            <w:tcW w:w="3590" w:type="dxa"/>
            <w:shd w:val="clear" w:color="auto" w:fill="auto"/>
            <w:tcMar>
              <w:top w:w="100" w:type="dxa"/>
              <w:left w:w="100" w:type="dxa"/>
              <w:bottom w:w="100" w:type="dxa"/>
              <w:right w:w="100" w:type="dxa"/>
            </w:tcMar>
          </w:tcPr>
          <w:p w14:paraId="411111E1" w14:textId="031B6292" w:rsidR="00CF00F8" w:rsidRDefault="00214A3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Established a rapid and precise method for antibiotic quantification in TDM, successfully applied to 113 patients.</w:t>
            </w:r>
          </w:p>
        </w:tc>
        <w:tc>
          <w:tcPr>
            <w:tcW w:w="1170" w:type="dxa"/>
            <w:shd w:val="clear" w:color="auto" w:fill="auto"/>
            <w:tcMar>
              <w:top w:w="100" w:type="dxa"/>
              <w:left w:w="100" w:type="dxa"/>
              <w:bottom w:w="100" w:type="dxa"/>
              <w:right w:w="100" w:type="dxa"/>
            </w:tcMar>
          </w:tcPr>
          <w:p w14:paraId="46E7C9AB" w14:textId="7F7196F1" w:rsidR="00CF00F8" w:rsidRDefault="001065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3QiGdBr9","properties":{"formattedCitation":"[56]","plainCitation":"[56]","noteIndex":0},"citationItems":[{"id":1035,"uris":["http://zotero.org/users/12998224/items/FXHR2IBB"],"itemData":{"id":1035,"type":"article-journal","abstract":"Pharmacokinetics/pharmacodynamics is the foundation for guiding the rational application of antibiotics in clinical practice, so it is necessary to establish quantitative methods for accurate drug concentration determination. This study aimed to develop a rapid and simple ultrahigh-performance liquid chromatography-tandem mass spectrometry (UPLC-MS/MS) method for simultaneous quantification of 14 antibiotics (amikacin, etimicin, ceftazidime, cefepime, cefoperazone, ceftriaxone, daptomycin, latamoxef, linezolid, meropenem, biapenem, ampicillin, norvancomycin, and vancomycin) in human plasma and cerebrospinal fluid. Antibiotics were chromatographically separated on a Waters ACQUITY UPLC BEH C18 column (2.1 mm × 50 mm, 1.7 μm) via gradient elution within 3 minutes and were monitored using positive ion fitted with multiple reaction monitoring. The lower limit of quantification was 0.05-2.0 μg·mL-1. The method was verified according to the FDA bioanalysis method validation guidelines, which showed excellent accuracy (from 86.75% to 110.85%) and precision (from 0.46% to 10.97%). At last, this method was successfully applied to therapeutic drug monitoring in 113 patients under antibiotics treatment.","container-title":"Journal of Analytical Methods in Chemistry","DOI":"10.1155/2022/7048605","ISSN":"2090-8865","journalAbbreviation":"J Anal Methods Chem","language":"eng","note":"PMID: 35036023\nPMCID: PMC8754666","page":"7048605","source":"PubMed","title":"UPLC-MS/MS Method for Simultaneous Determination of 14 Antimicrobials in Human Plasma and Cerebrospinal Fluid: Application to Therapeutic Drug Monitoring","title-short":"UPLC-MS/MS Method for Simultaneous Determination of 14 Antimicrobials in Human Plasma and Cerebrospinal Fluid","volume":"2022","author":[{"family":"Sun","given":"Huiting"},{"family":"Xing","given":"Han"},{"family":"Tian","given":"Xueke"},{"family":"Zhang","given":"Xiaojian"},{"family":"Yang","given":"Jing"},{"family":"Wang","given":"Peile"}],"issued":{"date-parts":[["2022"]]}}}],"schema":"https://github.com/citation-style-language/schema/raw/master/csl-citation.json"} </w:instrText>
            </w:r>
            <w:r>
              <w:rPr>
                <w:rFonts w:ascii="Times New Roman" w:eastAsia="Times New Roman" w:hAnsi="Times New Roman" w:cs="Times New Roman"/>
                <w:sz w:val="20"/>
                <w:szCs w:val="20"/>
              </w:rPr>
              <w:fldChar w:fldCharType="separate"/>
            </w:r>
            <w:r w:rsidRPr="00106548">
              <w:rPr>
                <w:rFonts w:ascii="Times New Roman" w:hAnsi="Times New Roman" w:cs="Times New Roman"/>
                <w:sz w:val="20"/>
              </w:rPr>
              <w:t>[56]</w:t>
            </w:r>
            <w:r>
              <w:rPr>
                <w:rFonts w:ascii="Times New Roman" w:eastAsia="Times New Roman" w:hAnsi="Times New Roman" w:cs="Times New Roman"/>
                <w:sz w:val="20"/>
                <w:szCs w:val="20"/>
              </w:rPr>
              <w:fldChar w:fldCharType="end"/>
            </w:r>
          </w:p>
        </w:tc>
      </w:tr>
      <w:tr w:rsidR="00CF00F8" w14:paraId="7E2FFB8E" w14:textId="77777777">
        <w:tc>
          <w:tcPr>
            <w:tcW w:w="810" w:type="dxa"/>
            <w:shd w:val="clear" w:color="auto" w:fill="auto"/>
            <w:tcMar>
              <w:top w:w="100" w:type="dxa"/>
              <w:left w:w="100" w:type="dxa"/>
              <w:bottom w:w="100" w:type="dxa"/>
              <w:right w:w="100" w:type="dxa"/>
            </w:tcMar>
          </w:tcPr>
          <w:p w14:paraId="6E9DAAE5"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3600" w:type="dxa"/>
            <w:shd w:val="clear" w:color="auto" w:fill="auto"/>
            <w:tcMar>
              <w:top w:w="100" w:type="dxa"/>
              <w:left w:w="100" w:type="dxa"/>
              <w:bottom w:w="100" w:type="dxa"/>
              <w:right w:w="100" w:type="dxa"/>
            </w:tcMar>
          </w:tcPr>
          <w:p w14:paraId="31B1F280" w14:textId="77777777" w:rsidR="00CF00F8" w:rsidRDefault="00000000"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of the CLAM-2000 automated LC-MS/MS system for 24/7 TDM of beta-lactam antibiotics in routine clinical diagnostics.</w:t>
            </w:r>
          </w:p>
        </w:tc>
        <w:tc>
          <w:tcPr>
            <w:tcW w:w="3590" w:type="dxa"/>
            <w:shd w:val="clear" w:color="auto" w:fill="auto"/>
            <w:tcMar>
              <w:top w:w="100" w:type="dxa"/>
              <w:left w:w="100" w:type="dxa"/>
              <w:bottom w:w="100" w:type="dxa"/>
              <w:right w:w="100" w:type="dxa"/>
            </w:tcMar>
          </w:tcPr>
          <w:p w14:paraId="12B0F424" w14:textId="5CDEA282" w:rsidR="00CF00F8" w:rsidRDefault="00214A33" w:rsidP="00590A5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Demonstrated the feasibility of real-time, continuous TDM of beta-lactams using an automated system, ensuring reproducibility and efficiency.</w:t>
            </w:r>
          </w:p>
        </w:tc>
        <w:tc>
          <w:tcPr>
            <w:tcW w:w="1170" w:type="dxa"/>
            <w:shd w:val="clear" w:color="auto" w:fill="auto"/>
            <w:tcMar>
              <w:top w:w="100" w:type="dxa"/>
              <w:left w:w="100" w:type="dxa"/>
              <w:bottom w:w="100" w:type="dxa"/>
              <w:right w:w="100" w:type="dxa"/>
            </w:tcMar>
          </w:tcPr>
          <w:p w14:paraId="2992C22D" w14:textId="525EC097" w:rsidR="00CF00F8" w:rsidRDefault="001065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{"citationID":"XJSJkt5t","properties":{"formattedCitation":"[57]","plainCitation":"[57]","noteIndex":0},"citationItems":[{"id":1038,"uris":["http://zotero.org/users/12998224/items/W93AYPAV"],"itemData":{"id":1038,"type":"article-journal","abstract":"Background: The aim of this study was to evaluate the CLAM-2000 automated preanalytical sample preparation module with integrated liquid chromatography–mass spectrometry/mass spectrometry (LC-MS/MS) as a method for 24/7 therapeutic drug monitoring (TDM) of beta-lactam antibiotics in routine clinical diagnostics. Methods: Method validation was performed using quality control samples. Method comparison was performed with routine samples from patients treated with beta-lactam antibiotics. Results: The determination of piperacillin, meropenem, ceftazidime, flucloxacillin, and cefotaxime was performed using D5-piperacillin and D6-meropenem as internal standards. The linearity of the method was within the therapeutic range of beta-lactam antibiotics. The imprecision and accuracy data obtained from quality control samples were within 15%, and the imprecision of patient samples on the instrument was less than the 5% coefficient of variation (CV). Internal standards stored in the instrument at 9 °C for at least one week were stable, which facilitated reagent use and storage. Conclusion: The CLAM-2000 (Shimadzu, Kyoto, Japan) provides reproducible results as an established routine instrument and is a useful tool for 24/7 TDM of beta-lactam antibiotics in routine clinical diagnostics.","container-title":"Antibiotics","DOI":"10.3390/antibiotics12101526","ISSN":"2079-6382","issue":"10","journalAbbreviation":"Antibiotics (Basel)","note":"PMID: 37887227\nPMCID: PMC10604791","page":"1526","source":"PubMed Central","title":"24/7 Therapeutic Drug Monitoring of Beta-Lactam Antibiotics with CLAM-2000","volume":"12","author":[{"family":"Khromov","given":"Tatjana"},{"family":"Dihazi","given":"Gry Helene"},{"family":"Brockmeyer","given":"Phillipp"},{"family":"Fischer","given":"Andreas"},{"family":"Streit","given":"Frank"}],"issued":{"date-parts":[["2023",10,10]]}}}],"schema":"https://github.com/citation-style-language/schema/raw/master/csl-citation.json"} </w:instrText>
            </w:r>
            <w:r>
              <w:rPr>
                <w:rFonts w:ascii="Times New Roman" w:eastAsia="Times New Roman" w:hAnsi="Times New Roman" w:cs="Times New Roman"/>
                <w:sz w:val="20"/>
                <w:szCs w:val="20"/>
              </w:rPr>
              <w:fldChar w:fldCharType="separate"/>
            </w:r>
            <w:r w:rsidRPr="00106548">
              <w:rPr>
                <w:rFonts w:ascii="Times New Roman" w:hAnsi="Times New Roman" w:cs="Times New Roman"/>
                <w:sz w:val="20"/>
              </w:rPr>
              <w:t>[57]</w:t>
            </w:r>
            <w:r>
              <w:rPr>
                <w:rFonts w:ascii="Times New Roman" w:eastAsia="Times New Roman" w:hAnsi="Times New Roman" w:cs="Times New Roman"/>
                <w:sz w:val="20"/>
                <w:szCs w:val="20"/>
              </w:rPr>
              <w:fldChar w:fldCharType="end"/>
            </w:r>
          </w:p>
        </w:tc>
      </w:tr>
    </w:tbl>
    <w:p w14:paraId="11D2742B" w14:textId="77777777" w:rsidR="00CF00F8" w:rsidRDefault="00CF00F8">
      <w:pPr>
        <w:spacing w:line="240" w:lineRule="auto"/>
        <w:jc w:val="both"/>
        <w:rPr>
          <w:rFonts w:ascii="Times New Roman" w:eastAsia="Times New Roman" w:hAnsi="Times New Roman" w:cs="Times New Roman"/>
          <w:sz w:val="20"/>
          <w:szCs w:val="20"/>
        </w:rPr>
      </w:pPr>
    </w:p>
    <w:p w14:paraId="51BF5995" w14:textId="009E1C4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Early applications of LC-MS/MS in clinical chemistry laid the groundwork for its routine use in TDM, showcasing exceptional accuracy, reproducibility, and sensitivity for a broad spectrum of antibiotics. For example, a 2020 study introduced a validated LC-MS/MS platform capable of quantifying 14 antibiotics and a beta-lactamase inhibitor in plasma samples with minimal matrix effects and recovery rates exceeding 85%, achieving a rapid turnaround time of 20 minutes. This breakthrough highlighted the potential of LC-MS/MS for real-time, TDM-guided antimicrobial therapy personalization, particularly in critically ill pediatric patients. Such advancements have significantly reduced the complexity of instrumentation and method development, enabling the transition of MS-based antibiotic quantification from specialized laboratories to routine clinical practice </w:t>
      </w:r>
      <w:r w:rsidR="00106548">
        <w:rPr>
          <w:rFonts w:ascii="Times New Roman" w:eastAsia="Times New Roman" w:hAnsi="Times New Roman" w:cs="Times New Roman"/>
          <w:sz w:val="20"/>
          <w:szCs w:val="20"/>
        </w:rPr>
        <w:fldChar w:fldCharType="begin"/>
      </w:r>
      <w:r w:rsidR="00106548">
        <w:rPr>
          <w:rFonts w:ascii="Times New Roman" w:eastAsia="Times New Roman" w:hAnsi="Times New Roman" w:cs="Times New Roman"/>
          <w:sz w:val="20"/>
          <w:szCs w:val="20"/>
        </w:rPr>
        <w:instrText xml:space="preserve"> ADDIN ZOTERO_ITEM CSL_CITATION {"citationID":"OqeGn9rg","properties":{"formattedCitation":"[54]","plainCitation":"[54]","noteIndex":0},"citationItems":[{"id":1165,"uris":["http://zotero.org/users/12998224/items/ZYMTPUJD"],"itemData":{"id":1165,"type":"article-journal","abstract":"BACKGROUND: The accurate measurement of plasma levels of antibiotics is crucial for the individualization of antimicrobial therapies based on PK/PD strategies. In this paper we describe a new rapid and simple LC-MS/MS platform for quantifying 14 antibiotics (amikacin, amoxicillin, ceftazidime, ciprofloxacin, colistin, daptomycin, gentamicin, linezolid, meropenem, piperacillin, teicoplanin, tigecycline, tobramycin and vancomycin) and a beta-lactamase inhibitor (tazobactam) starting from 50 μL plasma samples.\nMETHODS: Analyses were performed on a Thermo Scientific™ Ultimate™ 3000 LC system (Thermo Fisher Scientific, Milan, Italy) coupled to a Thermo Scientific™ TSQ Quantiva™ Triple Quadrupole mass spectrometer. After fast protein precipitation protocols and addition of deuterated internal standards, samples were subjected to a fast HPLC gradient separation and the 15 drugs were quantified using multiple reaction monitoring of specific transitions over a wide range of concentrations. The suitability of the assay for TDM was tested on plasma samples derived from pediatric patients under treatment with one or more antibiotics.\nRESULTS: The overall turnaround time of the assay was 20 min. The assay was validated following EMA guidelines for bioanalytical method validation and showed excellent accuracy (ranging from 85.3 and 112.7) and reproducibility (ranging from 1.3 to 9.7) as well as the absence of matrix effects (&lt;15 %) for all the drugs tested. The lower limits of quantifications were between 0.1 and 2 mg/L. the recovery rate exceeded 85 % for all the drug tested. Stability was evaluated in different conditions thus allowing the setting up of reliable operative procedures.\nCONCLUSIONS: This work provides a LC-MS/MS platform validated for clinical use for a rapid quantification of a broad spectrum of drugs having different chemical characteristics in a small volume of plasma and is suitable for real-time TDM-guided personalization of antimicrobial treatment in critically ill patients.","container-title":"Journal of Pharmaceutical and Biomedical Analysis","DOI":"10.1016/j.jpba.2020.113273","ISSN":"1873-264X","journalAbbreviation":"J Pharm Biomed Anal","language":"eng","note":"PMID: 32251979","page":"113273","source":"PubMed","title":"A liquid chromatography-tandem mass spectrometry platform for the routine therapeutic drug monitoring of 14 antibiotics: Application to critically ill pediatric patients","title-short":"A liquid chromatography-tandem mass spectrometry platform for the routine therapeutic drug monitoring of 14 antibiotics","volume":"186","author":[{"family":"Barco","given":"Sebastiano"},{"family":"Mesini","given":"Alessio"},{"family":"Barbagallo","given":"Laura"},{"family":"Maffia","given":"Angelo"},{"family":"Tripodi","given":"Gino"},{"family":"Pea","given":"Federico"},{"family":"Saffioti","given":"Carolina"},{"family":"Castagnola","given":"Elio"},{"family":"Cangemi","given":"Giuliana"}],"issued":{"date-parts":[["2020",7,15]]}}}],"schema":"https://github.com/citation-style-language/schema/raw/master/csl-citation.json"} </w:instrText>
      </w:r>
      <w:r w:rsidR="00106548">
        <w:rPr>
          <w:rFonts w:ascii="Times New Roman" w:eastAsia="Times New Roman" w:hAnsi="Times New Roman" w:cs="Times New Roman"/>
          <w:sz w:val="20"/>
          <w:szCs w:val="20"/>
        </w:rPr>
        <w:fldChar w:fldCharType="separate"/>
      </w:r>
      <w:r w:rsidR="00106548" w:rsidRPr="00106548">
        <w:rPr>
          <w:rFonts w:ascii="Times New Roman" w:hAnsi="Times New Roman" w:cs="Times New Roman"/>
          <w:sz w:val="20"/>
        </w:rPr>
        <w:t>[54]</w:t>
      </w:r>
      <w:r w:rsidR="0010654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4DC794E" w14:textId="00EEE552"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One of the key milestones in this progression was the development of ultra-performance liquid chromatography-tandem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 xml:space="preserve">-MS/MS), which introduced significant improvements in analytical throughput and sensitivity. The validation of a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 xml:space="preserve">-MS/MS method for quantifying 15 commonly used antibiotics in critical care units provided an efficient approach for routine TDM with minimal sample volume requirements, ensuring rapid turnaround times suitable for clinical decision-making </w:t>
      </w:r>
      <w:r w:rsidR="00106548">
        <w:rPr>
          <w:rFonts w:ascii="Times New Roman" w:eastAsia="Times New Roman" w:hAnsi="Times New Roman" w:cs="Times New Roman"/>
          <w:sz w:val="20"/>
          <w:szCs w:val="20"/>
        </w:rPr>
        <w:fldChar w:fldCharType="begin"/>
      </w:r>
      <w:r w:rsidR="00106548">
        <w:rPr>
          <w:rFonts w:ascii="Times New Roman" w:eastAsia="Times New Roman" w:hAnsi="Times New Roman" w:cs="Times New Roman"/>
          <w:sz w:val="20"/>
          <w:szCs w:val="20"/>
        </w:rPr>
        <w:instrText xml:space="preserve"> ADDIN ZOTERO_ITEM CSL_CITATION {"citationID":"KfncAbQO","properties":{"formattedCitation":"[55]","plainCitation":"[55]","noteIndex":0},"citationItems":[{"id":1033,"uris":["http://zotero.org/users/12998224/items/CG2NUFS7"],"itemData":{"id":1033,"type":"article-journal","abstract":"Potential under- or overdose of antibiotics may occur in intensive care units due to high variability in plasma concentrations. The risk is either treatment failure or toxicity. Thus, therapeutic drug monitoring of antibiotics may guide dosing adjustment, maximising antibacterial efficacy and minimising toxicity. The aim of this study was to develop and validate a method for the analysis of 15 antibiotics including beta-lactams, linezolid, fluoroquinolones, daptomycin, and clindamycin to have a complete panel in the management of infections. We proposed to develop a fast, sensitive, and quantitative method for the analysis of 15 antibiotics using ultra-performance liquid chromatography coupled with triple quadrupole mass spectrometer (UPLC-MS/MS) technology. this method required only 100 µL of plasma and consisted of a rapid liquid–liquid deproteinisation using methanol. Calibration curves ranged from 0.078 to 500 mg/L depending on the molecules, and were defined according to a therapeutic range. Inter- and intra-assay precisions values were less than 15%. This work described the development and the full validation of a precise, sensitive and accurate assay using UPLC-MS/MS technology. After validation, this new assay was successfully applied to routine therapeutic drug monitoring.","container-title":"Pharmaceuticals","DOI":"10.3390/ph14121214","ISSN":"1424-8247","issue":"12","language":"en","license":"http://creativecommons.org/licenses/by/3.0/","note":"number: 12\npublisher: Multidisciplinary Digital Publishing Institute","page":"1214","source":"www.mdpi.com","title":"Quantification of 15 Antibiotics Widely Used in the Critical Care Unit with a LC-MS/MS System: An Easy Method to Perform a Daily Therapeutic Drug Monitoring","title-short":"Quantification of 15 Antibiotics Widely Used in the Critical Care Unit with a LC-MS/MS System","volume":"14","author":[{"family":"Feliu","given":"Catherine"},{"family":"Konecki","given":"Celine"},{"family":"Candau","given":"Tristan"},{"family":"Vautier","given":"Damien"},{"family":"Haudecoeur","given":"Cyril"},{"family":"Gozalo","given":"Claire"},{"family":"Cazaubon","given":"Yoann"},{"family":"Djerada","given":"Zoubir"}],"issued":{"date-parts":[["2021",12]]}}}],"schema":"https://github.com/citation-style-language/schema/raw/master/csl-citation.json"} </w:instrText>
      </w:r>
      <w:r w:rsidR="00106548">
        <w:rPr>
          <w:rFonts w:ascii="Times New Roman" w:eastAsia="Times New Roman" w:hAnsi="Times New Roman" w:cs="Times New Roman"/>
          <w:sz w:val="20"/>
          <w:szCs w:val="20"/>
        </w:rPr>
        <w:fldChar w:fldCharType="separate"/>
      </w:r>
      <w:r w:rsidR="00106548" w:rsidRPr="00106548">
        <w:rPr>
          <w:rFonts w:ascii="Times New Roman" w:hAnsi="Times New Roman" w:cs="Times New Roman"/>
          <w:sz w:val="20"/>
        </w:rPr>
        <w:t>[55]</w:t>
      </w:r>
      <w:r w:rsidR="0010654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enabling the simultaneous quantification of multiple antibiotics, including beta-lactams, linezolid, fluoroquinolones, and daptomycin, this method addressed the high interindividual pharmacokinetic variability observed in critically ill patients, optimizing antimicrobial therapy while reducing the risk of under- or overdosing. Further advancements have expanded the capabilities of LC-MS/MS to include a broader range of antimicrobial agents, ensuring more comprehensive drug monitoring strategies. The development of an analytical platform capable of simultaneously quantifying 18 antibacterial agents in human plasma reinforced the role of MS in personalized medicine, providing clinicians with pharmacokinetic insights essential for dose optimization </w:t>
      </w:r>
      <w:r w:rsidR="00106548">
        <w:rPr>
          <w:rFonts w:ascii="Times New Roman" w:eastAsia="Times New Roman" w:hAnsi="Times New Roman" w:cs="Times New Roman"/>
          <w:sz w:val="20"/>
          <w:szCs w:val="20"/>
        </w:rPr>
        <w:fldChar w:fldCharType="begin"/>
      </w:r>
      <w:r w:rsidR="00106548">
        <w:rPr>
          <w:rFonts w:ascii="Times New Roman" w:eastAsia="Times New Roman" w:hAnsi="Times New Roman" w:cs="Times New Roman"/>
          <w:sz w:val="20"/>
          <w:szCs w:val="20"/>
        </w:rPr>
        <w:instrText xml:space="preserve"> ADDIN ZOTERO_ITEM CSL_CITATION {"citationID":"kEDieird","properties":{"formattedCitation":"[52]","plainCitation":"[52]","noteIndex":0},"citationItems":[{"id":1026,"uris":["http://zotero.org/users/12998224/items/GSNNZI7V"],"itemData":{"id":1026,"type":"article-journal","abstract":"Antimicrobial resistance (AMR) is a major threat to global health due to the wide use of antibacterial drugs. Multiple studies show that the pharmacokinetic/pharmacodynamic (PK/PD) studies of antibiotics are an approach to prevent/delay AMR. The pharmacokinetic parameters of antibiotics are the basis of PK/PD studies, and therapeutic drug monitoring (TDM) is the key method to obtain pharmacokinetic information. We developed an ultra-performance liquid chromatography–tandem mass spectrometry to determine 18 antibacterial drugs (piperacillin, cefazolin, cefuroxime, cefoperazone, ceftriaxone, cefepime, aztreonam, meropenem, imipenem, levofloxacin, moxifloxacin, azithromycin, clindamycin, tigecycline, linezolid, vancomycin, voriconazole and caspofungin) in human plasma for practical clinical usage. Samples were prepared using protein precipitation with methanol. Chromatographic separation was accomplished in 6 min on a BEH C18 column (2.1 × 100 mm, 1.7 µm) using a gradient elution of acetonitrile and 0.1% formic acid in water at a flow rate of 0.3 ml/min. The electrospray ionization source interface was operated in the positive and negative ionization modes. Inter- and intra-day precision, accuracy, recovery, matrix effect, and stability were validated according to the Food and Drug Administration guidance. The correlation coefficients of calibration curves were all greater than 0.99. The accuracies of the 18 antibacterial drugs ranged from 89.1% to 112.4%. The intra-day precision of the analytes ranged from 1.4% to 9.3% and the inter-day precision from 2.1% to 7.2%. The matrix effects ranged from 93.1% to 105.8% and the extraction recoveries ranged between 90.1% and 109.2%. The stabilities of the 18 antibacterial drugs in plasma were evaluated by analyzing three different concentrations following storage at three storage conditions. All samples displayed variations less than 15.0%. The validated method was successfully applied to routine clinical TDM for 231 samples.","container-title":"Frontiers in Pharmacology","DOI":"10.3389/fphar.2022.1044234","ISSN":"1663-9812","journalAbbreviation":"Front Pharmacol","note":"PMID: 36425576\nPMCID: PMC9679284","page":"1044234","source":"PubMed Central","title":"An LC-MS/MS method for the simultaneous determination of 18 antibacterial drugs in human plasma and its application in therapeutic drug monitoring","volume":"13","author":[{"family":"Lu","given":"Wei"},{"family":"Pan","given":"Meng"},{"family":"Ke","given":"Hongqin"},{"family":"Liang","given":"Jun"},{"family":"Liang","given":"Wenbin"},{"family":"Yu","given":"Ping"},{"family":"Zhang","given":"Penghua"},{"family":"Wang","given":"Qibin"}],"issued":{"date-parts":[["2022",11,8]]}}}],"schema":"https://github.com/citation-style-language/schema/raw/master/csl-citation.json"} </w:instrText>
      </w:r>
      <w:r w:rsidR="00106548">
        <w:rPr>
          <w:rFonts w:ascii="Times New Roman" w:eastAsia="Times New Roman" w:hAnsi="Times New Roman" w:cs="Times New Roman"/>
          <w:sz w:val="20"/>
          <w:szCs w:val="20"/>
        </w:rPr>
        <w:fldChar w:fldCharType="separate"/>
      </w:r>
      <w:r w:rsidR="00106548" w:rsidRPr="00106548">
        <w:rPr>
          <w:rFonts w:ascii="Times New Roman" w:hAnsi="Times New Roman" w:cs="Times New Roman"/>
          <w:sz w:val="20"/>
        </w:rPr>
        <w:t>[52]</w:t>
      </w:r>
      <w:r w:rsidR="00106548">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 inclusion of antibiotics such as meropenem, cefepime, and levofloxacin, alongside macrolides and glycopeptides, emphasized the necessity of multiplexing in TDM, particularly for patients receiving combination therapies. With rigorous validation ensuring high accuracy, precision, and matrix effect stability, this method has been successfully integrated into routine clinical workflows, further demonstrating MS’s superiority over conventional analytical techniques.</w:t>
      </w:r>
    </w:p>
    <w:p w14:paraId="09266674" w14:textId="4798EB91"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Beyond quantification in plasma, the application of MS for antibiotic detection has expanded to include cerebrospinal fluid (CSF), addressing the critical need for optimized antimicrobial dosing in central nervous system infections. The implementation of a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 xml:space="preserve">-MS/MS method for the simultaneous determination of 14 antibiotics in both plasma and CSF has facilitated more precise drug monitoring for infections such as bacterial meningitis and intracranial abscesses </w:t>
      </w:r>
      <w:r w:rsidR="002F3F19">
        <w:rPr>
          <w:rFonts w:ascii="Times New Roman" w:eastAsia="Times New Roman" w:hAnsi="Times New Roman" w:cs="Times New Roman"/>
          <w:sz w:val="20"/>
          <w:szCs w:val="20"/>
        </w:rPr>
        <w:fldChar w:fldCharType="begin"/>
      </w:r>
      <w:r w:rsidR="002F3F19">
        <w:rPr>
          <w:rFonts w:ascii="Times New Roman" w:eastAsia="Times New Roman" w:hAnsi="Times New Roman" w:cs="Times New Roman"/>
          <w:sz w:val="20"/>
          <w:szCs w:val="20"/>
        </w:rPr>
        <w:instrText xml:space="preserve"> ADDIN ZOTERO_ITEM CSL_CITATION {"citationID":"vsNE8Ica","properties":{"formattedCitation":"[56]","plainCitation":"[56]","noteIndex":0},"citationItems":[{"id":1035,"uris":["http://zotero.org/users/12998224/items/FXHR2IBB"],"itemData":{"id":1035,"type":"article-journal","abstract":"Pharmacokinetics/pharmacodynamics is the foundation for guiding the rational application of antibiotics in clinical practice, so it is necessary to establish quantitative methods for accurate drug concentration determination. This study aimed to develop a rapid and simple ultrahigh-performance liquid chromatography-tandem mass spectrometry (UPLC-MS/MS) method for simultaneous quantification of 14 antibiotics (amikacin, etimicin, ceftazidime, cefepime, cefoperazone, ceftriaxone, daptomycin, latamoxef, linezolid, meropenem, biapenem, ampicillin, norvancomycin, and vancomycin) in human plasma and cerebrospinal fluid. Antibiotics were chromatographically separated on a Waters ACQUITY UPLC BEH C18 column (2.1 mm × 50 mm, 1.7 μm) via gradient elution within 3 minutes and were monitored using positive ion fitted with multiple reaction monitoring. The lower limit of quantification was 0.05-2.0 μg·mL-1. The method was verified according to the FDA bioanalysis method validation guidelines, which showed excellent accuracy (from 86.75% to 110.85%) and precision (from 0.46% to 10.97%). At last, this method was successfully applied to therapeutic drug monitoring in 113 patients under antibiotics treatment.","container-title":"Journal of Analytical Methods in Chemistry","DOI":"10.1155/2022/7048605","ISSN":"2090-8865","journalAbbreviation":"J Anal Methods Chem","language":"eng","note":"PMID: 35036023\nPMCID: PMC8754666","page":"7048605","source":"PubMed","title":"UPLC-MS/MS Method for Simultaneous Determination of 14 Antimicrobials in Human Plasma and Cerebrospinal Fluid: Application to Therapeutic Drug Monitoring","title-short":"UPLC-MS/MS Method for Simultaneous Determination of 14 Antimicrobials in Human Plasma and Cerebrospinal Fluid","volume":"2022","author":[{"family":"Sun","given":"Huiting"},{"family":"Xing","given":"Han"},{"family":"Tian","given":"Xueke"},{"family":"Zhang","given":"Xiaojian"},{"family":"Yang","given":"Jing"},{"family":"Wang","given":"Peile"}],"issued":{"date-parts":[["2022"]]}}}],"schema":"https://github.com/citation-style-language/schema/raw/master/csl-citation.json"} </w:instrText>
      </w:r>
      <w:r w:rsidR="002F3F19">
        <w:rPr>
          <w:rFonts w:ascii="Times New Roman" w:eastAsia="Times New Roman" w:hAnsi="Times New Roman" w:cs="Times New Roman"/>
          <w:sz w:val="20"/>
          <w:szCs w:val="20"/>
        </w:rPr>
        <w:fldChar w:fldCharType="separate"/>
      </w:r>
      <w:r w:rsidR="002F3F19" w:rsidRPr="002F3F19">
        <w:rPr>
          <w:rFonts w:ascii="Times New Roman" w:hAnsi="Times New Roman" w:cs="Times New Roman"/>
          <w:sz w:val="20"/>
        </w:rPr>
        <w:t>[56]</w:t>
      </w:r>
      <w:r w:rsidR="002F3F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ability to measure antimicrobial concentrations directly in CSF offers significant clinical advantages by enabling real-time assessment of drug penetration across the blood-brain barrier, guiding clinicians in optimizing dosing regimens to improve therapeutic outcomes while minimizing neurotoxicity risks. The integration of automation in MS-based TDM has further revolutionized clinical workflows, enhancing efficiency and accessibility. The development of an automated sample preparation module, such as the CLAM-2000 system coupled </w:t>
      </w:r>
      <w:r>
        <w:rPr>
          <w:rFonts w:ascii="Times New Roman" w:eastAsia="Times New Roman" w:hAnsi="Times New Roman" w:cs="Times New Roman"/>
          <w:sz w:val="20"/>
          <w:szCs w:val="20"/>
        </w:rPr>
        <w:lastRenderedPageBreak/>
        <w:t xml:space="preserve">with LC-MS/MS, has demonstrated the feasibility of 24/7 real-time TDM for beta-lactam antibiotics </w:t>
      </w:r>
      <w:r w:rsidR="002F3F19">
        <w:rPr>
          <w:rFonts w:ascii="Times New Roman" w:eastAsia="Times New Roman" w:hAnsi="Times New Roman" w:cs="Times New Roman"/>
          <w:sz w:val="20"/>
          <w:szCs w:val="20"/>
        </w:rPr>
        <w:fldChar w:fldCharType="begin"/>
      </w:r>
      <w:r w:rsidR="002F3F19">
        <w:rPr>
          <w:rFonts w:ascii="Times New Roman" w:eastAsia="Times New Roman" w:hAnsi="Times New Roman" w:cs="Times New Roman"/>
          <w:sz w:val="20"/>
          <w:szCs w:val="20"/>
        </w:rPr>
        <w:instrText xml:space="preserve"> ADDIN ZOTERO_ITEM CSL_CITATION {"citationID":"rCJOhRor","properties":{"formattedCitation":"[57]","plainCitation":"[57]","noteIndex":0},"citationItems":[{"id":1038,"uris":["http://zotero.org/users/12998224/items/W93AYPAV"],"itemData":{"id":1038,"type":"article-journal","abstract":"Background: The aim of this study was to evaluate the CLAM-2000 automated preanalytical sample preparation module with integrated liquid chromatography–mass spectrometry/mass spectrometry (LC-MS/MS) as a method for 24/7 therapeutic drug monitoring (TDM) of beta-lactam antibiotics in routine clinical diagnostics. Methods: Method validation was performed using quality control samples. Method comparison was performed with routine samples from patients treated with beta-lactam antibiotics. Results: The determination of piperacillin, meropenem, ceftazidime, flucloxacillin, and cefotaxime was performed using D5-piperacillin and D6-meropenem as internal standards. The linearity of the method was within the therapeutic range of beta-lactam antibiotics. The imprecision and accuracy data obtained from quality control samples were within 15%, and the imprecision of patient samples on the instrument was less than the 5% coefficient of variation (CV). Internal standards stored in the instrument at 9 °C for at least one week were stable, which facilitated reagent use and storage. Conclusion: The CLAM-2000 (Shimadzu, Kyoto, Japan) provides reproducible results as an established routine instrument and is a useful tool for 24/7 TDM of beta-lactam antibiotics in routine clinical diagnostics.","container-title":"Antibiotics","DOI":"10.3390/antibiotics12101526","ISSN":"2079-6382","issue":"10","journalAbbreviation":"Antibiotics (Basel)","note":"PMID: 37887227\nPMCID: PMC10604791","page":"1526","source":"PubMed Central","title":"24/7 Therapeutic Drug Monitoring of Beta-Lactam Antibiotics with CLAM-2000","volume":"12","author":[{"family":"Khromov","given":"Tatjana"},{"family":"Dihazi","given":"Gry Helene"},{"family":"Brockmeyer","given":"Phillipp"},{"family":"Fischer","given":"Andreas"},{"family":"Streit","given":"Frank"}],"issued":{"date-parts":[["2023",10,10]]}}}],"schema":"https://github.com/citation-style-language/schema/raw/master/csl-citation.json"} </w:instrText>
      </w:r>
      <w:r w:rsidR="002F3F19">
        <w:rPr>
          <w:rFonts w:ascii="Times New Roman" w:eastAsia="Times New Roman" w:hAnsi="Times New Roman" w:cs="Times New Roman"/>
          <w:sz w:val="20"/>
          <w:szCs w:val="20"/>
        </w:rPr>
        <w:fldChar w:fldCharType="separate"/>
      </w:r>
      <w:r w:rsidR="002F3F19" w:rsidRPr="002F3F19">
        <w:rPr>
          <w:rFonts w:ascii="Times New Roman" w:hAnsi="Times New Roman" w:cs="Times New Roman"/>
          <w:sz w:val="20"/>
        </w:rPr>
        <w:t>[57]</w:t>
      </w:r>
      <w:r w:rsidR="002F3F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advancement addresses the growing need for continuous antibiotic monitoring, particularly in critically ill patients requiring dynamic dose adjustments. By ensuring reproducibility, stability, and minimal manual intervention, automated MS systems contribute to improved patient management by facilitating timely therapeutic interventions and reducing delays associated with traditional batch-based analytical techniques.</w:t>
      </w:r>
    </w:p>
    <w:p w14:paraId="21351DB3" w14:textId="77777777" w:rsidR="00CF00F8" w:rsidRDefault="00000000">
      <w:pPr>
        <w:spacing w:line="240" w:lineRule="auto"/>
        <w:ind w:firstLine="720"/>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Not only is MS widely utilized for antibiotic quantification in therapeutic drug monitoring (TDM), but it has also become an indispensable tool for detecting antifungal drug levels in patients. Antifungal TDM is particularly crucial due to the significant pharmacokinetic variability observed among individuals, the narrow therapeutic index of many antifungal agents, and the need to optimize dosing to maximize efficacy while minimizing toxicity. Among the most frequently monitored antifungal agents are voriconazole, itraconazole, and posaconazole, all belonging to the triazole class. Voriconazole, a first-line agent for invasive aspergillosis and other life-threatening fungal infections, requires careful monitoring due to its nonlinear pharmacokinetics and dose-dependent toxicity. Itraconazole is commonly prescribed for endemic mycoses and prophylaxis in immunocompromised patients, yet its variable absorption necessitates TDM to ensure adequate plasma concentrations. Posaconazole, widely used for prophylaxis against invasive fungal infections, exhibits highly variable bioavailability, which can be significantly influenced by food intake and gastrointestinal function. Given the complexity of antifungal pharmacokinetics, MS has emerged as a highly reliable analytical tool, enabling precise quantification of these drugs in clinical settings. Over the years, the advancement of MS in antifungal detection has been particularly evident in the progressive reduction of analytical run times, allowing for faster and more efficient therapeutic monitoring </w:t>
      </w:r>
      <w:r w:rsidRPr="002F3F19">
        <w:rPr>
          <w:rFonts w:ascii="Times New Roman" w:eastAsia="Times New Roman" w:hAnsi="Times New Roman" w:cs="Times New Roman"/>
          <w:sz w:val="20"/>
          <w:szCs w:val="20"/>
        </w:rPr>
        <w:t>(Table 4).</w:t>
      </w:r>
    </w:p>
    <w:p w14:paraId="0DC1204A" w14:textId="77777777" w:rsidR="00CF00F8" w:rsidRDefault="00000000">
      <w:pPr>
        <w:spacing w:line="240" w:lineRule="auto"/>
        <w:jc w:val="both"/>
        <w:rPr>
          <w:rFonts w:ascii="Times New Roman" w:eastAsia="Times New Roman" w:hAnsi="Times New Roman" w:cs="Times New Roman"/>
          <w:sz w:val="20"/>
          <w:szCs w:val="20"/>
        </w:rPr>
      </w:pPr>
      <w:r w:rsidRPr="002F3F19">
        <w:rPr>
          <w:rFonts w:ascii="Times New Roman" w:eastAsia="Times New Roman" w:hAnsi="Times New Roman" w:cs="Times New Roman"/>
          <w:b/>
          <w:sz w:val="20"/>
          <w:szCs w:val="20"/>
        </w:rPr>
        <w:t>Table 4:</w:t>
      </w:r>
      <w:r>
        <w:rPr>
          <w:rFonts w:ascii="Times New Roman" w:eastAsia="Times New Roman" w:hAnsi="Times New Roman" w:cs="Times New Roman"/>
          <w:b/>
          <w:sz w:val="20"/>
          <w:szCs w:val="20"/>
        </w:rPr>
        <w:t xml:space="preserve"> Notable advancement in the analytical runtime for antifungal detection using MS</w:t>
      </w:r>
    </w:p>
    <w:tbl>
      <w:tblPr>
        <w:tblStyle w:val="a8"/>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3335"/>
        <w:gridCol w:w="1710"/>
        <w:gridCol w:w="2160"/>
        <w:gridCol w:w="1330"/>
      </w:tblGrid>
      <w:tr w:rsidR="00CF00F8" w14:paraId="6C737E70" w14:textId="77777777">
        <w:tc>
          <w:tcPr>
            <w:tcW w:w="1155" w:type="dxa"/>
            <w:shd w:val="clear" w:color="auto" w:fill="auto"/>
            <w:tcMar>
              <w:top w:w="100" w:type="dxa"/>
              <w:left w:w="100" w:type="dxa"/>
              <w:bottom w:w="100" w:type="dxa"/>
              <w:right w:w="100" w:type="dxa"/>
            </w:tcMar>
          </w:tcPr>
          <w:p w14:paraId="45007C91"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Published Year</w:t>
            </w:r>
          </w:p>
        </w:tc>
        <w:tc>
          <w:tcPr>
            <w:tcW w:w="3335" w:type="dxa"/>
            <w:shd w:val="clear" w:color="auto" w:fill="auto"/>
            <w:tcMar>
              <w:top w:w="100" w:type="dxa"/>
              <w:left w:w="100" w:type="dxa"/>
              <w:bottom w:w="100" w:type="dxa"/>
              <w:right w:w="100" w:type="dxa"/>
            </w:tcMar>
          </w:tcPr>
          <w:p w14:paraId="3EB79DA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Target substance</w:t>
            </w:r>
          </w:p>
        </w:tc>
        <w:tc>
          <w:tcPr>
            <w:tcW w:w="1710" w:type="dxa"/>
            <w:shd w:val="clear" w:color="auto" w:fill="auto"/>
            <w:tcMar>
              <w:top w:w="100" w:type="dxa"/>
              <w:left w:w="100" w:type="dxa"/>
              <w:bottom w:w="100" w:type="dxa"/>
              <w:right w:w="100" w:type="dxa"/>
            </w:tcMar>
          </w:tcPr>
          <w:p w14:paraId="25287E8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 of MS</w:t>
            </w:r>
          </w:p>
        </w:tc>
        <w:tc>
          <w:tcPr>
            <w:tcW w:w="2160" w:type="dxa"/>
            <w:shd w:val="clear" w:color="auto" w:fill="auto"/>
            <w:tcMar>
              <w:top w:w="100" w:type="dxa"/>
              <w:left w:w="100" w:type="dxa"/>
              <w:bottom w:w="100" w:type="dxa"/>
              <w:right w:w="100" w:type="dxa"/>
            </w:tcMar>
          </w:tcPr>
          <w:p w14:paraId="1D8B50AC"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Analytical Runtime</w:t>
            </w:r>
          </w:p>
        </w:tc>
        <w:tc>
          <w:tcPr>
            <w:tcW w:w="1330" w:type="dxa"/>
          </w:tcPr>
          <w:p w14:paraId="04A2967A"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t xml:space="preserve">     </w:t>
            </w:r>
            <w:r>
              <w:rPr>
                <w:rFonts w:ascii="Times New Roman" w:eastAsia="Times New Roman" w:hAnsi="Times New Roman" w:cs="Times New Roman"/>
                <w:b/>
                <w:sz w:val="20"/>
                <w:szCs w:val="20"/>
              </w:rPr>
              <w:t>References</w:t>
            </w:r>
          </w:p>
        </w:tc>
      </w:tr>
      <w:tr w:rsidR="00CF00F8" w14:paraId="3C1516B1" w14:textId="77777777">
        <w:tc>
          <w:tcPr>
            <w:tcW w:w="1155" w:type="dxa"/>
            <w:shd w:val="clear" w:color="auto" w:fill="auto"/>
            <w:tcMar>
              <w:top w:w="100" w:type="dxa"/>
              <w:left w:w="100" w:type="dxa"/>
              <w:bottom w:w="100" w:type="dxa"/>
              <w:right w:w="100" w:type="dxa"/>
            </w:tcMar>
          </w:tcPr>
          <w:p w14:paraId="25C690C4"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3335" w:type="dxa"/>
            <w:shd w:val="clear" w:color="auto" w:fill="auto"/>
            <w:tcMar>
              <w:top w:w="100" w:type="dxa"/>
              <w:left w:w="100" w:type="dxa"/>
              <w:bottom w:w="100" w:type="dxa"/>
              <w:right w:w="100" w:type="dxa"/>
            </w:tcMar>
          </w:tcPr>
          <w:p w14:paraId="4DAC6F44"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Itraconazole, Posaconazole, Voriconazole</w:t>
            </w:r>
          </w:p>
        </w:tc>
        <w:tc>
          <w:tcPr>
            <w:tcW w:w="1710" w:type="dxa"/>
            <w:shd w:val="clear" w:color="auto" w:fill="auto"/>
            <w:tcMar>
              <w:top w:w="100" w:type="dxa"/>
              <w:left w:w="100" w:type="dxa"/>
              <w:bottom w:w="100" w:type="dxa"/>
              <w:right w:w="100" w:type="dxa"/>
            </w:tcMar>
          </w:tcPr>
          <w:p w14:paraId="6B356927"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HPLC-MS/MS</w:t>
            </w:r>
          </w:p>
        </w:tc>
        <w:tc>
          <w:tcPr>
            <w:tcW w:w="2160" w:type="dxa"/>
            <w:shd w:val="clear" w:color="auto" w:fill="auto"/>
            <w:tcMar>
              <w:top w:w="100" w:type="dxa"/>
              <w:left w:w="100" w:type="dxa"/>
              <w:bottom w:w="100" w:type="dxa"/>
              <w:right w:w="100" w:type="dxa"/>
            </w:tcMar>
          </w:tcPr>
          <w:p w14:paraId="7B0FFB1F"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mins</w:t>
            </w:r>
          </w:p>
        </w:tc>
        <w:tc>
          <w:tcPr>
            <w:tcW w:w="1330" w:type="dxa"/>
          </w:tcPr>
          <w:p w14:paraId="2F21BB24" w14:textId="4ED7797D" w:rsidR="00CF00F8" w:rsidRDefault="00204A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{"citationID":"qUNeR4bK","properties":{"formattedCitation":"[58]","plainCitation":"[58]","noteIndex":0},"citationItems":[{"id":1010,"uris":["http://zotero.org/users/12998224/items/NGXKIZ3P"],"itemData":{"id":1010,"type":"article-journal","abstract":"We have developed and validated a high-performance liquid chromatography method coupled with a mass detector to quantify itraconazole, voriconazole, and posaconazole using quinoxaline as the internal standard. The method involves protein precipitation with acetonitrile. Mean accuracy (percent deviation from the true value) and precision (relative standard deviation percentage) were less than 15%. Mean recovery was more than 80% for all drugs quantified. The lower limit of quantification was 0.031 μg/ml for itraconazole and posaconazole and 0.039 μg/ml for voriconazole. The calibration range tested was from 0.031 to 8 μg/ml for itraconazole and posaconazole and from 0.039 to 10 μg/ml for voriconazole.","container-title":"Antimicrobial Agents and Chemotherapy","DOI":"10.1128/AAC.01807-09","ISSN":"0066-4804","issue":"8","journalAbbreviation":"Antimicrob Agents Chemother","note":"PMID: 20530230\nPMCID: PMC2916319","page":"3408-3413","source":"PubMed Central","title":"Development, Validation, and Routine Application of a High-Performance Liquid Chromatography Method Coupled with a Single Mass Detector for Quantification of Itraconazole, Voriconazole, and Posaconazole in Human Plasma","volume":"54","author":[{"family":"Baietto","given":"Lorena"},{"family":"D'Avolio","given":"Antonio"},{"family":"Ventimiglia","given":"Giusi"},{"family":"De Rosa","given":"Francesco Giuseppe"},{"family":"Siccardi","given":"Marco"},{"family":"Simiele","given":"Marco"},{"family":"Sciandra","given":"Mauro"},{"family":"Di Perri","given":"Giovanni"}],"issued":{"date-parts":[["2010",8]]}}}],"schema":"https://github.com/citation-style-language/schema/raw/master/csl-citation.json"} </w:instrText>
            </w:r>
            <w:r>
              <w:rPr>
                <w:rFonts w:ascii="Times New Roman" w:eastAsia="Times New Roman" w:hAnsi="Times New Roman" w:cs="Times New Roman"/>
                <w:sz w:val="20"/>
                <w:szCs w:val="20"/>
              </w:rPr>
              <w:fldChar w:fldCharType="separate"/>
            </w:r>
            <w:r w:rsidRPr="00204A0D">
              <w:rPr>
                <w:rFonts w:ascii="Times New Roman" w:hAnsi="Times New Roman" w:cs="Times New Roman"/>
                <w:sz w:val="20"/>
              </w:rPr>
              <w:t>[58]</w:t>
            </w:r>
            <w:r>
              <w:rPr>
                <w:rFonts w:ascii="Times New Roman" w:eastAsia="Times New Roman" w:hAnsi="Times New Roman" w:cs="Times New Roman"/>
                <w:sz w:val="20"/>
                <w:szCs w:val="20"/>
              </w:rPr>
              <w:fldChar w:fldCharType="end"/>
            </w:r>
          </w:p>
        </w:tc>
      </w:tr>
      <w:tr w:rsidR="00CF00F8" w14:paraId="2FB977F7" w14:textId="77777777">
        <w:tc>
          <w:tcPr>
            <w:tcW w:w="1155" w:type="dxa"/>
            <w:shd w:val="clear" w:color="auto" w:fill="auto"/>
            <w:tcMar>
              <w:top w:w="100" w:type="dxa"/>
              <w:left w:w="100" w:type="dxa"/>
              <w:bottom w:w="100" w:type="dxa"/>
              <w:right w:w="100" w:type="dxa"/>
            </w:tcMar>
          </w:tcPr>
          <w:p w14:paraId="10144A23"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3335" w:type="dxa"/>
            <w:shd w:val="clear" w:color="auto" w:fill="auto"/>
            <w:tcMar>
              <w:top w:w="100" w:type="dxa"/>
              <w:left w:w="100" w:type="dxa"/>
              <w:bottom w:w="100" w:type="dxa"/>
              <w:right w:w="100" w:type="dxa"/>
            </w:tcMar>
          </w:tcPr>
          <w:p w14:paraId="756CDF47"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Anidulafungin, </w:t>
            </w:r>
            <w:proofErr w:type="spellStart"/>
            <w:r>
              <w:rPr>
                <w:rFonts w:ascii="Times New Roman" w:eastAsia="Times New Roman" w:hAnsi="Times New Roman" w:cs="Times New Roman"/>
                <w:sz w:val="20"/>
                <w:szCs w:val="20"/>
              </w:rPr>
              <w:t>Caspofungin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Isavuconazole</w:t>
            </w:r>
            <w:proofErr w:type="spellEnd"/>
            <w:r>
              <w:rPr>
                <w:rFonts w:ascii="Times New Roman" w:eastAsia="Times New Roman" w:hAnsi="Times New Roman" w:cs="Times New Roman"/>
                <w:sz w:val="20"/>
                <w:szCs w:val="20"/>
              </w:rPr>
              <w:t>, Micafungin, Posaconazole, Voriconazole</w:t>
            </w:r>
          </w:p>
        </w:tc>
        <w:tc>
          <w:tcPr>
            <w:tcW w:w="1710" w:type="dxa"/>
            <w:shd w:val="clear" w:color="auto" w:fill="auto"/>
            <w:tcMar>
              <w:top w:w="100" w:type="dxa"/>
              <w:left w:w="100" w:type="dxa"/>
              <w:bottom w:w="100" w:type="dxa"/>
              <w:right w:w="100" w:type="dxa"/>
            </w:tcMar>
          </w:tcPr>
          <w:p w14:paraId="6CBE9A54"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HPLC-MS/MS</w:t>
            </w:r>
          </w:p>
        </w:tc>
        <w:tc>
          <w:tcPr>
            <w:tcW w:w="2160" w:type="dxa"/>
            <w:shd w:val="clear" w:color="auto" w:fill="auto"/>
            <w:tcMar>
              <w:top w:w="100" w:type="dxa"/>
              <w:left w:w="100" w:type="dxa"/>
              <w:bottom w:w="100" w:type="dxa"/>
              <w:right w:w="100" w:type="dxa"/>
            </w:tcMar>
          </w:tcPr>
          <w:p w14:paraId="67338C5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mins</w:t>
            </w:r>
          </w:p>
        </w:tc>
        <w:tc>
          <w:tcPr>
            <w:tcW w:w="1330" w:type="dxa"/>
          </w:tcPr>
          <w:p w14:paraId="3F9AC662" w14:textId="7E6208D1" w:rsidR="00CF00F8" w:rsidRDefault="00204A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{"citationID":"a3aKfat5","properties":{"formattedCitation":"[59]","plainCitation":"[59]","noteIndex":0},"citationItems":[{"id":1013,"uris":["http://zotero.org/users/12998224/items/WKWLWGKZ"],"itemData":{"id":1013,"type":"article-journal","abstract":"A rapid turnaround is a prerequisite of therapeutic drug monitoring (TDM). For antifungals, this need is still unmet, since hardly any method has been established to simultaneously quantitate concentrations of different antifungal classes. A liquid chromatography-tandem mass spectrometry (LC-MS/MS) method was developed allowing quantitation of anidulafungin (ANF), caspofungin (CSF), isavuconazole (ISC), micafungin (MCF), posaconazole (PSC), and voriconazole (VRC). Quantitation was successful with diluted plasma samples, peripheral blood mononuclear cells (PBMC), polymorphonuclear leukocytes (PMN), and erythrocytes (RBC). A triple quadrupole mass spectrometer in selected reaction monitoring mode was used with positive electrospray ionization. Cells and calibration standards were extracted with acetonitrile containing internal standard. Internal standards were a CSF derivate for echinocandins and itraconazole for triazoles. Chromatographic separation of the supernatant was achieved by a gradient method facilitating a BetaBasic C4 column. Analytes were quantified in a single 8-min run. Calibration curves were linear and fitted using least squares with a weighting factor of the reciprocal concentration. Limits of detection (ng/ml) were ANF, 8.3; CSF, 31.5; ISC, 1.5; MCF, 97.7; PSC, 3.3; and VRC, 1.4. The lower limits of quantitation (ng/ml) were ANF, 64; CSF, 108; ISC, 4.5; MCF, 160; PSC, 10; and VRC, 4.2. Intraday precisions ranged from 6.3% to 8.8% for azoles and 8.8% to 15.4% for echinocandins. Intraday and interday accuracies (percent bias) of all analytes were within 13.8%. The method was established as standard practice for the quantitation of intracellular antifungal concentrations and optimizes TDM by applying a rapid single method for 6 antifungals.","container-title":"Antimicrobial Agents and Chemotherapy","DOI":"10.1128/AAC.01276-09","ISSN":"0066-4804","issue":"5","journalAbbreviation":"Antimicrob Agents Chemother","note":"PMID: 20176892\nPMCID: PMC2863689","page":"1815-1819","source":"PubMed Central","title":"Quantitation of Azoles and Echinocandins in Compartments of Peripheral Blood by Liquid Chromatography-Tandem Mass Spectrometry","volume":"54","author":[{"family":"Farowski","given":"Fedja"},{"family":"Cornely","given":"Oliver A."},{"family":"Vehreschild","given":"Jörg J."},{"family":"Hartmann","given":"Pia"},{"family":"Bauer","given":"Tim"},{"family":"Steinbach","given":"Angela"},{"family":"Rüping","given":"Maria J. G. T."},{"family":"Müller","given":"Carsten"}],"issued":{"date-parts":[["2010",5]]}}}],"schema":"https://github.com/citation-style-language/schema/raw/master/csl-citation.json"} </w:instrText>
            </w:r>
            <w:r>
              <w:rPr>
                <w:rFonts w:ascii="Times New Roman" w:eastAsia="Times New Roman" w:hAnsi="Times New Roman" w:cs="Times New Roman"/>
                <w:sz w:val="20"/>
                <w:szCs w:val="20"/>
              </w:rPr>
              <w:fldChar w:fldCharType="separate"/>
            </w:r>
            <w:r w:rsidRPr="00204A0D">
              <w:rPr>
                <w:rFonts w:ascii="Times New Roman" w:hAnsi="Times New Roman" w:cs="Times New Roman"/>
                <w:sz w:val="20"/>
              </w:rPr>
              <w:t>[59]</w:t>
            </w:r>
            <w:r>
              <w:rPr>
                <w:rFonts w:ascii="Times New Roman" w:eastAsia="Times New Roman" w:hAnsi="Times New Roman" w:cs="Times New Roman"/>
                <w:sz w:val="20"/>
                <w:szCs w:val="20"/>
              </w:rPr>
              <w:fldChar w:fldCharType="end"/>
            </w:r>
          </w:p>
        </w:tc>
      </w:tr>
      <w:tr w:rsidR="00CF00F8" w14:paraId="7D47831A" w14:textId="77777777">
        <w:tc>
          <w:tcPr>
            <w:tcW w:w="1155" w:type="dxa"/>
            <w:shd w:val="clear" w:color="auto" w:fill="auto"/>
            <w:tcMar>
              <w:top w:w="100" w:type="dxa"/>
              <w:left w:w="100" w:type="dxa"/>
              <w:bottom w:w="100" w:type="dxa"/>
              <w:right w:w="100" w:type="dxa"/>
            </w:tcMar>
          </w:tcPr>
          <w:p w14:paraId="793C1AD0"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3335" w:type="dxa"/>
            <w:shd w:val="clear" w:color="auto" w:fill="auto"/>
            <w:tcMar>
              <w:top w:w="100" w:type="dxa"/>
              <w:left w:w="100" w:type="dxa"/>
              <w:bottom w:w="100" w:type="dxa"/>
              <w:right w:w="100" w:type="dxa"/>
            </w:tcMar>
          </w:tcPr>
          <w:p w14:paraId="11DDA6D6"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Anidulafungin, </w:t>
            </w:r>
            <w:proofErr w:type="spellStart"/>
            <w:r>
              <w:rPr>
                <w:rFonts w:ascii="Times New Roman" w:eastAsia="Times New Roman" w:hAnsi="Times New Roman" w:cs="Times New Roman"/>
                <w:sz w:val="20"/>
                <w:szCs w:val="20"/>
              </w:rPr>
              <w:t>Caspofungin</w:t>
            </w:r>
            <w:proofErr w:type="spellEnd"/>
            <w:r>
              <w:rPr>
                <w:rFonts w:ascii="Times New Roman" w:eastAsia="Times New Roman" w:hAnsi="Times New Roman" w:cs="Times New Roman"/>
                <w:sz w:val="20"/>
                <w:szCs w:val="20"/>
              </w:rPr>
              <w:t>, Fluconazole, Hydroxyitraconazole , Itraconazole, Posaconazole, Voriconazole, Voriconazole-N-oxide</w:t>
            </w:r>
          </w:p>
        </w:tc>
        <w:tc>
          <w:tcPr>
            <w:tcW w:w="1710" w:type="dxa"/>
            <w:shd w:val="clear" w:color="auto" w:fill="auto"/>
            <w:tcMar>
              <w:top w:w="100" w:type="dxa"/>
              <w:left w:w="100" w:type="dxa"/>
              <w:bottom w:w="100" w:type="dxa"/>
              <w:right w:w="100" w:type="dxa"/>
            </w:tcMar>
          </w:tcPr>
          <w:p w14:paraId="7F560A39"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-MS/MS</w:t>
            </w:r>
          </w:p>
        </w:tc>
        <w:tc>
          <w:tcPr>
            <w:tcW w:w="2160" w:type="dxa"/>
            <w:shd w:val="clear" w:color="auto" w:fill="auto"/>
            <w:tcMar>
              <w:top w:w="100" w:type="dxa"/>
              <w:left w:w="100" w:type="dxa"/>
              <w:bottom w:w="100" w:type="dxa"/>
              <w:right w:w="100" w:type="dxa"/>
            </w:tcMar>
          </w:tcPr>
          <w:p w14:paraId="22D32C89"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mins</w:t>
            </w:r>
          </w:p>
        </w:tc>
        <w:tc>
          <w:tcPr>
            <w:tcW w:w="1330" w:type="dxa"/>
          </w:tcPr>
          <w:p w14:paraId="1A60591E" w14:textId="1AA25FBA" w:rsidR="00CF00F8" w:rsidRDefault="00204A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{"citationID":"PRcgVqWg","properties":{"formattedCitation":"[60]","plainCitation":"[60]","noteIndex":0},"citationItems":[{"id":1016,"uris":["http://zotero.org/users/12998224/items/VIATX3WT"],"itemData":{"id":1016,"type":"article-journal","abstract":"Therapeutic drug monitoring (TDM) may contribute to optimizing the efficacy and safety of antifungal therapy because of the large variability in drug pharmacokinetics. Rapid, sensitive, and selective laboratory methods are needed for efficient TDM. Quantification of several antifungals in a single analytical run may best fulfill these requirements. We therefore developed a multiplex ultra-performance liquid chromatography-tandem mass spectrometry (UPLC-MS/MS) method requiring 100 μl of plasma for simultaneous quantification within 7 min of fluconazole, itraconazole, hydroxyitraconazole, posaconazole, voriconazole, voriconazole-N-oxide, caspofungin, and anidulafungin. Protein precipitation with acetonitrile was used in a single extraction procedure for eight analytes. After reverse-phase chromatographic separation, antifungals were quantified by electrospray ionization-triple-quadrupole mass spectrometry by selected reaction monitoring detection using the positive mode. Deuterated isotopic compounds of azole antifungals were used as internal standards. The method was validated based on FDA recommendations, including assessment of extraction yields, matrix effect variability (&lt;9.2%), and analytical recovery (80.1 to 107%). The method is sensitive (lower limits of azole quantification, 0.01 to 0.1 μg/ml; those of echinocandin quantification, 0.06 to 0.1 μg/ml), accurate (intra- and interassay biases of −9.9 to +5% and −4.0 to +8.8%, respectively), and precise (intra- and interassay coefficients of variation of 1.2 to 11.1% and 1.2 to 8.9%, respectively) over clinical concentration ranges (upper limits of quantification, 5 to 50 μg/ml). Thus, we developed a simple, rapid, and robust multiplex UPLC-MS/MS assay for simultaneous quantification of plasma concentrations of six antifungals and two metabolites. This offers, by optimized and cost-effective lab resource utilization, an efficient tool for daily routine TDM aimed at maximizing the real-time efficacy and safety of different recommended single-drug antifungal regimens and combination salvage therapies, as well as a tool for clinical research.","container-title":"Antimicrobial Agents and Chemotherapy","DOI":"10.1128/AAC.00404-10","ISSN":"0066-4804","issue":"12","journalAbbreviation":"Antimicrob Agents Chemother","note":"PMID: 20855739\nPMCID: PMC2981284","page":"5303-5315","source":"PubMed Central","title":"Multiplex Ultra-Performance Liquid Chromatography-Tandem Mass Spectrometry Method for Simultaneous Quantification in Human Plasma of Fluconazole, Itraconazole, Hydroxyitraconazole, Posaconazole, Voriconazole, Voriconazole-N-Oxide, Anidulafungin, and Caspofungin","volume":"54","author":[{"family":"Decosterd","given":"Laurent Arthur"},{"family":"Rochat","given":"Bertrand"},{"family":"Pesse","given":"Benoît"},{"family":"Mercier","given":"Thomas"},{"family":"Tissot","given":"Frédéric"},{"family":"Widmer","given":"Nicolas"},{"family":"Bille","given":"Jacques"},{"family":"Calandra","given":"Thierry"},{"family":"Zanolari","given":"Boris"},{"family":"Marchetti","given":"Oscar"}],"issued":{"date-parts":[["2010",12]]}}}],"schema":"https://github.com/citation-style-language/schema/raw/master/csl-citation.json"} </w:instrText>
            </w:r>
            <w:r>
              <w:rPr>
                <w:rFonts w:ascii="Times New Roman" w:eastAsia="Times New Roman" w:hAnsi="Times New Roman" w:cs="Times New Roman"/>
                <w:sz w:val="20"/>
                <w:szCs w:val="20"/>
              </w:rPr>
              <w:fldChar w:fldCharType="separate"/>
            </w:r>
            <w:r w:rsidRPr="00204A0D">
              <w:rPr>
                <w:rFonts w:ascii="Times New Roman" w:hAnsi="Times New Roman" w:cs="Times New Roman"/>
                <w:sz w:val="20"/>
              </w:rPr>
              <w:t>[60]</w:t>
            </w:r>
            <w:r>
              <w:rPr>
                <w:rFonts w:ascii="Times New Roman" w:eastAsia="Times New Roman" w:hAnsi="Times New Roman" w:cs="Times New Roman"/>
                <w:sz w:val="20"/>
                <w:szCs w:val="20"/>
              </w:rPr>
              <w:fldChar w:fldCharType="end"/>
            </w:r>
          </w:p>
        </w:tc>
      </w:tr>
      <w:tr w:rsidR="00CF00F8" w14:paraId="79AF662F" w14:textId="77777777">
        <w:tc>
          <w:tcPr>
            <w:tcW w:w="1155" w:type="dxa"/>
            <w:shd w:val="clear" w:color="auto" w:fill="auto"/>
            <w:tcMar>
              <w:top w:w="100" w:type="dxa"/>
              <w:left w:w="100" w:type="dxa"/>
              <w:bottom w:w="100" w:type="dxa"/>
              <w:right w:w="100" w:type="dxa"/>
            </w:tcMar>
          </w:tcPr>
          <w:p w14:paraId="3B7D66E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3335" w:type="dxa"/>
            <w:shd w:val="clear" w:color="auto" w:fill="auto"/>
            <w:tcMar>
              <w:top w:w="100" w:type="dxa"/>
              <w:left w:w="100" w:type="dxa"/>
              <w:bottom w:w="100" w:type="dxa"/>
              <w:right w:w="100" w:type="dxa"/>
            </w:tcMar>
          </w:tcPr>
          <w:p w14:paraId="54E2238E"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Fluconazole, Itraconazole, Posaconazole, Voriconazole</w:t>
            </w:r>
          </w:p>
        </w:tc>
        <w:tc>
          <w:tcPr>
            <w:tcW w:w="1710" w:type="dxa"/>
            <w:shd w:val="clear" w:color="auto" w:fill="auto"/>
            <w:tcMar>
              <w:top w:w="100" w:type="dxa"/>
              <w:left w:w="100" w:type="dxa"/>
              <w:bottom w:w="100" w:type="dxa"/>
              <w:right w:w="100" w:type="dxa"/>
            </w:tcMar>
          </w:tcPr>
          <w:p w14:paraId="027AE4CB"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HPLC-MS/MS</w:t>
            </w:r>
          </w:p>
        </w:tc>
        <w:tc>
          <w:tcPr>
            <w:tcW w:w="2160" w:type="dxa"/>
            <w:shd w:val="clear" w:color="auto" w:fill="auto"/>
            <w:tcMar>
              <w:top w:w="100" w:type="dxa"/>
              <w:left w:w="100" w:type="dxa"/>
              <w:bottom w:w="100" w:type="dxa"/>
              <w:right w:w="100" w:type="dxa"/>
            </w:tcMar>
          </w:tcPr>
          <w:p w14:paraId="3FA7E9EE" w14:textId="77777777" w:rsidR="00CF00F8"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mins</w:t>
            </w:r>
          </w:p>
        </w:tc>
        <w:tc>
          <w:tcPr>
            <w:tcW w:w="1330" w:type="dxa"/>
          </w:tcPr>
          <w:p w14:paraId="27C6336B" w14:textId="7107DF99" w:rsidR="00CF00F8" w:rsidRDefault="00204A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{"citationID":"jwxNMTon","properties":{"formattedCitation":"[61]","plainCitation":"[61]","noteIndex":0},"citationItems":[{"id":1003,"uris":["http://zotero.org/users/12998224/items/3YEH55ZF"],"itemData":{"id":1003,"type":"article-journal","abstract":"To achieve therapeutic efficacy and prevent toxicity simultaneously, therapeutic drug monitoring has been increasingly adopted for antifungal agents with narrow therapeutic indexes. We herein report the development and validation of an accurate, simple, fast, and cost-effective clinical test with high-performance LC-MS/MS to simultaneously quantify voriconazole, posaconazole, fluconazole, and itraconazole in human serum.Mixed with extraction solution and internal standard, 100 μL serum samples were centrifuged for protein precipitation. Diluted supernatant was injected onto a Phenomenex® Luna C8 (2) 50 × 2 mm (3 μm) column and was analyzed with a Prominence Shimadzu high-performance liquid chromatography (HPLC) system coupled with a SCIEX QTRAP 4000 mass spectrometer in a positive ionization mode with multiple reaction monitoring. The total analytical run time was 3 min.The assay is linear for voricoanzole (0.01–10 μg/mL), posaconazole (0.02–40 μg/mL), fluconazole (0.2–200 μg/mL), and itraconazole (0.02–20 μg/mL). The intraday CVs ranged from 1.9% to 3.8% (n = 20); the interday CVs ranged from 2.7% to 5.4% (n = 20). Method comparison study (n = 39 or 40) demonstrated good correlation with reference laboratories (R &amp;gt;0.99) with average biases ranging from −7.2% to 17.5%. The recoveries for each analyte were above 90%, and matrix effects ranged from 95% to 112%.The method is acceptable for routine therapeutic drug monitoring of these antifungal agents in clinical laboratories for better therapeutic outcome.","container-title":"The Journal of Applied Laboratory Medicine","DOI":"10.1373/jalm.2016.022756","ISSN":"2576-9456","issue":"6","journalAbbreviation":"The Journal of Applied Laboratory Medicine","page":"626-636","source":"Silverchair","title":"A Rapid High-Performance LC-MS/MS Method for Therapeutic Drug Monitoring of Voriconazole, Posaconazole, Fluconazole, and Itraconazole in Human Serum","volume":"1","author":[{"family":"Xiao","given":"Yi"},{"family":"Xu","given":"Yan-Kang"},{"family":"Pattengale","given":"Paul"},{"family":"O'Gorman","given":"Maurice R"},{"family":"Fu","given":"Xiaowei"}],"issued":{"date-parts":[["2017",5,1]]}}}],"schema":"https://github.com/citation-style-language/schema/raw/master/csl-citation.json"} </w:instrText>
            </w:r>
            <w:r>
              <w:rPr>
                <w:rFonts w:ascii="Times New Roman" w:eastAsia="Times New Roman" w:hAnsi="Times New Roman" w:cs="Times New Roman"/>
                <w:sz w:val="20"/>
                <w:szCs w:val="20"/>
              </w:rPr>
              <w:fldChar w:fldCharType="separate"/>
            </w:r>
            <w:r w:rsidRPr="00204A0D">
              <w:rPr>
                <w:rFonts w:ascii="Times New Roman" w:hAnsi="Times New Roman" w:cs="Times New Roman"/>
                <w:sz w:val="20"/>
              </w:rPr>
              <w:t>[61]</w:t>
            </w:r>
            <w:r>
              <w:rPr>
                <w:rFonts w:ascii="Times New Roman" w:eastAsia="Times New Roman" w:hAnsi="Times New Roman" w:cs="Times New Roman"/>
                <w:sz w:val="20"/>
                <w:szCs w:val="20"/>
              </w:rPr>
              <w:fldChar w:fldCharType="end"/>
            </w:r>
          </w:p>
        </w:tc>
      </w:tr>
    </w:tbl>
    <w:p w14:paraId="58F022DE" w14:textId="77777777" w:rsidR="00CF00F8" w:rsidRDefault="00CF00F8">
      <w:pPr>
        <w:spacing w:line="240" w:lineRule="auto"/>
        <w:jc w:val="center"/>
        <w:rPr>
          <w:rFonts w:ascii="Times New Roman" w:eastAsia="Times New Roman" w:hAnsi="Times New Roman" w:cs="Times New Roman"/>
          <w:b/>
          <w:sz w:val="20"/>
          <w:szCs w:val="20"/>
        </w:rPr>
      </w:pPr>
    </w:p>
    <w:p w14:paraId="0F7679FD"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application of MS in TDM for antifungal agents has undergone significant advancements, particularly in reducing analytical runtime and enhancing multiplexing capabilities. These developments have positioned MS as a cornerstone technology in clinical practice, enabling precise and efficient quantification of antifungals critical for optimizing therapy and preventing toxicity. Over the years, studies have demonstrated the ability of MS to measure an increasing number of antifungal agents in a single run while significantly decreasing runtime, showcasing its evolution into a highly efficient tool for routine clinical applications.</w:t>
      </w:r>
    </w:p>
    <w:p w14:paraId="4F32A27F" w14:textId="7CCFA335"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year 2010 marked a significant milestone in antifungal TDM, with multiple studies illustrating the utility of MS for this purpose. Baietto et al. developed and validated a HPLC-MS method for the simultaneous quantification of itraconazole, posaconazole, and voriconazole in human plasma. This method, with an analytical runtime of 13 minutes, demonstrated high accuracy and recovery rates, meeting FDA guidelines and ISO standards. Its successful application in clinical settings and international interlaboratory quality control programs underscored its reliability for routine TDM and pharmacokinetic studies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{"citationID":"MAB0Wcgk","properties":{"formattedCitation":"[58]","plainCitation":"[58]","noteIndex":0},"citationItems":[{"id":1010,"uris":["http://zotero.org/users/12998224/items/NGXKIZ3P"],"itemData":{"id":1010,"type":"article-journal","abstract":"We have developed and validated a high-performance liquid chromatography method coupled with a mass detector to quantify itraconazole, voriconazole, and posaconazole using quinoxaline as the internal standard. The method involves protein precipitation with acetonitrile. Mean accuracy (percent deviation from the true value) and precision (relative standard deviation percentage) were less than 15%. Mean recovery was more than 80% for all drugs quantified. The lower limit of quantification was 0.031 μg/ml for itraconazole and posaconazole and 0.039 μg/ml for voriconazole. The calibration range tested was from 0.031 to 8 μg/ml for itraconazole and posaconazole and from 0.039 to 10 μg/ml for voriconazole.","container-title":"Antimicrobial Agents and Chemotherapy","DOI":"10.1128/AAC.01807-09","ISSN":"0066-4804","issue":"8","journalAbbreviation":"Antimicrob Agents Chemother","note":"PMID: 20530230\nPMCID: PMC2916319","page":"3408-3413","source":"PubMed Central","title":"Development, Validation, and Routine Application of a High-Performance Liquid Chromatography Method Coupled with a Single Mass Detector for Quantification of Itraconazole, Voriconazole, and Posaconazole in Human Plasma","volume":"54","author":[{"family":"Baietto","given":"Lorena"},{"family":"D'Avolio","given":"Antonio"},{"family":"Ventimiglia","given":"Giusi"},{"family":"De Rosa","given":"Francesco Giuseppe"},{"family":"Siccardi","given":"Marco"},{"family":"Simiele","given":"Marco"},{"family":"Sciandra","given":"Mauro"},{"family":"Di Perri","given":"Giovanni"}],"issued":{"date-parts":[["2010",8]]}}}],"schema":"https://github.com/citation-style-language/schema/raw/master/csl-citation.json"}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[58]</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w:t>
      </w:r>
      <w:r w:rsidR="008951DE">
        <w:rPr>
          <w:rFonts w:ascii="Times New Roman" w:eastAsia="Times New Roman" w:hAnsi="Times New Roman" w:cs="Times New Roman"/>
          <w:sz w:val="20"/>
          <w:szCs w:val="20"/>
        </w:rPr>
        <w:t>e results</w:t>
      </w:r>
      <w:r>
        <w:rPr>
          <w:rFonts w:ascii="Times New Roman" w:eastAsia="Times New Roman" w:hAnsi="Times New Roman" w:cs="Times New Roman"/>
          <w:sz w:val="20"/>
          <w:szCs w:val="20"/>
        </w:rPr>
        <w:t xml:space="preserve"> represented an important step toward incorporating MS into clinical antifungal monitoring</w:t>
      </w:r>
      <w:r w:rsidR="008951DE">
        <w:rPr>
          <w:rFonts w:ascii="Times New Roman" w:eastAsia="Times New Roman" w:hAnsi="Times New Roman" w:cs="Times New Roman"/>
          <w:sz w:val="20"/>
          <w:szCs w:val="20"/>
        </w:rPr>
        <w:t xml:space="preserve"> </w:t>
      </w:r>
      <w:r w:rsidR="008951DE">
        <w:rPr>
          <w:rFonts w:ascii="Times New Roman" w:eastAsia="Times New Roman" w:hAnsi="Times New Roman" w:cs="Times New Roman"/>
          <w:sz w:val="20"/>
          <w:szCs w:val="20"/>
        </w:rPr>
        <w:fldChar w:fldCharType="begin"/>
      </w:r>
      <w:r w:rsidR="008951DE">
        <w:rPr>
          <w:rFonts w:ascii="Times New Roman" w:eastAsia="Times New Roman" w:hAnsi="Times New Roman" w:cs="Times New Roman"/>
          <w:sz w:val="20"/>
          <w:szCs w:val="20"/>
        </w:rPr>
        <w:instrText xml:space="preserve"> ADDIN ZOTERO_ITEM CSL_CITATION {"citationID":"MAB0Wcgk","properties":{"formattedCitation":"[58]","plainCitation":"[58]","noteIndex":0},"citationItems":[{"id":1010,"uris":["http://zotero.org/users/12998224/items/NGXKIZ3P"],"itemData":{"id":1010,"type":"article-journal","abstract":"We have developed and validated a high-performance liquid chromatography method coupled with a mass detector to quantify itraconazole, voriconazole, and posaconazole using quinoxaline as the internal standard. The method involves protein precipitation with acetonitrile. Mean accuracy (percent deviation from the true value) and precision (relative standard deviation percentage) were less than 15%. Mean recovery was more than 80% for all drugs quantified. The lower limit of quantification was 0.031 μg/ml for itraconazole and posaconazole and 0.039 μg/ml for voriconazole. The calibration range tested was from 0.031 to 8 μg/ml for itraconazole and posaconazole and from 0.039 to 10 μg/ml for voriconazole.","container-title":"Antimicrobial Agents and Chemotherapy","DOI":"10.1128/AAC.01807-09","ISSN":"0066-4804","issue":"8","journalAbbreviation":"Antimicrob Agents Chemother","note":"PMID: 20530230\nPMCID: PMC2916319","page":"3408-3413","source":"PubMed Central","title":"Development, Validation, and Routine Application of a High-Performance Liquid Chromatography Method Coupled with a Single Mass Detector for Quantification of Itraconazole, Voriconazole, and Posaconazole in Human Plasma","volume":"54","author":[{"family":"Baietto","given":"Lorena"},{"family":"D'Avolio","given":"Antonio"},{"family":"Ventimiglia","given":"Giusi"},{"family":"De Rosa","given":"Francesco Giuseppe"},{"family":"Siccardi","given":"Marco"},{"family":"Simiele","given":"Marco"},{"family":"Sciandra","given":"Mauro"},{"family":"Di Perri","given":"Giovanni"}],"issued":{"date-parts":[["2010",8]]}}}],"schema":"https://github.com/citation-style-language/schema/raw/master/csl-citation.json"} </w:instrText>
      </w:r>
      <w:r w:rsidR="008951DE">
        <w:rPr>
          <w:rFonts w:ascii="Times New Roman" w:eastAsia="Times New Roman" w:hAnsi="Times New Roman" w:cs="Times New Roman"/>
          <w:sz w:val="20"/>
          <w:szCs w:val="20"/>
        </w:rPr>
        <w:fldChar w:fldCharType="separate"/>
      </w:r>
      <w:r w:rsidR="008951DE" w:rsidRPr="00336519">
        <w:rPr>
          <w:rFonts w:ascii="Times New Roman" w:hAnsi="Times New Roman" w:cs="Times New Roman"/>
          <w:sz w:val="20"/>
        </w:rPr>
        <w:t>[58]</w:t>
      </w:r>
      <w:r w:rsidR="008951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Later that year, </w:t>
      </w:r>
      <w:proofErr w:type="spellStart"/>
      <w:r>
        <w:rPr>
          <w:rFonts w:ascii="Times New Roman" w:eastAsia="Times New Roman" w:hAnsi="Times New Roman" w:cs="Times New Roman"/>
          <w:sz w:val="20"/>
          <w:szCs w:val="20"/>
        </w:rPr>
        <w:t>Farowski</w:t>
      </w:r>
      <w:proofErr w:type="spellEnd"/>
      <w:r>
        <w:rPr>
          <w:rFonts w:ascii="Times New Roman" w:eastAsia="Times New Roman" w:hAnsi="Times New Roman" w:cs="Times New Roman"/>
          <w:sz w:val="20"/>
          <w:szCs w:val="20"/>
        </w:rPr>
        <w:t xml:space="preserve"> et al. expanded on this progress by introducing a </w:t>
      </w:r>
      <w:r>
        <w:rPr>
          <w:rFonts w:ascii="Times New Roman" w:eastAsia="Times New Roman" w:hAnsi="Times New Roman" w:cs="Times New Roman"/>
          <w:sz w:val="20"/>
          <w:szCs w:val="20"/>
        </w:rPr>
        <w:lastRenderedPageBreak/>
        <w:t xml:space="preserve">LC-MS/MS method capable of simultaneously quantifying six antifungal agents across various biological compartments, including plasma, erythrocytes, and leukocytes. </w:t>
      </w:r>
      <w:r w:rsidR="008951DE">
        <w:rPr>
          <w:rFonts w:ascii="Times New Roman" w:eastAsia="Times New Roman" w:hAnsi="Times New Roman" w:cs="Times New Roman"/>
          <w:sz w:val="20"/>
          <w:szCs w:val="20"/>
        </w:rPr>
        <w:t xml:space="preserve">The antifungals </w:t>
      </w:r>
      <w:r>
        <w:rPr>
          <w:rFonts w:ascii="Times New Roman" w:eastAsia="Times New Roman" w:hAnsi="Times New Roman" w:cs="Times New Roman"/>
          <w:sz w:val="20"/>
          <w:szCs w:val="20"/>
        </w:rPr>
        <w:t xml:space="preserve">included triazoles, such as posaconazole and voriconazole, and echinocandins, such as </w:t>
      </w:r>
      <w:proofErr w:type="spellStart"/>
      <w:r>
        <w:rPr>
          <w:rFonts w:ascii="Times New Roman" w:eastAsia="Times New Roman" w:hAnsi="Times New Roman" w:cs="Times New Roman"/>
          <w:sz w:val="20"/>
          <w:szCs w:val="20"/>
        </w:rPr>
        <w:t>caspofungin</w:t>
      </w:r>
      <w:proofErr w:type="spellEnd"/>
      <w:r>
        <w:rPr>
          <w:rFonts w:ascii="Times New Roman" w:eastAsia="Times New Roman" w:hAnsi="Times New Roman" w:cs="Times New Roman"/>
          <w:sz w:val="20"/>
          <w:szCs w:val="20"/>
        </w:rPr>
        <w:t xml:space="preserve"> and anidulafungin. The method achieved a significantly shorter runtime of 8 minutes while maintaining high precision and sensitivity. By enabling intracellular quantification of antifungal concentrations, the study addressed an unmet clinical need and further demonstrated the capability of MS to streamline antifungal TDM in diverse contexts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{"citationID":"QipWifEc","properties":{"formattedCitation":"[59]","plainCitation":"[59]","noteIndex":0},"citationItems":[{"id":1013,"uris":["http://zotero.org/users/12998224/items/WKWLWGKZ"],"itemData":{"id":1013,"type":"article-journal","abstract":"A rapid turnaround is a prerequisite of therapeutic drug monitoring (TDM). For antifungals, this need is still unmet, since hardly any method has been established to simultaneously quantitate concentrations of different antifungal classes. A liquid chromatography-tandem mass spectrometry (LC-MS/MS) method was developed allowing quantitation of anidulafungin (ANF), caspofungin (CSF), isavuconazole (ISC), micafungin (MCF), posaconazole (PSC), and voriconazole (VRC). Quantitation was successful with diluted plasma samples, peripheral blood mononuclear cells (PBMC), polymorphonuclear leukocytes (PMN), and erythrocytes (RBC). A triple quadrupole mass spectrometer in selected reaction monitoring mode was used with positive electrospray ionization. Cells and calibration standards were extracted with acetonitrile containing internal standard. Internal standards were a CSF derivate for echinocandins and itraconazole for triazoles. Chromatographic separation of the supernatant was achieved by a gradient method facilitating a BetaBasic C4 column. Analytes were quantified in a single 8-min run. Calibration curves were linear and fitted using least squares with a weighting factor of the reciprocal concentration. Limits of detection (ng/ml) were ANF, 8.3; CSF, 31.5; ISC, 1.5; MCF, 97.7; PSC, 3.3; and VRC, 1.4. The lower limits of quantitation (ng/ml) were ANF, 64; CSF, 108; ISC, 4.5; MCF, 160; PSC, 10; and VRC, 4.2. Intraday precisions ranged from 6.3% to 8.8% for azoles and 8.8% to 15.4% for echinocandins. Intraday and interday accuracies (percent bias) of all analytes were within 13.8%. The method was established as standard practice for the quantitation of intracellular antifungal concentrations and optimizes TDM by applying a rapid single method for 6 antifungals.","container-title":"Antimicrobial Agents and Chemotherapy","DOI":"10.1128/AAC.01276-09","ISSN":"0066-4804","issue":"5","journalAbbreviation":"Antimicrob Agents Chemother","note":"PMID: 20176892\nPMCID: PMC2863689","page":"1815-1819","source":"PubMed Central","title":"Quantitation of Azoles and Echinocandins in Compartments of Peripheral Blood by Liquid Chromatography-Tandem Mass Spectrometry","volume":"54","author":[{"family":"Farowski","given":"Fedja"},{"family":"Cornely","given":"Oliver A."},{"family":"Vehreschild","given":"Jörg J."},{"family":"Hartmann","given":"Pia"},{"family":"Bauer","given":"Tim"},{"family":"Steinbach","given":"Angela"},{"family":"Rüping","given":"Maria J. G. T."},{"family":"Müller","given":"Carsten"}],"issued":{"date-parts":[["2010",5]]}}}],"schema":"https://github.com/citation-style-language/schema/raw/master/csl-citation.json"}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[59]</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Another pivotal study in 2010 was conducted by </w:t>
      </w:r>
      <w:proofErr w:type="spellStart"/>
      <w:r>
        <w:rPr>
          <w:rFonts w:ascii="Times New Roman" w:eastAsia="Times New Roman" w:hAnsi="Times New Roman" w:cs="Times New Roman"/>
          <w:sz w:val="20"/>
          <w:szCs w:val="20"/>
        </w:rPr>
        <w:t>Decosterd</w:t>
      </w:r>
      <w:proofErr w:type="spellEnd"/>
      <w:r>
        <w:rPr>
          <w:rFonts w:ascii="Times New Roman" w:eastAsia="Times New Roman" w:hAnsi="Times New Roman" w:cs="Times New Roman"/>
          <w:sz w:val="20"/>
          <w:szCs w:val="20"/>
        </w:rPr>
        <w:t xml:space="preserve"> et al., who developed a multiplex </w:t>
      </w:r>
      <w:proofErr w:type="spellStart"/>
      <w:r>
        <w:rPr>
          <w:rFonts w:ascii="Times New Roman" w:eastAsia="Times New Roman" w:hAnsi="Times New Roman" w:cs="Times New Roman"/>
          <w:sz w:val="20"/>
          <w:szCs w:val="20"/>
        </w:rPr>
        <w:t>UPLC</w:t>
      </w:r>
      <w:proofErr w:type="spellEnd"/>
      <w:r>
        <w:rPr>
          <w:rFonts w:ascii="Times New Roman" w:eastAsia="Times New Roman" w:hAnsi="Times New Roman" w:cs="Times New Roman"/>
          <w:sz w:val="20"/>
          <w:szCs w:val="20"/>
        </w:rPr>
        <w:t>-MS/MS method for simultaneous quantification of eight antifungal agents, including fluconazole, hydroxyitraconazole, and voriconazole-N-oxide</w:t>
      </w:r>
      <w:r w:rsidR="008951DE">
        <w:rPr>
          <w:rFonts w:ascii="Times New Roman" w:eastAsia="Times New Roman" w:hAnsi="Times New Roman" w:cs="Times New Roman"/>
          <w:sz w:val="20"/>
          <w:szCs w:val="20"/>
        </w:rPr>
        <w:t xml:space="preserve"> </w:t>
      </w:r>
      <w:r w:rsidR="008951DE">
        <w:rPr>
          <w:rFonts w:ascii="Times New Roman" w:eastAsia="Times New Roman" w:hAnsi="Times New Roman" w:cs="Times New Roman"/>
          <w:sz w:val="20"/>
          <w:szCs w:val="20"/>
        </w:rPr>
        <w:fldChar w:fldCharType="begin"/>
      </w:r>
      <w:r w:rsidR="008951DE">
        <w:rPr>
          <w:rFonts w:ascii="Times New Roman" w:eastAsia="Times New Roman" w:hAnsi="Times New Roman" w:cs="Times New Roman"/>
          <w:sz w:val="20"/>
          <w:szCs w:val="20"/>
        </w:rPr>
        <w:instrText xml:space="preserve"> ADDIN ZOTERO_ITEM CSL_CITATION {"citationID":"kdbgEIFE","properties":{"formattedCitation":"[60]","plainCitation":"[60]","noteIndex":0},"citationItems":[{"id":1016,"uris":["http://zotero.org/users/12998224/items/VIATX3WT"],"itemData":{"id":1016,"type":"article-journal","abstract":"Therapeutic drug monitoring (TDM) may contribute to optimizing the efficacy and safety of antifungal therapy because of the large variability in drug pharmacokinetics. Rapid, sensitive, and selective laboratory methods are needed for efficient TDM. Quantification of several antifungals in a single analytical run may best fulfill these requirements. We therefore developed a multiplex ultra-performance liquid chromatography-tandem mass spectrometry (UPLC-MS/MS) method requiring 100 μl of plasma for simultaneous quantification within 7 min of fluconazole, itraconazole, hydroxyitraconazole, posaconazole, voriconazole, voriconazole-N-oxide, caspofungin, and anidulafungin. Protein precipitation with acetonitrile was used in a single extraction procedure for eight analytes. After reverse-phase chromatographic separation, antifungals were quantified by electrospray ionization-triple-quadrupole mass spectrometry by selected reaction monitoring detection using the positive mode. Deuterated isotopic compounds of azole antifungals were used as internal standards. The method was validated based on FDA recommendations, including assessment of extraction yields, matrix effect variability (&lt;9.2%), and analytical recovery (80.1 to 107%). The method is sensitive (lower limits of azole quantification, 0.01 to 0.1 μg/ml; those of echinocandin quantification, 0.06 to 0.1 μg/ml), accurate (intra- and interassay biases of −9.9 to +5% and −4.0 to +8.8%, respectively), and precise (intra- and interassay coefficients of variation of 1.2 to 11.1% and 1.2 to 8.9%, respectively) over clinical concentration ranges (upper limits of quantification, 5 to 50 μg/ml). Thus, we developed a simple, rapid, and robust multiplex UPLC-MS/MS assay for simultaneous quantification of plasma concentrations of six antifungals and two metabolites. This offers, by optimized and cost-effective lab resource utilization, an efficient tool for daily routine TDM aimed at maximizing the real-time efficacy and safety of different recommended single-drug antifungal regimens and combination salvage therapies, as well as a tool for clinical research.","container-title":"Antimicrobial Agents and Chemotherapy","DOI":"10.1128/AAC.00404-10","ISSN":"0066-4804","issue":"12","journalAbbreviation":"Antimicrob Agents Chemother","note":"PMID: 20855739\nPMCID: PMC2981284","page":"5303-5315","source":"PubMed Central","title":"Multiplex Ultra-Performance Liquid Chromatography-Tandem Mass Spectrometry Method for Simultaneous Quantification in Human Plasma of Fluconazole, Itraconazole, Hydroxyitraconazole, Posaconazole, Voriconazole, Voriconazole-N-Oxide, Anidulafungin, and Caspofungin","volume":"54","author":[{"family":"Decosterd","given":"Laurent Arthur"},{"family":"Rochat","given":"Bertrand"},{"family":"Pesse","given":"Benoît"},{"family":"Mercier","given":"Thomas"},{"family":"Tissot","given":"Frédéric"},{"family":"Widmer","given":"Nicolas"},{"family":"Bille","given":"Jacques"},{"family":"Calandra","given":"Thierry"},{"family":"Zanolari","given":"Boris"},{"family":"Marchetti","given":"Oscar"}],"issued":{"date-parts":[["2010",12]]}}}],"schema":"https://github.com/citation-style-language/schema/raw/master/csl-citation.json"} </w:instrText>
      </w:r>
      <w:r w:rsidR="008951DE">
        <w:rPr>
          <w:rFonts w:ascii="Times New Roman" w:eastAsia="Times New Roman" w:hAnsi="Times New Roman" w:cs="Times New Roman"/>
          <w:sz w:val="20"/>
          <w:szCs w:val="20"/>
        </w:rPr>
        <w:fldChar w:fldCharType="separate"/>
      </w:r>
      <w:r w:rsidR="008951DE" w:rsidRPr="00336519">
        <w:rPr>
          <w:rFonts w:ascii="Times New Roman" w:hAnsi="Times New Roman" w:cs="Times New Roman"/>
          <w:sz w:val="20"/>
        </w:rPr>
        <w:t>[60]</w:t>
      </w:r>
      <w:r w:rsidR="008951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This method required only 100 </w:t>
      </w:r>
      <w:proofErr w:type="spellStart"/>
      <w:r>
        <w:rPr>
          <w:rFonts w:ascii="Times New Roman" w:eastAsia="Times New Roman" w:hAnsi="Times New Roman" w:cs="Times New Roman"/>
          <w:sz w:val="20"/>
          <w:szCs w:val="20"/>
        </w:rPr>
        <w:t>μL</w:t>
      </w:r>
      <w:proofErr w:type="spellEnd"/>
      <w:r>
        <w:rPr>
          <w:rFonts w:ascii="Times New Roman" w:eastAsia="Times New Roman" w:hAnsi="Times New Roman" w:cs="Times New Roman"/>
          <w:sz w:val="20"/>
          <w:szCs w:val="20"/>
        </w:rPr>
        <w:t xml:space="preserve"> of plasma and achieved a runtime of just 7 minutes, representing a significant improvement in both efficiency and throughput. The method’s high accuracy, minimal matrix effects, and robust performance over clinical concentration ranges demonstrated its suitability for daily routine TDM and clinical research applications, including combination antifungal therapies. </w:t>
      </w:r>
      <w:r w:rsidR="008951DE">
        <w:rPr>
          <w:rFonts w:ascii="Times New Roman" w:eastAsia="Times New Roman" w:hAnsi="Times New Roman" w:cs="Times New Roman"/>
          <w:sz w:val="20"/>
          <w:szCs w:val="20"/>
        </w:rPr>
        <w:t xml:space="preserve">The </w:t>
      </w:r>
      <w:r w:rsidR="008111B7">
        <w:rPr>
          <w:rFonts w:ascii="Times New Roman" w:eastAsia="Times New Roman" w:hAnsi="Times New Roman" w:cs="Times New Roman"/>
          <w:sz w:val="20"/>
          <w:szCs w:val="20"/>
        </w:rPr>
        <w:t>achievements</w:t>
      </w:r>
      <w:r>
        <w:rPr>
          <w:rFonts w:ascii="Times New Roman" w:eastAsia="Times New Roman" w:hAnsi="Times New Roman" w:cs="Times New Roman"/>
          <w:sz w:val="20"/>
          <w:szCs w:val="20"/>
        </w:rPr>
        <w:t xml:space="preserve"> showcased the potential of MS to handle complex pharmacokinetic scenarios in real-time, maximizing both efficacy and safety in antifungal therapy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{"citationID":"kdbgEIFE","properties":{"formattedCitation":"[60]","plainCitation":"[60]","noteIndex":0},"citationItems":[{"id":1016,"uris":["http://zotero.org/users/12998224/items/VIATX3WT"],"itemData":{"id":1016,"type":"article-journal","abstract":"Therapeutic drug monitoring (TDM) may contribute to optimizing the efficacy and safety of antifungal therapy because of the large variability in drug pharmacokinetics. Rapid, sensitive, and selective laboratory methods are needed for efficient TDM. Quantification of several antifungals in a single analytical run may best fulfill these requirements. We therefore developed a multiplex ultra-performance liquid chromatography-tandem mass spectrometry (UPLC-MS/MS) method requiring 100 μl of plasma for simultaneous quantification within 7 min of fluconazole, itraconazole, hydroxyitraconazole, posaconazole, voriconazole, voriconazole-N-oxide, caspofungin, and anidulafungin. Protein precipitation with acetonitrile was used in a single extraction procedure for eight analytes. After reverse-phase chromatographic separation, antifungals were quantified by electrospray ionization-triple-quadrupole mass spectrometry by selected reaction monitoring detection using the positive mode. Deuterated isotopic compounds of azole antifungals were used as internal standards. The method was validated based on FDA recommendations, including assessment of extraction yields, matrix effect variability (&lt;9.2%), and analytical recovery (80.1 to 107%). The method is sensitive (lower limits of azole quantification, 0.01 to 0.1 μg/ml; those of echinocandin quantification, 0.06 to 0.1 μg/ml), accurate (intra- and interassay biases of −9.9 to +5% and −4.0 to +8.8%, respectively), and precise (intra- and interassay coefficients of variation of 1.2 to 11.1% and 1.2 to 8.9%, respectively) over clinical concentration ranges (upper limits of quantification, 5 to 50 μg/ml). Thus, we developed a simple, rapid, and robust multiplex UPLC-MS/MS assay for simultaneous quantification of plasma concentrations of six antifungals and two metabolites. This offers, by optimized and cost-effective lab resource utilization, an efficient tool for daily routine TDM aimed at maximizing the real-time efficacy and safety of different recommended single-drug antifungal regimens and combination salvage therapies, as well as a tool for clinical research.","container-title":"Antimicrobial Agents and Chemotherapy","DOI":"10.1128/AAC.00404-10","ISSN":"0066-4804","issue":"12","journalAbbreviation":"Antimicrob Agents Chemother","note":"PMID: 20855739\nPMCID: PMC2981284","page":"5303-5315","source":"PubMed Central","title":"Multiplex Ultra-Performance Liquid Chromatography-Tandem Mass Spectrometry Method for Simultaneous Quantification in Human Plasma of Fluconazole, Itraconazole, Hydroxyitraconazole, Posaconazole, Voriconazole, Voriconazole-N-Oxide, Anidulafungin, and Caspofungin","volume":"54","author":[{"family":"Decosterd","given":"Laurent Arthur"},{"family":"Rochat","given":"Bertrand"},{"family":"Pesse","given":"Benoît"},{"family":"Mercier","given":"Thomas"},{"family":"Tissot","given":"Frédéric"},{"family":"Widmer","given":"Nicolas"},{"family":"Bille","given":"Jacques"},{"family":"Calandra","given":"Thierry"},{"family":"Zanolari","given":"Boris"},{"family":"Marchetti","given":"Oscar"}],"issued":{"date-parts":[["2010",12]]}}}],"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[60]</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90B5D4" w14:textId="32CBFC5E"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2017, Xiao et al. further advanced the field by developing an HPLC-MS/MS method with an unprecedented analytical runtime of just 3 minutes. This method simultaneously quantified four triazole antifungals—voriconazole, posaconazole, fluconazole, and itraconazole—in human serum. The study highlighted the method’s high precision, accuracy, and excellent correlation with reference laboratories, emphasizing its applicability for routine TDM in clinical settings. The rapid runtime and minimal sample preparation requirements demonstrated the efficiency and practicality of MS for high-throughput clinical workflows, addressing the increasing demand for timely therapeutic monitoring in antifungal management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{"citationID":"jdIbdleT","properties":{"formattedCitation":"[61]","plainCitation":"[61]","noteIndex":0},"citationItems":[{"id":1003,"uris":["http://zotero.org/users/12998224/items/3YEH55ZF"],"itemData":{"id":1003,"type":"article-journal","abstract":"To achieve therapeutic efficacy and prevent toxicity simultaneously, therapeutic drug monitoring has been increasingly adopted for antifungal agents with narrow therapeutic indexes. We herein report the development and validation of an accurate, simple, fast, and cost-effective clinical test with high-performance LC-MS/MS to simultaneously quantify voriconazole, posaconazole, fluconazole, and itraconazole in human serum.Mixed with extraction solution and internal standard, 100 μL serum samples were centrifuged for protein precipitation. Diluted supernatant was injected onto a Phenomenex® Luna C8 (2) 50 × 2 mm (3 μm) column and was analyzed with a Prominence Shimadzu high-performance liquid chromatography (HPLC) system coupled with a SCIEX QTRAP 4000 mass spectrometer in a positive ionization mode with multiple reaction monitoring. The total analytical run time was 3 min.The assay is linear for voricoanzole (0.01–10 μg/mL), posaconazole (0.02–40 μg/mL), fluconazole (0.2–200 μg/mL), and itraconazole (0.02–20 μg/mL). The intraday CVs ranged from 1.9% to 3.8% (n = 20); the interday CVs ranged from 2.7% to 5.4% (n = 20). Method comparison study (n = 39 or 40) demonstrated good correlation with reference laboratories (R &amp;gt;0.99) with average biases ranging from −7.2% to 17.5%. The recoveries for each analyte were above 90%, and matrix effects ranged from 95% to 112%.The method is acceptable for routine therapeutic drug monitoring of these antifungal agents in clinical laboratories for better therapeutic outcome.","container-title":"The Journal of Applied Laboratory Medicine","DOI":"10.1373/jalm.2016.022756","ISSN":"2576-9456","issue":"6","journalAbbreviation":"The Journal of Applied Laboratory Medicine","page":"626-636","source":"Silverchair","title":"A Rapid High-Performance LC-MS/MS Method for Therapeutic Drug Monitoring of Voriconazole, Posaconazole, Fluconazole, and Itraconazole in Human Serum","volume":"1","author":[{"family":"Xiao","given":"Yi"},{"family":"Xu","given":"Yan-Kang"},{"family":"Pattengale","given":"Paul"},{"family":"O'Gorman","given":"Maurice R"},{"family":"Fu","given":"Xiaowei"}],"issued":{"date-parts":[["2017",5,1]]}}}],"schema":"https://github.com/citation-style-language/schema/raw/master/csl-citation.json"}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[61]</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E9C8219"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application of MS in detecting antimicrobials has revolutionized TDM, offering unparalleled precision, sensitivity, and versatility. As demonstrated in the detection of both antibiotics and antifungals, MS addresses the limitations of traditional methods such as immunoassays and HPLC by enabling simultaneous quantification of multiple drugs, even at trace concentrations, within a single, rapid analytical run. Among the various MS platforms, LC-MS/MS has emerged as the most widely used technique, owing to its exceptional multiplexing capabilities, robustness, and compatibility with clinical workflows. These advancements have solidified MS as an indispensable tool not only in research settings but also in routine clinical practice, where it plays a critical role in optimizing antimicrobial therapy, minimizing toxicity, and mitigating the emergence of resistance. By bridging the gap between laboratory innovation and clinical application, MS continues to set the standard for personalized medicine and antimicrobial stewardship, reinforcing its significance in modern healthcare.</w:t>
      </w:r>
    </w:p>
    <w:p w14:paraId="7537CB20" w14:textId="77777777" w:rsidR="00CF00F8" w:rsidRDefault="00000000">
      <w:pPr>
        <w:pStyle w:val="Heading1"/>
        <w:jc w:val="center"/>
        <w:rPr>
          <w:rFonts w:ascii="Times New Roman" w:eastAsia="Times New Roman" w:hAnsi="Times New Roman" w:cs="Times New Roman"/>
          <w:b/>
          <w:sz w:val="20"/>
          <w:szCs w:val="20"/>
        </w:rPr>
      </w:pPr>
      <w:bookmarkStart w:id="22" w:name="_Toc191553264"/>
      <w:r>
        <w:rPr>
          <w:rFonts w:ascii="Times New Roman" w:eastAsia="Times New Roman" w:hAnsi="Times New Roman" w:cs="Times New Roman"/>
          <w:b/>
          <w:color w:val="000000"/>
          <w:sz w:val="20"/>
          <w:szCs w:val="20"/>
        </w:rPr>
        <w:t>VI. MASS SPECTROMETRY USED IN OTHER TYPES OF DETECTION</w:t>
      </w:r>
      <w:bookmarkEnd w:id="22"/>
    </w:p>
    <w:p w14:paraId="787886DA" w14:textId="77777777" w:rsidR="00CF00F8" w:rsidRDefault="00000000">
      <w:pPr>
        <w:pStyle w:val="Heading2"/>
        <w:rPr>
          <w:rFonts w:ascii="Times New Roman" w:eastAsia="Times New Roman" w:hAnsi="Times New Roman" w:cs="Times New Roman"/>
          <w:b/>
          <w:sz w:val="20"/>
          <w:szCs w:val="20"/>
        </w:rPr>
      </w:pPr>
      <w:bookmarkStart w:id="23" w:name="_Toc191553265"/>
      <w:proofErr w:type="spellStart"/>
      <w:r>
        <w:rPr>
          <w:rFonts w:ascii="Times New Roman" w:eastAsia="Times New Roman" w:hAnsi="Times New Roman" w:cs="Times New Roman"/>
          <w:b/>
          <w:color w:val="000000"/>
          <w:sz w:val="20"/>
          <w:szCs w:val="20"/>
        </w:rPr>
        <w:t>VI.A</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Fungal detection</w:t>
      </w:r>
      <w:bookmarkEnd w:id="23"/>
    </w:p>
    <w:p w14:paraId="42DA5FB1" w14:textId="2F04278C"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is considered a highly effective method for identifying clinical fungi, offering a rapid and accurate way to identify various species of yeasts and filamentous fungi, especially when compared to traditional culture-based methods, which can be time-consuming and require specialized expertise, making it a valuable tool in clinical microbiology laboratories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{"citationID":"uIYKi7rl","properties":{"formattedCitation":"[62]","plainCitation":"[62]","noteIndex":0},"citationItems":[{"id":1167,"uris":["http://zotero.org/users/12998224/items/ZC99S8AL"],"itemData":{"id":1167,"type":"article-journal","abstract":"Many studies have shown successful performance of MALDI-TOF MS for rapid yeast and mold identification, yet very few laboratories have chosen to apply this technology into their routine clinical mycology workflow. Some of this hesitation may be attributable to the lack of standardization regarding culture methods, extraction methods, databases, and acquisition methods. This review will provide an overview of the current status of MALDI-TOF MS for fungal identification, including key findings in the literature, processing and database considerations, updates in technology, and exciting future prospects. Significant advances towards standardization have taken place over recent years; thus, accurate species level identification of yeasts and molds, particularly within species complexes and cryptic organisms, should be highly attainable, achievable, and practical in most clinical laboratories.","container-title":"Clinics in laboratory medicine","DOI":"10.1016/j.cll.2021.03.006","ISSN":"0272-2712","issue":"2","journalAbbreviation":"Clin Lab Med","note":"PMID: 34020763\nPMCID: PMC8220872","page":"267-283","source":"PubMed Central","title":"MALDI-TOF for Fungal Identification","volume":"41","author":[{"family":"Lau","given":"Anna F."}],"issued":{"date-parts":[["2021",6]]}}}],"schema":"https://github.com/citation-style-language/schema/raw/master/csl-citation.json"}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[62]</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4E95E4F0" w14:textId="23DD9FC3"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Studies have demonstrated its effectiveness in identifying a wide range of filamentous fungi, such as </w:t>
      </w:r>
      <w:proofErr w:type="spellStart"/>
      <w:r>
        <w:rPr>
          <w:rFonts w:ascii="Times New Roman" w:eastAsia="Times New Roman" w:hAnsi="Times New Roman" w:cs="Times New Roman"/>
          <w:i/>
          <w:sz w:val="20"/>
          <w:szCs w:val="20"/>
        </w:rPr>
        <w:t>Scedosporium</w:t>
      </w:r>
      <w:proofErr w:type="spellEnd"/>
      <w:r>
        <w:rPr>
          <w:rFonts w:ascii="Times New Roman" w:eastAsia="Times New Roman" w:hAnsi="Times New Roman" w:cs="Times New Roman"/>
          <w:sz w:val="20"/>
          <w:szCs w:val="20"/>
        </w:rPr>
        <w:t xml:space="preserve"> and</w:t>
      </w:r>
      <w:r>
        <w:rPr>
          <w:rFonts w:ascii="Times New Roman" w:eastAsia="Times New Roman" w:hAnsi="Times New Roman" w:cs="Times New Roman"/>
          <w:i/>
          <w:sz w:val="20"/>
          <w:szCs w:val="20"/>
        </w:rPr>
        <w:t xml:space="preserve"> Aspergillus</w:t>
      </w:r>
      <w:r>
        <w:rPr>
          <w:rFonts w:ascii="Times New Roman" w:eastAsia="Times New Roman" w:hAnsi="Times New Roman" w:cs="Times New Roman"/>
          <w:sz w:val="20"/>
          <w:szCs w:val="20"/>
        </w:rPr>
        <w:t xml:space="preserve">, with technologies like the VITEK MS system achieving an 89% success rate for fungal isolates. The accuracy of identification can be further improved by employing more complex sample preparation methods, which have been shown to achieve species-level accuracy of up to 86.4%. Moreover, expanding databases and integrating in-house libraries have significantly enhanced identification rates, particularly for less common fungal species, where improvements from 0% to 100% were observed for certain </w:t>
      </w:r>
      <w:proofErr w:type="spellStart"/>
      <w:r>
        <w:rPr>
          <w:rFonts w:ascii="Times New Roman" w:eastAsia="Times New Roman" w:hAnsi="Times New Roman" w:cs="Times New Roman"/>
          <w:i/>
          <w:sz w:val="20"/>
          <w:szCs w:val="20"/>
        </w:rPr>
        <w:t>Scedosporium</w:t>
      </w:r>
      <w:proofErr w:type="spellEnd"/>
      <w:r>
        <w:rPr>
          <w:rFonts w:ascii="Times New Roman" w:eastAsia="Times New Roman" w:hAnsi="Times New Roman" w:cs="Times New Roman"/>
          <w:sz w:val="20"/>
          <w:szCs w:val="20"/>
        </w:rPr>
        <w:t xml:space="preserve"> species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{"citationID":"hB2u6i3x","properties":{"formattedCitation":"[63]","plainCitation":"[63]","noteIndex":0},"citationItems":[{"id":1170,"uris":["http://zotero.org/users/12998224/items/4EU73JL7"],"itemData":{"id":1170,"type":"article-journal","abstract":"The implementation of matrix-assisted laser desorption/ionization-time of flight mass spectrometry (MALDI-TOF MS) for the identification of fungal isolates remains challenging and has been limited to experienced laboratories in sample preparation and in-house libraries construction. However, the development of commercial kits for standardized fungal sample preparation and updated reference libraries can fill this gap. This study aimed to evaluate the performance of the commercial VITEK MS Mould Kit (bioMérieux, Marcy l'Etoile, France) and the VITEK MS system (bioMérieux) for identification using a panel of fungal species of clinical interest. Overall, 200 isolates belonging to 13 genera and 43 fungal species were analyzed with the VITEK MS system equipped with the v3.2 IVD database. Overall, 89.0% of the isolates were correctly identified, 41.5 and 43.5% at species and complex level, respectively. For an additional 4.0% of the identifications, correlation at the genus level was reported. The remaining 21 isolates (10.5%) could not be identified among which 85.0% (18/21) were species not claimed in the database. One Syncephalastrum isolate was misidentified as Rhizopus microsporus complex. Specifically, 100% of the Scedosporium/Lomentospora, 97.1% of the Fusarium, 65.7% of the Mucorales and 86.4% of the Aspergillus isolates were correctly identified at the species and complex level. The methodology described allows for an easy implementation of MALDI-TOF MS for routine identification of fungal species in a fast and reliable manner. Although further improvement in the databases is still required, an important number of fungal species can be correctly identified at the species level using this method.\nLAY SUMMARY: The use of MALDI-TOF for fungal identification remains a challenge. In this study, using a commercial protein extraction kit and updated database, VITEK MS system was able to identify up to 89.0% of a diverse collection of 200 filamentous fungi representing 43 fungal species.","container-title":"Medical Mycology","DOI":"10.1093/mmy/myac027","ISSN":"1460-2709","issue":"4","journalAbbreviation":"Med Mycol","language":"eng","note":"PMID: 35357500","page":"myac027","source":"PubMed","title":"Evaluation of the Vitek Ms system for the identification of filamentous fungi","volume":"60","author":[{"family":"Zvezdánova","given":"Margarita Estreya"},{"family":"Escribano","given":"Pilar"},{"family":"Guinea","given":"Jesús"},{"family":"Muñoz","given":"Patricia"},{"family":"Rodríguez-Temporal","given":"David"},{"family":"Rodríguez-Sánchez","given":"Belén"}],"issued":{"date-parts":[["2022",4,27]]}}}],"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[63]</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Beyond clinical applications,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proven effective in environmental monitoring, accurately identifying 92% of fungal isolates in air and dust samples, outperforming traditional microscopy methods. Additionally, innovative approaches like integrating deep learning algorithms with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have demonstrated high accuracy in detecting clonal fungal populations, such as </w:t>
      </w:r>
      <w:r>
        <w:rPr>
          <w:rFonts w:ascii="Times New Roman" w:eastAsia="Times New Roman" w:hAnsi="Times New Roman" w:cs="Times New Roman"/>
          <w:i/>
          <w:sz w:val="20"/>
          <w:szCs w:val="20"/>
        </w:rPr>
        <w:t>Aspergillus flavus</w:t>
      </w:r>
      <w:r>
        <w:rPr>
          <w:rFonts w:ascii="Times New Roman" w:eastAsia="Times New Roman" w:hAnsi="Times New Roman" w:cs="Times New Roman"/>
          <w:sz w:val="20"/>
          <w:szCs w:val="20"/>
        </w:rPr>
        <w:t xml:space="preserve">. These advancements underscore the versatility and growing significance of MS in fungal detection and identification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{"citationID":"6ZpObJMV","properties":{"formattedCitation":"[64]","plainCitation":"[64]","noteIndex":0},"citationItems":[{"id":1172,"uris":["http://zotero.org/users/12998224/items/Y4399Y4T"],"itemData":{"id":1172,"type":"article-journal","abstract":"INTRODUCTION: During the last decades, molds in the indoor environment have raised concern regarding their potential adverse health effects. The genera Aspergillus, Cladosporium, Penicillium, Alternaria, and yeasts, the most common fungi found indoors, include species with high allergenic and toxigenic potentials. Identification of these molds is generally performed by microscopy. This method has, however, some limitations as it requires mycologists with high expertise while identification is often limited to the genus level. Therefore, it is necessary to seek for fast and accurate tools, such as Matrix-assisted laser desorption/ionization time-of-flight mass spectrometry (MALDITOF MS), enabling an identification to the species level and guiding general practitioners in their search for the underlying cause of a health problem.\nMETHODS: In this study, 149 fungal air and dust isolates from 43 dwellings in Brussels were taken in collaboration with Brussels Environment RCIB/CRIPI and identified by both microscopy and MALDI-TOF MS in Sciensano's Indoor Mycology laboratory. Spectra obtained via MALDI-TOF MS were compared with data available in an in-house created reference database containing over 1,700 strains from the BCCM/IHEM fungal collection.\nRESULTS: A total of 149 isolates including 18 yeasts and 131 filamentous fungi were analyzed. Microscopic analysis indicated 18 yeast species and allowed identification of 79 isolates (53%) to the genus level. Only 36 isolates (24%) could be identified to the species complex level. Fifteen molds (10%) could not be identified, and one was indicated as sterile mycelia. No isolate was identified to species level. MALDI-TOF MS analysis identified 137 (92%) of the 149 isolates with a logscore &gt; 1.7. Of these 137 isolates, 129 (87%) were identified to the species level (logscore &gt; 2.0). For only 8 isolates (5%), identification was limited to the genus/section level (1.7 &lt; logscore &lt;2.0), and 12 isolates (8%) could not be identified.\nCONCLUSION: A comparison of results obtained with both methods indicates an increased precision in identifications with MALDI-TOF MS analysis for 92% of the isolates, emphasizing its highly added value to the standard microscopic analysis in routine practice. In addition, MALDI-TOF MS also enables to assess the accuracy of microscopic identifications.","container-title":"Frontiers in Allergy","DOI":"10.3389/falgy.2022.826148","ISSN":"2673-6101","journalAbbreviation":"Front Allergy","language":"eng","note":"PMID: 35386655\nPMCID: PMC8974682","page":"826148","source":"PubMed","title":"Implementation of MALDI-TOF Mass Spectrometry to Identify Fungi From the Indoor Environment as an Added Value to the Classical Morphology-Based Identification Tool","volume":"3","author":[{"family":"Motteu","given":"Natacha"},{"family":"Goemaere","given":"Berdieke"},{"family":"Bladt","given":"Sandrine"},{"family":"Packeu","given":"Ann"}],"issued":{"date-parts":[["2022"]]}}}],"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[64]</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77CAAA5" w14:textId="7FDB83C0"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successfully applied to identify members of fungal genera such as </w:t>
      </w:r>
      <w:r>
        <w:rPr>
          <w:rFonts w:ascii="Times New Roman" w:eastAsia="Times New Roman" w:hAnsi="Times New Roman" w:cs="Times New Roman"/>
          <w:i/>
          <w:sz w:val="20"/>
          <w:szCs w:val="20"/>
        </w:rPr>
        <w:t>Aspergillus, Fusarium, Penicillium, Trichoderma</w:t>
      </w:r>
      <w:r>
        <w:rPr>
          <w:rFonts w:ascii="Times New Roman" w:eastAsia="Times New Roman" w:hAnsi="Times New Roman" w:cs="Times New Roman"/>
          <w:sz w:val="20"/>
          <w:szCs w:val="20"/>
        </w:rPr>
        <w:t xml:space="preserve">, and various yeast species like </w:t>
      </w:r>
      <w:r>
        <w:rPr>
          <w:rFonts w:ascii="Times New Roman" w:eastAsia="Times New Roman" w:hAnsi="Times New Roman" w:cs="Times New Roman"/>
          <w:i/>
          <w:sz w:val="20"/>
          <w:szCs w:val="20"/>
        </w:rPr>
        <w:t>Candida albicans</w:t>
      </w:r>
      <w:r>
        <w:rPr>
          <w:rFonts w:ascii="Times New Roman" w:eastAsia="Times New Roman" w:hAnsi="Times New Roman" w:cs="Times New Roman"/>
          <w:sz w:val="20"/>
          <w:szCs w:val="20"/>
        </w:rPr>
        <w:t xml:space="preserve"> from clinical samples. Notably, </w:t>
      </w:r>
      <w:r>
        <w:rPr>
          <w:rFonts w:ascii="Times New Roman" w:eastAsia="Times New Roman" w:hAnsi="Times New Roman" w:cs="Times New Roman"/>
          <w:sz w:val="20"/>
          <w:szCs w:val="20"/>
        </w:rPr>
        <w:lastRenderedPageBreak/>
        <w:t xml:space="preserve">it excels at discriminating closely related species within the </w:t>
      </w:r>
      <w:r>
        <w:rPr>
          <w:rFonts w:ascii="Times New Roman" w:eastAsia="Times New Roman" w:hAnsi="Times New Roman" w:cs="Times New Roman"/>
          <w:i/>
          <w:sz w:val="20"/>
          <w:szCs w:val="20"/>
        </w:rPr>
        <w:t>Candida</w:t>
      </w:r>
      <w:r>
        <w:rPr>
          <w:rFonts w:ascii="Times New Roman" w:eastAsia="Times New Roman" w:hAnsi="Times New Roman" w:cs="Times New Roman"/>
          <w:sz w:val="20"/>
          <w:szCs w:val="20"/>
        </w:rPr>
        <w:t xml:space="preserve"> genus, such as members of the </w:t>
      </w:r>
      <w:r>
        <w:rPr>
          <w:rFonts w:ascii="Times New Roman" w:eastAsia="Times New Roman" w:hAnsi="Times New Roman" w:cs="Times New Roman"/>
          <w:i/>
          <w:sz w:val="20"/>
          <w:szCs w:val="20"/>
        </w:rPr>
        <w:t>C. glabrata</w:t>
      </w:r>
      <w:r>
        <w:rPr>
          <w:rFonts w:ascii="Times New Roman" w:eastAsia="Times New Roman" w:hAnsi="Times New Roman" w:cs="Times New Roman"/>
          <w:sz w:val="20"/>
          <w:szCs w:val="20"/>
        </w:rPr>
        <w:t xml:space="preserve"> clade (</w:t>
      </w:r>
      <w:r>
        <w:rPr>
          <w:rFonts w:ascii="Times New Roman" w:eastAsia="Times New Roman" w:hAnsi="Times New Roman" w:cs="Times New Roman"/>
          <w:i/>
          <w:sz w:val="20"/>
          <w:szCs w:val="20"/>
        </w:rPr>
        <w:t xml:space="preserve">C. glabrata, C. </w:t>
      </w:r>
      <w:proofErr w:type="spellStart"/>
      <w:r>
        <w:rPr>
          <w:rFonts w:ascii="Times New Roman" w:eastAsia="Times New Roman" w:hAnsi="Times New Roman" w:cs="Times New Roman"/>
          <w:i/>
          <w:sz w:val="20"/>
          <w:szCs w:val="20"/>
        </w:rPr>
        <w:t>nivariensis</w:t>
      </w:r>
      <w:proofErr w:type="spellEnd"/>
      <w:r>
        <w:rPr>
          <w:rFonts w:ascii="Times New Roman" w:eastAsia="Times New Roman" w:hAnsi="Times New Roman" w:cs="Times New Roman"/>
          <w:i/>
          <w:sz w:val="20"/>
          <w:szCs w:val="20"/>
        </w:rPr>
        <w:t xml:space="preserve">, C. </w:t>
      </w:r>
      <w:proofErr w:type="spellStart"/>
      <w:r>
        <w:rPr>
          <w:rFonts w:ascii="Times New Roman" w:eastAsia="Times New Roman" w:hAnsi="Times New Roman" w:cs="Times New Roman"/>
          <w:i/>
          <w:sz w:val="20"/>
          <w:szCs w:val="20"/>
        </w:rPr>
        <w:t>bracarensis</w:t>
      </w:r>
      <w:proofErr w:type="spellEnd"/>
      <w:r>
        <w:rPr>
          <w:rFonts w:ascii="Times New Roman" w:eastAsia="Times New Roman" w:hAnsi="Times New Roman" w:cs="Times New Roman"/>
          <w:sz w:val="20"/>
          <w:szCs w:val="20"/>
        </w:rPr>
        <w:t>), the "psilosis" complex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parapsilosis</w:t>
      </w:r>
      <w:proofErr w:type="spellEnd"/>
      <w:r>
        <w:rPr>
          <w:rFonts w:ascii="Times New Roman" w:eastAsia="Times New Roman" w:hAnsi="Times New Roman" w:cs="Times New Roman"/>
          <w:i/>
          <w:sz w:val="20"/>
          <w:szCs w:val="20"/>
        </w:rPr>
        <w:t xml:space="preserve">, C. </w:t>
      </w:r>
      <w:proofErr w:type="spellStart"/>
      <w:r>
        <w:rPr>
          <w:rFonts w:ascii="Times New Roman" w:eastAsia="Times New Roman" w:hAnsi="Times New Roman" w:cs="Times New Roman"/>
          <w:i/>
          <w:sz w:val="20"/>
          <w:szCs w:val="20"/>
        </w:rPr>
        <w:t>metapsilosis</w:t>
      </w:r>
      <w:proofErr w:type="spellEnd"/>
      <w:r>
        <w:rPr>
          <w:rFonts w:ascii="Times New Roman" w:eastAsia="Times New Roman" w:hAnsi="Times New Roman" w:cs="Times New Roman"/>
          <w:i/>
          <w:sz w:val="20"/>
          <w:szCs w:val="20"/>
        </w:rPr>
        <w:t xml:space="preserve">, C. </w:t>
      </w:r>
      <w:proofErr w:type="spellStart"/>
      <w:r>
        <w:rPr>
          <w:rFonts w:ascii="Times New Roman" w:eastAsia="Times New Roman" w:hAnsi="Times New Roman" w:cs="Times New Roman"/>
          <w:i/>
          <w:sz w:val="20"/>
          <w:szCs w:val="20"/>
        </w:rPr>
        <w:t>orthopsilosis</w:t>
      </w:r>
      <w:proofErr w:type="spellEnd"/>
      <w:r>
        <w:rPr>
          <w:rFonts w:ascii="Times New Roman" w:eastAsia="Times New Roman" w:hAnsi="Times New Roman" w:cs="Times New Roman"/>
          <w:i/>
          <w:sz w:val="20"/>
          <w:szCs w:val="20"/>
        </w:rPr>
        <w:t xml:space="preserve">, and </w:t>
      </w:r>
      <w:proofErr w:type="spellStart"/>
      <w:r>
        <w:rPr>
          <w:rFonts w:ascii="Times New Roman" w:eastAsia="Times New Roman" w:hAnsi="Times New Roman" w:cs="Times New Roman"/>
          <w:i/>
          <w:sz w:val="20"/>
          <w:szCs w:val="20"/>
        </w:rPr>
        <w:t>Lodderomyces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elongisporus</w:t>
      </w:r>
      <w:proofErr w:type="spellEnd"/>
      <w:r>
        <w:rPr>
          <w:rFonts w:ascii="Times New Roman" w:eastAsia="Times New Roman" w:hAnsi="Times New Roman" w:cs="Times New Roman"/>
          <w:sz w:val="20"/>
          <w:szCs w:val="20"/>
        </w:rPr>
        <w:t xml:space="preserve">), as well as between </w:t>
      </w:r>
      <w:r>
        <w:rPr>
          <w:rFonts w:ascii="Times New Roman" w:eastAsia="Times New Roman" w:hAnsi="Times New Roman" w:cs="Times New Roman"/>
          <w:i/>
          <w:sz w:val="20"/>
          <w:szCs w:val="20"/>
        </w:rPr>
        <w:t>C. albicans</w:t>
      </w:r>
      <w:r>
        <w:rPr>
          <w:rFonts w:ascii="Times New Roman" w:eastAsia="Times New Roman" w:hAnsi="Times New Roman" w:cs="Times New Roman"/>
          <w:sz w:val="20"/>
          <w:szCs w:val="20"/>
        </w:rPr>
        <w:t xml:space="preserve"> and</w:t>
      </w:r>
      <w:r>
        <w:rPr>
          <w:rFonts w:ascii="Times New Roman" w:eastAsia="Times New Roman" w:hAnsi="Times New Roman" w:cs="Times New Roman"/>
          <w:i/>
          <w:sz w:val="20"/>
          <w:szCs w:val="20"/>
        </w:rPr>
        <w:t xml:space="preserve"> C. </w:t>
      </w:r>
      <w:proofErr w:type="spellStart"/>
      <w:r>
        <w:rPr>
          <w:rFonts w:ascii="Times New Roman" w:eastAsia="Times New Roman" w:hAnsi="Times New Roman" w:cs="Times New Roman"/>
          <w:i/>
          <w:sz w:val="20"/>
          <w:szCs w:val="20"/>
        </w:rPr>
        <w:t>dubliniensis</w:t>
      </w:r>
      <w:proofErr w:type="spellEnd"/>
      <w:r>
        <w:rPr>
          <w:rFonts w:ascii="Times New Roman" w:eastAsia="Times New Roman" w:hAnsi="Times New Roman" w:cs="Times New Roman"/>
          <w:i/>
          <w:sz w:val="20"/>
          <w:szCs w:val="20"/>
        </w:rPr>
        <w:t xml:space="preserve">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{"citationID":"Gj9WvlKu","properties":{"formattedCitation":"[65]","plainCitation":"[65]","noteIndex":0},"citationItems":[{"id":1175,"uris":["http://zotero.org/users/12998224/items/PA3RUVWG"],"itemData":{"id":1175,"type":"article-journal","abstract":"Matrix-assisted laser desorption/ionization time-of-flight mass spectrometry (MALDI-TOF MS) has emerged as a reliable tool for fast identification and classification of microorganisms. In this regard, it represents a strong challenge to microscopic and molecular biology methods. Nowadays, commercial MALDI systems are accessible for biological research work as well as for diagnostic applications in clinical medicine, biotechnology and industry. They are employed namely in bacterial biotyping but numerous experimental strategies have also been developed for the analysis of fungi, which is the topic of the present review. Members of many fungal genera such as Aspergillus, Fusarium, Penicillium or Trichoderma and also various yeasts from clinical samples (e.g. Candida albicans) have been successfully identified by MALDI-TOF MS. However, there is no versatile method for fungi currently available even though the use of only a limited number of matrix compounds has been reported. Either intact cell/spore MALDI-TOF MS is chosen or an extraction of surface proteins is performed and then the resulting extract is measured. Biotrophic fungal phytopathogens can be identified via a direct acquisition of MALDI-TOF mass spectra e.g. from infected plant organs contaminated by fungal spores. Mass spectrometric peptide/protein profiles of fungi display peaks in the m/z region of 1000-20000, where a unique set of biomarker ions may appear facilitating a differentiation of samples at the level of genus, species or strain. This is done with the help of a processing software and spectral database of reference strains, which should preferably be constructed under the same standardized experimental conditions.","container-title":"Biotechnology Advances","DOI":"10.1016/j.biotechadv.2013.11.002","ISSN":"1873-1899","issue":"1","journalAbbreviation":"Biotechnol Adv","language":"eng","note":"PMID: 24211254","page":"230-241","source":"PubMed","title":"Identification of fungal microorganisms by MALDI-TOF mass spectrometry","volume":"32","author":[{"family":"Chalupová","given":"Jana"},{"family":"Raus","given":"Martin"},{"family":"Sedlářová","given":"Michaela"},{"family":"Sebela","given":"Marek"}],"issued":{"date-parts":[["2014"]]}}}],"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[65]</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Two primary approaches are employed: intact cell/spore analysis or the extraction of surface proteins for MS measurement. Fungal identification can also be achieved directly from infected plant organs contaminated with fungal spores. The technique relies on peptide and protein profiles within the m/z range of 1000–20,000, where unique biomarker ions facilitate differentiation at the genus, species, or strain level. Accurate identification is enabled through the use of specialized processing software and spectral databases of reference strains, which are most effective when constructed under standardized experimental conditions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{"citationID":"9wWBfbvq","properties":{"formattedCitation":"[66]","plainCitation":"[66]","noteIndex":0},"citationItems":[{"id":1177,"uris":["http://zotero.org/users/12998224/items/9WBNABJ2"],"itemData":{"id":1177,"type":"article-journal","abstract":"Bacteria play a variety of roles in the environment. They maintain the balance in the ecosystem and provide different ecosystem services such as in biogeochemical cycling of nutrients, biodegradation of toxic pollutants, and others. Therefore, isolation and identification of different environmental bacteria are important to most environmental research. Due to the high cost and time associated with the conventional molecular techniques, matrix-assisted laser desorption ionization-time of flight mass spectrometry (MALDI-TOF MS) has gained considerable attention for routine identification of bacteria. This review aims to provide an overview of the application of MALDI-TOF MS in various environmental studies through bibliometric analysis and literature review. The bibliometric analysis helped to understand the time-variable application of MALDI-TOF MS in various environmental studies. The categorical literature review covers various environmental studies comprising areas like ecology, food microbiology, environmental biotechnology, agriculture, and plant sciences, which show the application of the technique for identification and characterization of pollutant-degrading, plant-associated, disease-causing, soil-beneficial, and other environmental bacteria. Further research should focus on bridging the gap between the phylogenetic identity of bacteria and their specific environmental functions or metabolic traits that can help in rapid advancements in environmental research, thereby, improving time and cost savings.","container-title":"Journal of Environmental Management","DOI":"10.1016/j.jenvman.2021.114359","ISSN":"1095-8630","journalAbbreviation":"J Environ Manage","language":"eng","note":"PMID: 34959061","page":"114359","source":"PubMed","title":"Application of MALDI-TOF MS for identification of environmental bacteria: A review","title-short":"Application of MALDI-TOF MS for identification of environmental bacteria","volume":"305","author":[{"family":"Ashfaq","given":"Mohammad Y."},{"family":"Da'na","given":"Dana A."},{"family":"Al-Ghouti","given":"Mohammad A."}],"issued":{"date-parts":[["2022",3,1]]}}}],"schema":"https://github.com/citation-style-language/schema/raw/master/csl-citation.json"}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[66]</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Despite the lack of a universal method for fungi,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continues to demonstrate its versatility and potential in both clinical and environmental fungal identification.</w:t>
      </w:r>
    </w:p>
    <w:p w14:paraId="34AB6584" w14:textId="70FE18DC"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integration of comprehensive database entries has also enhanced the identification of </w:t>
      </w:r>
      <w:r>
        <w:rPr>
          <w:rFonts w:ascii="Times New Roman" w:eastAsia="Times New Roman" w:hAnsi="Times New Roman" w:cs="Times New Roman"/>
          <w:i/>
          <w:sz w:val="20"/>
          <w:szCs w:val="20"/>
        </w:rPr>
        <w:t>Cryptococcus neoformans</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gattii</w:t>
      </w:r>
      <w:proofErr w:type="spellEnd"/>
      <w:r>
        <w:rPr>
          <w:rFonts w:ascii="Times New Roman" w:eastAsia="Times New Roman" w:hAnsi="Times New Roman" w:cs="Times New Roman"/>
          <w:sz w:val="20"/>
          <w:szCs w:val="20"/>
        </w:rPr>
        <w:t>, overcoming early limitations in accuracy. Moreover,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proves to be cost-effective, with lower operating expenses and reduced hands-on processing time compared to conventional and molecular methods. In a study analyzing 303 clinical isolates,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showed high analytical performance, even resolving discrepancies with genotyping techniques like </w:t>
      </w:r>
      <w:proofErr w:type="spellStart"/>
      <w:r>
        <w:rPr>
          <w:rFonts w:ascii="Times New Roman" w:eastAsia="Times New Roman" w:hAnsi="Times New Roman" w:cs="Times New Roman"/>
          <w:sz w:val="20"/>
          <w:szCs w:val="20"/>
        </w:rPr>
        <w:t>25S-28S</w:t>
      </w:r>
      <w:proofErr w:type="spellEnd"/>
      <w:r>
        <w:rPr>
          <w:rFonts w:ascii="Times New Roman" w:eastAsia="Times New Roman" w:hAnsi="Times New Roman" w:cs="Times New Roman"/>
          <w:sz w:val="20"/>
          <w:szCs w:val="20"/>
        </w:rPr>
        <w:t xml:space="preserve"> rRNA sequencing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{"citationID":"TnsGY0ay","properties":{"formattedCitation":"[67]","plainCitation":"[67]","noteIndex":0},"citationItems":[{"id":1179,"uris":["http://zotero.org/users/12998224/items/AVB9Q5NY"],"itemData":{"id":1179,"type":"article-journal","abstract":"BACKGROUND: The Cryptococcus neoformans/C. gattii species complex comprises two sibling species that are divided into eight major molecular types, C. neoformans VNI to VNIV and C. gattii VGI to VGIV. These genotypes differ in host range, epidemiology, virulence, antifungal susceptibility and geographic distribution. The currently used phenotypic and molecular identification methods for the species/molecular types are time consuming and expensive. As Matrix-Assisted Laser Desorption Ionization-Time-of-Flight Mass Spectrometry (MALDI-TOF MS) offers an effective alternative for the rapid identification of microorganisms, the objective of this study was to examine its potential for the identification of C. neoformans and C. gattii strains at the intra- and inter-species level.\nMETHODOLOGY: Protein extracts obtained via the formic acid extraction method of 164 C. neoformans/C. gattii isolates, including four inter-species hybrids, were studied.\nRESULTS: The obtained mass spectra correctly identified 100% of all studied isolates, grouped each isolate according to the currently recognized species, C. neoformans and C. gattii, and detected potential hybrids. In addition, all isolates were clearly separated according to their major molecular type, generating greater spectral differences among the C. neoformans molecular types than the C. gattii molecular types, most likely reflecting a closer phylogenetic relationship between the latter. The number of colonies used and the incubation length did not affect the results. No spectra were obtained from intact yeast cells. An extended validated spectral library containing spectra of all eight major molecular types was established.\nCONCLUSIONS: MALDI-TOF MS is a rapid identification tool for the correct recognition of the two currently recognized human pathogenic Cryptococcus species and offers a simple method for the separation of the eight major molecular types and the detection of hybrid strains within this species complex in the clinical laboratory. The obtained mass spectra provide further evidence that the major molecular types warrant variety or even species status.","container-title":"PloS One","DOI":"10.1371/journal.pone.0037566","ISSN":"1932-6203","issue":"5","journalAbbreviation":"PLoS One","language":"eng","note":"PMID: 22666368\nPMCID: PMC3362595","page":"e37566","source":"PubMed","title":"MALDI-TOF MS enables the rapid identification of the major molecular types within the Cryptococcus neoformans/C. gattii species complex","volume":"7","author":[{"family":"Firacative","given":"Carolina"},{"family":"Trilles","given":"Luciana"},{"family":"Meyer","given":"Wieland"}],"issued":{"date-parts":[["2012"]]}}}],"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[67]</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These findings underscore its utility as a reliable, efficient, and cost-effective method for yeast identification in clinical and research settings.</w:t>
      </w:r>
    </w:p>
    <w:p w14:paraId="2E62502C" w14:textId="77777777" w:rsidR="00CF00F8" w:rsidRDefault="00000000">
      <w:pPr>
        <w:pStyle w:val="Heading2"/>
        <w:rPr>
          <w:rFonts w:ascii="Times New Roman" w:eastAsia="Times New Roman" w:hAnsi="Times New Roman" w:cs="Times New Roman"/>
          <w:b/>
          <w:sz w:val="20"/>
          <w:szCs w:val="20"/>
        </w:rPr>
      </w:pPr>
      <w:bookmarkStart w:id="24" w:name="_Toc191553266"/>
      <w:proofErr w:type="spellStart"/>
      <w:r>
        <w:rPr>
          <w:rFonts w:ascii="Times New Roman" w:eastAsia="Times New Roman" w:hAnsi="Times New Roman" w:cs="Times New Roman"/>
          <w:b/>
          <w:color w:val="000000"/>
          <w:sz w:val="20"/>
          <w:szCs w:val="20"/>
        </w:rPr>
        <w:t>VI.B</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Viral diagnostics</w:t>
      </w:r>
      <w:bookmarkEnd w:id="24"/>
    </w:p>
    <w:p w14:paraId="0CAA6BF3"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can detect viral proteins or nucleic acids by analyzing their unique molecular weight and fragmentation patterns, allowing for the identification and quantification of specific viruses within a sample, offering a powerful tool for viral diagnostics and research, particularly when combined with appropriate sample preparation techniques and specialized databases. </w:t>
      </w:r>
    </w:p>
    <w:p w14:paraId="00FBF317" w14:textId="342316E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offers an untargeted approach for virus identification that complements traditional methods like PCR and immunoassays. The viral proteomics workflow (vPro-MS) leverages an extensive peptide library derived from the human genome and a specialized scoring algorithm (</w:t>
      </w:r>
      <w:proofErr w:type="spellStart"/>
      <w:r>
        <w:rPr>
          <w:rFonts w:ascii="Times New Roman" w:eastAsia="Times New Roman" w:hAnsi="Times New Roman" w:cs="Times New Roman"/>
          <w:sz w:val="20"/>
          <w:szCs w:val="20"/>
        </w:rPr>
        <w:t>vProID</w:t>
      </w:r>
      <w:proofErr w:type="spellEnd"/>
      <w:r>
        <w:rPr>
          <w:rFonts w:ascii="Times New Roman" w:eastAsia="Times New Roman" w:hAnsi="Times New Roman" w:cs="Times New Roman"/>
          <w:sz w:val="20"/>
          <w:szCs w:val="20"/>
        </w:rPr>
        <w:t xml:space="preserve"> score) to accurately identify viral proteins in patient samples. This high-throughput approach, utilizing </w:t>
      </w:r>
      <w:proofErr w:type="spellStart"/>
      <w:r>
        <w:rPr>
          <w:rFonts w:ascii="Times New Roman" w:eastAsia="Times New Roman" w:hAnsi="Times New Roman" w:cs="Times New Roman"/>
          <w:sz w:val="20"/>
          <w:szCs w:val="20"/>
        </w:rPr>
        <w:t>diaPASEF</w:t>
      </w:r>
      <w:proofErr w:type="spellEnd"/>
      <w:r>
        <w:rPr>
          <w:rFonts w:ascii="Times New Roman" w:eastAsia="Times New Roman" w:hAnsi="Times New Roman" w:cs="Times New Roman"/>
          <w:sz w:val="20"/>
          <w:szCs w:val="20"/>
        </w:rPr>
        <w:t xml:space="preserve">-based data acquisition, can analyze up to 60 samples per day with a specificity exceeding 99.9%, as demonstrated across 18 different viruses, including SARS, MERS, Ebola, and monkeypox. In the case of SARS-CoV-2, vPro-MS achieves a detection sensitivity comparable to PCR at a cycle threshold of 27, offering quantitative accuracy similar to metagenomic sequencing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{"citationID":"7ZSxnEzZ","properties":{"formattedCitation":"[68]","plainCitation":"[68]","noteIndex":0},"citationItems":[{"id":1200,"uris":["http://zotero.org/users/12998224/items/XMFAI9ZF"],"itemData":{"id":1200,"type":"article","abstract":"Viral infections are commonly diagnosed by the detection of viral genome fragments or proteins using targeted methods such as PCR and immunoassays. In contrast, metagenomics enables the untargeted identification of viral genomes, expanding its applicability across a broader spectrum. In this study, we introduce proteomics as a complementary approach for the untargeted identification of human-pathogenic viruses from patient samples. The viral proteomics workflow (vPro-MS) is based on an in-silico derived peptide library covering the human virome in UniProtKB (331 viruses, 20,386 genomes, 121,977 peptides), which was especially designed for diagnostic purposes. A scoring algorithm (vProID score) was developed to assess the confidence of virus identification from proteomics data (https://github.com/RKI-ZBS/vPro-MS). In combination with high-throughput diaPASEF-based data acquisition, this workflow enables the analysis of up to 60 samples per day. The specificity was determined to be &gt; 99,9 % in an analysis of 221 plasma, swab and cell culture samples covering 18 different viruses (e.g. SARS, MERS, EBOV, MPXV). The sensitivity of this approach for the detection of SARS-CoV-2 in nasopharyngeal swabs corresponds to a PCR cycle threshold of 27 with comparable quantitative accuracy to metagenomics. vPro-MS enables the integration of untargeted virus identification in large-scale proteomic studies of biofluids such as human plasma to detect previously undiscovered virus infections in patient specimens.","DOI":"10.1101/2024.08.21.24312107","language":"en","license":"© 2024, Posted by Cold Spring Harbor Laboratory. This pre-print is available under a Creative Commons License (Attribution-NonCommercial 4.0 International), CC BY-NC 4.0, as described at http://creativecommons.org/licenses/by-nc/4.0/","note":"page: 2024.08.21.24312107","publisher":"medRxiv","source":"medRxiv","title":"vPro-MS enables identification of human-pathogenic viruses from patient samples by untargeted proteomics","URL":"https://www.medrxiv.org/content/10.1101/2024.08.21.24312107v2","author":[{"family":"Grossegesse","given":"Marica"},{"family":"Horn","given":"Fabian"},{"family":"Kurth","given":"Andreas"},{"family":"Lasch","given":"Peter"},{"family":"Nitsche","given":"Andreas"},{"family":"Doellinger","given":"Joerg"}],"accessed":{"date-parts":[["2025",2,10]]},"issued":{"date-parts":[["2024",9,27]]}}}],"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[68]</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Notably, this method facilitates the large-scale screening of biofluids like human plasma, allowing for the discovery of previously undetected viral infections. Researchers and clinicians can enhance pathogen surveillance and improve outbreak response strategies by integrating MS-based proteomics into viral diagnostics.</w:t>
      </w:r>
    </w:p>
    <w:p w14:paraId="5CA97A77" w14:textId="032A0670"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was used to detect PCR-amplified genomic fragments of viruses, such as</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the hepatitis B virus (HBV), demonstrating its efficiency as an alternative to traditional gel electrophoresis. While the introduction of real-time PCR temporarily overshadowed MS in molecular diagnostics, the technology has since regained attention due to its superior sensitivity, precise molecular sizing, and ability to provide nucleotide composition and charge information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{"citationID":"unjIEgI9","properties":{"formattedCitation":"[69]","plainCitation":"[69]","noteIndex":0},"citationItems":[{"id":1202,"uris":["http://zotero.org/users/12998224/items/AWYXCLDX"],"itemData":{"id":1202,"type":"article-journal","abstract":"Genotyping of hepatitis B virus (HBV) is important for tracking HBV infections, prognosticating the development of severe liver disease, and predicting outcomes of therapy. Current genotyping methods can be laborious and costly and rely on subjective data interpretation. To identify less expensive but equally reliable alternatives, we compared “gold standard” sequencing to a novel mass spectrometry approach. Sera from individuals with acute or chronic HBV infection (n = 756), representing all genotypes, were used to PCR amplify the HBV S gene. All amplicons were subjected to base-specific cleavage and matrix-assisted laser desorption ionization-time-of-flight mass spectrometry (MALDI-TOF MS). The resulting mass peak patterns were used to identify HBV genotype by automated comparison to peak patterns simulated from reference sets of HBV sequences of known genotypes. The MALDI-TOF MS data and phylogenetic analysis of HBV sequences produced completely concordant results. Several parameters such as genetic relatedness of tested HBV variants to the reference set, chronic infections, and the quality of PCR products can lower the MS score but never affected the accuracy of the genotype call. This new streamlined MS-based method provides for rapid and accurate HBV genotyping, produces automated data reports, and is therefore suitable for routine use in diagnostic settings.","container-title":"Journal of Clinical Microbiology","DOI":"10.1128/JCM.00813-10","ISSN":"0095-1137","issue":"11","journalAbbreviation":"J Clin Microbiol","note":"PMID: 20810764\nPMCID: PMC3020871","page":"4161-4168","source":"PubMed Central","title":"Robust Hepatitis B Virus Genotyping by Mass Spectrometry","volume":"48","author":[{"family":"Ganova-Raeva","given":"L."},{"family":"Ramachandran","given":"S."},{"family":"Honisch","given":"C."},{"family":"Forbi","given":"J. C."},{"family":"Zhai","given":"X."},{"family":"Khudyakov","given":"Y."}],"issued":{"date-parts":[["2010",11]]}}}],"schema":"https://github.com/citation-style-language/schema/raw/master/csl-citation.json"}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[69]</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Unlike conventional nucleic acid characterization methods, MS allows for high-throughput and multiplexed detection of multiple pathogens simultaneously. This capability has been effectively utilized in identifying human herpesviruses, human papillomaviruses (HPVs), and HBV variants, showcasing its versatility in clinical diagnostics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{"citationID":"mCupl3zn","properties":{"formattedCitation":"[70]","plainCitation":"[70]","noteIndex":0},"citationItems":[{"id":1205,"uris":["http://zotero.org/users/12998224/items/3S6QJ34E"],"itemData":{"id":1205,"type":"article-journal","abstract":"The human herpesviruses are involved in a variety of diseases. Large-scale evaluation of the clinical and epidemiological importance of different herpesviruses requires high-throughput methods. Matrix-assisted laser desorption/ionization time-of-flight mass spectrometry (MALDI-TOF MS) is a method that has a multiplex capacity enabling simultaneous detection of several viruses in a single sample. PCR-based methods for the multiplex detection of all known human herpesviruses were developed on the MALDI-TOF MS system. A variety of 882 archival samples, including bronchoalveolar lavage, conjunctival fluid, sore secretion, blister material, plasma, serum, and urine, analyzed for herpesviruses using PCR-based reference methods, were used to evaluate the MALDI-TOF MS method. The overall concordance rate between the MALDI-TOF MS method and the reference methods was 95.6% (κ = 0.90). In summary, the MALDI-TOF MS method is well suited for large-scale detection of all known human herpesviruses in a wide variety of archival biological specimens.","container-title":"Journal of Clinical Microbiology","DOI":"10.1128/JCM.01565-07","ISSN":"0095-1137","issue":"2","journalAbbreviation":"J Clin Microbiol","note":"PMID: 18094141\nPMCID: PMC2238100","page":"540-545","source":"PubMed Central","title":"Multiplex Detection of Human Herpesviruses from Archival Specimens by Using Matrix-Assisted Laser Desorption Ionization-Time of Flight Mass Spectrometry","volume":"46","author":[{"family":"Sjöholm","given":"Malin I. L."},{"family":"Dillner","given":"Joakim"},{"family":"Carlson","given":"Joyce"}],"issued":{"date-parts":[["2008",2]]}}}],"schema":"https://github.com/citation-style-language/schema/raw/master/csl-citation.json"}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[70]</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By enabling the rapid and comprehensive characterization of viral genomes, MS continues to advance the field of molecular virology, enhancing the detection and differentiation of viral infections directly from clinical samples.</w:t>
      </w:r>
    </w:p>
    <w:p w14:paraId="6CCC2183" w14:textId="69BD1022" w:rsidR="00CF00F8" w:rsidRDefault="00000000">
      <w:pPr>
        <w:pStyle w:val="Heading2"/>
        <w:rPr>
          <w:rFonts w:ascii="Times New Roman" w:eastAsia="Times New Roman" w:hAnsi="Times New Roman" w:cs="Times New Roman"/>
          <w:b/>
          <w:sz w:val="20"/>
          <w:szCs w:val="20"/>
        </w:rPr>
      </w:pPr>
      <w:bookmarkStart w:id="25" w:name="_Toc191553267"/>
      <w:proofErr w:type="spellStart"/>
      <w:r>
        <w:rPr>
          <w:rFonts w:ascii="Times New Roman" w:eastAsia="Times New Roman" w:hAnsi="Times New Roman" w:cs="Times New Roman"/>
          <w:b/>
          <w:color w:val="000000"/>
          <w:sz w:val="20"/>
          <w:szCs w:val="20"/>
        </w:rPr>
        <w:t>VI.C</w:t>
      </w:r>
      <w:proofErr w:type="spellEnd"/>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t>Detection of mixed infectious</w:t>
      </w:r>
      <w:bookmarkEnd w:id="25"/>
      <w:r w:rsidR="00214A33">
        <w:rPr>
          <w:rFonts w:ascii="Times New Roman" w:eastAsia="Times New Roman" w:hAnsi="Times New Roman" w:cs="Times New Roman"/>
          <w:b/>
          <w:color w:val="000000"/>
          <w:sz w:val="20"/>
          <w:szCs w:val="20"/>
        </w:rPr>
        <w:t xml:space="preserve"> agents</w:t>
      </w:r>
    </w:p>
    <w:p w14:paraId="6E2E94AD"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can detect mixed infections, meaning it can simultaneously identify multiple pathogens in a sample. It is beneficial when dealing with situations where a patient might have more than one infectious agent causing their illness; this capability is increasingly used in clinical microbiology to diagnose complex infections.</w:t>
      </w:r>
    </w:p>
    <w:p w14:paraId="0C0A94E1" w14:textId="40CFE6AE"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has emerged as a powerful tool for detecting bloodstream infections, offering rapid and comprehensive identification of </w:t>
      </w:r>
      <w:r>
        <w:rPr>
          <w:rFonts w:ascii="Times New Roman" w:eastAsia="Times New Roman" w:hAnsi="Times New Roman" w:cs="Times New Roman"/>
          <w:i/>
          <w:sz w:val="20"/>
          <w:szCs w:val="20"/>
        </w:rPr>
        <w:t>Mycobacterium</w:t>
      </w:r>
      <w:r>
        <w:rPr>
          <w:rFonts w:ascii="Times New Roman" w:eastAsia="Times New Roman" w:hAnsi="Times New Roman" w:cs="Times New Roman"/>
          <w:sz w:val="20"/>
          <w:szCs w:val="20"/>
        </w:rPr>
        <w:t xml:space="preserve"> species, including </w:t>
      </w:r>
      <w:r>
        <w:rPr>
          <w:rFonts w:ascii="Times New Roman" w:eastAsia="Times New Roman" w:hAnsi="Times New Roman" w:cs="Times New Roman"/>
          <w:i/>
          <w:sz w:val="20"/>
          <w:szCs w:val="20"/>
        </w:rPr>
        <w:t>Mycobacterium tuberculosis complex</w:t>
      </w:r>
      <w:r>
        <w:rPr>
          <w:rFonts w:ascii="Times New Roman" w:eastAsia="Times New Roman" w:hAnsi="Times New Roman" w:cs="Times New Roman"/>
          <w:sz w:val="20"/>
          <w:szCs w:val="20"/>
        </w:rPr>
        <w:t xml:space="preserve"> (MTBC) and </w:t>
      </w:r>
      <w:r>
        <w:rPr>
          <w:rFonts w:ascii="Times New Roman" w:eastAsia="Times New Roman" w:hAnsi="Times New Roman" w:cs="Times New Roman"/>
          <w:i/>
          <w:sz w:val="20"/>
          <w:szCs w:val="20"/>
        </w:rPr>
        <w:t>non-</w:t>
      </w:r>
      <w:r>
        <w:rPr>
          <w:rFonts w:ascii="Times New Roman" w:eastAsia="Times New Roman" w:hAnsi="Times New Roman" w:cs="Times New Roman"/>
          <w:i/>
          <w:sz w:val="20"/>
          <w:szCs w:val="20"/>
        </w:rPr>
        <w:lastRenderedPageBreak/>
        <w:t>tuberculous mycobacteria</w:t>
      </w:r>
      <w:r>
        <w:rPr>
          <w:rFonts w:ascii="Times New Roman" w:eastAsia="Times New Roman" w:hAnsi="Times New Roman" w:cs="Times New Roman"/>
          <w:sz w:val="20"/>
          <w:szCs w:val="20"/>
        </w:rPr>
        <w:t xml:space="preserve"> (NTM)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{"citationID":"FN1YHabz","properties":{"formattedCitation":"[71]","plainCitation":"[71]","noteIndex":0},"citationItems":[{"id":1183,"uris":["http://zotero.org/users/12998224/items/4WTMCG8S"],"itemData":{"id":1183,"type":"article-journal","abstract":"Mixed infection with multiple species of nontuberculous mycobacteria (NTM) is difficult to identify and to treat. Current conventional molecular-based methods for identifying mixed infections are limited due to low specificity. Here, we evaluated the utility of whole-genome sequencing (WGS) analysis to detect and identify mixed NTM infections. Analytical tools used included PubMLST, MetaPhlAn3, Kraken2, Mykrobe-Predictor and analysis of heterozygous SNP frequencies. The ability of each to identify mixed infections of NTM species was compared. Sensitivity was tested using 101 samples (sequence sets) including 100 in-silico simulated mixed samples with various proportions of known NTM species and one sample of known mixed NTM species from a public database. Single-species NTM control samples (155 WGS samples from public databases and 15 samples from simulated reads) were tested for specificity. Kraken2 exhibited 100% sensitivity and 98.23% specificity for detection and identification of mixed NTM species with accurate estimation of relative abundance of each species in the mixture. PubMLST (99% and 96.47%) and MetaPhlAn3 (95.04% and 83.52%) had slightly lower sensitivity and specificity. Mykrobe-Predictor had the lowest sensitivity (57.42%). Analysis of read frequencies supporting single nucleotide polymorphisms (SNPs) could not detect mixed NTM samples. Clinical NTM samples (n = 16), suspected on the basis of a 16S-23S rRNA gene sequence-based line-probe assay (LPA) to contain more than one NTM species, were investigated using WGS-analysis tools. This identified only a small proportion (37.5%, 6/16 samples) of the samples as mixed infections and exhibited only partial agreement with LPA results. LPAs seem to be inadequate for detecting mixed NTM species infection. This study demonstrated that WGS-analysis tools can be used for diagnosis of mixed infections with different species of NTM.","container-title":"Pathogens (Basel, Switzerland)","DOI":"10.3390/pathogens10070879","ISSN":"2076-0817","issue":"7","journalAbbreviation":"Pathogens","language":"eng","note":"PMID: 34358029\nPMCID: PMC8308675","page":"879","source":"PubMed","title":"Whole-Genome Sequencing Analysis to Identify Infection with Multiple Species of Nontuberculous Mycobacteria","volume":"10","author":[{"family":"Khieu","given":"Visal"},{"family":"Ananta","given":"Pimjai"},{"family":"Kaewprasert","given":"Orawee"},{"family":"Laohaviroj","given":"Marut"},{"family":"Namwat","given":"Wises"},{"family":"Faksri","given":"Kiatichai"}],"issued":{"date-parts":[["2021",7,11]]}}}],"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[71]</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technology surpasses conventional molecular techniques by enabling the simultaneous detection of multiple species and mixed infections, a critical advantage given the diagnostic challenges posed by co-infections. Unlike Sanger sequencing, which often fails to identify mixed infections, nucleotide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-MS differentiates species based on variations in molecular masses of single-base extension products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{"citationID":"XQoRbX6d","properties":{"formattedCitation":"[72]","plainCitation":"[72]","noteIndex":0},"citationItems":[{"id":1186,"uris":["http://zotero.org/users/12998224/items/J4AYWAG8"],"itemData":{"id":1186,"type":"article-journal","abstract":"BACKGROUND: The accurate identification of the Mycobacterium tuberculosis complex (MTBC) and different nontuberculous mycobacteria (NTM) species is crucial for the timely diagnosis of NTM infections and for reducing poor prognoses. Nucleotide matrix-assisted laser desorption/ionization time-of-flight mass spectrometry (MALDI-TOF-MS) has been extensively used for microbial identification with high accuracy and throughput. However, its efficacy for Mycobacterium species identification has been less studied. The objective of this study was to evaluate the performance of nucleotide MALDI-TOF-MS for Mycobacterium species identification.\nMETHODS: A total of 933 clinical Mycobacterium isolates were preliminarily identified as NTM by the MPB64 test. These isolates were identified by nucleotide MALDI-TOF-MS and Sanger sequencing. The performance of nucleotide MALDI-TOF MS for identifying various Mycobacterium species was analyzed based on Sanger sequencing as the gold standard.\nRESULTS: The total correct detection rate of all 933 clinical Mycobacterium isolates using nucleotide MALDI-TOF-MS was 91.64% (855/933), and mixed infections were detected in 18.65% (174/933) of the samples. The correct detection rates for Mycobacterium intracellulare, Mycobacterium abscessus, Mycobacterium kansasii, Mycobacterium avium, MTBC, Mycobacterium gordonae, and Mycobacterium massiliense were 99.32% (585/589), 100% (86/86), 98.46% (64/65), 94.59% (35/37), 100.00% (34/34), 95.65% (22/23), and 100% (19/19), respectively. For the identification of the MTBC, M. intracellulare, M. abscessus, M. kansasii, M. avium, M. gordonae, and M. massiliense, nucleotide MALDI-TOF-MS and Sanger sequencing results were in good agreement (k &gt; 0.7).\nCONCLUSION: In conclusion, nucleotide MALDI-TOF-MS is a promising approach for identifying MTBC and the most common clinical NTM species.","container-title":"Frontiers in Cellular and Infection Microbiology","DOI":"10.3389/fcimb.2024.1335104","ISSN":"2235-2988","journalAbbreviation":"Front Cell Infect Microbiol","language":"eng","note":"PMID: 38379773\nPMCID: PMC10876993","page":"1335104","source":"PubMed","title":"Evaluation of nucleotide MALDI-TOF-MS for the identification of Mycobacterium species","volume":"14","author":[{"family":"Zhu","given":"Yelei"},{"family":"Liu","given":"Zhengwei"},{"family":"Peng","given":"Lina"},{"family":"Liu","given":"Bin"},{"family":"Wu","given":"Kunyang"},{"family":"Zhang","given":"Mingwu"},{"family":"Wang","given":"Xiaomeng"},{"family":"Pan","given":"Junhang"}],"issued":{"date-parts":[["2024"]]}}}],"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[72]</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method has been particularly effective in identifying NTM-MTB mixed infections, which are often misdiagnosed as multidrug-resistant tuberculosis (</w:t>
      </w:r>
      <w:proofErr w:type="spellStart"/>
      <w:r>
        <w:rPr>
          <w:rFonts w:ascii="Times New Roman" w:eastAsia="Times New Roman" w:hAnsi="Times New Roman" w:cs="Times New Roman"/>
          <w:sz w:val="20"/>
          <w:szCs w:val="20"/>
        </w:rPr>
        <w:t>MDR</w:t>
      </w:r>
      <w:proofErr w:type="spellEnd"/>
      <w:r>
        <w:rPr>
          <w:rFonts w:ascii="Times New Roman" w:eastAsia="Times New Roman" w:hAnsi="Times New Roman" w:cs="Times New Roman"/>
          <w:sz w:val="20"/>
          <w:szCs w:val="20"/>
        </w:rPr>
        <w:t>-TB), leading to inappropriate treatment. However, limitations remain, such as difficulties in distinguishing closely related species within the Mycobacterium avium complex (MAC) and the need for expanding panel coverage to include more species. Despite these challenges, the flexibility of nucleotide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-MS to incorporate new species and its high-throughput capability make it a valuable tool for bloodstream infection diagnostics, improving pathogen identification, and guiding appropriate treatment strategies.</w:t>
      </w:r>
    </w:p>
    <w:p w14:paraId="0CFE4219" w14:textId="73413834" w:rsidR="00CF00F8" w:rsidRDefault="00000000">
      <w:pPr>
        <w:spacing w:before="240" w:after="240" w:line="240" w:lineRule="auto"/>
        <w:ind w:firstLine="720"/>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PCR–electrospray ionization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(PCR-ESI/MS) has revolutionized the detection of bloodstream infections by providing a highly sensitive and broad-range method for identifying nearly all known human pathogens, including bacteria, fungi, mycobacteria, and viruses, directly from clinical specimens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{"citationID":"JMCYsUZ1","properties":{"formattedCitation":"[73]","plainCitation":"[73]","noteIndex":0},"citationItems":[{"id":1189,"uris":["http://zotero.org/users/12998224/items/LYFXDS68"],"itemData":{"id":1189,"type":"article-journal","abstract":"During the past 20 years, microbial detection methods that are genetically based, such as real-time PCR and peptide nucleic acid fluorescent hybridization, coexisted with traditional microbiological methods and were typically based on the identification of individual genetic targets. For these methods to be successful, a potential cause of infection must be suspected. More recently, multiplex PCR and multiplex RT-PCR were used to enable more broad-range testing based on panels of suspected pathogens. PCR-electrospray ionization mass spectrometry (PCR-ESI/MS) has emerged as a technology that is capable of identifying nearly all known human pathogens either from microbial isolates or directly from clinical specimens. Assay primers are strategically designed to target one or more of the broad pathogen categories: bacterial, mycobacterial, fungal, or viral. With broad-range amplification followed by detection of mixed amplicons, the method can identify genetic evidence of known and unknown pathogens. This unique approach supports a higher form of inquiry, asking the following question: What is the genetic evidence of known or unknown pathogens in the patient sample? This approach has advantages over traditional assays that commonly target the presence or absence of one or more pathogens with known genetic composition. This review considers the breadth of the published literature and explores the possibilities, advantages, and limitations for implementation of PCR-ESI/MS in diagnostic laboratories.","container-title":"The Journal of molecular diagnostics: JMD","DOI":"10.1016/j.jmoldx.2012.02.005","ISSN":"1943-7811","issue":"4","journalAbbreviation":"J Mol Diagn","language":"eng","note":"PMID: 22584138\nPMCID: PMC7106027","page":"295-304","source":"PubMed","title":"PCR-electrospray ionization mass spectrometry: the potential to change infectious disease diagnostics in clinical and public health laboratories","title-short":"PCR-electrospray ionization mass spectrometry","volume":"14","author":[{"family":"Wolk","given":"Donna M."},{"family":"Kaleta","given":"Erin J."},{"family":"Wysocki","given":"Vicki H."}],"issued":{"date-parts":[["2012",7]]}}}],"schema":"https://github.com/citation-style-language/schema/raw/master/csl-citation.json"}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[73]</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Unlike traditional microbiological methods or genetic-based detection techniques like real-time PCR, which require prior knowledge of the suspected pathogen, PCR-ESI/MS allows for the unbiased identification of both known and unknown microbial agents by analyzing genetic evidence within patient samples. This method is particularly advantageous in cases of polymicrobial infections, where it can detect mixed amplicons and provide a comprehensive profile of the microbial community present in the bloodstream </w:t>
      </w:r>
      <w:r w:rsidRPr="00336519">
        <w:rPr>
          <w:rFonts w:ascii="Times New Roman" w:eastAsia="Times New Roman" w:hAnsi="Times New Roman" w:cs="Times New Roman"/>
          <w:sz w:val="20"/>
          <w:szCs w:val="20"/>
        </w:rPr>
        <w:t xml:space="preserve">(Figure </w:t>
      </w:r>
      <w:r w:rsidR="004B1623">
        <w:rPr>
          <w:rFonts w:ascii="Times New Roman" w:eastAsia="Times New Roman" w:hAnsi="Times New Roman" w:cs="Times New Roman"/>
          <w:sz w:val="20"/>
          <w:szCs w:val="20"/>
        </w:rPr>
        <w:t>3</w:t>
      </w:r>
      <w:r w:rsidRPr="00336519">
        <w:rPr>
          <w:rFonts w:ascii="Times New Roman" w:eastAsia="Times New Roman" w:hAnsi="Times New Roman" w:cs="Times New Roman"/>
          <w:sz w:val="20"/>
          <w:szCs w:val="20"/>
        </w:rPr>
        <w:t>).</w:t>
      </w:r>
    </w:p>
    <w:p w14:paraId="113A8211" w14:textId="2A52A396" w:rsidR="00CF00F8" w:rsidRDefault="00000000">
      <w:pPr>
        <w:spacing w:before="240" w:after="240" w:line="240" w:lineRule="auto"/>
        <w:ind w:firstLine="720"/>
        <w:jc w:val="center"/>
        <w:rPr>
          <w:rFonts w:ascii="Times New Roman" w:eastAsia="Times New Roman" w:hAnsi="Times New Roman" w:cs="Times New Roman"/>
          <w:color w:val="FF0000"/>
          <w:sz w:val="20"/>
          <w:szCs w:val="20"/>
        </w:rPr>
      </w:pPr>
      <w:r>
        <w:rPr>
          <w:rFonts w:ascii="Times New Roman" w:eastAsia="Times New Roman" w:hAnsi="Times New Roman" w:cs="Times New Roman"/>
          <w:noProof/>
          <w:sz w:val="20"/>
          <w:szCs w:val="20"/>
        </w:rPr>
        <w:drawing>
          <wp:inline distT="114300" distB="114300" distL="114300" distR="114300" wp14:anchorId="4CD52353" wp14:editId="27B8FDB2">
            <wp:extent cx="4693734" cy="3290888"/>
            <wp:effectExtent l="0" t="0" r="0" b="0"/>
            <wp:docPr id="756120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93734" cy="3290888"/>
                    </a:xfrm>
                    <a:prstGeom prst="rect">
                      <a:avLst/>
                    </a:prstGeom>
                    <a:ln/>
                  </pic:spPr>
                </pic:pic>
              </a:graphicData>
            </a:graphic>
          </wp:inline>
        </w:drawing>
      </w:r>
      <w:r>
        <w:rPr>
          <w:rFonts w:ascii="Times New Roman" w:eastAsia="Times New Roman" w:hAnsi="Times New Roman" w:cs="Times New Roman"/>
          <w:sz w:val="20"/>
          <w:szCs w:val="20"/>
        </w:rPr>
        <w:br/>
      </w:r>
      <w:r w:rsidRPr="00336519">
        <w:rPr>
          <w:rFonts w:ascii="Times New Roman" w:eastAsia="Times New Roman" w:hAnsi="Times New Roman" w:cs="Times New Roman"/>
          <w:b/>
          <w:sz w:val="20"/>
          <w:szCs w:val="20"/>
        </w:rPr>
        <w:t>Fig</w:t>
      </w:r>
      <w:r w:rsidR="004B1623">
        <w:rPr>
          <w:rFonts w:ascii="Times New Roman" w:eastAsia="Times New Roman" w:hAnsi="Times New Roman" w:cs="Times New Roman"/>
          <w:b/>
          <w:sz w:val="20"/>
          <w:szCs w:val="20"/>
        </w:rPr>
        <w:t>ure 3</w:t>
      </w:r>
      <w:r w:rsidRPr="00336519">
        <w:rPr>
          <w:rFonts w:ascii="Times New Roman" w:eastAsia="Times New Roman" w:hAnsi="Times New Roman" w:cs="Times New Roman"/>
          <w:b/>
          <w:sz w:val="20"/>
          <w:szCs w:val="20"/>
        </w:rPr>
        <w:t>. Workflow</w:t>
      </w:r>
      <w:r>
        <w:rPr>
          <w:rFonts w:ascii="Times New Roman" w:eastAsia="Times New Roman" w:hAnsi="Times New Roman" w:cs="Times New Roman"/>
          <w:b/>
          <w:sz w:val="20"/>
          <w:szCs w:val="20"/>
        </w:rPr>
        <w:t xml:space="preserve"> of PCR-Electrospray Ionization Mass Spectrometry (PCR-ESI/MS) for Mixed Infection Detection (Bacterial &amp; Viral Pathogens). </w:t>
      </w:r>
      <w:r w:rsidR="00336519" w:rsidRPr="00336519">
        <w:rPr>
          <w:rFonts w:ascii="Times New Roman" w:eastAsia="Times New Roman" w:hAnsi="Times New Roman" w:cs="Times New Roman"/>
          <w:b/>
          <w:i/>
          <w:iCs/>
          <w:sz w:val="20"/>
          <w:szCs w:val="20"/>
        </w:rPr>
        <w:t xml:space="preserve">The image was regenerated using </w:t>
      </w:r>
      <w:proofErr w:type="spellStart"/>
      <w:r w:rsidR="00336519" w:rsidRPr="00336519">
        <w:rPr>
          <w:rFonts w:ascii="Times New Roman" w:eastAsia="Times New Roman" w:hAnsi="Times New Roman" w:cs="Times New Roman"/>
          <w:b/>
          <w:i/>
          <w:iCs/>
          <w:sz w:val="20"/>
          <w:szCs w:val="20"/>
        </w:rPr>
        <w:t>Biorender</w:t>
      </w:r>
      <w:proofErr w:type="spellEnd"/>
      <w:r w:rsidR="00336519" w:rsidRPr="00336519">
        <w:rPr>
          <w:rFonts w:ascii="Times New Roman" w:eastAsia="Times New Roman" w:hAnsi="Times New Roman" w:cs="Times New Roman"/>
          <w:b/>
          <w:i/>
          <w:iCs/>
          <w:sz w:val="20"/>
          <w:szCs w:val="20"/>
        </w:rPr>
        <w:t xml:space="preserve"> Premium 2025</w:t>
      </w:r>
    </w:p>
    <w:p w14:paraId="0C9C7682" w14:textId="77777777"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workflow begins with sample collection and nucleic acid extraction, where clinical specimens such as blood, CSF, respiratory swabs, or stool are processed to isolate both bacterial DNA and viral RNA. If RNA viruses are present, reverse transcription converts them into complementary DNA (cDNA) before amplification. Next, multiplex PCR amplification is performed using broad-range primers targeting conserved bacterial (</w:t>
      </w:r>
      <w:proofErr w:type="spellStart"/>
      <w:r>
        <w:rPr>
          <w:rFonts w:ascii="Times New Roman" w:eastAsia="Times New Roman" w:hAnsi="Times New Roman" w:cs="Times New Roman"/>
          <w:sz w:val="20"/>
          <w:szCs w:val="20"/>
        </w:rPr>
        <w:t>16S</w:t>
      </w:r>
      <w:proofErr w:type="spellEnd"/>
      <w:r>
        <w:rPr>
          <w:rFonts w:ascii="Times New Roman" w:eastAsia="Times New Roman" w:hAnsi="Times New Roman" w:cs="Times New Roman"/>
          <w:sz w:val="20"/>
          <w:szCs w:val="20"/>
        </w:rPr>
        <w:t xml:space="preserve"> rRNA gene) and viral (e.g. M gene in influenza, </w:t>
      </w:r>
      <w:proofErr w:type="spellStart"/>
      <w:r>
        <w:rPr>
          <w:rFonts w:ascii="Times New Roman" w:eastAsia="Times New Roman" w:hAnsi="Times New Roman" w:cs="Times New Roman"/>
          <w:sz w:val="20"/>
          <w:szCs w:val="20"/>
        </w:rPr>
        <w:t>ORF1ab</w:t>
      </w:r>
      <w:proofErr w:type="spellEnd"/>
      <w:r>
        <w:rPr>
          <w:rFonts w:ascii="Times New Roman" w:eastAsia="Times New Roman" w:hAnsi="Times New Roman" w:cs="Times New Roman"/>
          <w:sz w:val="20"/>
          <w:szCs w:val="20"/>
        </w:rPr>
        <w:t xml:space="preserve"> in coronaviruses) regions, allowing for simultaneous detection of multiple pathogens. The amplified DNA fragments are then subjected to electrospray ionization (ESI), converting them into charged droplets that enter the time-of-flight mass spectrometer (</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-MS) for analysis. By measuring the mass-to-charge (m/z) ratio, the system generates a unique molecular fingerprint for each pathogen. The spectral data are then compared against a reference pathogen database, enabling the identification of bacterial and viral co-infections as well </w:t>
      </w:r>
      <w:r>
        <w:rPr>
          <w:rFonts w:ascii="Times New Roman" w:eastAsia="Times New Roman" w:hAnsi="Times New Roman" w:cs="Times New Roman"/>
          <w:sz w:val="20"/>
          <w:szCs w:val="20"/>
        </w:rPr>
        <w:lastRenderedPageBreak/>
        <w:t>as antimicrobial resistance genes. This comprehensive detection process enhances diagnostic accuracy in cases of bloodstream infections, particularly in critically ill patients requiring urgent intervention.</w:t>
      </w:r>
    </w:p>
    <w:p w14:paraId="697B12C5" w14:textId="32556EBA"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Furthermore, PCR-ESI/MS has demonstrated its utility in pathogen discovery, as exemplified by the first U.S. detection of the novel </w:t>
      </w:r>
      <w:proofErr w:type="spellStart"/>
      <w:r>
        <w:rPr>
          <w:rFonts w:ascii="Times New Roman" w:eastAsia="Times New Roman" w:hAnsi="Times New Roman" w:cs="Times New Roman"/>
          <w:sz w:val="20"/>
          <w:szCs w:val="20"/>
        </w:rPr>
        <w:t>H1N1</w:t>
      </w:r>
      <w:proofErr w:type="spellEnd"/>
      <w:r>
        <w:rPr>
          <w:rFonts w:ascii="Times New Roman" w:eastAsia="Times New Roman" w:hAnsi="Times New Roman" w:cs="Times New Roman"/>
          <w:sz w:val="20"/>
          <w:szCs w:val="20"/>
        </w:rPr>
        <w:t xml:space="preserve"> influenza virus in 2009, showcasing its potential to identify emerging infectious diseases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{"citationID":"4Pb4Uh9L","properties":{"formattedCitation":"[74]","plainCitation":"[74]","noteIndex":0},"citationItems":[{"id":1192,"uris":["http://zotero.org/users/12998224/items/J6UHAMVV"],"itemData":{"id":1192,"type":"article-journal","abstract":"Two cases of febrile respiratory illness associated with untypeable influenza A virus were identified in Southern California in March 2009. One was initially detected as influenza virus using an experimental diagnostic device in a clinical trial, while the other was detected at a local reference lab using a diagnostic PCR assay. In both cases, analyses yielded negative results for strain-specific tests targeting circulating strains of influenza A virus (seasonal H1 and H3). These two samples became the first reported cases of the pandemic 2009/H1N1 influenza virus. The first reportable characterization was made from the second collected specimen on 15 April 2009 at the Centers for Disease Control and Prevention central lab using traditional culture and sequencing methods. The novel nature of the strain and its apparent zoonotic origins were initially characterized using the first collected specimen at the Naval Health Research Center in San Diego, CA, on 13 April using an experimental molecular analysis tool, PCR electro-spray ionization-mass spectrometry (PCR/ESI-MS), designed to amplify PCR products from any strain of influenza virus and to generate informative (phylogenetic) strain identifications through mass spectrometry of PCR amplicons. The ability of this high-throughput tool to correctly identify both well-characterized and novel influenza strains offers the possibility to integrate surveillance for emerging strains with on-site rapid diagnosis used for patient management, shortening the times between the emergence of new strains, their detection and identification, and appropriate public health response activities. Here we describe the initial characterization of the pandemic 2009/H1N1 influenza strain and discuss the possible roles of diagnostic tools with discovery potential.","container-title":"Journal of Clinical Microbiology","DOI":"10.1128/JCM.01336-10","ISSN":"1098-660X","issue":"11","journalAbbreviation":"J Clin Microbiol","language":"eng","note":"PMID: 20861338\nPMCID: PMC3020883","page":"4228-4234","source":"PubMed","title":"Initial identification and characterization of an emerging zoonotic influenza virus prior to pandemic spread","volume":"48","author":[{"family":"Metzgar","given":"David"},{"family":"Baynes","given":"Darcie"},{"family":"Myers","given":"Christopher A."},{"family":"Kammerer","given":"Peter"},{"family":"Unabia","given":"Michelle"},{"family":"Faix","given":"Dennis J."},{"family":"Blair","given":"Patrick J."}],"issued":{"date-parts":[["2010",11]]}}}],"schema":"https://github.com/citation-style-language/schema/raw/master/csl-citation.json"}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[74]</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By offering high-throughput capabilities, precise genetic characterization, and the ability to detect novel microbial sequences, PCR-ESI/MS represents a powerful tool in bloodstream infection diagnostics, enhancing pathogen surveillance and guiding targeted therapeutic interventions.</w:t>
      </w:r>
    </w:p>
    <w:p w14:paraId="318BFC97" w14:textId="5119A634"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can be applied to investigating the potential microbial triggers of multiple sclerosis by enabling the identification and characterization of microbial agents associated with disease onset and exacerbations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{"citationID":"PlZVZqvJ","properties":{"formattedCitation":"[75]","plainCitation":"[75]","noteIndex":0},"citationItems":[{"id":1195,"uris":["http://zotero.org/users/12998224/items/4JENN238"],"itemData":{"id":1195,"type":"article-journal","abstract":"Several lines of evidence suggest that multiple sclerosis (MS), like other autoimmune diseases, may be triggered by microbial infections. Pathogens associated with development or exacerbation of MS include bacteria, such as Chlamydia pneumoniae, Staphylococcus aureus-produced enterotoxins that function as superantigens, and viruses of the Herpesviridae (Epstein-Barr virus and human herpes virus 6) and human endogenous retrovirus families. However, to date, no single pathogen has been accepted as causal agent. In addition, common upper respiratory, gastrointestinal, and urogenital tract infections have also been associated with MS exacerbations. Although evidence of an infectious etiology as cause of MS in humans remains inconclusive, microbial agents may modulate the neuroimmunological system of genetically susceptible individuals. Decoding the epidemiological contribution of different microorganisms to MS, along with their pathogenic mechanisms, may help develop new treatment strategies and prevent relapses.","container-title":"Multiple Sclerosis (Houndmills, Basingstoke, England)","DOI":"10.1177/1352458518823940","ISSN":"1477-0970","issue":"7","journalAbbreviation":"Mult Scler","language":"eng","note":"PMID: 30638421","page":"891-901","source":"PubMed","title":"The role of infections in multiple sclerosis","volume":"25","author":[{"family":"Marrodan","given":"Mariano"},{"family":"Alessandro","given":"Lucas"},{"family":"Farez","given":"Mauricio F."},{"family":"Correale","given":"Jorge"}],"issued":{"date-parts":[["2019",6]]}}}],"schema":"https://github.com/citation-style-language/schema/raw/master/csl-citation.json"}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[75]</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Various pathogens, including </w:t>
      </w:r>
      <w:r>
        <w:rPr>
          <w:rFonts w:ascii="Times New Roman" w:eastAsia="Times New Roman" w:hAnsi="Times New Roman" w:cs="Times New Roman"/>
          <w:i/>
          <w:sz w:val="20"/>
          <w:szCs w:val="20"/>
        </w:rPr>
        <w:t>C. pneumoniae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 aureus</w:t>
      </w:r>
      <w:r>
        <w:rPr>
          <w:rFonts w:ascii="Times New Roman" w:eastAsia="Times New Roman" w:hAnsi="Times New Roman" w:cs="Times New Roman"/>
          <w:sz w:val="20"/>
          <w:szCs w:val="20"/>
        </w:rPr>
        <w:t xml:space="preserve">-produced superantigens, and viruses from the </w:t>
      </w:r>
      <w:r>
        <w:rPr>
          <w:rFonts w:ascii="Times New Roman" w:eastAsia="Times New Roman" w:hAnsi="Times New Roman" w:cs="Times New Roman"/>
          <w:i/>
          <w:sz w:val="20"/>
          <w:szCs w:val="20"/>
        </w:rPr>
        <w:t>Herpesviridae</w:t>
      </w:r>
      <w:r>
        <w:rPr>
          <w:rFonts w:ascii="Times New Roman" w:eastAsia="Times New Roman" w:hAnsi="Times New Roman" w:cs="Times New Roman"/>
          <w:sz w:val="20"/>
          <w:szCs w:val="20"/>
        </w:rPr>
        <w:t xml:space="preserve"> and human endogenous retrovirus families, have been linked to multiple sclerosis, although no single causative agent has been confirmed </w:t>
      </w:r>
      <w:r w:rsidR="00336519">
        <w:rPr>
          <w:rFonts w:ascii="Times New Roman" w:eastAsia="Times New Roman" w:hAnsi="Times New Roman" w:cs="Times New Roman"/>
          <w:sz w:val="20"/>
          <w:szCs w:val="20"/>
        </w:rPr>
        <w:fldChar w:fldCharType="begin"/>
      </w:r>
      <w:r w:rsidR="00336519">
        <w:rPr>
          <w:rFonts w:ascii="Times New Roman" w:eastAsia="Times New Roman" w:hAnsi="Times New Roman" w:cs="Times New Roman"/>
          <w:sz w:val="20"/>
          <w:szCs w:val="20"/>
        </w:rPr>
        <w:instrText xml:space="preserve"> ADDIN ZOTERO_ITEM CSL_CITATION {"citationID":"1vM0ITWQ","properties":{"formattedCitation":"[75]","plainCitation":"[75]","noteIndex":0},"citationItems":[{"id":1195,"uris":["http://zotero.org/users/12998224/items/4JENN238"],"itemData":{"id":1195,"type":"article-journal","abstract":"Several lines of evidence suggest that multiple sclerosis (MS), like other autoimmune diseases, may be triggered by microbial infections. Pathogens associated with development or exacerbation of MS include bacteria, such as Chlamydia pneumoniae, Staphylococcus aureus-produced enterotoxins that function as superantigens, and viruses of the Herpesviridae (Epstein-Barr virus and human herpes virus 6) and human endogenous retrovirus families. However, to date, no single pathogen has been accepted as causal agent. In addition, common upper respiratory, gastrointestinal, and urogenital tract infections have also been associated with MS exacerbations. Although evidence of an infectious etiology as cause of MS in humans remains inconclusive, microbial agents may modulate the neuroimmunological system of genetically susceptible individuals. Decoding the epidemiological contribution of different microorganisms to MS, along with their pathogenic mechanisms, may help develop new treatment strategies and prevent relapses.","container-title":"Multiple Sclerosis (Houndmills, Basingstoke, England)","DOI":"10.1177/1352458518823940","ISSN":"1477-0970","issue":"7","journalAbbreviation":"Mult Scler","language":"eng","note":"PMID: 30638421","page":"891-901","source":"PubMed","title":"The role of infections in multiple sclerosis","volume":"25","author":[{"family":"Marrodan","given":"Mariano"},{"family":"Alessandro","given":"Lucas"},{"family":"Farez","given":"Mauricio F."},{"family":"Correale","given":"Jorge"}],"issued":{"date-parts":[["2019",6]]}}}],"schema":"https://github.com/citation-style-language/schema/raw/master/csl-citation.json"} </w:instrText>
      </w:r>
      <w:r w:rsidR="00336519">
        <w:rPr>
          <w:rFonts w:ascii="Times New Roman" w:eastAsia="Times New Roman" w:hAnsi="Times New Roman" w:cs="Times New Roman"/>
          <w:sz w:val="20"/>
          <w:szCs w:val="20"/>
        </w:rPr>
        <w:fldChar w:fldCharType="separate"/>
      </w:r>
      <w:r w:rsidR="00336519" w:rsidRPr="00336519">
        <w:rPr>
          <w:rFonts w:ascii="Times New Roman" w:hAnsi="Times New Roman" w:cs="Times New Roman"/>
          <w:sz w:val="20"/>
        </w:rPr>
        <w:t>[75]</w:t>
      </w:r>
      <w:r w:rsidR="0033651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MS-based proteomics and metabolomics approaches can help decode the epidemiological contribution of these microorganisms by analyzing microbial-derived proteins, metabolites, and immune system interactions in genetically susceptible individuals. Additionally, MS can provide insights into how common infections, such as those affecting the respiratory, gastrointestinal, and urogenital tracts, may modulate </w:t>
      </w:r>
      <w:proofErr w:type="spellStart"/>
      <w:r>
        <w:rPr>
          <w:rFonts w:ascii="Times New Roman" w:eastAsia="Times New Roman" w:hAnsi="Times New Roman" w:cs="Times New Roman"/>
          <w:sz w:val="20"/>
          <w:szCs w:val="20"/>
        </w:rPr>
        <w:t>neuroimmunological</w:t>
      </w:r>
      <w:proofErr w:type="spellEnd"/>
      <w:r>
        <w:rPr>
          <w:rFonts w:ascii="Times New Roman" w:eastAsia="Times New Roman" w:hAnsi="Times New Roman" w:cs="Times New Roman"/>
          <w:sz w:val="20"/>
          <w:szCs w:val="20"/>
        </w:rPr>
        <w:t xml:space="preserve"> responses and contribute to disease progression. By offering high-throughput, sensitive, and untargeted pathogen detection, MS holds promise for identifying microbial biomarkers of MS, which could aid in developing new treatment strategies and preventing relapses.</w:t>
      </w:r>
    </w:p>
    <w:p w14:paraId="6265EB58" w14:textId="327973CD" w:rsidR="00CF00F8" w:rsidRDefault="00000000">
      <w:pPr>
        <w:spacing w:before="240" w:after="24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has been successfully applied to identify multiple bacterial species causing a urinary tract infection (UTI) </w:t>
      </w:r>
      <w:r w:rsidR="00672929">
        <w:rPr>
          <w:rFonts w:ascii="Times New Roman" w:eastAsia="Times New Roman" w:hAnsi="Times New Roman" w:cs="Times New Roman"/>
          <w:sz w:val="20"/>
          <w:szCs w:val="20"/>
        </w:rPr>
        <w:fldChar w:fldCharType="begin"/>
      </w:r>
      <w:r w:rsidR="00672929">
        <w:rPr>
          <w:rFonts w:ascii="Times New Roman" w:eastAsia="Times New Roman" w:hAnsi="Times New Roman" w:cs="Times New Roman"/>
          <w:sz w:val="20"/>
          <w:szCs w:val="20"/>
        </w:rPr>
        <w:instrText xml:space="preserve"> ADDIN ZOTERO_ITEM CSL_CITATION {"citationID":"XKoo1NSh","properties":{"formattedCitation":"[76]","plainCitation":"[76]","noteIndex":0},"citationItems":[{"id":1245,"uris":["http://zotero.org/users/12998224/items/W8UFTASY"],"itemData":{"id":1245,"type":"article-journal","abstract":"Aim\nTo reduce the inspection time for urinary tract pathogens and provide a rapid and effective therapeutic plan for clinical anti-infection treatment, this study developed a rapid identification (ID) and antimicrobial sensitivity test (AST) method by DOT-MGA.\n\nMethods\nWe grouped midstream urine samples with single bacteria according to the number of bacteria (≤5/5–15/≥ 15) under per oil microscope after Gram staining. Then we adopted differential centrifugation to process the grouped samples to collect precipitate. MALDI-TOF MS was performed using precipitate directly or after short-term culture. If succeed, we resuspended the precipitate into droplets with or without antibiotics at a MALDI target. Four hours later, mass spectrometer (MS) was used to identify the culture on the target and to analyse AST.\n\nResults\nSamples (count ≥ 15), which precipitate can be directly identified by MS; otherwise, the precipitate need a short-term cultured for 3–6 h before ID. The consistency of the ID results between conventional culture and the precipitate is 100%. Compared with broth microdilution method, DOT-MGA for predicting AST had a high consistency. EA and CA for IPM, LEV, CAZ, NIT, and FOT were 100%/100%, 98%/90%, 98%/92%, 100%/90%, 98%/94%, respectively. No VME was observed in all tests. Besides, MIC50 for the five antibiotics by DOT-MGA and broth microdilution method were ≤1/≤0.5,&gt;2/2,≤4/≤2,≤32/≤16,≤64/≤32 and MIC90 were ≤1/≤0.5, &gt;2/&gt;4, 16/16, 128/128, 128/64.\n\nConclusion\nThis study can shorten the ID time (minimum 0.5h) and AST (minimum 4h) of the main pathogens of urinary tract infection to 5–10 hours, which greatly reduce the inspection time and provide substantial help for the rapid diagnosis and treatment of patients with urinary tract infection.","container-title":"Infection and Drug Resistance","DOI":"10.2147/IDR.S356045","ISSN":"1178-6973","journalAbbreviation":"Infect Drug Resist","note":"PMID: 35392368\nPMCID: PMC8980293","page":"1391-1397","source":"PubMed Central","title":"Rapid Identification and Drug Sensitivity Test to Urinary Tract Infection Pathogens by DOT-MGA","volume":"15","author":[{"family":"Liu","given":"Zhen"},{"family":"Tang","given":"Hao"},{"family":"Xu","given":"Huaming"},{"family":"Lu","given":"Guoping"},{"family":"Yang","given":"Wensu"},{"family":"Xia","given":"Zhaoxin"},{"family":"Zhu","given":"Yi"},{"family":"Ni","given":"Shenwang"},{"family":"Men","given":"Wanqi"},{"family":"Shen","given":"Jilu"}],"issued":{"date-parts":[["2022",3,31]]}}}],"schema":"https://github.com/citation-style-language/schema/raw/master/csl-citation.json"} </w:instrText>
      </w:r>
      <w:r w:rsidR="00672929">
        <w:rPr>
          <w:rFonts w:ascii="Times New Roman" w:eastAsia="Times New Roman" w:hAnsi="Times New Roman" w:cs="Times New Roman"/>
          <w:sz w:val="20"/>
          <w:szCs w:val="20"/>
        </w:rPr>
        <w:fldChar w:fldCharType="separate"/>
      </w:r>
      <w:r w:rsidR="00672929" w:rsidRPr="00672929">
        <w:rPr>
          <w:rFonts w:ascii="Times New Roman" w:hAnsi="Times New Roman" w:cs="Times New Roman"/>
          <w:sz w:val="20"/>
        </w:rPr>
        <w:t>[76]</w:t>
      </w:r>
      <w:r w:rsidR="0067292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utilizing a differential centrifugation approach to process midstream urine samples, bacterial precipitate can be directly identified using MS or after a short-term culture of 3–6 hours when bacterial counts are lower. This method demonstrated 100% consistency with conventional culture-based identification. Furthermore, the DOT-MGA approach for AST exhibited high concordance with the broth microdilution method, accurately predicting antibiotic susceptibility with no major errors. This approach shortens the rapid identification process to as little as 30 minutes and AST to approximately 4 hours, enabling the rapid diagnosis of </w:t>
      </w:r>
      <w:proofErr w:type="spellStart"/>
      <w:r>
        <w:rPr>
          <w:rFonts w:ascii="Times New Roman" w:eastAsia="Times New Roman" w:hAnsi="Times New Roman" w:cs="Times New Roman"/>
          <w:sz w:val="20"/>
          <w:szCs w:val="20"/>
        </w:rPr>
        <w:t>UTIs</w:t>
      </w:r>
      <w:proofErr w:type="spellEnd"/>
      <w:r>
        <w:rPr>
          <w:rFonts w:ascii="Times New Roman" w:eastAsia="Times New Roman" w:hAnsi="Times New Roman" w:cs="Times New Roman"/>
          <w:sz w:val="20"/>
          <w:szCs w:val="20"/>
        </w:rPr>
        <w:t xml:space="preserve"> and facilitating timely, targeted antimicrobial therapy. By accelerating pathogen identification and susceptibility testing, MS-based methods provide significant clinical advantages in managing </w:t>
      </w:r>
      <w:proofErr w:type="spellStart"/>
      <w:r>
        <w:rPr>
          <w:rFonts w:ascii="Times New Roman" w:eastAsia="Times New Roman" w:hAnsi="Times New Roman" w:cs="Times New Roman"/>
          <w:sz w:val="20"/>
          <w:szCs w:val="20"/>
        </w:rPr>
        <w:t>UTIs</w:t>
      </w:r>
      <w:proofErr w:type="spellEnd"/>
      <w:r>
        <w:rPr>
          <w:rFonts w:ascii="Times New Roman" w:eastAsia="Times New Roman" w:hAnsi="Times New Roman" w:cs="Times New Roman"/>
          <w:sz w:val="20"/>
          <w:szCs w:val="20"/>
        </w:rPr>
        <w:t xml:space="preserve"> and improving patient outcomes.</w:t>
      </w:r>
    </w:p>
    <w:p w14:paraId="7B027B89" w14:textId="77777777" w:rsidR="00CF00F8" w:rsidRDefault="00000000">
      <w:pPr>
        <w:pStyle w:val="Heading1"/>
        <w:jc w:val="center"/>
        <w:rPr>
          <w:rFonts w:ascii="Times New Roman" w:eastAsia="Times New Roman" w:hAnsi="Times New Roman" w:cs="Times New Roman"/>
          <w:b/>
          <w:sz w:val="20"/>
          <w:szCs w:val="20"/>
        </w:rPr>
      </w:pPr>
      <w:bookmarkStart w:id="26" w:name="_Toc191553268"/>
      <w:r>
        <w:rPr>
          <w:rFonts w:ascii="Times New Roman" w:eastAsia="Times New Roman" w:hAnsi="Times New Roman" w:cs="Times New Roman"/>
          <w:b/>
          <w:color w:val="000000"/>
          <w:sz w:val="20"/>
          <w:szCs w:val="20"/>
        </w:rPr>
        <w:t>VII. ADVANTAGES OF MASS SPECTROMETRY IN MICROBIOLOGY</w:t>
      </w:r>
      <w:bookmarkEnd w:id="26"/>
    </w:p>
    <w:p w14:paraId="294A3E8B" w14:textId="03E0DB6B"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offers several key advantages in microbiology, including rapid identification of microorganisms at the species level, high accuracy, relatively simple sample preparation, high throughput, cost-effectiveness, and the ability to analyze diverse microbial populations directly from clinical samples, making it a valuable tool for routine microbial identification in clinical and research settings compared to traditional methods like phenotypic testing and biochemical assays </w:t>
      </w:r>
      <w:r w:rsidR="00672929">
        <w:rPr>
          <w:rFonts w:ascii="Times New Roman" w:eastAsia="Times New Roman" w:hAnsi="Times New Roman" w:cs="Times New Roman"/>
          <w:sz w:val="20"/>
          <w:szCs w:val="20"/>
        </w:rPr>
        <w:fldChar w:fldCharType="begin"/>
      </w:r>
      <w:r w:rsidR="00672929">
        <w:rPr>
          <w:rFonts w:ascii="Times New Roman" w:eastAsia="Times New Roman" w:hAnsi="Times New Roman" w:cs="Times New Roman"/>
          <w:sz w:val="20"/>
          <w:szCs w:val="20"/>
        </w:rPr>
        <w:instrText xml:space="preserve"> ADDIN ZOTERO_ITEM CSL_CITATION {"citationID":"Viq3A5Nu","properties":{"formattedCitation":"[10]","plainCitation":"[10]","noteIndex":0},"citationItems":[{"id":1110,"uris":["http://zotero.org/users/12998224/items/82XLBWQA"],"itemData":{"id":1110,"type":"article-journal","abstract":"Within the past decade, clinical microbiology laboratories experienced revolutionary changes in the way in which microorganisms are identified, moving away from slow, traditional microbial identification algorithms toward rapid molecular methods and mass spectrometry (MS). Historically, MS was clinically utilized as a high-complexity method adapted for protein-centered analysis of samples in chemistry and hematology laboratories. Today, matrix-assisted laser desorption ionization-time of flight (MALDI-TOF) MS is adapted for use in microbiology laboratories, where it serves as a paradigm-shifting, rapid, and robust method for accurate microbial identification. Multiple instrument platforms, marketed by well-established manufacturers, are beginning to displace automated phenotypic identification instruments and in some cases genetic sequence-based identification practices. This review summarizes the current position of MALDI-TOF MS in clinical research and in diagnostic clinical microbiology laboratories and serves as a primer to examine the \"nuts and bolts\" of MALDI-TOF MS, highlighting research associated with sample preparation, spectral analysis, and accuracy. Currently available MALDI-TOF MS hardware and software platforms that support the use of MALDI-TOF with direct and precultured specimens and integration of the technology into the laboratory workflow are also discussed. Finally, this review closes with a prospective view of the future of MALDI-TOF MS in the clinical microbiology laboratory to accelerate diagnosis and microbial identification to improve patient care.","container-title":"Clinical Microbiology Reviews","DOI":"10.1128/CMR.00072-12","ISSN":"1098-6618","issue":"3","journalAbbreviation":"Clin Microbiol Rev","language":"eng","note":"PMID: 23824373\nPMCID: PMC3719498","page":"547-603","source":"PubMed","title":"Matrix-assisted laser desorption ionization-time of flight mass spectrometry: a fundamental shift in the routine practice of clinical microbiology","title-short":"Matrix-assisted laser desorption ionization-time of flight mass spectrometry","volume":"26","author":[{"family":"Clark","given":"Andrew E."},{"family":"Kaleta","given":"Erin J."},{"family":"Arora","given":"Amit"},{"family":"Wolk","given":"Donna M."}],"issued":{"date-parts":[["2013",7]]}}}],"schema":"https://github.com/citation-style-language/schema/raw/master/csl-citation.json"} </w:instrText>
      </w:r>
      <w:r w:rsidR="00672929">
        <w:rPr>
          <w:rFonts w:ascii="Times New Roman" w:eastAsia="Times New Roman" w:hAnsi="Times New Roman" w:cs="Times New Roman"/>
          <w:sz w:val="20"/>
          <w:szCs w:val="20"/>
        </w:rPr>
        <w:fldChar w:fldCharType="separate"/>
      </w:r>
      <w:r w:rsidR="00672929" w:rsidRPr="00672929">
        <w:rPr>
          <w:rFonts w:ascii="Times New Roman" w:hAnsi="Times New Roman" w:cs="Times New Roman"/>
          <w:sz w:val="20"/>
        </w:rPr>
        <w:t>[10]</w:t>
      </w:r>
      <w:r w:rsidR="0067292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04E1312" w14:textId="52732562"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offers significant advantages over traditional microbial identification methods, enhancing both diagnostic accuracy and clinical decision-making. One key benefit is its ability to detect and report rare pathogens that were previously under-recognized, such as </w:t>
      </w:r>
      <w:r>
        <w:rPr>
          <w:rFonts w:ascii="Times New Roman" w:eastAsia="Times New Roman" w:hAnsi="Times New Roman" w:cs="Times New Roman"/>
          <w:i/>
          <w:sz w:val="20"/>
          <w:szCs w:val="20"/>
        </w:rPr>
        <w:t xml:space="preserve">S. </w:t>
      </w:r>
      <w:proofErr w:type="spellStart"/>
      <w:r>
        <w:rPr>
          <w:rFonts w:ascii="Times New Roman" w:eastAsia="Times New Roman" w:hAnsi="Times New Roman" w:cs="Times New Roman"/>
          <w:i/>
          <w:sz w:val="20"/>
          <w:szCs w:val="20"/>
        </w:rPr>
        <w:t>lugdunensis</w:t>
      </w:r>
      <w:proofErr w:type="spellEnd"/>
      <w:r>
        <w:rPr>
          <w:rFonts w:ascii="Times New Roman" w:eastAsia="Times New Roman" w:hAnsi="Times New Roman" w:cs="Times New Roman"/>
          <w:sz w:val="20"/>
          <w:szCs w:val="20"/>
        </w:rPr>
        <w:t xml:space="preserve"> in skin and joint infections and </w:t>
      </w:r>
      <w:proofErr w:type="spellStart"/>
      <w:r>
        <w:rPr>
          <w:rFonts w:ascii="Times New Roman" w:eastAsia="Times New Roman" w:hAnsi="Times New Roman" w:cs="Times New Roman"/>
          <w:i/>
          <w:sz w:val="20"/>
          <w:szCs w:val="20"/>
        </w:rPr>
        <w:t>Aerococcus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urinae</w:t>
      </w:r>
      <w:proofErr w:type="spellEnd"/>
      <w:r>
        <w:rPr>
          <w:rFonts w:ascii="Times New Roman" w:eastAsia="Times New Roman" w:hAnsi="Times New Roman" w:cs="Times New Roman"/>
          <w:sz w:val="20"/>
          <w:szCs w:val="20"/>
        </w:rPr>
        <w:t xml:space="preserve"> in urinary tract infections. These bacteria often resemble more common species under gram staining and are difficult to differentiate using biochemical methods, leading to misidentification or underreporting before the advent of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w:t>
      </w:r>
      <w:r w:rsidR="00672929">
        <w:rPr>
          <w:rFonts w:ascii="Times New Roman" w:eastAsia="Times New Roman" w:hAnsi="Times New Roman" w:cs="Times New Roman"/>
          <w:sz w:val="20"/>
          <w:szCs w:val="20"/>
        </w:rPr>
        <w:fldChar w:fldCharType="begin"/>
      </w:r>
      <w:r w:rsidR="00672929">
        <w:rPr>
          <w:rFonts w:ascii="Times New Roman" w:eastAsia="Times New Roman" w:hAnsi="Times New Roman" w:cs="Times New Roman"/>
          <w:sz w:val="20"/>
          <w:szCs w:val="20"/>
        </w:rPr>
        <w:instrText xml:space="preserve"> ADDIN ZOTERO_ITEM CSL_CITATION {"citationID":"J4sSvHpG","properties":{"formattedCitation":"[9], [10]","plainCitation":"[9], [10]","noteIndex":0},"citationItems":[{"id":1108,"uris":["http://zotero.org/users/12998224/items/8J8GZBE6"],"itemData":{"id":1108,"type":"article-journal","abstract":"&lt;p&gt;Currently microorganisms are best identified using 16S rRNA and 18S rRNA gene sequencing. However, in recent years matrix assisted laser desorption ionization-time of flight mass spectrometry (MALDI-TOF MS) has emerged as a potential tool for microbial identification and diagnosis. During the MALDI-TOF MS process, microbes are identified using either intact cells or cell extracts. The process is rapid, sensitive, and economical in terms of both labor and costs involved. The technology has been readily imbibed by microbiologists who have reported usage of MALDI-TOF MS for a number of purposes like, microbial identification and strain typing, epidemiological studies, detection of biological warfare agents, detection of water- and food-borne pathogens, detection of antibiotic resistance and detection of blood and urinary tract pathogens etc. The limitation of the technology is that identification of new isolates is possible only if the spectral database contains peptide mass fingerprints of the type strains of specific genera/species/subspecies/strains. This review provides an overview of the status and recent applications of mass spectrometry for microbial identification. It also explores the usefulness of this exciting new technology for diagnosis of diseases caused by bacteria, viruses, and fungi.&lt;/p&gt;","container-title":"Frontiers in Microbiology","DOI":"10.3389/fmicb.2015.00791","ISSN":"1664-302X","journalAbbreviation":"Front. Microbiol.","language":"English","note":"publisher: Frontiers","source":"Frontiers","title":"MALDI-TOF mass spectrometry: an emerging technology for microbial identification and diagnosis","title-short":"MALDI-TOF mass spectrometry","URL":"https://www.frontiersin.org/journals/microbiology/articles/10.3389/fmicb.2015.00791/full","volume":"6","author":[{"family":"Singhal","given":"Neelja"},{"family":"Kumar","given":"Manish"},{"family":"Kanaujia","given":"Pawan K."},{"family":"Virdi","given":"Jugsharan S."}],"accessed":{"date-parts":[["2025",2,1]]},"issued":{"date-parts":[["2015",8,5]]}}},{"id":1110,"uris":["http://zotero.org/users/12998224/items/82XLBWQA"],"itemData":{"id":1110,"type":"article-journal","abstract":"Within the past decade, clinical microbiology laboratories experienced revolutionary changes in the way in which microorganisms are identified, moving away from slow, traditional microbial identification algorithms toward rapid molecular methods and mass spectrometry (MS). Historically, MS was clinically utilized as a high-complexity method adapted for protein-centered analysis of samples in chemistry and hematology laboratories. Today, matrix-assisted laser desorption ionization-time of flight (MALDI-TOF) MS is adapted for use in microbiology laboratories, where it serves as a paradigm-shifting, rapid, and robust method for accurate microbial identification. Multiple instrument platforms, marketed by well-established manufacturers, are beginning to displace automated phenotypic identification instruments and in some cases genetic sequence-based identification practices. This review summarizes the current position of MALDI-TOF MS in clinical research and in diagnostic clinical microbiology laboratories and serves as a primer to examine the \"nuts and bolts\" of MALDI-TOF MS, highlighting research associated with sample preparation, spectral analysis, and accuracy. Currently available MALDI-TOF MS hardware and software platforms that support the use of MALDI-TOF with direct and precultured specimens and integration of the technology into the laboratory workflow are also discussed. Finally, this review closes with a prospective view of the future of MALDI-TOF MS in the clinical microbiology laboratory to accelerate diagnosis and microbial identification to improve patient care.","container-title":"Clinical Microbiology Reviews","DOI":"10.1128/CMR.00072-12","ISSN":"1098-6618","issue":"3","journalAbbreviation":"Clin Microbiol Rev","language":"eng","note":"PMID: 23824373\nPMCID: PMC3719498","page":"547-603","source":"PubMed","title":"Matrix-assisted laser desorption ionization-time of flight mass spectrometry: a fundamental shift in the routine practice of clinical microbiology","title-short":"Matrix-assisted laser desorption ionization-time of flight mass spectrometry","volume":"26","author":[{"family":"Clark","given":"Andrew E."},{"family":"Kaleta","given":"Erin J."},{"family":"Arora","given":"Amit"},{"family":"Wolk","given":"Donna M."}],"issued":{"date-parts":[["2013",7]]}}}],"schema":"https://github.com/citation-style-language/schema/raw/master/csl-citation.json"} </w:instrText>
      </w:r>
      <w:r w:rsidR="00672929">
        <w:rPr>
          <w:rFonts w:ascii="Times New Roman" w:eastAsia="Times New Roman" w:hAnsi="Times New Roman" w:cs="Times New Roman"/>
          <w:sz w:val="20"/>
          <w:szCs w:val="20"/>
        </w:rPr>
        <w:fldChar w:fldCharType="separate"/>
      </w:r>
      <w:r w:rsidR="00672929" w:rsidRPr="00672929">
        <w:rPr>
          <w:rFonts w:ascii="Times New Roman" w:hAnsi="Times New Roman" w:cs="Times New Roman"/>
          <w:sz w:val="20"/>
        </w:rPr>
        <w:t>[9], [10]</w:t>
      </w:r>
      <w:r w:rsidR="0067292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E3E5255"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Another major advantage is its rapid turnaround time, which is crucial for guiding timely and appropriate treatment. For instance, in a case of sepsis and gastroenteritis caused by </w:t>
      </w:r>
      <w:r>
        <w:rPr>
          <w:rFonts w:ascii="Times New Roman" w:eastAsia="Times New Roman" w:hAnsi="Times New Roman" w:cs="Times New Roman"/>
          <w:i/>
          <w:sz w:val="20"/>
          <w:szCs w:val="20"/>
        </w:rPr>
        <w:t>Listeria</w:t>
      </w:r>
      <w:r>
        <w:rPr>
          <w:rFonts w:ascii="Times New Roman" w:eastAsia="Times New Roman" w:hAnsi="Times New Roman" w:cs="Times New Roman"/>
          <w:sz w:val="20"/>
          <w:szCs w:val="20"/>
        </w:rPr>
        <w:t xml:space="preserve"> monocytogenes,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enabled identification within an hour, allowing a swift switch to targeted antibiotics and successful patient recovery. The method is particularly beneficial for identifying slow-growing anaerobes and clinically significant yeasts. Traditional methods for anaerobic bacteria require extended culture times, while yeast infections in immunocompromised patients demand urgent identification for optimal treatment.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enables rapid identification, allowing clinicians to select appropriate antifungal therapies based on species-specific susceptibility patterns, leading to improved patient outcomes and shorter hospital stays. These advantages make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an indispensable tool in modern microbiology, revolutionizing pathogen identification and clinical management.</w:t>
      </w:r>
    </w:p>
    <w:p w14:paraId="67E97AF1" w14:textId="77777777" w:rsidR="00CF00F8" w:rsidRDefault="00000000">
      <w:pPr>
        <w:pStyle w:val="Heading1"/>
        <w:jc w:val="center"/>
        <w:rPr>
          <w:rFonts w:ascii="Calibri" w:eastAsia="Calibri" w:hAnsi="Calibri" w:cs="Calibri"/>
          <w:sz w:val="22"/>
          <w:szCs w:val="22"/>
        </w:rPr>
      </w:pPr>
      <w:bookmarkStart w:id="27" w:name="_Toc191553269"/>
      <w:r>
        <w:rPr>
          <w:rFonts w:ascii="Times New Roman" w:eastAsia="Times New Roman" w:hAnsi="Times New Roman" w:cs="Times New Roman"/>
          <w:b/>
          <w:color w:val="000000"/>
          <w:sz w:val="20"/>
          <w:szCs w:val="20"/>
        </w:rPr>
        <w:lastRenderedPageBreak/>
        <w:t>VIII. CHALLENGES IN IMPLEMENTING MS IN CLINICAL LABORATORIES</w:t>
      </w:r>
      <w:bookmarkEnd w:id="27"/>
    </w:p>
    <w:p w14:paraId="031E5755" w14:textId="29003162" w:rsidR="00CF00F8" w:rsidRPr="004B1623" w:rsidRDefault="00000000">
      <w:pPr>
        <w:spacing w:line="259" w:lineRule="auto"/>
        <w:rPr>
          <w:rFonts w:ascii="Times New Roman" w:eastAsia="Times New Roman" w:hAnsi="Times New Roman" w:cs="Times New Roman"/>
          <w:bCs/>
          <w:sz w:val="20"/>
          <w:szCs w:val="20"/>
        </w:rPr>
      </w:pPr>
      <w:r>
        <w:rPr>
          <w:rFonts w:ascii="Times New Roman" w:eastAsia="Times New Roman" w:hAnsi="Times New Roman" w:cs="Times New Roman"/>
          <w:sz w:val="20"/>
          <w:szCs w:val="20"/>
        </w:rPr>
        <w:t xml:space="preserve">Implementing MS in clinical microbiology labs offers numerous advantages, but it also comes with challenges. These can be categorized into </w:t>
      </w:r>
      <w:r w:rsidRPr="004B1623">
        <w:rPr>
          <w:rFonts w:ascii="Times New Roman" w:eastAsia="Times New Roman" w:hAnsi="Times New Roman" w:cs="Times New Roman"/>
          <w:bCs/>
          <w:sz w:val="20"/>
          <w:szCs w:val="20"/>
        </w:rPr>
        <w:t xml:space="preserve">technical, operational, financial, and regulatory challenges (Table </w:t>
      </w:r>
      <w:r w:rsidR="004B1623" w:rsidRPr="004B1623">
        <w:rPr>
          <w:rFonts w:ascii="Times New Roman" w:eastAsia="Times New Roman" w:hAnsi="Times New Roman" w:cs="Times New Roman"/>
          <w:bCs/>
          <w:sz w:val="20"/>
          <w:szCs w:val="20"/>
        </w:rPr>
        <w:t>5</w:t>
      </w:r>
      <w:r w:rsidRPr="004B1623">
        <w:rPr>
          <w:rFonts w:ascii="Times New Roman" w:eastAsia="Times New Roman" w:hAnsi="Times New Roman" w:cs="Times New Roman"/>
          <w:bCs/>
          <w:sz w:val="20"/>
          <w:szCs w:val="20"/>
        </w:rPr>
        <w:t>):</w:t>
      </w:r>
    </w:p>
    <w:p w14:paraId="3E08FAF2" w14:textId="69BA78EB" w:rsidR="00CF00F8" w:rsidRDefault="00000000">
      <w:pPr>
        <w:spacing w:line="259"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Table </w:t>
      </w:r>
      <w:r w:rsidR="004B1623">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 Challenges in implementing MS in clinical labs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3250"/>
        <w:gridCol w:w="3495"/>
        <w:gridCol w:w="1185"/>
      </w:tblGrid>
      <w:tr w:rsidR="00CF00F8" w14:paraId="363BA7E2" w14:textId="77777777">
        <w:tc>
          <w:tcPr>
            <w:tcW w:w="1430" w:type="dxa"/>
            <w:shd w:val="clear" w:color="auto" w:fill="auto"/>
            <w:tcMar>
              <w:top w:w="100" w:type="dxa"/>
              <w:left w:w="100" w:type="dxa"/>
              <w:bottom w:w="100" w:type="dxa"/>
              <w:right w:w="100" w:type="dxa"/>
            </w:tcMar>
          </w:tcPr>
          <w:p w14:paraId="798FF00D"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Category</w:t>
            </w:r>
          </w:p>
        </w:tc>
        <w:tc>
          <w:tcPr>
            <w:tcW w:w="3250" w:type="dxa"/>
            <w:shd w:val="clear" w:color="auto" w:fill="auto"/>
            <w:tcMar>
              <w:top w:w="100" w:type="dxa"/>
              <w:left w:w="100" w:type="dxa"/>
              <w:bottom w:w="100" w:type="dxa"/>
              <w:right w:w="100" w:type="dxa"/>
            </w:tcMar>
          </w:tcPr>
          <w:p w14:paraId="21F92746"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Challenges</w:t>
            </w:r>
          </w:p>
        </w:tc>
        <w:tc>
          <w:tcPr>
            <w:tcW w:w="3495" w:type="dxa"/>
            <w:shd w:val="clear" w:color="auto" w:fill="auto"/>
            <w:tcMar>
              <w:top w:w="100" w:type="dxa"/>
              <w:left w:w="100" w:type="dxa"/>
              <w:bottom w:w="100" w:type="dxa"/>
              <w:right w:w="100" w:type="dxa"/>
            </w:tcMar>
          </w:tcPr>
          <w:p w14:paraId="6E646857"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Solution</w:t>
            </w:r>
          </w:p>
        </w:tc>
        <w:tc>
          <w:tcPr>
            <w:tcW w:w="1185" w:type="dxa"/>
            <w:shd w:val="clear" w:color="auto" w:fill="auto"/>
            <w:tcMar>
              <w:top w:w="100" w:type="dxa"/>
              <w:left w:w="100" w:type="dxa"/>
              <w:bottom w:w="100" w:type="dxa"/>
              <w:right w:w="100" w:type="dxa"/>
            </w:tcMar>
          </w:tcPr>
          <w:p w14:paraId="1D03CF7D"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c>
      </w:tr>
      <w:tr w:rsidR="00CF00F8" w14:paraId="416666CE" w14:textId="77777777">
        <w:tc>
          <w:tcPr>
            <w:tcW w:w="1430" w:type="dxa"/>
            <w:shd w:val="clear" w:color="auto" w:fill="auto"/>
            <w:tcMar>
              <w:top w:w="100" w:type="dxa"/>
              <w:left w:w="100" w:type="dxa"/>
              <w:bottom w:w="100" w:type="dxa"/>
              <w:right w:w="100" w:type="dxa"/>
            </w:tcMar>
          </w:tcPr>
          <w:p w14:paraId="29A448CB" w14:textId="77777777" w:rsidR="00CF00F8" w:rsidRDefault="00000000">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1.Technical</w:t>
            </w:r>
            <w:proofErr w:type="spellEnd"/>
            <w:r>
              <w:rPr>
                <w:rFonts w:ascii="Times New Roman" w:eastAsia="Times New Roman" w:hAnsi="Times New Roman" w:cs="Times New Roman"/>
                <w:b/>
                <w:sz w:val="20"/>
                <w:szCs w:val="20"/>
              </w:rPr>
              <w:t xml:space="preserve"> </w:t>
            </w:r>
          </w:p>
        </w:tc>
        <w:tc>
          <w:tcPr>
            <w:tcW w:w="3250" w:type="dxa"/>
            <w:shd w:val="clear" w:color="auto" w:fill="auto"/>
            <w:tcMar>
              <w:top w:w="100" w:type="dxa"/>
              <w:left w:w="100" w:type="dxa"/>
              <w:bottom w:w="100" w:type="dxa"/>
              <w:right w:w="100" w:type="dxa"/>
            </w:tcMar>
          </w:tcPr>
          <w:p w14:paraId="1E89565C" w14:textId="77777777" w:rsidR="00CF00F8" w:rsidRDefault="00000000">
            <w:pPr>
              <w:numPr>
                <w:ilvl w:val="0"/>
                <w:numId w:val="15"/>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detection capabilities</w:t>
            </w:r>
          </w:p>
          <w:p w14:paraId="0F2D12BA"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EEED427"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7B4CEA6F"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A69D188"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5C2CD42" w14:textId="77777777" w:rsidR="00CF00F8" w:rsidRDefault="00000000">
            <w:pPr>
              <w:numPr>
                <w:ilvl w:val="0"/>
                <w:numId w:val="15"/>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Database limitations</w:t>
            </w:r>
          </w:p>
          <w:p w14:paraId="1D644C0E" w14:textId="77777777" w:rsidR="00214A33" w:rsidRDefault="00214A33" w:rsidP="00214A33">
            <w:pPr>
              <w:spacing w:after="0" w:line="259" w:lineRule="auto"/>
              <w:rPr>
                <w:rFonts w:ascii="Times New Roman" w:eastAsia="Times New Roman" w:hAnsi="Times New Roman" w:cs="Times New Roman"/>
                <w:sz w:val="20"/>
                <w:szCs w:val="20"/>
              </w:rPr>
            </w:pPr>
          </w:p>
          <w:p w14:paraId="7A4F1850" w14:textId="77777777" w:rsidR="00214A33" w:rsidRDefault="00214A33" w:rsidP="00214A33">
            <w:pPr>
              <w:spacing w:after="0" w:line="259" w:lineRule="auto"/>
              <w:rPr>
                <w:rFonts w:ascii="Times New Roman" w:eastAsia="Times New Roman" w:hAnsi="Times New Roman" w:cs="Times New Roman"/>
                <w:sz w:val="20"/>
                <w:szCs w:val="20"/>
              </w:rPr>
            </w:pPr>
          </w:p>
          <w:p w14:paraId="7A23CA8F" w14:textId="77777777" w:rsidR="00214A33" w:rsidRDefault="00214A33" w:rsidP="00214A33">
            <w:pPr>
              <w:spacing w:after="0" w:line="259" w:lineRule="auto"/>
              <w:rPr>
                <w:rFonts w:ascii="Times New Roman" w:eastAsia="Times New Roman" w:hAnsi="Times New Roman" w:cs="Times New Roman"/>
                <w:sz w:val="20"/>
                <w:szCs w:val="20"/>
              </w:rPr>
            </w:pPr>
          </w:p>
          <w:p w14:paraId="187AF8A5" w14:textId="77777777" w:rsidR="00214A33" w:rsidRDefault="00214A33" w:rsidP="00214A33">
            <w:pPr>
              <w:spacing w:after="0" w:line="259" w:lineRule="auto"/>
              <w:rPr>
                <w:rFonts w:ascii="Times New Roman" w:eastAsia="Times New Roman" w:hAnsi="Times New Roman" w:cs="Times New Roman"/>
                <w:sz w:val="20"/>
                <w:szCs w:val="20"/>
              </w:rPr>
            </w:pPr>
          </w:p>
          <w:p w14:paraId="6D491B8A" w14:textId="77777777" w:rsidR="00CF00F8" w:rsidRDefault="00000000">
            <w:pPr>
              <w:numPr>
                <w:ilvl w:val="0"/>
                <w:numId w:val="15"/>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Bioinformatics and Data Management</w:t>
            </w:r>
          </w:p>
          <w:p w14:paraId="04D70B07" w14:textId="77777777" w:rsidR="00214A33" w:rsidRDefault="00214A33" w:rsidP="00214A33">
            <w:pPr>
              <w:spacing w:after="0" w:line="259" w:lineRule="auto"/>
              <w:rPr>
                <w:rFonts w:ascii="Times New Roman" w:eastAsia="Times New Roman" w:hAnsi="Times New Roman" w:cs="Times New Roman"/>
                <w:sz w:val="20"/>
                <w:szCs w:val="20"/>
              </w:rPr>
            </w:pPr>
          </w:p>
          <w:p w14:paraId="28B270AD" w14:textId="77777777" w:rsidR="00CF00F8" w:rsidRDefault="00000000">
            <w:pPr>
              <w:numPr>
                <w:ilvl w:val="0"/>
                <w:numId w:val="15"/>
              </w:numPr>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applicability in some pathogens</w:t>
            </w:r>
          </w:p>
        </w:tc>
        <w:tc>
          <w:tcPr>
            <w:tcW w:w="3495" w:type="dxa"/>
            <w:shd w:val="clear" w:color="auto" w:fill="auto"/>
            <w:tcMar>
              <w:top w:w="100" w:type="dxa"/>
              <w:left w:w="100" w:type="dxa"/>
              <w:bottom w:w="100" w:type="dxa"/>
              <w:right w:w="100" w:type="dxa"/>
            </w:tcMar>
          </w:tcPr>
          <w:p w14:paraId="609953EB" w14:textId="77777777" w:rsidR="00CF00F8" w:rsidRDefault="00CF00F8">
            <w:pPr>
              <w:widowControl w:val="0"/>
              <w:numPr>
                <w:ilvl w:val="0"/>
                <w:numId w:val="6"/>
              </w:numPr>
              <w:spacing w:after="0" w:line="240" w:lineRule="auto"/>
              <w:rPr>
                <w:rFonts w:ascii="Times New Roman" w:eastAsia="Times New Roman" w:hAnsi="Times New Roman" w:cs="Times New Roman"/>
                <w:sz w:val="20"/>
                <w:szCs w:val="20"/>
              </w:rPr>
            </w:pPr>
          </w:p>
          <w:p w14:paraId="75354B9D" w14:textId="02BF1C11" w:rsidR="00CF00F8" w:rsidRDefault="00000000">
            <w:pPr>
              <w:widowControl w:val="0"/>
              <w:numPr>
                <w:ilvl w:val="0"/>
                <w:numId w:val="9"/>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Integrat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MS with molecular techniques</w:t>
            </w:r>
          </w:p>
          <w:p w14:paraId="18A2BFCC" w14:textId="0FB7E585" w:rsidR="00CF00F8" w:rsidRDefault="00000000">
            <w:pPr>
              <w:widowControl w:val="0"/>
              <w:numPr>
                <w:ilvl w:val="0"/>
                <w:numId w:val="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Improv</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spectral resolution and employ</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sophisticated computational methods</w:t>
            </w:r>
          </w:p>
          <w:p w14:paraId="36A4AF08" w14:textId="77777777" w:rsidR="00CF00F8" w:rsidRDefault="00CF00F8">
            <w:pPr>
              <w:widowControl w:val="0"/>
              <w:numPr>
                <w:ilvl w:val="0"/>
                <w:numId w:val="6"/>
              </w:numPr>
              <w:spacing w:after="0" w:line="240" w:lineRule="auto"/>
              <w:rPr>
                <w:rFonts w:ascii="Times New Roman" w:eastAsia="Times New Roman" w:hAnsi="Times New Roman" w:cs="Times New Roman"/>
                <w:sz w:val="20"/>
                <w:szCs w:val="20"/>
              </w:rPr>
            </w:pPr>
          </w:p>
          <w:p w14:paraId="66DB890A" w14:textId="39674CE2" w:rsidR="00CF00F8" w:rsidRDefault="00000000">
            <w:pPr>
              <w:widowControl w:val="0"/>
              <w:numPr>
                <w:ilvl w:val="0"/>
                <w:numId w:val="2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w:t>
            </w:r>
            <w:r w:rsidR="00214A33">
              <w:rPr>
                <w:rFonts w:ascii="Times New Roman" w:eastAsia="Times New Roman" w:hAnsi="Times New Roman" w:cs="Times New Roman"/>
                <w:sz w:val="20"/>
                <w:szCs w:val="20"/>
              </w:rPr>
              <w:t>orating</w:t>
            </w:r>
            <w:r>
              <w:rPr>
                <w:rFonts w:ascii="Times New Roman" w:eastAsia="Times New Roman" w:hAnsi="Times New Roman" w:cs="Times New Roman"/>
                <w:sz w:val="20"/>
                <w:szCs w:val="20"/>
              </w:rPr>
              <w:t xml:space="preserve"> among clinical laboratories, research institutions, and database providers</w:t>
            </w:r>
          </w:p>
          <w:p w14:paraId="0F253B3F" w14:textId="2E0574BE" w:rsidR="00CF00F8" w:rsidRDefault="00000000">
            <w:pPr>
              <w:widowControl w:val="0"/>
              <w:numPr>
                <w:ilvl w:val="0"/>
                <w:numId w:val="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Utiliz</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cloud-based platforms</w:t>
            </w:r>
          </w:p>
          <w:p w14:paraId="225EA7F8" w14:textId="77777777" w:rsidR="00CF00F8" w:rsidRDefault="00CF00F8">
            <w:pPr>
              <w:widowControl w:val="0"/>
              <w:numPr>
                <w:ilvl w:val="0"/>
                <w:numId w:val="6"/>
              </w:numPr>
              <w:spacing w:after="0" w:line="240" w:lineRule="auto"/>
              <w:rPr>
                <w:rFonts w:ascii="Times New Roman" w:eastAsia="Times New Roman" w:hAnsi="Times New Roman" w:cs="Times New Roman"/>
                <w:sz w:val="20"/>
                <w:szCs w:val="20"/>
              </w:rPr>
            </w:pPr>
          </w:p>
          <w:p w14:paraId="245EA4E5" w14:textId="7892B836" w:rsidR="00CF00F8" w:rsidRDefault="00000000">
            <w:pPr>
              <w:widowControl w:val="0"/>
              <w:numPr>
                <w:ilvl w:val="0"/>
                <w:numId w:val="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Investing in training programs and online courses of data analysis and interpretation</w:t>
            </w:r>
          </w:p>
          <w:p w14:paraId="5DE8A9D3" w14:textId="77777777" w:rsidR="00CF00F8" w:rsidRDefault="00CF00F8">
            <w:pPr>
              <w:widowControl w:val="0"/>
              <w:numPr>
                <w:ilvl w:val="0"/>
                <w:numId w:val="6"/>
              </w:numPr>
              <w:spacing w:after="0" w:line="240" w:lineRule="auto"/>
              <w:rPr>
                <w:rFonts w:ascii="Times New Roman" w:eastAsia="Times New Roman" w:hAnsi="Times New Roman" w:cs="Times New Roman"/>
                <w:sz w:val="20"/>
                <w:szCs w:val="20"/>
              </w:rPr>
            </w:pPr>
          </w:p>
          <w:p w14:paraId="41C7EC2D" w14:textId="3C7F0370" w:rsidR="00CF00F8" w:rsidRDefault="00000000">
            <w:pPr>
              <w:widowControl w:val="0"/>
              <w:numPr>
                <w:ilvl w:val="0"/>
                <w:numId w:val="1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Enhanc</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sample preparation methods to increase viral protein concentration</w:t>
            </w:r>
          </w:p>
          <w:p w14:paraId="2DBC6319" w14:textId="6C544973" w:rsidR="00CF00F8" w:rsidRDefault="00000000">
            <w:pPr>
              <w:widowControl w:val="0"/>
              <w:numPr>
                <w:ilvl w:val="0"/>
                <w:numId w:val="1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MS-based assays tailored for viral diagnostics that complement existing PCR-based methods</w:t>
            </w:r>
          </w:p>
        </w:tc>
        <w:tc>
          <w:tcPr>
            <w:tcW w:w="1185" w:type="dxa"/>
            <w:shd w:val="clear" w:color="auto" w:fill="auto"/>
            <w:tcMar>
              <w:top w:w="100" w:type="dxa"/>
              <w:left w:w="100" w:type="dxa"/>
              <w:bottom w:w="100" w:type="dxa"/>
              <w:right w:w="100" w:type="dxa"/>
            </w:tcMar>
          </w:tcPr>
          <w:p w14:paraId="2F328D60" w14:textId="46B33C60" w:rsidR="00CF00F8" w:rsidRDefault="00672929">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{"citationID":"FO3jtZzT","properties":{"formattedCitation":"[77]","plainCitation":"[77]","noteIndex":0},"citationItems":[{"id":1043,"uris":["http://zotero.org/users/12998224/items/DZH49RM8"],"itemData":{"id":1043,"type":"article-journal","abstract":"Mass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Pr>
                <w:rFonts w:ascii="Times New Roman" w:eastAsia="Times New Roman" w:hAnsi="Times New Roman" w:cs="Times New Roman"/>
                <w:sz w:val="20"/>
                <w:szCs w:val="20"/>
              </w:rPr>
              <w:fldChar w:fldCharType="separate"/>
            </w:r>
            <w:r w:rsidRPr="00672929">
              <w:rPr>
                <w:rFonts w:ascii="Times New Roman" w:hAnsi="Times New Roman" w:cs="Times New Roman"/>
                <w:sz w:val="20"/>
              </w:rPr>
              <w:t>[77]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{"citationID":"mCNOD1Ly","properties":{"formattedCitation":"[78]","plainCitation":"[78]","noteIndex":0},"citationItems":[{"id":1067,"uris":["http://zotero.org/users/12998224/items/3FBKPIA7"],"itemData":{"id":1067,"type":"article-journal","abstract":"Mass spectrometry-based proteomics has evolved as a high-throughput research field over the past decade. Significant advances in instrumentation, and the ability to produce huge volumes of data, have emphasized the need for adequate data analysis tools, which are nowadays often considered the main bottleneck for proteomics development. This review highlights important issues that directly impact the effectiveness of proteomic quantitation and educates software developers and end-users on available computational solutions to correct for the occurrence of these factors. Potential sources of errors specific for stable isotope-based methods or label-free approaches are explicitly outlined. The overall aim focuses on a generic proteomic workflow.","container-title":"Amino Acids","DOI":"10.1007/s00726-012-1289-8","ISSN":"0939-4451","issue":"3","journalAbbreviation":"Amino Acids","note":"PMID: 22821268\nPMCID: PMC3418498","page":"1087-1108","source":"PubMed Central","title":"Current challenges in software solutions for mass spectrometry-based quantitative proteomics","volume":"43","author":[{"family":"Cappadona","given":"Salvatore"},{"family":"Baker","given":"Peter R."},{"family":"Cutillas","given":"Pedro R."},{"family":"Heck","given":"Albert J. R."},{"family":"Breukelen","given":"Bas","non-dropping-particle":"van"}],"issued":{"date-parts":[["2012"]]}}}],"schema":"https://github.com/citation-style-language/schema/raw/master/csl-citation.json"} </w:instrText>
            </w:r>
            <w:r>
              <w:rPr>
                <w:rFonts w:ascii="Times New Roman" w:eastAsia="Times New Roman" w:hAnsi="Times New Roman" w:cs="Times New Roman"/>
                <w:sz w:val="20"/>
                <w:szCs w:val="20"/>
              </w:rPr>
              <w:fldChar w:fldCharType="separate"/>
            </w:r>
            <w:r w:rsidRPr="00672929">
              <w:rPr>
                <w:rFonts w:ascii="Times New Roman" w:hAnsi="Times New Roman" w:cs="Times New Roman"/>
                <w:sz w:val="20"/>
              </w:rPr>
              <w:t>[78]</w:t>
            </w:r>
            <w:r>
              <w:rPr>
                <w:rFonts w:ascii="Times New Roman" w:eastAsia="Times New Roman" w:hAnsi="Times New Roman" w:cs="Times New Roman"/>
                <w:sz w:val="20"/>
                <w:szCs w:val="20"/>
              </w:rPr>
              <w:fldChar w:fldCharType="end"/>
            </w:r>
          </w:p>
        </w:tc>
      </w:tr>
      <w:tr w:rsidR="00CF00F8" w14:paraId="0DECD970" w14:textId="77777777">
        <w:tc>
          <w:tcPr>
            <w:tcW w:w="1430" w:type="dxa"/>
            <w:shd w:val="clear" w:color="auto" w:fill="auto"/>
            <w:tcMar>
              <w:top w:w="100" w:type="dxa"/>
              <w:left w:w="100" w:type="dxa"/>
              <w:bottom w:w="100" w:type="dxa"/>
              <w:right w:w="100" w:type="dxa"/>
            </w:tcMar>
          </w:tcPr>
          <w:p w14:paraId="1082B8E4" w14:textId="77777777" w:rsidR="00CF00F8" w:rsidRDefault="00000000">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2.Operational</w:t>
            </w:r>
            <w:proofErr w:type="spellEnd"/>
          </w:p>
        </w:tc>
        <w:tc>
          <w:tcPr>
            <w:tcW w:w="3250" w:type="dxa"/>
            <w:shd w:val="clear" w:color="auto" w:fill="auto"/>
            <w:tcMar>
              <w:top w:w="100" w:type="dxa"/>
              <w:left w:w="100" w:type="dxa"/>
              <w:bottom w:w="100" w:type="dxa"/>
              <w:right w:w="100" w:type="dxa"/>
            </w:tcMar>
          </w:tcPr>
          <w:p w14:paraId="01FBC452" w14:textId="77777777" w:rsidR="00CF00F8" w:rsidRDefault="00000000" w:rsidP="00214A33">
            <w:pPr>
              <w:widowControl w:val="0"/>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Need for skilled personnel</w:t>
            </w:r>
          </w:p>
          <w:p w14:paraId="3777F9FC"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65F6DB98"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75E5CFEB"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4E5B8F03"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368A0D3B"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197E4526"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67856F89" w14:textId="77777777" w:rsidR="00214A33" w:rsidRDefault="00214A33" w:rsidP="00214A33">
            <w:pPr>
              <w:widowControl w:val="0"/>
              <w:spacing w:after="0" w:line="240" w:lineRule="auto"/>
              <w:ind w:left="720"/>
              <w:rPr>
                <w:rFonts w:ascii="Times New Roman" w:eastAsia="Times New Roman" w:hAnsi="Times New Roman" w:cs="Times New Roman"/>
                <w:sz w:val="20"/>
                <w:szCs w:val="20"/>
              </w:rPr>
            </w:pPr>
          </w:p>
          <w:p w14:paraId="32A727D3" w14:textId="77777777" w:rsidR="00CF00F8" w:rsidRDefault="00000000" w:rsidP="00214A33">
            <w:pPr>
              <w:widowControl w:val="0"/>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Integration with workflow</w:t>
            </w:r>
          </w:p>
          <w:p w14:paraId="0B553D51"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77B8CC10"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5C5AFB2A"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4060054B"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2DCE6281"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2FBE16D0"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3FEDB13C"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6DFD5F5B"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32B29967"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76120AC7" w14:textId="77777777" w:rsidR="00214A33" w:rsidRDefault="00214A33" w:rsidP="00214A33">
            <w:pPr>
              <w:widowControl w:val="0"/>
              <w:spacing w:after="0" w:line="240" w:lineRule="auto"/>
              <w:rPr>
                <w:rFonts w:ascii="Times New Roman" w:eastAsia="Times New Roman" w:hAnsi="Times New Roman" w:cs="Times New Roman"/>
                <w:sz w:val="20"/>
                <w:szCs w:val="20"/>
              </w:rPr>
            </w:pPr>
          </w:p>
          <w:p w14:paraId="51AF9FAC" w14:textId="2D34637D" w:rsidR="00CF00F8" w:rsidRDefault="00000000" w:rsidP="00214A33">
            <w:pPr>
              <w:widowControl w:val="0"/>
              <w:numPr>
                <w:ilvl w:val="0"/>
                <w:numId w:val="2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Infrastructure requirement</w:t>
            </w:r>
            <w:r w:rsidR="00214A33">
              <w:rPr>
                <w:rFonts w:ascii="Times New Roman" w:eastAsia="Times New Roman" w:hAnsi="Times New Roman" w:cs="Times New Roman"/>
                <w:sz w:val="20"/>
                <w:szCs w:val="20"/>
              </w:rPr>
              <w:t>s</w:t>
            </w:r>
          </w:p>
        </w:tc>
        <w:tc>
          <w:tcPr>
            <w:tcW w:w="3495" w:type="dxa"/>
            <w:shd w:val="clear" w:color="auto" w:fill="auto"/>
            <w:tcMar>
              <w:top w:w="100" w:type="dxa"/>
              <w:left w:w="100" w:type="dxa"/>
              <w:bottom w:w="100" w:type="dxa"/>
              <w:right w:w="100" w:type="dxa"/>
            </w:tcMar>
          </w:tcPr>
          <w:p w14:paraId="598D680B" w14:textId="77777777" w:rsidR="00CF00F8" w:rsidRDefault="00CF00F8">
            <w:pPr>
              <w:widowControl w:val="0"/>
              <w:numPr>
                <w:ilvl w:val="0"/>
                <w:numId w:val="8"/>
              </w:numPr>
              <w:spacing w:after="0" w:line="240" w:lineRule="auto"/>
              <w:rPr>
                <w:rFonts w:ascii="Times New Roman" w:eastAsia="Times New Roman" w:hAnsi="Times New Roman" w:cs="Times New Roman"/>
                <w:sz w:val="20"/>
                <w:szCs w:val="20"/>
              </w:rPr>
            </w:pPr>
          </w:p>
          <w:p w14:paraId="20DD50AE" w14:textId="36B304A8" w:rsidR="00CF00F8" w:rsidRDefault="00000000">
            <w:pPr>
              <w:widowControl w:val="0"/>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Invest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in comprehensive training programs</w:t>
            </w:r>
          </w:p>
          <w:p w14:paraId="656CDF27" w14:textId="2867BE6B" w:rsidR="00CF00F8" w:rsidRDefault="00000000">
            <w:pPr>
              <w:widowControl w:val="0"/>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with academic institutions and professional organizations</w:t>
            </w:r>
          </w:p>
          <w:p w14:paraId="1CB9C0FF" w14:textId="4CADBB6C" w:rsidR="00CF00F8" w:rsidRDefault="00000000">
            <w:pPr>
              <w:widowControl w:val="0"/>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standardized protocols</w:t>
            </w:r>
          </w:p>
          <w:p w14:paraId="1D2DCAB5" w14:textId="77777777" w:rsidR="00CF00F8" w:rsidRDefault="00CF00F8">
            <w:pPr>
              <w:widowControl w:val="0"/>
              <w:numPr>
                <w:ilvl w:val="0"/>
                <w:numId w:val="8"/>
              </w:numPr>
              <w:spacing w:after="0" w:line="240" w:lineRule="auto"/>
              <w:rPr>
                <w:rFonts w:ascii="Times New Roman" w:eastAsia="Times New Roman" w:hAnsi="Times New Roman" w:cs="Times New Roman"/>
                <w:sz w:val="20"/>
                <w:szCs w:val="20"/>
              </w:rPr>
            </w:pPr>
          </w:p>
          <w:p w14:paraId="00C653F4" w14:textId="77777777" w:rsidR="00CF00F8" w:rsidRDefault="00000000">
            <w:pPr>
              <w:widowControl w:val="0"/>
              <w:numPr>
                <w:ilvl w:val="0"/>
                <w:numId w:val="1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Adopting automation technologies such as automated liquid handling systems can reduce manual labor and minimize errors</w:t>
            </w:r>
          </w:p>
          <w:p w14:paraId="538F7515" w14:textId="1AF5B1EF" w:rsidR="00CF00F8" w:rsidRDefault="00214A33">
            <w:pPr>
              <w:widowControl w:val="0"/>
              <w:numPr>
                <w:ilvl w:val="0"/>
                <w:numId w:val="1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transfer between MS instruments and laboratory information systems (LIS)/ electronic health records (</w:t>
            </w:r>
            <w:proofErr w:type="spellStart"/>
            <w:r>
              <w:rPr>
                <w:rFonts w:ascii="Times New Roman" w:eastAsia="Times New Roman" w:hAnsi="Times New Roman" w:cs="Times New Roman"/>
                <w:sz w:val="20"/>
                <w:szCs w:val="20"/>
              </w:rPr>
              <w:t>EHRs</w:t>
            </w:r>
            <w:proofErr w:type="spellEnd"/>
            <w:r>
              <w:rPr>
                <w:rFonts w:ascii="Times New Roman" w:eastAsia="Times New Roman" w:hAnsi="Times New Roman" w:cs="Times New Roman"/>
                <w:sz w:val="20"/>
                <w:szCs w:val="20"/>
              </w:rPr>
              <w:t>)</w:t>
            </w:r>
          </w:p>
          <w:p w14:paraId="418B7E5F" w14:textId="77777777" w:rsidR="00CF00F8" w:rsidRDefault="00CF00F8">
            <w:pPr>
              <w:widowControl w:val="0"/>
              <w:numPr>
                <w:ilvl w:val="0"/>
                <w:numId w:val="8"/>
              </w:numPr>
              <w:spacing w:after="0" w:line="240" w:lineRule="auto"/>
              <w:rPr>
                <w:rFonts w:ascii="Times New Roman" w:eastAsia="Times New Roman" w:hAnsi="Times New Roman" w:cs="Times New Roman"/>
                <w:sz w:val="20"/>
                <w:szCs w:val="20"/>
              </w:rPr>
            </w:pPr>
          </w:p>
          <w:p w14:paraId="1F7BDC5A" w14:textId="42780C43" w:rsidR="00CF00F8" w:rsidRDefault="00000000">
            <w:pPr>
              <w:widowControl w:val="0"/>
              <w:numPr>
                <w:ilvl w:val="0"/>
                <w:numId w:val="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Select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compact or benchtop MS models when space is </w:t>
            </w:r>
            <w:r>
              <w:rPr>
                <w:rFonts w:ascii="Times New Roman" w:eastAsia="Times New Roman" w:hAnsi="Times New Roman" w:cs="Times New Roman"/>
                <w:sz w:val="20"/>
                <w:szCs w:val="20"/>
              </w:rPr>
              <w:lastRenderedPageBreak/>
              <w:t>limited</w:t>
            </w:r>
          </w:p>
          <w:p w14:paraId="6DC13A5D" w14:textId="77777777" w:rsidR="00CF00F8" w:rsidRDefault="00000000">
            <w:pPr>
              <w:widowControl w:val="0"/>
              <w:numPr>
                <w:ilvl w:val="0"/>
                <w:numId w:val="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Investing in uninterruptible power supplies (UPS) and climate control systems can ensure consistent operating conditions</w:t>
            </w:r>
          </w:p>
        </w:tc>
        <w:tc>
          <w:tcPr>
            <w:tcW w:w="1185" w:type="dxa"/>
            <w:shd w:val="clear" w:color="auto" w:fill="auto"/>
            <w:tcMar>
              <w:top w:w="100" w:type="dxa"/>
              <w:left w:w="100" w:type="dxa"/>
              <w:bottom w:w="100" w:type="dxa"/>
              <w:right w:w="100" w:type="dxa"/>
            </w:tcMar>
          </w:tcPr>
          <w:p w14:paraId="28E9018A" w14:textId="785A711F" w:rsidR="00CF00F8" w:rsidRDefault="00672929">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fldChar w:fldCharType="begin"/>
            </w:r>
            <w:r>
              <w:rPr>
                <w:rFonts w:ascii="Times New Roman" w:eastAsia="Times New Roman" w:hAnsi="Times New Roman" w:cs="Times New Roman"/>
                <w:sz w:val="20"/>
                <w:szCs w:val="20"/>
              </w:rPr>
              <w:instrText xml:space="preserve"> ADDIN ZOTERO_ITEM CSL_CITATION {"citationID":"XQhC1coE","properties":{"formattedCitation":"[77]","plainCitation":"[77]","noteIndex":0},"citationItems":[{"id":1043,"uris":["http://zotero.org/users/12998224/items/DZH49RM8"],"itemData":{"id":1043,"type":"article-journal","abstract":"Mass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Pr>
                <w:rFonts w:ascii="Times New Roman" w:eastAsia="Times New Roman" w:hAnsi="Times New Roman" w:cs="Times New Roman"/>
                <w:sz w:val="20"/>
                <w:szCs w:val="20"/>
              </w:rPr>
              <w:fldChar w:fldCharType="separate"/>
            </w:r>
            <w:r w:rsidRPr="00672929">
              <w:rPr>
                <w:rFonts w:ascii="Times New Roman" w:hAnsi="Times New Roman" w:cs="Times New Roman"/>
                <w:sz w:val="20"/>
              </w:rPr>
              <w:t>[77]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{"citationID":"3jUmnFt4","properties":{"formattedCitation":"[78]","plainCitation":"[78]","noteIndex":0},"citationItems":[{"id":1067,"uris":["http://zotero.org/users/12998224/items/3FBKPIA7"],"itemData":{"id":1067,"type":"article-journal","abstract":"Mass spectrometry-based proteomics has evolved as a high-throughput research field over the past decade. Significant advances in instrumentation, and the ability to produce huge volumes of data, have emphasized the need for adequate data analysis tools, which are nowadays often considered the main bottleneck for proteomics development. This review highlights important issues that directly impact the effectiveness of proteomic quantitation and educates software developers and end-users on available computational solutions to correct for the occurrence of these factors. Potential sources of errors specific for stable isotope-based methods or label-free approaches are explicitly outlined. The overall aim focuses on a generic proteomic workflow.","container-title":"Amino Acids","DOI":"10.1007/s00726-012-1289-8","ISSN":"0939-4451","issue":"3","journalAbbreviation":"Amino Acids","note":"PMID: 22821268\nPMCID: PMC3418498","page":"1087-1108","source":"PubMed Central","title":"Current challenges in software solutions for mass spectrometry-based quantitative proteomics","volume":"43","author":[{"family":"Cappadona","given":"Salvatore"},{"family":"Baker","given":"Peter R."},{"family":"Cutillas","given":"Pedro R."},{"family":"Heck","given":"Albert J. R."},{"family":"Breukelen","given":"Bas","non-dropping-particle":"van"}],"issued":{"date-parts":[["2012"]]}}}],"schema":"https://github.com/citation-style-language/schema/raw/master/csl-citation.json"} </w:instrText>
            </w:r>
            <w:r>
              <w:rPr>
                <w:rFonts w:ascii="Times New Roman" w:eastAsia="Times New Roman" w:hAnsi="Times New Roman" w:cs="Times New Roman"/>
                <w:sz w:val="20"/>
                <w:szCs w:val="20"/>
              </w:rPr>
              <w:fldChar w:fldCharType="separate"/>
            </w:r>
            <w:r w:rsidRPr="00672929">
              <w:rPr>
                <w:rFonts w:ascii="Times New Roman" w:hAnsi="Times New Roman" w:cs="Times New Roman"/>
                <w:sz w:val="20"/>
              </w:rPr>
              <w:t>[78]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{"citationID":"OcweHCUU","properties":{"formattedCitation":"[79]","plainCitation":"[79]","noteIndex":0},"citationItems":[{"id":1048,"uris":["http://zotero.org/users/12998224/items/YV47ZNK2"],"itemData":{"id":1048,"type":"webpage","abstract":"The new decade holds both promise and remaining challenges for widespread adoption of mass spectrometry in the clinical lab","container-title":"LabX","genre":"Scientific Article","language":"en","title":"Mass Spectrometry for Clinical Applications: Challenges and Solutions in the New Decade","title-short":"Mass Spectrometry for Clinical Applications","URL":"https://www.labx.com/resources/mass-spectrometry-for-clinical-applications-challenges-and-solutions-in-the-new-decade/279","author":[{"family":"Anderson","given":"Damon"}],"accessed":{"date-parts":[["2025",1,31]]},"issued":{"date-parts":[["2020",2,11]]}}}],"schema":"https://github.com/citation-style-language/schema/raw/master/csl-citation.json"} </w:instrText>
            </w:r>
            <w:r>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{"citationID":"wb0FPUnG","properties":{"formattedCitation":"[80]","plainCitation":"[80]","noteIndex":0},"citationItems":[{"id":1070,"uris":["http://zotero.org/users/12998224/items/JJ6T4EI2"],"itemData":{"id":1070,"type":"article-journal","abstract":"Mass spectrometry (MS) has revolutionized clinical chemistry, offering unparalleled capabilities for biomolecule analysis. This review explores the growing significance of mass spectrometry (MS), particularly when coupled with liquid chromatography (LC), in identifying disease biomarkers and quantifying biomolecules for diagnostic and prognostic purposes. The unique advantages of MS in accurately identifying and quantifying diverse molecules have positioned it as a cornerstone in personalized-medicine advancement. MS-based technologies have transformed precision medicine, enabling a comprehensive understanding of disease mechanisms and patient-specific treatment responses. LC-MS has shown exceptional utility in analyzing complex biological matrices, while high-resolution MS has expanded analytical capabilities, allowing the detection of low-abundance molecules and the elucidation of complex biological pathways. The integration of MS with other techniques, such as ion mobility spectrometry, has opened new avenues for biomarker discovery and validation. As we progress toward precision medicine, MS-based technologies will be crucial in addressing the challenges of individualized patient care, driving innovations in disease diagnosis, prognosis, and treatment strategies.","container-title":"International Journal of Molecular Sciences","DOI":"10.3390/ijms25189880","ISSN":"1422-0067","issue":"18","language":"en","license":"http://creativecommons.org/licenses/by/3.0/","note":"number: 18\npublisher: Multidisciplinary Digital Publishing Institute","page":"9880","source":"www.mdpi.com","title":"Mass Spectrometry Advancements and Applications for Biomarker Discovery, Diagnostic Innovations, and Personalized Medicine","volume":"25","author":[{"family":"Son","given":"Ahrum"},{"family":"Kim","given":"Woojin"},{"family":"Park","given":"Jongham"},{"family":"Park","given":"Yongho"},{"family":"Lee","given":"Wonseok"},{"family":"Lee","given":"Sangwoon"},{"family":"Kim","given":"Hyunsoo"}],"issued":{"date-parts":[["2024",1]]}}}],"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[80]</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{"citationID":"7weSSH9v","properties":{"formattedCitation":"[81]","plainCitation":"[81]","noteIndex":0},"citationItems":[{"id":1072,"uris":["http://zotero.org/users/12998224/items/GHZL7E7C"],"itemData":{"id":1072,"type":"webpage","container-title":"MedicalLab Management Magazine","genre":"Scientific Article","title":"Bringing Mass Spectrometry to the Clinical Lab","URL":"https://www.medlabmag.com/article/1208?utm_source=chatgpt.com","author":[{"family":"Zhang","given":"Victoria"}],"accessed":{"date-parts":[["2025",1,31]]},"issued":{"date-parts":[["2015",9]]}}}],"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[81]</w:t>
            </w:r>
            <w:r w:rsidR="009E1BDE">
              <w:rPr>
                <w:rFonts w:ascii="Times New Roman" w:eastAsia="Times New Roman" w:hAnsi="Times New Roman" w:cs="Times New Roman"/>
                <w:sz w:val="20"/>
                <w:szCs w:val="20"/>
              </w:rPr>
              <w:fldChar w:fldCharType="end"/>
            </w:r>
          </w:p>
        </w:tc>
      </w:tr>
      <w:tr w:rsidR="00CF00F8" w14:paraId="40BBDF94" w14:textId="77777777">
        <w:tc>
          <w:tcPr>
            <w:tcW w:w="1430" w:type="dxa"/>
            <w:shd w:val="clear" w:color="auto" w:fill="auto"/>
            <w:tcMar>
              <w:top w:w="100" w:type="dxa"/>
              <w:left w:w="100" w:type="dxa"/>
              <w:bottom w:w="100" w:type="dxa"/>
              <w:right w:w="100" w:type="dxa"/>
            </w:tcMar>
          </w:tcPr>
          <w:p w14:paraId="525E4A0B"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Financial</w:t>
            </w:r>
          </w:p>
        </w:tc>
        <w:tc>
          <w:tcPr>
            <w:tcW w:w="3250" w:type="dxa"/>
            <w:shd w:val="clear" w:color="auto" w:fill="auto"/>
            <w:tcMar>
              <w:top w:w="100" w:type="dxa"/>
              <w:left w:w="100" w:type="dxa"/>
              <w:bottom w:w="100" w:type="dxa"/>
              <w:right w:w="100" w:type="dxa"/>
            </w:tcMar>
          </w:tcPr>
          <w:p w14:paraId="064B7638" w14:textId="77777777" w:rsidR="00CF00F8" w:rsidRDefault="00000000">
            <w:pPr>
              <w:numPr>
                <w:ilvl w:val="0"/>
                <w:numId w:val="5"/>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 initial cost</w:t>
            </w:r>
          </w:p>
          <w:p w14:paraId="2B56E269"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79C78A9E"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4B2E35A9"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5363B5F3"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6D88DB1A"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802FD3D" w14:textId="77777777" w:rsidR="00CF00F8" w:rsidRDefault="00000000">
            <w:pPr>
              <w:numPr>
                <w:ilvl w:val="0"/>
                <w:numId w:val="5"/>
              </w:numPr>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Cost-effectiveness in low-volume labs</w:t>
            </w:r>
          </w:p>
          <w:p w14:paraId="45B9DE28" w14:textId="77777777" w:rsidR="00CF00F8" w:rsidRDefault="00CF00F8">
            <w:pPr>
              <w:widowControl w:val="0"/>
              <w:spacing w:after="0" w:line="240" w:lineRule="auto"/>
              <w:rPr>
                <w:rFonts w:ascii="Times New Roman" w:eastAsia="Times New Roman" w:hAnsi="Times New Roman" w:cs="Times New Roman"/>
                <w:sz w:val="20"/>
                <w:szCs w:val="20"/>
              </w:rPr>
            </w:pPr>
          </w:p>
        </w:tc>
        <w:tc>
          <w:tcPr>
            <w:tcW w:w="3495" w:type="dxa"/>
            <w:shd w:val="clear" w:color="auto" w:fill="auto"/>
            <w:tcMar>
              <w:top w:w="100" w:type="dxa"/>
              <w:left w:w="100" w:type="dxa"/>
              <w:bottom w:w="100" w:type="dxa"/>
              <w:right w:w="100" w:type="dxa"/>
            </w:tcMar>
          </w:tcPr>
          <w:p w14:paraId="068C8BF0" w14:textId="77777777" w:rsidR="00CF00F8" w:rsidRDefault="00CF00F8">
            <w:pPr>
              <w:widowControl w:val="0"/>
              <w:numPr>
                <w:ilvl w:val="0"/>
                <w:numId w:val="13"/>
              </w:numPr>
              <w:spacing w:after="0" w:line="240" w:lineRule="auto"/>
              <w:rPr>
                <w:rFonts w:ascii="Times New Roman" w:eastAsia="Times New Roman" w:hAnsi="Times New Roman" w:cs="Times New Roman"/>
                <w:sz w:val="20"/>
                <w:szCs w:val="20"/>
              </w:rPr>
            </w:pPr>
          </w:p>
          <w:p w14:paraId="58E11CC6" w14:textId="77777777" w:rsidR="00CF00F8" w:rsidRDefault="00000000">
            <w:pPr>
              <w:widowControl w:val="0"/>
              <w:numPr>
                <w:ilvl w:val="0"/>
                <w:numId w:val="2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Leasing agreements</w:t>
            </w:r>
          </w:p>
          <w:p w14:paraId="4F19C6AC" w14:textId="77777777" w:rsidR="00CF00F8" w:rsidRDefault="00000000">
            <w:pPr>
              <w:widowControl w:val="0"/>
              <w:numPr>
                <w:ilvl w:val="0"/>
                <w:numId w:val="2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Seeking funding through grants from governmental or private organizations</w:t>
            </w:r>
          </w:p>
          <w:p w14:paraId="2AE7A028" w14:textId="77777777" w:rsidR="00CF00F8" w:rsidRDefault="00000000">
            <w:pPr>
              <w:widowControl w:val="0"/>
              <w:numPr>
                <w:ilvl w:val="0"/>
                <w:numId w:val="2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Collaborative purchasing agreements</w:t>
            </w:r>
          </w:p>
          <w:p w14:paraId="12F7F90C" w14:textId="77777777" w:rsidR="00CF00F8" w:rsidRDefault="00CF00F8">
            <w:pPr>
              <w:widowControl w:val="0"/>
              <w:numPr>
                <w:ilvl w:val="0"/>
                <w:numId w:val="13"/>
              </w:numPr>
              <w:spacing w:after="0" w:line="240" w:lineRule="auto"/>
              <w:rPr>
                <w:rFonts w:ascii="Times New Roman" w:eastAsia="Times New Roman" w:hAnsi="Times New Roman" w:cs="Times New Roman"/>
                <w:sz w:val="20"/>
                <w:szCs w:val="20"/>
              </w:rPr>
            </w:pPr>
          </w:p>
          <w:p w14:paraId="4E1A0505" w14:textId="77777777" w:rsidR="00CF00F8" w:rsidRDefault="00000000">
            <w:pPr>
              <w:widowControl w:val="0"/>
              <w:numPr>
                <w:ilvl w:val="0"/>
                <w:numId w:val="1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Automating time-consuming workflows, such as solid-phase extraction (SPE)</w:t>
            </w:r>
          </w:p>
          <w:p w14:paraId="573F6B7B" w14:textId="77777777" w:rsidR="00CF00F8" w:rsidRDefault="00CF00F8">
            <w:pPr>
              <w:widowControl w:val="0"/>
              <w:spacing w:after="0" w:line="240" w:lineRule="auto"/>
              <w:ind w:left="720"/>
              <w:rPr>
                <w:rFonts w:ascii="Times New Roman" w:eastAsia="Times New Roman" w:hAnsi="Times New Roman" w:cs="Times New Roman"/>
                <w:sz w:val="20"/>
                <w:szCs w:val="20"/>
              </w:rPr>
            </w:pPr>
          </w:p>
        </w:tc>
        <w:tc>
          <w:tcPr>
            <w:tcW w:w="1185" w:type="dxa"/>
            <w:shd w:val="clear" w:color="auto" w:fill="auto"/>
            <w:tcMar>
              <w:top w:w="100" w:type="dxa"/>
              <w:left w:w="100" w:type="dxa"/>
              <w:bottom w:w="100" w:type="dxa"/>
              <w:right w:w="100" w:type="dxa"/>
            </w:tcMar>
          </w:tcPr>
          <w:p w14:paraId="370B1F48" w14:textId="30CD6E9C" w:rsidR="00CF00F8" w:rsidRDefault="009E1BD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{"citationID":"aaIIJPii","properties":{"formattedCitation":"[82]","plainCitation":"[82]","noteIndex":0},"citationItems":[{"id":1075,"uris":["http://zotero.org/users/12998224/items/Z2D6YRRW"],"itemData":{"id":1075,"type":"article-journal","collection-title":"Mass Spec Talk","container-title":"Yale School of Medicine","language":"en","source":"Zotero","title":"Financial considerations for purchasing a mass spectrometer","author":[{"family":"El-Khoury","given":"Joe M"}],"issued":{"date-parts":[["2018"]]}}}],"schema":"https://github.com/citation-style-language/schema/raw/master/csl-citation.json"}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{"citationID":"60WnPM7m","properties":{"formattedCitation":"[83]","plainCitation":"[83]","noteIndex":0},"citationItems":[{"id":1076,"uris":["http://zotero.org/users/12998224/items/D96RPLPR"],"itemData":{"id":1076,"type":"article-journal","abstract":"Objectives and intervention\nBloodstream infection, the presence of viable micro-organisms in the blood, is a prevalent clinical event associated with substantial mortality. Patient outcomes may be improved when the causative micro-organism is identified quickly. We assessed the cost-effectiveness of rapid microbial identification by matrix-assisted laser desorption/ionisation time-of-flight (MALDI-TOF) mass spectrometry.\n\nDesign\nEconomic evaluation alongside a randomised multicentre trial (RAPIDO: RAPId Diagnosis on Outcome) assessing the impact of rapid identification by MALDI-TOF spectrometry.\n\nSetting\nAdult inpatients with bloodstream infections at seven National Health Service hospital trusts in England and Wales.\n\nPrimary outcome\nNet monetary benefit, estimated as incremental costs compared with incremental 28-day survival, of rapid identification by MALDI-TOF spectrometry compared with conventional identification.\n\nMethods\nPatients were randomised (1:1) to receive diagnosis by conventional methods of microbial identification (conventional arm) only or by MALDI-TOF spectrometry in addition to conventional identification (RAPIDO arm).\n\nResults\nData from 5550 patients were included in primary analysis. Mean imputed costs in 2018/2019 prices per patient were lower by £126 in the RAPIDO arm (95% CI −£784 to £532) but the proportion of patients alive at day 28 was lower (81.4% vs 82.3%). The probability of cost-effectiveness of MALDI-TOF was &lt;0.5 at cost-effectiveness thresholds between £20 000 and £50 000.\n\nConclusions\nAdjunctive MALDI-TOF diagnosis was unlikely to be cost-effective when measured as cost per death avoided at 28 days. However, the differences between arms in cost and effect were modest, associated with uncertainty and may not accurately reflect ‘real-world’ routine use of MALDI-TOF technology in this patient group.\n\nTrial registration numbers\nISRCTN97107018/UKCRN 11978.","container-title":"BMJ Open","DOI":"10.1136/bmjopen-2020-044623","ISSN":"2044-6055","issue":"10","journalAbbreviation":"BMJ Open","note":"PMID: 34663649\nPMCID: PMC8524273","page":"e044623","source":"PubMed Central","title":"Cost-effectiveness of rapid laboratory-based mass-spectrometry diagnosis of bloodstream infection: evidence from the RAPIDO randomised controlled trial","title-short":"Cost-effectiveness of rapid laboratory-based mass-spectrometry diagnosis of bloodstream infection","volume":"11","author":[{"family":"Dixon","given":"Padraig"},{"family":"Hollingworth","given":"William"},{"family":"Pike","given":"Katie"},{"family":"Reynolds","given":"Rosy"},{"family":"Stoddart","given":"Margaret"},{"family":"MacGowan","given":"Alasdair"}],"issued":{"date-parts":[["2021",10,18]]}}}],"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{"citationID":"qjJ5aaBz","properties":{"formattedCitation":"[84]","plainCitation":"[84]","noteIndex":0},"citationItems":[{"id":1079,"uris":["http://zotero.org/users/12998224/items/ZCXFT49U"],"itemData":{"id":1079,"type":"webpage","abstract":"Here we examine the perceived barriers to mass spec in clinical laboratories and explore the possible drivers behind the recent shift in uptake of the technology in clinical settings.","container-title":"Analysis &amp; Separations from Technology Networks","language":"en","title":"Education and Expense: The Barriers to Mass Spectrometry in Clinical Laboratories?","title-short":"Education and Expense","URL":"http://www.technologynetworks.com/analysis/news/education-and-expense-the-barriers-to-mass-spectrometry-in-clinical-laboratories-193157","author":[{"family":"N/A","given":""}],"accessed":{"date-parts":[["2025",1,31]]},"issued":{"date-parts":[["2015"]]}}}],"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[84]</w:t>
            </w:r>
            <w:r>
              <w:rPr>
                <w:rFonts w:ascii="Times New Roman" w:eastAsia="Times New Roman" w:hAnsi="Times New Roman" w:cs="Times New Roman"/>
                <w:sz w:val="20"/>
                <w:szCs w:val="20"/>
              </w:rPr>
              <w:fldChar w:fldCharType="end"/>
            </w:r>
          </w:p>
        </w:tc>
      </w:tr>
      <w:tr w:rsidR="00CF00F8" w14:paraId="7744B374" w14:textId="77777777">
        <w:tc>
          <w:tcPr>
            <w:tcW w:w="1430" w:type="dxa"/>
            <w:shd w:val="clear" w:color="auto" w:fill="auto"/>
            <w:tcMar>
              <w:top w:w="100" w:type="dxa"/>
              <w:left w:w="100" w:type="dxa"/>
              <w:bottom w:w="100" w:type="dxa"/>
              <w:right w:w="100" w:type="dxa"/>
            </w:tcMar>
          </w:tcPr>
          <w:p w14:paraId="027D031E" w14:textId="77777777" w:rsidR="00CF00F8" w:rsidRDefault="00000000">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Regulatory </w:t>
            </w:r>
          </w:p>
        </w:tc>
        <w:tc>
          <w:tcPr>
            <w:tcW w:w="3250" w:type="dxa"/>
            <w:shd w:val="clear" w:color="auto" w:fill="auto"/>
            <w:tcMar>
              <w:top w:w="100" w:type="dxa"/>
              <w:left w:w="100" w:type="dxa"/>
              <w:bottom w:w="100" w:type="dxa"/>
              <w:right w:w="100" w:type="dxa"/>
            </w:tcMar>
          </w:tcPr>
          <w:p w14:paraId="10ED3AEB" w14:textId="77777777" w:rsidR="00CF00F8" w:rsidRDefault="00000000">
            <w:pPr>
              <w:numPr>
                <w:ilvl w:val="0"/>
                <w:numId w:val="14"/>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Standardization of protocols</w:t>
            </w:r>
          </w:p>
          <w:p w14:paraId="656E34FD"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551D7864"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341F5440"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7F723258"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497B851"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B88A7B8"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7EB47CF3"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DC5E467"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262A8C3F"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2D123F9"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77F9F282" w14:textId="77777777" w:rsidR="00CF00F8" w:rsidRDefault="00000000">
            <w:pPr>
              <w:numPr>
                <w:ilvl w:val="0"/>
                <w:numId w:val="14"/>
              </w:numPr>
              <w:spacing w:after="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Regulatory and Quality control</w:t>
            </w:r>
          </w:p>
          <w:p w14:paraId="35B353A6"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AC12DC6"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6851EA80"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325DD67B"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57A6422"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6A3BD37A"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19F6847A"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6DFDA7C7"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0B95A22F"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4F8C7FE7" w14:textId="77777777" w:rsidR="00214A33" w:rsidRDefault="00214A33" w:rsidP="00214A33">
            <w:pPr>
              <w:spacing w:after="0" w:line="259" w:lineRule="auto"/>
              <w:ind w:left="720"/>
              <w:rPr>
                <w:rFonts w:ascii="Times New Roman" w:eastAsia="Times New Roman" w:hAnsi="Times New Roman" w:cs="Times New Roman"/>
                <w:sz w:val="20"/>
                <w:szCs w:val="20"/>
              </w:rPr>
            </w:pPr>
          </w:p>
          <w:p w14:paraId="4AD94B5A" w14:textId="4C87B244" w:rsidR="00CF00F8" w:rsidRDefault="00000000">
            <w:pPr>
              <w:numPr>
                <w:ilvl w:val="0"/>
                <w:numId w:val="14"/>
              </w:numPr>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Challenges with </w:t>
            </w:r>
            <w:r w:rsidR="000F51C3">
              <w:rPr>
                <w:rFonts w:ascii="Times New Roman" w:eastAsia="Times New Roman" w:hAnsi="Times New Roman" w:cs="Times New Roman"/>
                <w:sz w:val="20"/>
                <w:szCs w:val="20"/>
              </w:rPr>
              <w:t>ASTs</w:t>
            </w:r>
          </w:p>
        </w:tc>
        <w:tc>
          <w:tcPr>
            <w:tcW w:w="3495" w:type="dxa"/>
            <w:shd w:val="clear" w:color="auto" w:fill="auto"/>
            <w:tcMar>
              <w:top w:w="100" w:type="dxa"/>
              <w:left w:w="100" w:type="dxa"/>
              <w:bottom w:w="100" w:type="dxa"/>
              <w:right w:w="100" w:type="dxa"/>
            </w:tcMar>
          </w:tcPr>
          <w:p w14:paraId="0D2CABB7" w14:textId="77777777" w:rsidR="00CF00F8" w:rsidRDefault="00CF00F8">
            <w:pPr>
              <w:widowControl w:val="0"/>
              <w:numPr>
                <w:ilvl w:val="0"/>
                <w:numId w:val="18"/>
              </w:numPr>
              <w:spacing w:after="0" w:line="240" w:lineRule="auto"/>
              <w:rPr>
                <w:rFonts w:ascii="Times New Roman" w:eastAsia="Times New Roman" w:hAnsi="Times New Roman" w:cs="Times New Roman"/>
                <w:sz w:val="20"/>
                <w:szCs w:val="20"/>
              </w:rPr>
            </w:pPr>
          </w:p>
          <w:p w14:paraId="05C4542A" w14:textId="77777777" w:rsidR="00CF00F8" w:rsidRDefault="00000000">
            <w:pPr>
              <w:widowControl w:val="0"/>
              <w:numPr>
                <w:ilvl w:val="0"/>
                <w:numId w:val="19"/>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Collaborative efforts in developing and adopting standardized procedures among clinical laboratories, professional organizations, and regulatory bodies</w:t>
            </w:r>
          </w:p>
          <w:p w14:paraId="57DD8A13" w14:textId="77777777" w:rsidR="00CF00F8" w:rsidRDefault="00000000">
            <w:pPr>
              <w:widowControl w:val="0"/>
              <w:numPr>
                <w:ilvl w:val="0"/>
                <w:numId w:val="19"/>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Implementing standardized calibration materials and quality control measures such as the use of internal standards labeled with stable isotope</w:t>
            </w:r>
          </w:p>
          <w:p w14:paraId="6906EB4B" w14:textId="77777777" w:rsidR="00CF00F8" w:rsidRDefault="00CF00F8">
            <w:pPr>
              <w:widowControl w:val="0"/>
              <w:numPr>
                <w:ilvl w:val="0"/>
                <w:numId w:val="18"/>
              </w:numPr>
              <w:spacing w:after="0" w:line="240" w:lineRule="auto"/>
              <w:rPr>
                <w:rFonts w:ascii="Times New Roman" w:eastAsia="Times New Roman" w:hAnsi="Times New Roman" w:cs="Times New Roman"/>
                <w:sz w:val="20"/>
                <w:szCs w:val="20"/>
              </w:rPr>
            </w:pPr>
          </w:p>
          <w:p w14:paraId="497D87C5" w14:textId="21E0EE6F" w:rsidR="00CF00F8" w:rsidRDefault="00000000">
            <w:pPr>
              <w:widowControl w:val="0"/>
              <w:numPr>
                <w:ilvl w:val="0"/>
                <w:numId w:val="2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comprehensive quality management systems that align with regulatory requirements like CLIA and ISO</w:t>
            </w:r>
          </w:p>
          <w:p w14:paraId="6FCE5D24" w14:textId="77777777" w:rsidR="00CF00F8" w:rsidRDefault="00000000">
            <w:pPr>
              <w:widowControl w:val="0"/>
              <w:numPr>
                <w:ilvl w:val="0"/>
                <w:numId w:val="2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Regular proficiency testing, participation in external quality assessment programs, and adherence to validated standard operating procedures</w:t>
            </w:r>
          </w:p>
          <w:p w14:paraId="5AD82058" w14:textId="77777777" w:rsidR="00CF00F8" w:rsidRDefault="00000000">
            <w:pPr>
              <w:widowControl w:val="0"/>
              <w:numPr>
                <w:ilvl w:val="0"/>
                <w:numId w:val="2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Continuous education and training of laboratory personnel</w:t>
            </w:r>
          </w:p>
          <w:p w14:paraId="305DA9F5" w14:textId="77777777" w:rsidR="00CF00F8" w:rsidRDefault="00CF00F8">
            <w:pPr>
              <w:widowControl w:val="0"/>
              <w:numPr>
                <w:ilvl w:val="0"/>
                <w:numId w:val="18"/>
              </w:numPr>
              <w:spacing w:after="0" w:line="240" w:lineRule="auto"/>
              <w:rPr>
                <w:rFonts w:ascii="Times New Roman" w:eastAsia="Times New Roman" w:hAnsi="Times New Roman" w:cs="Times New Roman"/>
                <w:sz w:val="20"/>
                <w:szCs w:val="20"/>
              </w:rPr>
            </w:pPr>
          </w:p>
          <w:p w14:paraId="144DFB9E" w14:textId="34FC4B25" w:rsidR="00CF00F8" w:rsidRDefault="00000000">
            <w:pPr>
              <w:widowControl w:val="0"/>
              <w:numPr>
                <w:ilvl w:val="0"/>
                <w:numId w:val="4"/>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Focus</w:t>
            </w:r>
            <w:r w:rsidR="00214A33">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on developing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w:t>
            </w:r>
          </w:p>
          <w:p w14:paraId="0EBA8730" w14:textId="77777777" w:rsidR="00CF00F8" w:rsidRDefault="00000000">
            <w:pPr>
              <w:widowControl w:val="0"/>
              <w:numPr>
                <w:ilvl w:val="0"/>
                <w:numId w:val="4"/>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Expanding MS databases to include spectra of resistant strains </w:t>
            </w:r>
          </w:p>
          <w:p w14:paraId="24E0E50D" w14:textId="77777777" w:rsidR="00CF00F8" w:rsidRDefault="00CF00F8">
            <w:pPr>
              <w:widowControl w:val="0"/>
              <w:spacing w:after="0" w:line="240" w:lineRule="auto"/>
              <w:ind w:left="720"/>
              <w:rPr>
                <w:rFonts w:ascii="Times New Roman" w:eastAsia="Times New Roman" w:hAnsi="Times New Roman" w:cs="Times New Roman"/>
                <w:sz w:val="20"/>
                <w:szCs w:val="20"/>
              </w:rPr>
            </w:pPr>
          </w:p>
        </w:tc>
        <w:tc>
          <w:tcPr>
            <w:tcW w:w="1185" w:type="dxa"/>
            <w:shd w:val="clear" w:color="auto" w:fill="auto"/>
            <w:tcMar>
              <w:top w:w="100" w:type="dxa"/>
              <w:left w:w="100" w:type="dxa"/>
              <w:bottom w:w="100" w:type="dxa"/>
              <w:right w:w="100" w:type="dxa"/>
            </w:tcMar>
          </w:tcPr>
          <w:p w14:paraId="62BFE86E" w14:textId="0DB29138" w:rsidR="00CF00F8" w:rsidRDefault="009E1BD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{"citationID":"CdINbXlU","properties":{"formattedCitation":"[85]","plainCitation":"[85]","noteIndex":0},"citationItems":[{"id":1081,"uris":["http://zotero.org/users/12998224/items/LNVFJK5D"],"itemData":{"id":1081,"type":"article-journal","abstract":"Effective patient care, clinical research, and public health efforts require comparability of laboratory results independent of time, place, and measurement procedure. Comparability is achieved by establishing metrological traceability, which ensures that measurement procedures measure the same quantity and that the calibration of measurement procedures is traceable to a common reference system consisting of reference methods and materials. Whereas standardization ensures traceability to the International System of Units, harmonization ensures traceability to a reference system agreed on by convention. This article provides an overview of standardization and harmonization with an emphasis on commutability as an important variable that affects testing accuracy. Commutability of reference materials is required to ensure that traceability is established appropriately and that laboratory results are comparable. The use of noncommutable reference materials leads to inaccurate results. Whereas procedures and protocols for standardizing measurements are established and have been successfully applied in efforts such as the Hormones Standardization Program of the CDC, harmonization activities require new, more complex procedures and approaches. The American Association for Clinical Chemistry, together with its domestic and international partners, formed the International Consortium for Harmonization of Clinical Laboratory Results to coordinate harmonization efforts. Reference systems, as well as procedures and protocols to establish traceability of clinical laboratory tests, have been established and continue to be developed by national and international groups and organizations. Serum tests of thyroid function, including those for the thyroid hormones thyroxine and triiodothyronine, are among the clinical procedures for which standardization efforts are well under way. Approaches to the harmonization of measurement procedures for serum concentrations of thyroid-stimulating hormone are likewise under development.","container-title":"The American Journal of Clinical Nutrition","DOI":"10.3945/ajcn.115.110387","ISSN":"0002-9165","journalAbbreviation":"The American Journal of Clinical Nutrition","page":"907S-912S","source":"ScienceDirect","title":"Current practices and challenges in the standardization and harmonization of clinical laboratory tests1223","volume":"104","author":[{"family":"Vesper","given":"Hubert W"},{"family":"Myers","given":"Gary L"},{"family":"Miller","given":"W Greg"}],"issued":{"date-parts":[["2016",9,1]]}}}],"schema":"https://github.com/citation-style-language/schema/raw/master/csl-citation.json"}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{"citationID":"VP22ePjr","properties":{"formattedCitation":"[86]","plainCitation":"[86]","noteIndex":0},"citationItems":[{"id":1084,"uris":["http://zotero.org/users/12998224/items/P7Z2N6LB"],"itemData":{"id":1084,"type":"article-journal","abstract":"Population studies such as NHANES analyze large numbers of laboratory measurements and are often performed in different laboratories using different measurement procedures and over an extended period of time. Correct clinical and epidemiologic ...","container-title":"The American Journal of Clinical Nutrition","DOI":"10.3945/ajcn.111.013359","issue":"1","language":"en","note":"PMID: 21562088","page":"332S","source":"pmc.ncbi.nlm.nih.gov","title":"Advances in standardization of laboratory measurement procedures: implications for measuring biomarkers of folate and vitamin B-12 status in NHANES1","title-short":"Advances in standardization of laboratory measurement procedures","volume":"94","author":[{"family":"Bock","given":"Jay L."},{"family":"Eckfeldt","given":"John H."}],"issued":{"date-parts":[["2011",7]]}}}],"schema":"https://github.com/citation-style-language/schema/raw/master/csl-citation.json"}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{"citationID":"QnSimwZZ","properties":{"formattedCitation":"[87]","plainCitation":"[87]","noteIndex":0},"citationItems":[{"id":1056,"uris":["http://zotero.org/users/12998224/items/XRGLFWU7"],"itemData":{"id":1056,"type":"article-journal","abstract":"Beyond the long-established, optical standard techniques of photometry and immunoassay, LC-API-MS-MS has opened new horizons for clinical pathology. This is related to biomedical research and standardization as well as to routine diagnostic testing. It can be expected that the latter field will see important growth, including the introduction of automated MS-based analyzer systems. This will shift the application of mass spectrometric tests from a few specialized laboratories to many standard clinical laboratories with a lower level of analytical expertise.","collection-title":"Special Issues-07-01-2015","language":"en","note":"publisher: MJH Life Sciences","page":"14-19","source":"www.spectroscopyonline.com","title":"Mass Spectrometry in the Clinical Laboratory—Challenges for Quality Assurance","volume":"13","author":[{"family":"Vogeser","given":"Michael"}],"issued":{"date-parts":[["2015",7,1]]}}}],"schema":"https://github.com/citation-style-language/schema/raw/master/csl-citation.json"} </w:instrText>
            </w:r>
            <w:r>
              <w:rPr>
                <w:rFonts w:ascii="Times New Roman" w:eastAsia="Times New Roman" w:hAnsi="Times New Roman" w:cs="Times New Roman"/>
                <w:sz w:val="20"/>
                <w:szCs w:val="20"/>
              </w:rPr>
              <w:fldChar w:fldCharType="separate"/>
            </w:r>
            <w:r w:rsidRPr="009E1BDE">
              <w:rPr>
                <w:rFonts w:ascii="Times New Roman" w:hAnsi="Times New Roman" w:cs="Times New Roman"/>
                <w:sz w:val="20"/>
              </w:rPr>
              <w:t>[87]</w:t>
            </w:r>
            <w:r>
              <w:rPr>
                <w:rFonts w:ascii="Times New Roman" w:eastAsia="Times New Roman" w:hAnsi="Times New Roman" w:cs="Times New Roman"/>
                <w:sz w:val="20"/>
                <w:szCs w:val="20"/>
              </w:rPr>
              <w:fldChar w:fldCharType="end"/>
            </w:r>
          </w:p>
        </w:tc>
      </w:tr>
    </w:tbl>
    <w:p w14:paraId="21A54DC6" w14:textId="77777777" w:rsidR="00CF00F8" w:rsidRDefault="00CF00F8">
      <w:pPr>
        <w:spacing w:line="259" w:lineRule="auto"/>
        <w:rPr>
          <w:rFonts w:ascii="Times New Roman" w:eastAsia="Times New Roman" w:hAnsi="Times New Roman" w:cs="Times New Roman"/>
          <w:sz w:val="20"/>
          <w:szCs w:val="20"/>
        </w:rPr>
      </w:pPr>
    </w:p>
    <w:p w14:paraId="5DA5564E" w14:textId="77777777" w:rsidR="00CF00F8"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Implementing MS in clinical practice presents several technical challenges that must be addressed to fully harness its diagnostic potential. Key among these are limited detection capabilities, database limitations, bioinformatics and data management issues, and limited applicability to certain pathogens.</w:t>
      </w:r>
    </w:p>
    <w:p w14:paraId="2AECE313" w14:textId="1ACC27C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MS, particularly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primarily identifies pathogens based on protein profiles. This phenotypic approach may not detect genetic resistance markers or virulence factors, potentially leading to incomplete diagnostic information. Additionally, in polymicrobial infections, the simultaneous presence of multiple organisms can complicate spectral interpretation, making it challenging to accurately identify all pathogens present. To overcome these limitations, integrating MS with molecular techniques such as PCR or genomic sequencing can enhance the detection of genetic resistance markers and virulence factors, providing a more comprehensive diagnostic profile. Advanced data analysis algorithms and machine learning techniques can deconvolute complex spectra from polymicrobial infections, improving the accuracy of pathogen identification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{"citationID":"YEzYF8lG","properties":{"formattedCitation":"[77]","plainCitation":"[77]","noteIndex":0},"citationItems":[{"id":1043,"uris":["http://zotero.org/users/12998224/items/DZH49RM8"],"itemData":{"id":1043,"type":"article-journal","abstract":"Mass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[77]</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5CD02997" w14:textId="706ACB8B"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effectiveness of MS-based identification relies heavily on comprehensive and up-to-date spectral databases. However, existing databases may lack entries for all clinically relevant or region-specific pathogens, leading to potential misidentification or non-identification. Furthermore, the rapid emergence of new or mutated pathogens necessitates frequent database updates to maintain diagnostic accuracy. Addressing these challenges requires collaborative efforts among clinical laboratories, research institutions, and database providers to regularly update and expand MS databases. Implementing automated pipelines for continuous database updates can ensure timely inclusion of new or emerging pathogens and resistance profiles, thereby enhancing the comprehensiveness and relevance of these databases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{"citationID":"TadnFUq9","properties":{"formattedCitation":"[77]","plainCitation":"[77]","noteIndex":0},"citationItems":[{"id":1043,"uris":["http://zotero.org/users/12998224/items/DZH49RM8"],"itemData":{"id":1043,"type":"article-journal","abstract":"Mass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[77]</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8D86FF4" w14:textId="703F4F2F"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high-throughput nature of MS generates large volumes of complex data, necessitating robust bioinformatics tools for data processing, analysis, and interpretation. Many clinical laboratories may lack the specialized software and computational infrastructure required to manage these datasets effectively. Additionally, there is often a shortage of personnel trained in bioinformatics, further complicating data management and analysis. To mitigate these issues, investing in high-performance computing infrastructure and specialized software solutions is essential for managing and analyzing extensive MS datasets. Training programs in bioinformatics for laboratory personnel can equip staff with the necessary skills for data analysis and interpretation, ensuring accurate and efficient data handling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{"citationID":"OjRBzGMX","properties":{"formattedCitation":"[78]","plainCitation":"[78]","noteIndex":0},"citationItems":[{"id":1067,"uris":["http://zotero.org/users/12998224/items/3FBKPIA7"],"itemData":{"id":1067,"type":"article-journal","abstract":"Mass spectrometry-based proteomics has evolved as a high-throughput research field over the past decade. Significant advances in instrumentation, and the ability to produce huge volumes of data, have emphasized the need for adequate data analysis tools, which are nowadays often considered the main bottleneck for proteomics development. This review highlights important issues that directly impact the effectiveness of proteomic quantitation and educates software developers and end-users on available computational solutions to correct for the occurrence of these factors. Potential sources of errors specific for stable isotope-based methods or label-free approaches are explicitly outlined. The overall aim focuses on a generic proteomic workflow.","container-title":"Amino Acids","DOI":"10.1007/s00726-012-1289-8","ISSN":"0939-4451","issue":"3","journalAbbreviation":"Amino Acids","note":"PMID: 22821268\nPMCID: PMC3418498","page":"1087-1108","source":"PubMed Central","title":"Current challenges in software solutions for mass spectrometry-based quantitative proteomics","volume":"43","author":[{"family":"Cappadona","given":"Salvatore"},{"family":"Baker","given":"Peter R."},{"family":"Cutillas","given":"Pedro R."},{"family":"Heck","given":"Albert J. R."},{"family":"Breukelen","given":"Bas","non-dropping-particle":"van"}],"issued":{"date-parts":[["2012"]]}}}],"schema":"https://github.com/citation-style-language/schema/raw/master/csl-citation.json"}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[78]</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624BC545" w14:textId="1D57CC5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While MS has proven effective for bacterial identification, its application in detecting certain pathogens, such as viruses, remains limited. Viral diagnostics often rely on nucleic acid-based methods like PCR, as viruses lack the abundant protein profiles necessary for MS detection. Additionally, MS may struggle to detect specific antimicrobial resistance genes or mutations, which are more readily identified through molecular techniques. Enhancing sample preparation methods to increase viral protein concentrations can improve MS detection of viral pathogens. Developing MS-based assays tailored for viral diagnostics can complement existing PCR-based methods, providing a more comprehensive diagnostic toolkit. Integrating MS with techniques like PCR or sequencing can enhance the detection of antimicrobial resistance genes or specific mutations, allowing for rapid identification of resistance profiles and aiding in the selection of appropriate therapeutic strategies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{"citationID":"YdrxtRn9","properties":{"formattedCitation":"[77]","plainCitation":"[77]","noteIndex":0},"citationItems":[{"id":1043,"uris":["http://zotero.org/users/12998224/items/DZH49RM8"],"itemData":{"id":1043,"type":"article-journal","abstract":"Mass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[77]</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0FDBDBE9"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advancements in MS have addressed many technical challenges, its integration into clinical laboratories also presents several operational hurdles. These challenges primarily revolve around the need for highly skilled personnel, workflow integration difficulties, and infrastructure requirements. Unlike conventional diagnostic methods, which are often fully automated and standardized, MS demands specialized expertise and tailored laboratory settings, making its adoption in routine clinical practice complex.</w:t>
      </w:r>
    </w:p>
    <w:p w14:paraId="00902615" w14:textId="51A133AC"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One of the most pressing operational challenges in implementing MS is the requirement for highly trained personnel. Unlike traditional diagnostic platforms such as EIA or automated biochemical analyzers, MS-based workflows involve multiple intricate steps, including sample preparation, instrument calibration, method optimization, and data interpretation. Laboratory personnel must possess specialized training in handling mass spectrometers, troubleshooting technical issues, and ensuring quality control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{"citationID":"D00gE4CH","properties":{"formattedCitation":"[77]","plainCitation":"[77]","noteIndex":0},"citationItems":[{"id":1043,"uris":["http://zotero.org/users/12998224/items/DZH49RM8"],"itemData":{"id":1043,"type":"article-journal","abstract":"Mass spectrometry is a powerful analytical tool used for the analysis of a wide range of substances and matrices; it is increasingly utilized for clinical applications in laboratory medicine. This Primer includes an overview of basic mass spectrometry concepts, focusing primarily on tandem mass spectrometry. We discuss experimental considerations and quality management, and provide an overview of some key applications in the clinic. Lastly, the Primer discusses significant challenges for implementation of mass spectrometry in clinical laboratories and provides an outlook of where there are emerging clinical applications for this technology., Tandem mass spectrometry is increasingly utilized for clinical applications in laboratory medicine. In this Primer, Thomas et al. discuss experimental considerations and quality management for implementing clinical tandem mass spectrometry in the clinic with an overview of some key applications.","container-title":"Nature Reviews. Methods Primers","DOI":"10.1038/s43586-022-00175-x","ISSN":"2662-8449","issue":"1","journalAbbreviation":"Nat Rev Methods Primers","note":"PMID: 36532107\nPMCID: PMC9735147","page":"96","source":"PubMed Central","title":"Liquid chromatography–tandem mass spectrometry for clinical diagnostics","volume":"2","author":[{"family":"Thomas","given":"Stefani N."},{"family":"French","given":"Deborah"},{"family":"Jannetto","given":"Paul J."},{"family":"Rappold","given":"Brian A."},{"family":"Clarke","given":"William A."}],"issued":{"date-parts":[["2022"]]}}}],"schema":"https://github.com/citation-style-language/schema/raw/master/csl-citation.json"}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[77]</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Moreover, the complexity of MS methodologies necessitates continuous education to keep pace with evolving instrumentation and software updates. In settings with high staff turnover, maintaining expertise in MS can be particularly challenging, potentially affecting the consistency and reliability of test results. Addressing this issue requires investment in comprehensive training programs that cover both fundamental and advanced MS applications. Collaborations between clinical laboratories, academic institutions, and professional organizations can facilitate access to standardized training modules, ensuring that personnel remain proficient in MS techniques. Additionally, simplifying workflows through automation—such as pre-calibrated reagent </w:t>
      </w:r>
      <w:r>
        <w:rPr>
          <w:rFonts w:ascii="Times New Roman" w:eastAsia="Times New Roman" w:hAnsi="Times New Roman" w:cs="Times New Roman"/>
          <w:sz w:val="20"/>
          <w:szCs w:val="20"/>
        </w:rPr>
        <w:lastRenderedPageBreak/>
        <w:t xml:space="preserve">kits and streamlined data processing algorithms—can reduce the burden on laboratory staff and minimize the likelihood of technical errors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{"citationID":"tAlGvCjQ","properties":{"formattedCitation":"[88]","plainCitation":"[88]","noteIndex":0},"citationItems":[{"id":1046,"uris":["http://zotero.org/users/12998224/items/YACWQIXE"],"itemData":{"id":1046,"type":"webpage","abstract":"Have you ever wanted to either implement or expand the use of liquid chromatography – tandem mass spectrometry (LC-MS/MS) in your clinical lab but have put off doing so because...","container-title":"Medical Laboratory Observer","language":"en","title":"Bringing down barriers to give better access to mass spectrometry in the clinical laboratory","URL":"https://www.mlo-online.com/molecular/mdx/article/21274162/bringing-down-barriers-to-give-better-access-to-mass-spectrometry-in-the-clinical-laboratory","author":[{"family":"Cooke","given":"Mikko Salonen","suffix":"Peter"}],"accessed":{"date-parts":[["2025",1,31]]},"issued":{"date-parts":[["2022",7,20]]}}}],"schema":"https://github.com/citation-style-language/schema/raw/master/csl-citation.json"}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[88]</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35119C17" w14:textId="48DCA095"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Seamlessly integrating MS into existing laboratory workflows presents another major challenge. Many clinical laboratories operate with highly standardized and automated systems, whereas MS-based workflows often require manual interventions, particularly in sample preparation and instrument calibration. Transitioning from conventional diagnostic methods to MS may lead to workflow disruptions, requiring substantial adjustments in laboratory protocols and personnel training. Additionally, integrating MS-generated data with laboratory information systems (LIS) and electronic health records (</w:t>
      </w:r>
      <w:proofErr w:type="spellStart"/>
      <w:r>
        <w:rPr>
          <w:rFonts w:ascii="Times New Roman" w:eastAsia="Times New Roman" w:hAnsi="Times New Roman" w:cs="Times New Roman"/>
          <w:sz w:val="20"/>
          <w:szCs w:val="20"/>
        </w:rPr>
        <w:t>EHRs</w:t>
      </w:r>
      <w:proofErr w:type="spellEnd"/>
      <w:r>
        <w:rPr>
          <w:rFonts w:ascii="Times New Roman" w:eastAsia="Times New Roman" w:hAnsi="Times New Roman" w:cs="Times New Roman"/>
          <w:sz w:val="20"/>
          <w:szCs w:val="20"/>
        </w:rPr>
        <w:t xml:space="preserve">) remains a technical hurdle, as many existing LIS platforms are not optimized for handling MS-generated spectral data, necessitating custom software solutions and IT infrastructure modifications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{"citationID":"54exmyXn","properties":{"formattedCitation":"[88]","plainCitation":"[88]","noteIndex":0},"citationItems":[{"id":1046,"uris":["http://zotero.org/users/12998224/items/YACWQIXE"],"itemData":{"id":1046,"type":"webpage","abstract":"Have you ever wanted to either implement or expand the use of liquid chromatography – tandem mass spectrometry (LC-MS/MS) in your clinical lab but have put off doing so because...","container-title":"Medical Laboratory Observer","language":"en","title":"Bringing down barriers to give better access to mass spectrometry in the clinical laboratory","URL":"https://www.mlo-online.com/molecular/mdx/article/21274162/bringing-down-barriers-to-give-better-access-to-mass-spectrometry-in-the-clinical-laboratory","author":[{"family":"Cooke","given":"Mikko Salonen","suffix":"Peter"}],"accessed":{"date-parts":[["2025",1,31]]},"issued":{"date-parts":[["2022",7,20]]}}}],"schema":"https://github.com/citation-style-language/schema/raw/master/csl-citation.json"}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[88]</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To facilitate smoother integration, laboratories should consider implementing automation technologies that minimize manual handling of samples and reduce turnaround times. Automated liquid handling systems and robotic sample processors can streamline sample preparation, while advancements in software development now allow for direct integration of MS data into LIS/EHR systems, reducing transcription errors and improving result accessibility. Several studies have demonstrated the benefits of automated sample preparation systems in enhancing workflow efficiency and ensuring reproducibility in MS-based assays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{"citationID":"yhxhA31W","properties":{"formattedCitation":"[79]","plainCitation":"[79]","noteIndex":0},"citationItems":[{"id":1048,"uris":["http://zotero.org/users/12998224/items/YV47ZNK2"],"itemData":{"id":1048,"type":"webpage","abstract":"The new decade holds both promise and remaining challenges for widespread adoption of mass spectrometry in the clinical lab","container-title":"LabX","genre":"Scientific Article","language":"en","title":"Mass Spectrometry for Clinical Applications: Challenges and Solutions in the New Decade","title-short":"Mass Spectrometry for Clinical Applications","URL":"https://www.labx.com/resources/mass-spectrometry-for-clinical-applications-challenges-and-solutions-in-the-new-decade/279","author":[{"family":"Anderson","given":"Damon"}],"accessed":{"date-parts":[["2025",1,31]]},"issued":{"date-parts":[["2020",2,11]]}}}],"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[79]</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Adopting such solutions can improve operational efficiency while preserving the high analytical sensitivity of MS-based diagnostics.</w:t>
      </w:r>
    </w:p>
    <w:p w14:paraId="7F9DFB7D" w14:textId="2E42990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Beyond personnel and workflow considerations, MS instruments also impose specific infrastructure requirements that may not be readily met by all clinical laboratories. Unlike conventional diagnostic instruments, which can often function in standard laboratory conditions, MS systems require carefully controlled environmental settings, including stable temperature and humidity levels, to maintain optimal performance. Additionally, the need for reliable power supplies is critical, as power fluctuations or outages can lead to instrument malfunctions, resulting in data loss and operational downtime. For laboratories operating in older facilities or resource-limited settings, establishing an MS-compatible infrastructure can be costly and logistically challenging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{"citationID":"uasyImoK","properties":{"formattedCitation":"[80]","plainCitation":"[80]","noteIndex":0},"citationItems":[{"id":1070,"uris":["http://zotero.org/users/12998224/items/JJ6T4EI2"],"itemData":{"id":1070,"type":"article-journal","abstract":"Mass spectrometry (MS) has revolutionized clinical chemistry, offering unparalleled capabilities for biomolecule analysis. This review explores the growing significance of mass spectrometry (MS), particularly when coupled with liquid chromatography (LC), in identifying disease biomarkers and quantifying biomolecules for diagnostic and prognostic purposes. The unique advantages of MS in accurately identifying and quantifying diverse molecules have positioned it as a cornerstone in personalized-medicine advancement. MS-based technologies have transformed precision medicine, enabling a comprehensive understanding of disease mechanisms and patient-specific treatment responses. LC-MS has shown exceptional utility in analyzing complex biological matrices, while high-resolution MS has expanded analytical capabilities, allowing the detection of low-abundance molecules and the elucidation of complex biological pathways. The integration of MS with other techniques, such as ion mobility spectrometry, has opened new avenues for biomarker discovery and validation. As we progress toward precision medicine, MS-based technologies will be crucial in addressing the challenges of individualized patient care, driving innovations in disease diagnosis, prognosis, and treatment strategies.","container-title":"International Journal of Molecular Sciences","DOI":"10.3390/ijms25189880","ISSN":"1422-0067","issue":"18","language":"en","license":"http://creativecommons.org/licenses/by/3.0/","note":"number: 18\npublisher: Multidisciplinary Digital Publishing Institute","page":"9880","source":"www.mdpi.com","title":"Mass Spectrometry Advancements and Applications for Biomarker Discovery, Diagnostic Innovations, and Personalized Medicine","volume":"25","author":[{"family":"Son","given":"Ahrum"},{"family":"Kim","given":"Woojin"},{"family":"Park","given":"Jongham"},{"family":"Park","given":"Yongho"},{"family":"Lee","given":"Wonseok"},{"family":"Lee","given":"Sangwoon"},{"family":"Kim","given":"Hyunsoo"}],"issued":{"date-parts":[["2024",1]]}}}],"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[80]</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Overcoming these challenges requires strategic planning in laboratory design, ensuring that environmental controls such as temperature regulation and uninterruptible power supplies (UPS) are in place to maintain instrument stability. Laboratories with space constraints may opt for benchtop or compact MS models that offer comparable analytical performance without requiring extensive facility modifications. Moreover, institutions investing in MS should consider phased implementation strategies, starting with limited-scale pilot programs to assess feasibility before full-scale integration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{"citationID":"dhXkBbXP","properties":{"formattedCitation":"[81]","plainCitation":"[81]","noteIndex":0},"citationItems":[{"id":1072,"uris":["http://zotero.org/users/12998224/items/GHZL7E7C"],"itemData":{"id":1072,"type":"webpage","container-title":"MedicalLab Management Magazine","genre":"Scientific Article","title":"Bringing Mass Spectrometry to the Clinical Lab","URL":"https://www.medlabmag.com/article/1208?utm_source=chatgpt.com","author":[{"family":"Zhang","given":"Victoria"}],"accessed":{"date-parts":[["2025",1,31]]},"issued":{"date-parts":[["2015",9]]}}}],"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[81]</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By addressing these infrastructure-related concerns, laboratories can create an environment that supports the successful deployment of MS while maintaining efficiency in routine diagnostic operations.</w:t>
      </w:r>
    </w:p>
    <w:p w14:paraId="6AC5EDA5"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technical and operational constraints, including workflow integration and people training, impede the use of MS in clinical laboratories, financial reasons frequently represent the most significant obstacle. The substantial initial expenditure necessary for MS devices, along with the difficulties in sustaining cost-effectiveness in low-volume facilities, renders financial planning a crucial element in assessing implementation viability. For numerous institutions, the choice to implement MS-based diagnostics depends not only on its technical excellence but also on its economic feasibility.</w:t>
      </w:r>
    </w:p>
    <w:p w14:paraId="463AC582" w14:textId="284AE19A"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acquisition of MS instruments represents a substantial capital investment, with costs ranging from $200,000 to $500,000 depending on the complexity and functionality of the system. In addition to the instrument itself, financial outlays extend to specialized infrastructure, maintenance contracts, and quality control reagents, further increasing the economic burden. Unlike traditional diagnostic methods such as immunoassays, which often utilize pre-existing laboratory equipment, MS requires dedicated resources to ensure optimal performance, including environmental controls and calibration standards. For laboratories operating under constrained budgets, these upfront expenses can be prohibitive, limiting access to MS technology despite its diagnostic advantages. To mitigate these financial constraints, alternative funding strategies must be explored. Leasing agreements offer a practical solution by distributing costs over time, thereby reducing the immediate financial burden on laboratories. Additionally, government and private-sector grants can serve as financial support mechanisms, enabling institutions to invest in cutting-edge diagnostic technologies without incurring excessive debt. Collaborative purchasing agreements between multiple healthcare facilities may also prove beneficial, allowing institutions to share the costs associated with acquiring and maintaining MS instruments. Such financial models have been successfully implemented in research consortia and large hospital networks, demonstrating their feasibility in clinical practice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{"citationID":"fJnWLV9v","properties":{"formattedCitation":"[82]","plainCitation":"[82]","noteIndex":0},"citationItems":[{"id":1075,"uris":["http://zotero.org/users/12998224/items/Z2D6YRRW"],"itemData":{"id":1075,"type":"article-journal","collection-title":"Mass Spec Talk","container-title":"Yale School of Medicine","language":"en","source":"Zotero","title":"Financial considerations for purchasing a mass spectrometer","author":[{"family":"El-Khoury","given":"Joe M"}],"issued":{"date-parts":[["2018"]]}}}],"schema":"https://github.com/citation-style-language/schema/raw/master/csl-citation.json"}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[82]</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57B7DBB9" w14:textId="1C5AAF6A"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Even in laboratories that secure funding for MS implementation, maintaining cost-effectiveness remains a concern, particularly in low-volume settings. The high operational costs associated with MS, including consumables, </w:t>
      </w:r>
      <w:r>
        <w:rPr>
          <w:rFonts w:ascii="Times New Roman" w:eastAsia="Times New Roman" w:hAnsi="Times New Roman" w:cs="Times New Roman"/>
          <w:sz w:val="20"/>
          <w:szCs w:val="20"/>
        </w:rPr>
        <w:lastRenderedPageBreak/>
        <w:t xml:space="preserve">calibration reagents, and maintenance, can outweigh the benefits when sample throughput is limited. Unlike large reference laboratories that process thousands of specimens daily, smaller institutions may struggle to justify the investment in MS technology, as the cost per test remains high when sample numbers are low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{"citationID":"RaFRWo5S","properties":{"formattedCitation":"[83]","plainCitation":"[83]","noteIndex":0},"citationItems":[{"id":1076,"uris":["http://zotero.org/users/12998224/items/D96RPLPR"],"itemData":{"id":1076,"type":"article-journal","abstract":"Objectives and intervention\nBloodstream infection, the presence of viable micro-organisms in the blood, is a prevalent clinical event associated with substantial mortality. Patient outcomes may be improved when the causative micro-organism is identified quickly. We assessed the cost-effectiveness of rapid microbial identification by matrix-assisted laser desorption/ionisation time-of-flight (MALDI-TOF) mass spectrometry.\n\nDesign\nEconomic evaluation alongside a randomised multicentre trial (RAPIDO: RAPId Diagnosis on Outcome) assessing the impact of rapid identification by MALDI-TOF spectrometry.\n\nSetting\nAdult inpatients with bloodstream infections at seven National Health Service hospital trusts in England and Wales.\n\nPrimary outcome\nNet monetary benefit, estimated as incremental costs compared with incremental 28-day survival, of rapid identification by MALDI-TOF spectrometry compared with conventional identification.\n\nMethods\nPatients were randomised (1:1) to receive diagnosis by conventional methods of microbial identification (conventional arm) only or by MALDI-TOF spectrometry in addition to conventional identification (RAPIDO arm).\n\nResults\nData from 5550 patients were included in primary analysis. Mean imputed costs in 2018/2019 prices per patient were lower by £126 in the RAPIDO arm (95% CI −£784 to £532) but the proportion of patients alive at day 28 was lower (81.4% vs 82.3%). The probability of cost-effectiveness of MALDI-TOF was &lt;0.5 at cost-effectiveness thresholds between £20 000 and £50 000.\n\nConclusions\nAdjunctive MALDI-TOF diagnosis was unlikely to be cost-effective when measured as cost per death avoided at 28 days. However, the differences between arms in cost and effect were modest, associated with uncertainty and may not accurately reflect ‘real-world’ routine use of MALDI-TOF technology in this patient group.\n\nTrial registration numbers\nISRCTN97107018/UKCRN 11978.","container-title":"BMJ Open","DOI":"10.1136/bmjopen-2020-044623","ISSN":"2044-6055","issue":"10","journalAbbreviation":"BMJ Open","note":"PMID: 34663649\nPMCID: PMC8524273","page":"e044623","source":"PubMed Central","title":"Cost-effectiveness of rapid laboratory-based mass-spectrometry diagnosis of bloodstream infection: evidence from the RAPIDO randomised controlled trial","title-short":"Cost-effectiveness of rapid laboratory-based mass-spectrometry diagnosis of bloodstream infection","volume":"11","author":[{"family":"Dixon","given":"Padraig"},{"family":"Hollingworth","given":"William"},{"family":"Pike","given":"Katie"},{"family":"Reynolds","given":"Rosy"},{"family":"Stoddart","given":"Margaret"},{"family":"MacGowan","given":"Alasdair"}],"issued":{"date-parts":[["2021",10,18]]}}}],"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[83]</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To enhance financial sustainability, automation can be leveraged to improve workflow efficiency and optimize resource utilization. Implementing automated sample preparation techniques, such as solid-phase extraction (SPE), can significantly reduce labor costs and minimize reagent waste, thereby improving the cost-effectiveness of MS-based testing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{"citationID":"bq27hOzI","properties":{"formattedCitation":"[84]","plainCitation":"[84]","noteIndex":0},"citationItems":[{"id":1079,"uris":["http://zotero.org/users/12998224/items/ZCXFT49U"],"itemData":{"id":1079,"type":"webpage","abstract":"Here we examine the perceived barriers to mass spec in clinical laboratories and explore the possible drivers behind the recent shift in uptake of the technology in clinical settings.","container-title":"Analysis &amp; Separations from Technology Networks","language":"en","title":"Education and Expense: The Barriers to Mass Spectrometry in Clinical Laboratories?","title-short":"Education and Expense","URL":"http://www.technologynetworks.com/analysis/news/education-and-expense-the-barriers-to-mass-spectrometry-in-clinical-laboratories-193157","author":[{"family":"N/A","given":""}],"accessed":{"date-parts":[["2025",1,31]]},"issued":{"date-parts":[["2015"]]}}}],"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[84]</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Additionally, outsourcing MS-based testing to centralized laboratories may be a viable option for low-volume institutions, allowing them to benefit from the technology without the need for direct infrastructure investment. Such a model has been successfully adopted in regions where centralized reference laboratories provide specialized testing services to multiple healthcare facilities, ensuring broader access to advanced diagnostics while maintaining economic feasibility.</w:t>
      </w:r>
    </w:p>
    <w:p w14:paraId="43753DB2" w14:textId="75116B8D" w:rsidR="00CF00F8" w:rsidRDefault="00000000">
      <w:pPr>
        <w:spacing w:line="240" w:lineRule="auto"/>
        <w:ind w:firstLine="7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Last but not least</w:t>
      </w:r>
      <w:proofErr w:type="gramEnd"/>
      <w:r>
        <w:rPr>
          <w:rFonts w:ascii="Times New Roman" w:eastAsia="Times New Roman" w:hAnsi="Times New Roman" w:cs="Times New Roman"/>
          <w:sz w:val="20"/>
          <w:szCs w:val="20"/>
        </w:rPr>
        <w:t xml:space="preserve">, regulatory compliance and quality control present significant challenges in the clinical adoption </w:t>
      </w:r>
      <w:r w:rsidR="007C5FC6">
        <w:rPr>
          <w:rFonts w:ascii="Times New Roman" w:eastAsia="Times New Roman" w:hAnsi="Times New Roman" w:cs="Times New Roman"/>
          <w:sz w:val="20"/>
          <w:szCs w:val="20"/>
        </w:rPr>
        <w:t>of MS</w:t>
      </w:r>
      <w:r>
        <w:rPr>
          <w:rFonts w:ascii="Times New Roman" w:eastAsia="Times New Roman" w:hAnsi="Times New Roman" w:cs="Times New Roman"/>
          <w:sz w:val="20"/>
          <w:szCs w:val="20"/>
        </w:rPr>
        <w:t xml:space="preserve">. Unlike conventional diagnostic methods, which operate within well-defined regulatory frameworks, MS requires the development of standardized protocols, rigorous quality assurance systems, and validated approaches for </w:t>
      </w:r>
      <w:r w:rsidR="000F51C3">
        <w:rPr>
          <w:rFonts w:ascii="Times New Roman" w:eastAsia="Times New Roman" w:hAnsi="Times New Roman" w:cs="Times New Roman"/>
          <w:sz w:val="20"/>
          <w:szCs w:val="20"/>
        </w:rPr>
        <w:t>ASTs</w:t>
      </w:r>
      <w:r>
        <w:rPr>
          <w:rFonts w:ascii="Times New Roman" w:eastAsia="Times New Roman" w:hAnsi="Times New Roman" w:cs="Times New Roman"/>
          <w:sz w:val="20"/>
          <w:szCs w:val="20"/>
        </w:rPr>
        <w:t>. The absence of universally accepted guidelines complicates accreditation processes and increases the risk of variability in diagnostic outcomes, emphasizing the need for regulatory harmonization to ensure consistency and reliability across clinical laboratories.</w:t>
      </w:r>
    </w:p>
    <w:p w14:paraId="03CCA850" w14:textId="3543F873"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One of the primary regulatory challenges in MS implementation is the lack of globally standardized protocols for sample preparation, data acquisition, and spectral analysis. Unlike conventional diagnostic platforms, where reagent kits and automated workflows ensure uniformity, MS-based methods often involve custom-developed protocols that vary across laboratories. This variability can lead to inconsistencies in test results, affecting the reliability of patient diagnoses and limiting inter-laboratory comparability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{"citationID":"jMaoZWGy","properties":{"formattedCitation":"[85]","plainCitation":"[85]","noteIndex":0},"citationItems":[{"id":1081,"uris":["http://zotero.org/users/12998224/items/LNVFJK5D"],"itemData":{"id":1081,"type":"article-journal","abstract":"Effective patient care, clinical research, and public health efforts require comparability of laboratory results independent of time, place, and measurement procedure. Comparability is achieved by establishing metrological traceability, which ensures that measurement procedures measure the same quantity and that the calibration of measurement procedures is traceable to a common reference system consisting of reference methods and materials. Whereas standardization ensures traceability to the International System of Units, harmonization ensures traceability to a reference system agreed on by convention. This article provides an overview of standardization and harmonization with an emphasis on commutability as an important variable that affects testing accuracy. Commutability of reference materials is required to ensure that traceability is established appropriately and that laboratory results are comparable. The use of noncommutable reference materials leads to inaccurate results. Whereas procedures and protocols for standardizing measurements are established and have been successfully applied in efforts such as the Hormones Standardization Program of the CDC, harmonization activities require new, more complex procedures and approaches. The American Association for Clinical Chemistry, together with its domestic and international partners, formed the International Consortium for Harmonization of Clinical Laboratory Results to coordinate harmonization efforts. Reference systems, as well as procedures and protocols to establish traceability of clinical laboratory tests, have been established and continue to be developed by national and international groups and organizations. Serum tests of thyroid function, including those for the thyroid hormones thyroxine and triiodothyronine, are among the clinical procedures for which standardization efforts are well under way. Approaches to the harmonization of measurement procedures for serum concentrations of thyroid-stimulating hormone are likewise under development.","container-title":"The American Journal of Clinical Nutrition","DOI":"10.3945/ajcn.115.110387","ISSN":"0002-9165","journalAbbreviation":"The American Journal of Clinical Nutrition","page":"907S-912S","source":"ScienceDirect","title":"Current practices and challenges in the standardization and harmonization of clinical laboratory tests1223","volume":"104","author":[{"family":"Vesper","given":"Hubert W"},{"family":"Myers","given":"Gary L"},{"family":"Miller","given":"W Greg"}],"issued":{"date-parts":[["2016",9,1]]}}}],"schema":"https://github.com/citation-style-language/schema/raw/master/csl-citation.json"}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[85]</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To mitigate these challenges, collaborative efforts among clinical laboratories, professional organizations, and regulatory bodies are essential. Establishing consensus guidelines for MS-based diagnostics can enhance reproducibility and ensure compliance with industry standards. Additionally, the adoption of stable isotope-labeled internal standards has been shown to improve measurement accuracy and comparability across laboratories, making it a viable approach for standardization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{"citationID":"L4BiYYc8","properties":{"formattedCitation":"[86]","plainCitation":"[86]","noteIndex":0},"citationItems":[{"id":1084,"uris":["http://zotero.org/users/12998224/items/P7Z2N6LB"],"itemData":{"id":1084,"type":"article-journal","abstract":"Population studies such as NHANES analyze large numbers of laboratory measurements and are often performed in different laboratories using different measurement procedures and over an extended period of time. Correct clinical and epidemiologic ...","container-title":"The American Journal of Clinical Nutrition","DOI":"10.3945/ajcn.111.013359","issue":"1","language":"en","note":"PMID: 21562088","page":"332S","source":"pmc.ncbi.nlm.nih.gov","title":"Advances in standardization of laboratory measurement procedures: implications for measuring biomarkers of folate and vitamin B-12 status in NHANES1","title-short":"Advances in standardization of laboratory measurement procedures","volume":"94","author":[{"family":"Bock","given":"Jay L."},{"family":"Eckfeldt","given":"John H."}],"issued":{"date-parts":[["2011",7]]}}}],"schema":"https://github.com/citation-style-language/schema/raw/master/csl-citation.json"}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[86]</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As more laboratories incorporate MS into routine diagnostics, regulatory agencies such as the Clinical Laboratory Improvement Amendments (CLIA) and the International Organization for Standardization (ISO) must play an active role in defining best practices and accreditation criteria.</w:t>
      </w:r>
    </w:p>
    <w:p w14:paraId="5D61C5F3" w14:textId="77777777"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Beyond standardization, maintaining compliance with regulatory frameworks and ensuring consistent quality control remain significant hurdles. Unlike traditional assays, MS-based workflows involve complex sample processing, instrument calibration, and spectral interpretation, all of which require stringent validation. Regulatory agencies impose rigorous accreditation requirements, but the absence of universal MS-specific guidelines complicates compliance efforts. A study highlighted that while MS offers unparalleled sensitivity and specificity, laboratories often struggle with quality assurance due to the complexity of method validation and performance monitoring [80]. Laboratories must establish extensive quality management systems that comply with regulatory standards to address these challenges. Engagement in external quality evaluation programs and proficiency testing helps substantiate assay performance and guarantee result consistency. Furthermore, continuous education and training for laboratory staff are essential for sustaining proficiency in MS applications, especially in clinical settings where accuracy is critical. By following these principles, laboratories can fulfill regulatory requirements and improve the dependability of MS-based diagnostics.</w:t>
      </w:r>
    </w:p>
    <w:p w14:paraId="0AF3E0A9" w14:textId="29A2DED0"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While MS has significantly advanced microbial identification, its application in </w:t>
      </w:r>
      <w:r w:rsidR="000F51C3">
        <w:rPr>
          <w:rFonts w:ascii="Times New Roman" w:eastAsia="Times New Roman" w:hAnsi="Times New Roman" w:cs="Times New Roman"/>
          <w:sz w:val="20"/>
          <w:szCs w:val="20"/>
        </w:rPr>
        <w:t>AST</w:t>
      </w:r>
      <w:r>
        <w:rPr>
          <w:rFonts w:ascii="Times New Roman" w:eastAsia="Times New Roman" w:hAnsi="Times New Roman" w:cs="Times New Roman"/>
          <w:sz w:val="20"/>
          <w:szCs w:val="20"/>
        </w:rPr>
        <w:t xml:space="preserve"> remains an area of ongoing development. Conventional AST methods, such as broth microdilution and disk diffusion, provide direct susceptibility data but are time-consuming. MS, particularly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offers a rapid alternative; however, its ability to detect resistance mechanisms is still evolving. The primary challenge lies in the phenotypic nature of MS, which focuses on protein expression rather than genetic determinants of resistance. A review on MS-based AST highlighted that while MALDI-</w:t>
      </w:r>
      <w:proofErr w:type="spellStart"/>
      <w:r>
        <w:rPr>
          <w:rFonts w:ascii="Times New Roman" w:eastAsia="Times New Roman" w:hAnsi="Times New Roman" w:cs="Times New Roman"/>
          <w:sz w:val="20"/>
          <w:szCs w:val="20"/>
        </w:rPr>
        <w:t>TOF</w:t>
      </w:r>
      <w:proofErr w:type="spellEnd"/>
      <w:r>
        <w:rPr>
          <w:rFonts w:ascii="Times New Roman" w:eastAsia="Times New Roman" w:hAnsi="Times New Roman" w:cs="Times New Roman"/>
          <w:sz w:val="20"/>
          <w:szCs w:val="20"/>
        </w:rPr>
        <w:t xml:space="preserve"> MS can detect certain resistance-associated proteins, its accuracy is limited for identifying resistance genes and mutations without complementary molecular techniques </w:t>
      </w:r>
      <w:r w:rsidR="009E1BDE">
        <w:rPr>
          <w:rFonts w:ascii="Times New Roman" w:eastAsia="Times New Roman" w:hAnsi="Times New Roman" w:cs="Times New Roman"/>
          <w:sz w:val="20"/>
          <w:szCs w:val="20"/>
        </w:rPr>
        <w:fldChar w:fldCharType="begin"/>
      </w:r>
      <w:r w:rsidR="009E1BDE">
        <w:rPr>
          <w:rFonts w:ascii="Times New Roman" w:eastAsia="Times New Roman" w:hAnsi="Times New Roman" w:cs="Times New Roman"/>
          <w:sz w:val="20"/>
          <w:szCs w:val="20"/>
        </w:rPr>
        <w:instrText xml:space="preserve"> ADDIN ZOTERO_ITEM CSL_CITATION {"citationID":"jX1gFIdY","properties":{"formattedCitation":"[22]","plainCitation":"[22]","noteIndex":0},"citationItems":[{"id":1087,"uris":["http://zotero.org/users/12998224/items/2X672U4S"],"itemData":{"id":1087,"type":"article-journal","abstract":"&lt;p&gt;Several MALDI-TOF MS-based methods have been proposed for rapid detection of antimicrobial resistance. The most widely studied methods include assessment of β-lactamase activity by visualizing the hydrolysis of the β-lactam ring, detection of biomarkers responsible for or correlated with drug-resistance/non-susceptibility, and the comparison of proteomic profiles of bacteria incubated with or without antimicrobial drugs. Antimicrobial-resistance to a number of antibiotics belonging to different classes has been successfully tested by MALDI-TOF MS in a variety of clinically relevant bacterial species including members of &lt;italic&gt;Enterobacteriaceae&lt;/italic&gt; family, non-fermenting Gram-negative bacteria, Gram-positive cocci, anaerobic bacteria and mycobacteria, opening this field to further clinically important developments. Early detection of drug-resistance by MALDI-TOF MS can be particularly helpful for clinicians to streamline the antibiotic therapy for a better outcome of patients with systemic infection, in all cases where a prompt and effective antibiotic treatment is essential to preserve organ function and/or patient survival.&lt;/p&gt;","container-title":"Frontiers in Cellular and Infection Microbiology","DOI":"10.3389/fcimb.2020.572909","ISSN":"2235-2988","journalAbbreviation":"Front. Cell. Infect. Microbiol.","language":"English","note":"publisher: Frontiers","source":"Frontiers","title":"Detection of Antibiotic-Resistance by MALDI-TOF Mass Spectrometry: An Expanding Area","title-short":"Detection of Antibiotic-Resistance by MALDI-TOF Mass Spectrometry","URL":"https://www.frontiersin.org/journals/cellular-and-infection-microbiology/articles/10.3389/fcimb.2020.572909/full","volume":"10","author":[{"family":"Florio","given":"Walter"},{"family":"Baldeschi","given":"Lelio"},{"family":"Rizzato","given":"Cosmeri"},{"family":"Tavanti","given":"Arianna"},{"family":"Ghelardi","given":"Emilia"},{"family":"Lupetti","given":"Antonella"}],"accessed":{"date-parts":[["2025",1,31]]},"issued":{"date-parts":[["2020",11,11]]}}}],"schema":"https://github.com/citation-style-language/schema/raw/master/csl-citation.json"} </w:instrText>
      </w:r>
      <w:r w:rsidR="009E1BDE">
        <w:rPr>
          <w:rFonts w:ascii="Times New Roman" w:eastAsia="Times New Roman" w:hAnsi="Times New Roman" w:cs="Times New Roman"/>
          <w:sz w:val="20"/>
          <w:szCs w:val="20"/>
        </w:rPr>
        <w:fldChar w:fldCharType="separate"/>
      </w:r>
      <w:r w:rsidR="009E1BDE" w:rsidRPr="009E1BDE">
        <w:rPr>
          <w:rFonts w:ascii="Times New Roman" w:hAnsi="Times New Roman" w:cs="Times New Roman"/>
          <w:sz w:val="20"/>
        </w:rPr>
        <w:t>[22]</w:t>
      </w:r>
      <w:r w:rsidR="009E1BD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Research is now focused on developing quick resistance detection methods to enhance the utilization of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in </w:t>
      </w:r>
      <w:r w:rsidR="000F51C3">
        <w:rPr>
          <w:rFonts w:ascii="Times New Roman" w:eastAsia="Times New Roman" w:hAnsi="Times New Roman" w:cs="Times New Roman"/>
          <w:sz w:val="20"/>
          <w:szCs w:val="20"/>
        </w:rPr>
        <w:t>ASTs.</w:t>
      </w:r>
      <w:r>
        <w:rPr>
          <w:rFonts w:ascii="Times New Roman" w:eastAsia="Times New Roman" w:hAnsi="Times New Roman" w:cs="Times New Roman"/>
          <w:sz w:val="20"/>
          <w:szCs w:val="20"/>
        </w:rPr>
        <w:t xml:space="preserve"> A promising </w:t>
      </w:r>
      <w:r w:rsidR="007C5FC6">
        <w:rPr>
          <w:rFonts w:ascii="Times New Roman" w:eastAsia="Times New Roman" w:hAnsi="Times New Roman" w:cs="Times New Roman"/>
          <w:sz w:val="20"/>
          <w:szCs w:val="20"/>
        </w:rPr>
        <w:t>approach</w:t>
      </w:r>
      <w:r>
        <w:rPr>
          <w:rFonts w:ascii="Times New Roman" w:eastAsia="Times New Roman" w:hAnsi="Times New Roman" w:cs="Times New Roman"/>
          <w:sz w:val="20"/>
          <w:szCs w:val="20"/>
        </w:rPr>
        <w:t xml:space="preserve"> is using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to assess β-lactamase activity, facilitating the rapid detection of β-lactam-resistant bacteria within hours. Furthermore, the incorporation of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with molecular approaches, such </w:t>
      </w:r>
      <w:r w:rsidR="007C5FC6">
        <w:rPr>
          <w:rFonts w:ascii="Times New Roman" w:eastAsia="Times New Roman" w:hAnsi="Times New Roman" w:cs="Times New Roman"/>
          <w:sz w:val="20"/>
          <w:szCs w:val="20"/>
        </w:rPr>
        <w:t>PCR</w:t>
      </w:r>
      <w:r>
        <w:rPr>
          <w:rFonts w:ascii="Times New Roman" w:eastAsia="Times New Roman" w:hAnsi="Times New Roman" w:cs="Times New Roman"/>
          <w:sz w:val="20"/>
          <w:szCs w:val="20"/>
        </w:rPr>
        <w:t xml:space="preserve"> or whole-genome sequencing, can improve resistance profiling by identifying resistance genes in conjunction with phenotypic markers. Augmenting MS spectral databases with resistant strain profiles would enhance accuracy, allowing laboratories to </w:t>
      </w:r>
      <w:r>
        <w:rPr>
          <w:rFonts w:ascii="Times New Roman" w:eastAsia="Times New Roman" w:hAnsi="Times New Roman" w:cs="Times New Roman"/>
          <w:sz w:val="20"/>
          <w:szCs w:val="20"/>
        </w:rPr>
        <w:lastRenderedPageBreak/>
        <w:t>more effectively discern resistance patterns in clinical isolates. Investing in these breakthroughs aids in identification and informs the selection of antimicrobial therapy.</w:t>
      </w:r>
    </w:p>
    <w:p w14:paraId="48FE5DA7" w14:textId="0F39A9DC" w:rsidR="00CF00F8" w:rsidRDefault="00000000">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successful implementation of </w:t>
      </w:r>
      <w:r w:rsidR="007C5FC6">
        <w:rPr>
          <w:rFonts w:ascii="Times New Roman" w:eastAsia="Times New Roman" w:hAnsi="Times New Roman" w:cs="Times New Roman"/>
          <w:sz w:val="20"/>
          <w:szCs w:val="20"/>
        </w:rPr>
        <w:t>MS</w:t>
      </w:r>
      <w:r>
        <w:rPr>
          <w:rFonts w:ascii="Times New Roman" w:eastAsia="Times New Roman" w:hAnsi="Times New Roman" w:cs="Times New Roman"/>
          <w:sz w:val="20"/>
          <w:szCs w:val="20"/>
        </w:rPr>
        <w:t xml:space="preserve"> in clinical laboratories is hindered by a range of technical, operational, financial, and regulatory challenges that must be systematically addressed to fully unlock its diagnostic potential. Overcoming these barriers requires a collaborative, multidisciplinary effort involving clinical researchers, regulatory agencies, and industry stakeholders to refine methodologies, streamline workflows, and enhance accessibility. Advancements in cost-effective MS technologies, automation, and bioinformatics-driven solutions will be crucial in facilitating the seamless integration of MS into routine diagnostics. As innovations continue to emerge, addressing these challenges will be essential for ensuring the widespread adoption of MS in clinical microbiology, ultimately enabling more precise, rapid, and comprehensive diagnostic capabilities that enhance patient care and strengthen public health systems.</w:t>
      </w:r>
    </w:p>
    <w:p w14:paraId="1712146A" w14:textId="77777777" w:rsidR="00CF00F8" w:rsidRDefault="00000000">
      <w:pPr>
        <w:pStyle w:val="Heading1"/>
        <w:jc w:val="center"/>
        <w:rPr>
          <w:rFonts w:ascii="Calibri" w:eastAsia="Calibri" w:hAnsi="Calibri" w:cs="Calibri"/>
          <w:b/>
          <w:i/>
          <w:color w:val="000000"/>
          <w:sz w:val="26"/>
          <w:szCs w:val="26"/>
        </w:rPr>
      </w:pPr>
      <w:bookmarkStart w:id="28" w:name="_Toc191553270"/>
      <w:r>
        <w:rPr>
          <w:rFonts w:ascii="Times New Roman" w:eastAsia="Times New Roman" w:hAnsi="Times New Roman" w:cs="Times New Roman"/>
          <w:b/>
          <w:color w:val="000000"/>
          <w:sz w:val="20"/>
          <w:szCs w:val="20"/>
        </w:rPr>
        <w:t>REFERENCES</w:t>
      </w:r>
      <w:bookmarkEnd w:id="28"/>
    </w:p>
    <w:p w14:paraId="2BA5ED04" w14:textId="77777777" w:rsidR="00CF00F8" w:rsidRDefault="00CF00F8">
      <w:pPr>
        <w:spacing w:after="0" w:line="240" w:lineRule="auto"/>
        <w:jc w:val="center"/>
        <w:rPr>
          <w:rFonts w:ascii="Times New Roman" w:eastAsia="Times New Roman" w:hAnsi="Times New Roman" w:cs="Times New Roman"/>
          <w:sz w:val="16"/>
          <w:szCs w:val="16"/>
        </w:rPr>
      </w:pPr>
    </w:p>
    <w:p w14:paraId="5AA148A4" w14:textId="77777777" w:rsidR="0076419B" w:rsidRPr="0076419B" w:rsidRDefault="00672929"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fldChar w:fldCharType="begin"/>
      </w:r>
      <w:r w:rsidR="0076419B" w:rsidRPr="0076419B">
        <w:rPr>
          <w:rFonts w:ascii="Times New Roman" w:hAnsi="Times New Roman" w:cs="Times New Roman"/>
          <w:sz w:val="16"/>
          <w:szCs w:val="16"/>
        </w:rPr>
        <w:instrText xml:space="preserve"> ADDIN ZOTERO_BIBL {"uncited":[["http://zotero.org/users/12998224/items/9EHBI4GZ"]],"omitted":[["http://zotero.org/users/12998224/items/975PCF2R"]],"custom":[[["http://zotero.org/users/12998224/items/9EHBI4GZ"],"[36]\\tab{}R. D. Smith {\\i{}et al.}, \\uc0\\u8220{}A Novel Lipid-Based MALDI-TOF Assay for the Rapid Detection of Colistin-Resistant Enterobacter Species,\\uc0\\u8221{} {\\i{}Microbiol Spectr}, vol. 10, no. 1, pp. e01445-21, doi: 10.1128/spectrum.01445-21."]]} CSL_BIBLIOGRAPHY </w:instrText>
      </w:r>
      <w:r w:rsidRPr="0076419B">
        <w:rPr>
          <w:rFonts w:ascii="Times New Roman" w:hAnsi="Times New Roman" w:cs="Times New Roman"/>
          <w:sz w:val="16"/>
          <w:szCs w:val="16"/>
        </w:rPr>
        <w:fldChar w:fldCharType="separate"/>
      </w:r>
      <w:r w:rsidR="0076419B" w:rsidRPr="0076419B">
        <w:rPr>
          <w:rFonts w:ascii="Times New Roman" w:hAnsi="Times New Roman" w:cs="Times New Roman"/>
          <w:sz w:val="16"/>
          <w:szCs w:val="16"/>
        </w:rPr>
        <w:t>[1]</w:t>
      </w:r>
      <w:r w:rsidR="0076419B" w:rsidRPr="0076419B">
        <w:rPr>
          <w:rFonts w:ascii="Times New Roman" w:hAnsi="Times New Roman" w:cs="Times New Roman"/>
          <w:sz w:val="16"/>
          <w:szCs w:val="16"/>
        </w:rPr>
        <w:tab/>
        <w:t xml:space="preserve">E. Garg and M. Zubair, “Mass Spectrometer,” in </w:t>
      </w:r>
      <w:r w:rsidR="0076419B" w:rsidRPr="0076419B">
        <w:rPr>
          <w:rFonts w:ascii="Times New Roman" w:hAnsi="Times New Roman" w:cs="Times New Roman"/>
          <w:i/>
          <w:iCs/>
          <w:sz w:val="16"/>
          <w:szCs w:val="16"/>
        </w:rPr>
        <w:t>StatPearls</w:t>
      </w:r>
      <w:r w:rsidR="0076419B" w:rsidRPr="0076419B">
        <w:rPr>
          <w:rFonts w:ascii="Times New Roman" w:hAnsi="Times New Roman" w:cs="Times New Roman"/>
          <w:sz w:val="16"/>
          <w:szCs w:val="16"/>
        </w:rPr>
        <w:t>, Treasure Island (FL): StatPearls Publishing, 2025. Accessed: Feb. 01, 2025. [Online]. Available: http://www.ncbi.nlm.nih.gov/books/NBK589702/</w:t>
      </w:r>
    </w:p>
    <w:p w14:paraId="786CADD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w:t>
      </w:r>
      <w:r w:rsidRPr="0076419B">
        <w:rPr>
          <w:rFonts w:ascii="Times New Roman" w:hAnsi="Times New Roman" w:cs="Times New Roman"/>
          <w:sz w:val="16"/>
          <w:szCs w:val="16"/>
        </w:rPr>
        <w:tab/>
        <w:t xml:space="preserve">J. Hrabák, E. Chudácková, and R. Walková, “Matrix-assisted laser desorption ionization-time of flight (maldi-tof) mass spectrometry for detection of antibiotic resistance mechanisms: from research to routine diagnosis,” </w:t>
      </w:r>
      <w:r w:rsidRPr="0076419B">
        <w:rPr>
          <w:rFonts w:ascii="Times New Roman" w:hAnsi="Times New Roman" w:cs="Times New Roman"/>
          <w:i/>
          <w:iCs/>
          <w:sz w:val="16"/>
          <w:szCs w:val="16"/>
        </w:rPr>
        <w:t>Clin Microbiol Rev</w:t>
      </w:r>
      <w:r w:rsidRPr="0076419B">
        <w:rPr>
          <w:rFonts w:ascii="Times New Roman" w:hAnsi="Times New Roman" w:cs="Times New Roman"/>
          <w:sz w:val="16"/>
          <w:szCs w:val="16"/>
        </w:rPr>
        <w:t>, vol. 26, no. 1, pp. 103–114, Jan. 2013, doi: 10.1128/CMR.00058-12.</w:t>
      </w:r>
    </w:p>
    <w:p w14:paraId="7C561161"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w:t>
      </w:r>
      <w:r w:rsidRPr="0076419B">
        <w:rPr>
          <w:rFonts w:ascii="Times New Roman" w:hAnsi="Times New Roman" w:cs="Times New Roman"/>
          <w:sz w:val="16"/>
          <w:szCs w:val="16"/>
        </w:rPr>
        <w:tab/>
        <w:t xml:space="preserve">A. Berisha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 comprehensive high-resolution mass spectrometry approach for characterization of metabolites by combination of ambient ionization, chromatography and imaging methods,” </w:t>
      </w:r>
      <w:r w:rsidRPr="0076419B">
        <w:rPr>
          <w:rFonts w:ascii="Times New Roman" w:hAnsi="Times New Roman" w:cs="Times New Roman"/>
          <w:i/>
          <w:iCs/>
          <w:sz w:val="16"/>
          <w:szCs w:val="16"/>
        </w:rPr>
        <w:t>Rapid Commun Mass Spectrom</w:t>
      </w:r>
      <w:r w:rsidRPr="0076419B">
        <w:rPr>
          <w:rFonts w:ascii="Times New Roman" w:hAnsi="Times New Roman" w:cs="Times New Roman"/>
          <w:sz w:val="16"/>
          <w:szCs w:val="16"/>
        </w:rPr>
        <w:t>, vol. 28, no. 16, pp. 1779–1791, Aug. 2014, doi: 10.1002/rcm.6960.</w:t>
      </w:r>
    </w:p>
    <w:p w14:paraId="0CE5B53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w:t>
      </w:r>
      <w:r w:rsidRPr="0076419B">
        <w:rPr>
          <w:rFonts w:ascii="Times New Roman" w:hAnsi="Times New Roman" w:cs="Times New Roman"/>
          <w:sz w:val="16"/>
          <w:szCs w:val="16"/>
        </w:rPr>
        <w:tab/>
        <w:t xml:space="preserve">P. Seng, J.-M. Rolain, P. E. Fournier, B. La Scola, M. Drancourt, and D. Raoult, “MALDI-TOF-mass spectrometry applications in clinical microbiology,” </w:t>
      </w:r>
      <w:r w:rsidRPr="0076419B">
        <w:rPr>
          <w:rFonts w:ascii="Times New Roman" w:hAnsi="Times New Roman" w:cs="Times New Roman"/>
          <w:i/>
          <w:iCs/>
          <w:sz w:val="16"/>
          <w:szCs w:val="16"/>
        </w:rPr>
        <w:t>Future Microbiol</w:t>
      </w:r>
      <w:r w:rsidRPr="0076419B">
        <w:rPr>
          <w:rFonts w:ascii="Times New Roman" w:hAnsi="Times New Roman" w:cs="Times New Roman"/>
          <w:sz w:val="16"/>
          <w:szCs w:val="16"/>
        </w:rPr>
        <w:t>, vol. 5, no. 11, pp. 1733–1754, Nov. 2010, doi: 10.2217/fmb.10.127.</w:t>
      </w:r>
    </w:p>
    <w:p w14:paraId="6366E0D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w:t>
      </w:r>
      <w:r w:rsidRPr="0076419B">
        <w:rPr>
          <w:rFonts w:ascii="Times New Roman" w:hAnsi="Times New Roman" w:cs="Times New Roman"/>
          <w:sz w:val="16"/>
          <w:szCs w:val="16"/>
        </w:rPr>
        <w:tab/>
        <w:t xml:space="preserve">T.-Y. Hou, C. Chiang-Ni, and S.-H. Teng, “Current status of MALDI-TOF mass spectrometry in clinical microbiology,” </w:t>
      </w:r>
      <w:r w:rsidRPr="0076419B">
        <w:rPr>
          <w:rFonts w:ascii="Times New Roman" w:hAnsi="Times New Roman" w:cs="Times New Roman"/>
          <w:i/>
          <w:iCs/>
          <w:sz w:val="16"/>
          <w:szCs w:val="16"/>
        </w:rPr>
        <w:t>J Food Drug Anal</w:t>
      </w:r>
      <w:r w:rsidRPr="0076419B">
        <w:rPr>
          <w:rFonts w:ascii="Times New Roman" w:hAnsi="Times New Roman" w:cs="Times New Roman"/>
          <w:sz w:val="16"/>
          <w:szCs w:val="16"/>
        </w:rPr>
        <w:t>, vol. 27, no. 2, pp. 404–414, Apr. 2019, doi: 10.1016/j.jfda.2019.01.001.</w:t>
      </w:r>
    </w:p>
    <w:p w14:paraId="7CCD7A3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w:t>
      </w:r>
      <w:r w:rsidRPr="0076419B">
        <w:rPr>
          <w:rFonts w:ascii="Times New Roman" w:hAnsi="Times New Roman" w:cs="Times New Roman"/>
          <w:sz w:val="16"/>
          <w:szCs w:val="16"/>
        </w:rPr>
        <w:tab/>
        <w:t xml:space="preserve">M. Litterio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“Comparison of two MALDI-TOF MS systems for the identification of clinically relevant anaerobic bacteria in Argentina,” </w:t>
      </w:r>
      <w:r w:rsidRPr="0076419B">
        <w:rPr>
          <w:rFonts w:ascii="Times New Roman" w:hAnsi="Times New Roman" w:cs="Times New Roman"/>
          <w:i/>
          <w:iCs/>
          <w:sz w:val="16"/>
          <w:szCs w:val="16"/>
        </w:rPr>
        <w:t>Revista Argentina de Microbiología</w:t>
      </w:r>
      <w:r w:rsidRPr="0076419B">
        <w:rPr>
          <w:rFonts w:ascii="Times New Roman" w:hAnsi="Times New Roman" w:cs="Times New Roman"/>
          <w:sz w:val="16"/>
          <w:szCs w:val="16"/>
        </w:rPr>
        <w:t>, vol. 56, no. 1, pp. 33–61, Jan. 2024, doi: 10.1016/j.ram.2023.12.001.</w:t>
      </w:r>
    </w:p>
    <w:p w14:paraId="71D67A7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w:t>
      </w:r>
      <w:r w:rsidRPr="0076419B">
        <w:rPr>
          <w:rFonts w:ascii="Times New Roman" w:hAnsi="Times New Roman" w:cs="Times New Roman"/>
          <w:sz w:val="16"/>
          <w:szCs w:val="16"/>
        </w:rPr>
        <w:tab/>
        <w:t xml:space="preserve">A. Panda, S. Kurapati, J. C. Samantaray, A. Srinivasan, and S. Khalil, “MALDI-TOF mass spectrometry proteomic based identification of clinical bacterial isolates,” </w:t>
      </w:r>
      <w:r w:rsidRPr="0076419B">
        <w:rPr>
          <w:rFonts w:ascii="Times New Roman" w:hAnsi="Times New Roman" w:cs="Times New Roman"/>
          <w:i/>
          <w:iCs/>
          <w:sz w:val="16"/>
          <w:szCs w:val="16"/>
        </w:rPr>
        <w:t>Indian J Med Res</w:t>
      </w:r>
      <w:r w:rsidRPr="0076419B">
        <w:rPr>
          <w:rFonts w:ascii="Times New Roman" w:hAnsi="Times New Roman" w:cs="Times New Roman"/>
          <w:sz w:val="16"/>
          <w:szCs w:val="16"/>
        </w:rPr>
        <w:t>, vol. 140, no. 6, pp. 770–777, Dec. 2014.</w:t>
      </w:r>
    </w:p>
    <w:p w14:paraId="4C24925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w:t>
      </w:r>
      <w:r w:rsidRPr="0076419B">
        <w:rPr>
          <w:rFonts w:ascii="Times New Roman" w:hAnsi="Times New Roman" w:cs="Times New Roman"/>
          <w:sz w:val="16"/>
          <w:szCs w:val="16"/>
        </w:rPr>
        <w:tab/>
        <w:t xml:space="preserve">A. Croxatto, G. Prod’hom, and G. Greub, “Applications of MALDI-TOF mass spectrometry in clinical diagnostic microbiology,” </w:t>
      </w:r>
      <w:r w:rsidRPr="0076419B">
        <w:rPr>
          <w:rFonts w:ascii="Times New Roman" w:hAnsi="Times New Roman" w:cs="Times New Roman"/>
          <w:i/>
          <w:iCs/>
          <w:sz w:val="16"/>
          <w:szCs w:val="16"/>
        </w:rPr>
        <w:t>FEMS Microbiol Rev</w:t>
      </w:r>
      <w:r w:rsidRPr="0076419B">
        <w:rPr>
          <w:rFonts w:ascii="Times New Roman" w:hAnsi="Times New Roman" w:cs="Times New Roman"/>
          <w:sz w:val="16"/>
          <w:szCs w:val="16"/>
        </w:rPr>
        <w:t>, vol. 36, no. 2, pp. 380–407, Mar. 2012, doi: 10.1111/j.1574-6976.2011.00298.x.</w:t>
      </w:r>
    </w:p>
    <w:p w14:paraId="320E606E"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[9]</w:t>
      </w:r>
      <w:r w:rsidRPr="0076419B">
        <w:rPr>
          <w:rFonts w:ascii="Times New Roman" w:hAnsi="Times New Roman" w:cs="Times New Roman"/>
          <w:sz w:val="16"/>
          <w:szCs w:val="16"/>
        </w:rPr>
        <w:tab/>
        <w:t xml:space="preserve">N. Singhal, M. Kumar, P. K. Kanaujia, and J. S. Virdi, “MALDI-TOF mass spectrometry: an emerging technology for microbial identification and diagnosis,” </w:t>
      </w:r>
      <w:r w:rsidRPr="0076419B">
        <w:rPr>
          <w:rFonts w:ascii="Times New Roman" w:hAnsi="Times New Roman" w:cs="Times New Roman"/>
          <w:i/>
          <w:iCs/>
          <w:sz w:val="16"/>
          <w:szCs w:val="16"/>
        </w:rPr>
        <w:t>Front. Microbiol.</w:t>
      </w:r>
      <w:r w:rsidRPr="0076419B">
        <w:rPr>
          <w:rFonts w:ascii="Times New Roman" w:hAnsi="Times New Roman" w:cs="Times New Roman"/>
          <w:sz w:val="16"/>
          <w:szCs w:val="16"/>
        </w:rPr>
        <w:t>, vol. 6, Aug. 2015, doi: 10.3389/fmicb.2015.00791.</w:t>
      </w:r>
    </w:p>
    <w:p w14:paraId="6C96337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[10]</w:t>
      </w:r>
      <w:r w:rsidRPr="0076419B">
        <w:rPr>
          <w:rFonts w:ascii="Times New Roman" w:hAnsi="Times New Roman" w:cs="Times New Roman"/>
          <w:sz w:val="16"/>
          <w:szCs w:val="16"/>
        </w:rPr>
        <w:tab/>
        <w:t xml:space="preserve">A. E. Clark, E. J. Kaleta, A. Arora, and D. M. Wolk, “Matrix-assisted laser desorption ionization-time of flight mass spectrometry: a fundamental shift in the routine practice of clinical microbiology,” </w:t>
      </w:r>
      <w:r w:rsidRPr="0076419B">
        <w:rPr>
          <w:rFonts w:ascii="Times New Roman" w:hAnsi="Times New Roman" w:cs="Times New Roman"/>
          <w:i/>
          <w:iCs/>
          <w:sz w:val="16"/>
          <w:szCs w:val="16"/>
        </w:rPr>
        <w:t>Clin Microbiol Rev</w:t>
      </w:r>
      <w:r w:rsidRPr="0076419B">
        <w:rPr>
          <w:rFonts w:ascii="Times New Roman" w:hAnsi="Times New Roman" w:cs="Times New Roman"/>
          <w:sz w:val="16"/>
          <w:szCs w:val="16"/>
        </w:rPr>
        <w:t>, vol. 26, no. 3, pp. 547–603, Jul. 2013, doi: 10.1128/CMR.00072-12.</w:t>
      </w:r>
    </w:p>
    <w:p w14:paraId="5941AF2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[11]</w:t>
      </w:r>
      <w:r w:rsidRPr="0076419B">
        <w:rPr>
          <w:rFonts w:ascii="Times New Roman" w:hAnsi="Times New Roman" w:cs="Times New Roman"/>
          <w:sz w:val="16"/>
          <w:szCs w:val="16"/>
        </w:rPr>
        <w:tab/>
        <w:t xml:space="preserve">M. J. Donohue, A. W. Smallwood, S. Pfaller, M. Rodgers, and J. A. Shoemaker, “The development of a matrix-assisted laser desorption/ionization mass spectrometry-based method for the protein fingerprinting and identification of Aeromonas species using whole cells,” </w:t>
      </w:r>
      <w:r w:rsidRPr="0076419B">
        <w:rPr>
          <w:rFonts w:ascii="Times New Roman" w:hAnsi="Times New Roman" w:cs="Times New Roman"/>
          <w:i/>
          <w:iCs/>
          <w:sz w:val="16"/>
          <w:szCs w:val="16"/>
        </w:rPr>
        <w:t>J Microbiol Methods</w:t>
      </w:r>
      <w:r w:rsidRPr="0076419B">
        <w:rPr>
          <w:rFonts w:ascii="Times New Roman" w:hAnsi="Times New Roman" w:cs="Times New Roman"/>
          <w:sz w:val="16"/>
          <w:szCs w:val="16"/>
        </w:rPr>
        <w:t>, vol. 65, no. 3, pp. 380–389, Jun. 2006, doi: 10.1016/j.mimet.2005.08.005.</w:t>
      </w:r>
    </w:p>
    <w:p w14:paraId="47E9514C"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[12]</w:t>
      </w:r>
      <w:r w:rsidRPr="0076419B">
        <w:rPr>
          <w:rFonts w:ascii="Times New Roman" w:hAnsi="Times New Roman" w:cs="Times New Roman"/>
          <w:sz w:val="16"/>
          <w:szCs w:val="16"/>
        </w:rPr>
        <w:tab/>
        <w:t xml:space="preserve">T. Spanu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“Evaluation of matrix-assisted laser desorption ionization-time-of-flight mass spectrometry in comparison to rpoB gene sequencing for species identification of bloodstream infection staphylococcal isolates,” </w:t>
      </w:r>
      <w:r w:rsidRPr="0076419B">
        <w:rPr>
          <w:rFonts w:ascii="Times New Roman" w:hAnsi="Times New Roman" w:cs="Times New Roman"/>
          <w:i/>
          <w:iCs/>
          <w:sz w:val="16"/>
          <w:szCs w:val="16"/>
        </w:rPr>
        <w:t>Clin Microbiol Infect</w:t>
      </w:r>
      <w:r w:rsidRPr="0076419B">
        <w:rPr>
          <w:rFonts w:ascii="Times New Roman" w:hAnsi="Times New Roman" w:cs="Times New Roman"/>
          <w:sz w:val="16"/>
          <w:szCs w:val="16"/>
        </w:rPr>
        <w:t>, vol. 17, no. 1, pp. 44–49, Jan. 2011, doi: 10.1111/j.1469-0691.2010.03181.x.</w:t>
      </w:r>
    </w:p>
    <w:p w14:paraId="5CE09A3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[13]</w:t>
      </w:r>
      <w:r w:rsidRPr="0076419B">
        <w:rPr>
          <w:rFonts w:ascii="Times New Roman" w:hAnsi="Times New Roman" w:cs="Times New Roman"/>
          <w:sz w:val="16"/>
          <w:szCs w:val="16"/>
        </w:rPr>
        <w:tab/>
        <w:t xml:space="preserve">P. Lasch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 MALDI-ToF mass spectrometry database for identification and classification of highly pathogenic bacteria,” </w:t>
      </w:r>
      <w:r w:rsidRPr="0076419B">
        <w:rPr>
          <w:rFonts w:ascii="Times New Roman" w:hAnsi="Times New Roman" w:cs="Times New Roman"/>
          <w:i/>
          <w:iCs/>
          <w:sz w:val="16"/>
          <w:szCs w:val="16"/>
        </w:rPr>
        <w:t>Sci Data</w:t>
      </w:r>
      <w:r w:rsidRPr="0076419B">
        <w:rPr>
          <w:rFonts w:ascii="Times New Roman" w:hAnsi="Times New Roman" w:cs="Times New Roman"/>
          <w:sz w:val="16"/>
          <w:szCs w:val="16"/>
        </w:rPr>
        <w:t>, vol. 12, no. 1, p. 187, Jan. 2025, doi: 10.1038/s41597-025-04504-z.</w:t>
      </w:r>
    </w:p>
    <w:p w14:paraId="2F880B84"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[14]</w:t>
      </w:r>
      <w:r w:rsidRPr="0076419B">
        <w:rPr>
          <w:rFonts w:ascii="Times New Roman" w:hAnsi="Times New Roman" w:cs="Times New Roman"/>
          <w:sz w:val="16"/>
          <w:szCs w:val="16"/>
        </w:rPr>
        <w:tab/>
        <w:t xml:space="preserve">A. Cherkaoui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“Comparison of two matrix-assisted laser desorption ionization-time of flight mass spectrometry methods with conventional phenotypic identification for routine identification of bacteria to the species level,”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48, no. 4, pp. 1169–1175, Apr. 2010, doi: 10.1128/JCM.01881-09.</w:t>
      </w:r>
    </w:p>
    <w:p w14:paraId="112E85E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[15]</w:t>
      </w:r>
      <w:r w:rsidRPr="0076419B">
        <w:rPr>
          <w:rFonts w:ascii="Times New Roman" w:hAnsi="Times New Roman" w:cs="Times New Roman"/>
          <w:sz w:val="16"/>
          <w:szCs w:val="16"/>
        </w:rPr>
        <w:tab/>
        <w:t xml:space="preserve">K. Dichtl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 head-to-head comparison of three MALDI-TOF mass spectrometry systems with 16S rRNA gene sequencing,”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61, no. 10, p. e0191322, Oct. 2023, doi: 10.1128/jcm.01913-22.</w:t>
      </w:r>
    </w:p>
    <w:p w14:paraId="40D36BD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[16]</w:t>
      </w:r>
      <w:r w:rsidRPr="0076419B">
        <w:rPr>
          <w:rFonts w:ascii="Times New Roman" w:hAnsi="Times New Roman" w:cs="Times New Roman"/>
          <w:sz w:val="16"/>
          <w:szCs w:val="16"/>
        </w:rPr>
        <w:tab/>
        <w:t>bioMérieux, “VITEK® MS,” bioMérieux Website. Accessed: Feb. 21, 2025. [Online]. Available: https://www.biomerieux.com/corp/en/our-offer/clinical-products/vitek-ms.html</w:t>
      </w:r>
    </w:p>
    <w:p w14:paraId="09DD2C84"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[17]</w:t>
      </w:r>
      <w:r w:rsidRPr="0076419B">
        <w:rPr>
          <w:rFonts w:ascii="Times New Roman" w:hAnsi="Times New Roman" w:cs="Times New Roman"/>
          <w:sz w:val="16"/>
          <w:szCs w:val="16"/>
        </w:rPr>
        <w:tab/>
        <w:t>Bruker, “Microbial Identification,” The MALDI Biotyper® - a revolution in microbiology. Accessed: Feb. 21, 2025. [Online]. Available: https://www.bruker.com/en/products-and-solutions/microbiology-and-diagnostics/microbial-identification.html</w:t>
      </w:r>
    </w:p>
    <w:p w14:paraId="05017EC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[18]</w:t>
      </w:r>
      <w:r w:rsidRPr="0076419B">
        <w:rPr>
          <w:rFonts w:ascii="Times New Roman" w:hAnsi="Times New Roman" w:cs="Times New Roman"/>
          <w:sz w:val="16"/>
          <w:szCs w:val="16"/>
        </w:rPr>
        <w:tab/>
        <w:t>Shimadzu Cooperation, “AXIMA Microorganism Identification System,” AXIMA Microorganism Identification System. Accessed: Feb. 21, 2025. [Online]. Available: https://www.shimadzu.com/an/products/maldi/ms-systems/axima-microorganism-identification-system/index.html</w:t>
      </w:r>
    </w:p>
    <w:p w14:paraId="25693BF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[19]</w:t>
      </w:r>
      <w:r w:rsidRPr="0076419B">
        <w:rPr>
          <w:rFonts w:ascii="Times New Roman" w:hAnsi="Times New Roman" w:cs="Times New Roman"/>
          <w:sz w:val="16"/>
          <w:szCs w:val="16"/>
        </w:rPr>
        <w:tab/>
        <w:t>Zybio, “EXS 2600_Zybio,” EXS 2600 Mass Spectrometry System. Accessed: Feb. 21, 2025. [Online]. Available: https://www.zybio.com/productxq/40/20/EXS2600.html</w:t>
      </w:r>
    </w:p>
    <w:p w14:paraId="512E118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[20]</w:t>
      </w:r>
      <w:r w:rsidRPr="0076419B">
        <w:rPr>
          <w:rFonts w:ascii="Times New Roman" w:hAnsi="Times New Roman" w:cs="Times New Roman"/>
          <w:sz w:val="16"/>
          <w:szCs w:val="16"/>
        </w:rPr>
        <w:tab/>
        <w:t xml:space="preserve">T. R. Sandrin, J. E. Goldstein, and S. Schumaker, “MALDI TOF MS profiling of bacteria at the strain level: a review,” </w:t>
      </w:r>
      <w:r w:rsidRPr="0076419B">
        <w:rPr>
          <w:rFonts w:ascii="Times New Roman" w:hAnsi="Times New Roman" w:cs="Times New Roman"/>
          <w:i/>
          <w:iCs/>
          <w:sz w:val="16"/>
          <w:szCs w:val="16"/>
        </w:rPr>
        <w:t>Mass Spectrom Rev</w:t>
      </w:r>
      <w:r w:rsidRPr="0076419B">
        <w:rPr>
          <w:rFonts w:ascii="Times New Roman" w:hAnsi="Times New Roman" w:cs="Times New Roman"/>
          <w:sz w:val="16"/>
          <w:szCs w:val="16"/>
        </w:rPr>
        <w:t>, vol. 32, no. 3, pp. 188–217, 2013, doi: 10.1002/mas.21359.</w:t>
      </w:r>
    </w:p>
    <w:p w14:paraId="6F63349E"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[21]</w:t>
      </w:r>
      <w:r w:rsidRPr="0076419B">
        <w:rPr>
          <w:rFonts w:ascii="Times New Roman" w:hAnsi="Times New Roman" w:cs="Times New Roman"/>
          <w:sz w:val="16"/>
          <w:szCs w:val="16"/>
        </w:rPr>
        <w:tab/>
        <w:t xml:space="preserve">K. Teramoto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“Phylogenetic classification of Pseudomonas putida strains by MALDI-MS using ribosomal subunit proteins as biomarkers,” </w:t>
      </w:r>
      <w:r w:rsidRPr="0076419B">
        <w:rPr>
          <w:rFonts w:ascii="Times New Roman" w:hAnsi="Times New Roman" w:cs="Times New Roman"/>
          <w:i/>
          <w:iCs/>
          <w:sz w:val="16"/>
          <w:szCs w:val="16"/>
        </w:rPr>
        <w:t>Anal Chem</w:t>
      </w:r>
      <w:r w:rsidRPr="0076419B">
        <w:rPr>
          <w:rFonts w:ascii="Times New Roman" w:hAnsi="Times New Roman" w:cs="Times New Roman"/>
          <w:sz w:val="16"/>
          <w:szCs w:val="16"/>
        </w:rPr>
        <w:t>, vol. 79, no. 22, pp. 8712–8719, Nov. 2007, doi: 10.1021/ac701905r.</w:t>
      </w:r>
    </w:p>
    <w:p w14:paraId="4BE683A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lastRenderedPageBreak/>
        <w:t>[22]</w:t>
      </w:r>
      <w:r w:rsidRPr="0076419B">
        <w:rPr>
          <w:rFonts w:ascii="Times New Roman" w:hAnsi="Times New Roman" w:cs="Times New Roman"/>
          <w:sz w:val="16"/>
          <w:szCs w:val="16"/>
        </w:rPr>
        <w:tab/>
        <w:t xml:space="preserve">W. Florio, L. Baldeschi, C. Rizzato, A. Tavanti, E. Ghelardi, and A. Lupetti, “Detection of Antibiotic-Resistance by MALDI-TOF Mass Spectrometry: An Expanding Area,” </w:t>
      </w:r>
      <w:r w:rsidRPr="0076419B">
        <w:rPr>
          <w:rFonts w:ascii="Times New Roman" w:hAnsi="Times New Roman" w:cs="Times New Roman"/>
          <w:i/>
          <w:iCs/>
          <w:sz w:val="16"/>
          <w:szCs w:val="16"/>
        </w:rPr>
        <w:t>Front. Cell. Infect. Microbiol.</w:t>
      </w:r>
      <w:r w:rsidRPr="0076419B">
        <w:rPr>
          <w:rFonts w:ascii="Times New Roman" w:hAnsi="Times New Roman" w:cs="Times New Roman"/>
          <w:sz w:val="16"/>
          <w:szCs w:val="16"/>
        </w:rPr>
        <w:t>, vol. 10, Nov. 2020, doi: 10.3389/fcimb.2020.572909.</w:t>
      </w:r>
    </w:p>
    <w:p w14:paraId="6555EAB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[23]</w:t>
      </w:r>
      <w:r w:rsidRPr="0076419B">
        <w:rPr>
          <w:rFonts w:ascii="Times New Roman" w:hAnsi="Times New Roman" w:cs="Times New Roman"/>
          <w:sz w:val="16"/>
          <w:szCs w:val="16"/>
        </w:rPr>
        <w:tab/>
        <w:t xml:space="preserve">G. Vrioni, C. Tsiamis, G. Oikonomidis, K. Theodoridou, V. Kapsimali, and A. Tsakris, “MALDI-TOF mass spectrometry technology for detecting biomarkers of antimicrobial resistance: current achievements and future perspectives,” </w:t>
      </w:r>
      <w:r w:rsidRPr="0076419B">
        <w:rPr>
          <w:rFonts w:ascii="Times New Roman" w:hAnsi="Times New Roman" w:cs="Times New Roman"/>
          <w:i/>
          <w:iCs/>
          <w:sz w:val="16"/>
          <w:szCs w:val="16"/>
        </w:rPr>
        <w:t>Ann Transl Med</w:t>
      </w:r>
      <w:r w:rsidRPr="0076419B">
        <w:rPr>
          <w:rFonts w:ascii="Times New Roman" w:hAnsi="Times New Roman" w:cs="Times New Roman"/>
          <w:sz w:val="16"/>
          <w:szCs w:val="16"/>
        </w:rPr>
        <w:t>, vol. 6, no. 12, p. 240, Jun. 2018, doi: 10.21037/atm.2018.06.28.</w:t>
      </w:r>
    </w:p>
    <w:p w14:paraId="2C1B80F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[24]</w:t>
      </w:r>
      <w:r w:rsidRPr="0076419B">
        <w:rPr>
          <w:rFonts w:ascii="Times New Roman" w:hAnsi="Times New Roman" w:cs="Times New Roman"/>
          <w:sz w:val="16"/>
          <w:szCs w:val="16"/>
        </w:rPr>
        <w:tab/>
        <w:t xml:space="preserve">M. L. Faron, N. A. Ledeboer, and B. W. Buchan, “Resistance Mechanisms, Epidemiology, and Approaches to Screening for Vancomycin-Resistant Enterococcus in the Health Care Setting,”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54, no. 10, pp. 2436–2447, Oct. 2016, doi: 10.1128/JCM.00211-16.</w:t>
      </w:r>
    </w:p>
    <w:p w14:paraId="363087C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[25]</w:t>
      </w:r>
      <w:r w:rsidRPr="0076419B">
        <w:rPr>
          <w:rFonts w:ascii="Times New Roman" w:hAnsi="Times New Roman" w:cs="Times New Roman"/>
          <w:sz w:val="16"/>
          <w:szCs w:val="16"/>
        </w:rPr>
        <w:tab/>
        <w:t xml:space="preserve">C. G. Carvalhaes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“Detection of carbapenemase activity directly from blood culture vials using MALDI-TOF MS: a quick answer for the right decision,” </w:t>
      </w:r>
      <w:r w:rsidRPr="0076419B">
        <w:rPr>
          <w:rFonts w:ascii="Times New Roman" w:hAnsi="Times New Roman" w:cs="Times New Roman"/>
          <w:i/>
          <w:iCs/>
          <w:sz w:val="16"/>
          <w:szCs w:val="16"/>
        </w:rPr>
        <w:t>J Antimicrob Chemother</w:t>
      </w:r>
      <w:r w:rsidRPr="0076419B">
        <w:rPr>
          <w:rFonts w:ascii="Times New Roman" w:hAnsi="Times New Roman" w:cs="Times New Roman"/>
          <w:sz w:val="16"/>
          <w:szCs w:val="16"/>
        </w:rPr>
        <w:t>, vol. 69, no. 8, pp. 2132–2136, Aug. 2014, doi: 10.1093/jac/dku094.</w:t>
      </w:r>
    </w:p>
    <w:p w14:paraId="7ED5F8FE"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[26]</w:t>
      </w:r>
      <w:r w:rsidRPr="0076419B">
        <w:rPr>
          <w:rFonts w:ascii="Times New Roman" w:hAnsi="Times New Roman" w:cs="Times New Roman"/>
          <w:sz w:val="16"/>
          <w:szCs w:val="16"/>
        </w:rPr>
        <w:tab/>
        <w:t xml:space="preserve">E. R. Shaidullina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“Detection of carbapenemase-producing Enterobacterales by means of matrix-assisted laser desorption ionization time-of-flight mass spectrometry with ertapenem susceptibility-testing disks as source of carbapenem substrate,” </w:t>
      </w:r>
      <w:r w:rsidRPr="0076419B">
        <w:rPr>
          <w:rFonts w:ascii="Times New Roman" w:hAnsi="Times New Roman" w:cs="Times New Roman"/>
          <w:i/>
          <w:iCs/>
          <w:sz w:val="16"/>
          <w:szCs w:val="16"/>
        </w:rPr>
        <w:t>Front Microbiol</w:t>
      </w:r>
      <w:r w:rsidRPr="0076419B">
        <w:rPr>
          <w:rFonts w:ascii="Times New Roman" w:hAnsi="Times New Roman" w:cs="Times New Roman"/>
          <w:sz w:val="16"/>
          <w:szCs w:val="16"/>
        </w:rPr>
        <w:t>, vol. 13, p. 1059104, 2022, doi: 10.3389/fmicb.2022.1059104.</w:t>
      </w:r>
    </w:p>
    <w:p w14:paraId="71BE1358"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[27]</w:t>
      </w:r>
      <w:r w:rsidRPr="0076419B">
        <w:rPr>
          <w:rFonts w:ascii="Times New Roman" w:hAnsi="Times New Roman" w:cs="Times New Roman"/>
          <w:sz w:val="16"/>
          <w:szCs w:val="16"/>
        </w:rPr>
        <w:tab/>
        <w:t xml:space="preserve">D. E. Foudraine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“Accurate Detection of the Four Most Prevalent Carbapenemases in E. coli and K. pneumoniae by High-Resolution Mass Spectrometry,” </w:t>
      </w:r>
      <w:r w:rsidRPr="0076419B">
        <w:rPr>
          <w:rFonts w:ascii="Times New Roman" w:hAnsi="Times New Roman" w:cs="Times New Roman"/>
          <w:i/>
          <w:iCs/>
          <w:sz w:val="16"/>
          <w:szCs w:val="16"/>
        </w:rPr>
        <w:t>Front Microbiol</w:t>
      </w:r>
      <w:r w:rsidRPr="0076419B">
        <w:rPr>
          <w:rFonts w:ascii="Times New Roman" w:hAnsi="Times New Roman" w:cs="Times New Roman"/>
          <w:sz w:val="16"/>
          <w:szCs w:val="16"/>
        </w:rPr>
        <w:t>, vol. 10, p. 2760, 2019, doi: 10.3389/fmicb.2019.02760.</w:t>
      </w:r>
    </w:p>
    <w:p w14:paraId="23F9068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[28]</w:t>
      </w:r>
      <w:r w:rsidRPr="0076419B">
        <w:rPr>
          <w:rFonts w:ascii="Times New Roman" w:hAnsi="Times New Roman" w:cs="Times New Roman"/>
          <w:sz w:val="16"/>
          <w:szCs w:val="16"/>
        </w:rPr>
        <w:tab/>
        <w:t xml:space="preserve">A. van der Zee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“Multi-centre evaluation of real-time multiplex PCR for detection of carbapenemase genes OXA-48, VIM, IMP, NDM and KPC,” </w:t>
      </w:r>
      <w:r w:rsidRPr="0076419B">
        <w:rPr>
          <w:rFonts w:ascii="Times New Roman" w:hAnsi="Times New Roman" w:cs="Times New Roman"/>
          <w:i/>
          <w:iCs/>
          <w:sz w:val="16"/>
          <w:szCs w:val="16"/>
        </w:rPr>
        <w:t>BMC Infect Dis</w:t>
      </w:r>
      <w:r w:rsidRPr="0076419B">
        <w:rPr>
          <w:rFonts w:ascii="Times New Roman" w:hAnsi="Times New Roman" w:cs="Times New Roman"/>
          <w:sz w:val="16"/>
          <w:szCs w:val="16"/>
        </w:rPr>
        <w:t>, vol. 14, p. 27, Jan. 2014, doi: 10.1186/1471-2334-14-27.</w:t>
      </w:r>
    </w:p>
    <w:p w14:paraId="237CA17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[29]</w:t>
      </w:r>
      <w:r w:rsidRPr="0076419B">
        <w:rPr>
          <w:rFonts w:ascii="Times New Roman" w:hAnsi="Times New Roman" w:cs="Times New Roman"/>
          <w:sz w:val="16"/>
          <w:szCs w:val="16"/>
        </w:rPr>
        <w:tab/>
        <w:t xml:space="preserve">M. Yaşar-Duman and F. F. Çilli, “Investigation of the presence of carbapenemases in carbapenem-resistant Klebsiella pneumoniae strains by MALDI-TOF MS (matrix-assisted laser desorption ionization-time of flight mass spectrometry) and comparison with real-time PCR method,” </w:t>
      </w:r>
      <w:r w:rsidRPr="0076419B">
        <w:rPr>
          <w:rFonts w:ascii="Times New Roman" w:hAnsi="Times New Roman" w:cs="Times New Roman"/>
          <w:i/>
          <w:iCs/>
          <w:sz w:val="16"/>
          <w:szCs w:val="16"/>
        </w:rPr>
        <w:t>Indian J Med Microbiol</w:t>
      </w:r>
      <w:r w:rsidRPr="0076419B">
        <w:rPr>
          <w:rFonts w:ascii="Times New Roman" w:hAnsi="Times New Roman" w:cs="Times New Roman"/>
          <w:sz w:val="16"/>
          <w:szCs w:val="16"/>
        </w:rPr>
        <w:t>, vol. 39, no. 3, pp. 300–305, Jul. 2021, doi: 10.1016/j.ijmmb.2021.03.013.</w:t>
      </w:r>
    </w:p>
    <w:p w14:paraId="7F4A469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[30]</w:t>
      </w:r>
      <w:r w:rsidRPr="0076419B">
        <w:rPr>
          <w:rFonts w:ascii="Times New Roman" w:hAnsi="Times New Roman" w:cs="Times New Roman"/>
          <w:sz w:val="16"/>
          <w:szCs w:val="16"/>
        </w:rPr>
        <w:tab/>
        <w:t xml:space="preserve">J. R. Neil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“Rapid MRSA detection via tandem mass spectrometry of the intact 80 kDa PBP2a resistance protein,” </w:t>
      </w:r>
      <w:r w:rsidRPr="0076419B">
        <w:rPr>
          <w:rFonts w:ascii="Times New Roman" w:hAnsi="Times New Roman" w:cs="Times New Roman"/>
          <w:i/>
          <w:iCs/>
          <w:sz w:val="16"/>
          <w:szCs w:val="16"/>
        </w:rPr>
        <w:t>Sci Rep</w:t>
      </w:r>
      <w:r w:rsidRPr="0076419B">
        <w:rPr>
          <w:rFonts w:ascii="Times New Roman" w:hAnsi="Times New Roman" w:cs="Times New Roman"/>
          <w:sz w:val="16"/>
          <w:szCs w:val="16"/>
        </w:rPr>
        <w:t>, vol. 11, no. 1, p. 18309, Sep. 2021, doi: 10.1038/s41598-021-97844-w.</w:t>
      </w:r>
    </w:p>
    <w:p w14:paraId="5F81EC5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[31]</w:t>
      </w:r>
      <w:r w:rsidRPr="0076419B">
        <w:rPr>
          <w:rFonts w:ascii="Times New Roman" w:hAnsi="Times New Roman" w:cs="Times New Roman"/>
          <w:sz w:val="16"/>
          <w:szCs w:val="16"/>
        </w:rPr>
        <w:tab/>
        <w:t xml:space="preserve">I. D. Nix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“Detection of Methicillin Resistance in Staphylococcus aureus From Agar Cultures and Directly From Positive Blood Cultures Using MALDI-TOF Mass Spectrometry-Based Direct-on-Target Microdroplet Growth Assay,” </w:t>
      </w:r>
      <w:r w:rsidRPr="0076419B">
        <w:rPr>
          <w:rFonts w:ascii="Times New Roman" w:hAnsi="Times New Roman" w:cs="Times New Roman"/>
          <w:i/>
          <w:iCs/>
          <w:sz w:val="16"/>
          <w:szCs w:val="16"/>
        </w:rPr>
        <w:t>Front Microbiol</w:t>
      </w:r>
      <w:r w:rsidRPr="0076419B">
        <w:rPr>
          <w:rFonts w:ascii="Times New Roman" w:hAnsi="Times New Roman" w:cs="Times New Roman"/>
          <w:sz w:val="16"/>
          <w:szCs w:val="16"/>
        </w:rPr>
        <w:t>, vol. 11, p. 232, 2020, doi: 10.3389/fmicb.2020.00232.</w:t>
      </w:r>
    </w:p>
    <w:p w14:paraId="165479FC"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[32]</w:t>
      </w:r>
      <w:r w:rsidRPr="0076419B">
        <w:rPr>
          <w:rFonts w:ascii="Times New Roman" w:hAnsi="Times New Roman" w:cs="Times New Roman"/>
          <w:sz w:val="16"/>
          <w:szCs w:val="16"/>
        </w:rPr>
        <w:tab/>
        <w:t xml:space="preserve">A. Maus, B. Bisha, C. Fagerquist, and F. Basile, “Detection and identification of a protein biomarker in antibiotic-resistant Escherichia coli using intact protein LC offline MALDI-MS and MS/MS,” </w:t>
      </w:r>
      <w:r w:rsidRPr="0076419B">
        <w:rPr>
          <w:rFonts w:ascii="Times New Roman" w:hAnsi="Times New Roman" w:cs="Times New Roman"/>
          <w:i/>
          <w:iCs/>
          <w:sz w:val="16"/>
          <w:szCs w:val="16"/>
        </w:rPr>
        <w:t>J Appl Microbiol</w:t>
      </w:r>
      <w:r w:rsidRPr="0076419B">
        <w:rPr>
          <w:rFonts w:ascii="Times New Roman" w:hAnsi="Times New Roman" w:cs="Times New Roman"/>
          <w:sz w:val="16"/>
          <w:szCs w:val="16"/>
        </w:rPr>
        <w:t>, vol. 128, no. 3, pp. 697–709, Mar. 2020, doi: 10.1111/jam.14507.</w:t>
      </w:r>
    </w:p>
    <w:p w14:paraId="41D86AC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[33]</w:t>
      </w:r>
      <w:r w:rsidRPr="0076419B">
        <w:rPr>
          <w:rFonts w:ascii="Times New Roman" w:hAnsi="Times New Roman" w:cs="Times New Roman"/>
          <w:sz w:val="16"/>
          <w:szCs w:val="16"/>
        </w:rPr>
        <w:tab/>
        <w:t xml:space="preserve">S. Al-Amrani, Z. Al-Jabri, A. Al-Zaabi, J. Alshekaili, and M. Al-Khabori, “Proteomics: Concepts and applications in human medicine,” </w:t>
      </w:r>
      <w:r w:rsidRPr="0076419B">
        <w:rPr>
          <w:rFonts w:ascii="Times New Roman" w:hAnsi="Times New Roman" w:cs="Times New Roman"/>
          <w:i/>
          <w:iCs/>
          <w:sz w:val="16"/>
          <w:szCs w:val="16"/>
        </w:rPr>
        <w:t>World J Biol Chem</w:t>
      </w:r>
      <w:r w:rsidRPr="0076419B">
        <w:rPr>
          <w:rFonts w:ascii="Times New Roman" w:hAnsi="Times New Roman" w:cs="Times New Roman"/>
          <w:sz w:val="16"/>
          <w:szCs w:val="16"/>
        </w:rPr>
        <w:t>, vol. 12, no. 5, pp. 57–69, Sep. 2021, doi: 10.4331/wjbc.v12.i5.57.</w:t>
      </w:r>
    </w:p>
    <w:p w14:paraId="2684160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[34]</w:t>
      </w:r>
      <w:r w:rsidRPr="0076419B">
        <w:rPr>
          <w:rFonts w:ascii="Times New Roman" w:hAnsi="Times New Roman" w:cs="Times New Roman"/>
          <w:sz w:val="16"/>
          <w:szCs w:val="16"/>
        </w:rPr>
        <w:tab/>
        <w:t xml:space="preserve">E. Khodadadi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“Proteomic Applications in Antimicrobial Resistance and Clinical Microbiology Studies,” </w:t>
      </w:r>
      <w:r w:rsidRPr="0076419B">
        <w:rPr>
          <w:rFonts w:ascii="Times New Roman" w:hAnsi="Times New Roman" w:cs="Times New Roman"/>
          <w:i/>
          <w:iCs/>
          <w:sz w:val="16"/>
          <w:szCs w:val="16"/>
        </w:rPr>
        <w:t>Infect Drug Resist</w:t>
      </w:r>
      <w:r w:rsidRPr="0076419B">
        <w:rPr>
          <w:rFonts w:ascii="Times New Roman" w:hAnsi="Times New Roman" w:cs="Times New Roman"/>
          <w:sz w:val="16"/>
          <w:szCs w:val="16"/>
        </w:rPr>
        <w:t>, vol. 13, pp. 1785–1806, 2020, doi: 10.2147/IDR.S238446.</w:t>
      </w:r>
    </w:p>
    <w:p w14:paraId="344EC37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[35]</w:t>
      </w:r>
      <w:r w:rsidRPr="0076419B">
        <w:rPr>
          <w:rFonts w:ascii="Times New Roman" w:hAnsi="Times New Roman" w:cs="Times New Roman"/>
          <w:sz w:val="16"/>
          <w:szCs w:val="16"/>
        </w:rPr>
        <w:tab/>
        <w:t xml:space="preserve">F. J. Pérez-Llarena and G. Bou, “Proteomics As a Tool for Studying Bacterial Virulence and Antimicrobial Resistance,” </w:t>
      </w:r>
      <w:r w:rsidRPr="0076419B">
        <w:rPr>
          <w:rFonts w:ascii="Times New Roman" w:hAnsi="Times New Roman" w:cs="Times New Roman"/>
          <w:i/>
          <w:iCs/>
          <w:sz w:val="16"/>
          <w:szCs w:val="16"/>
        </w:rPr>
        <w:t>Front Microbiol</w:t>
      </w:r>
      <w:r w:rsidRPr="0076419B">
        <w:rPr>
          <w:rFonts w:ascii="Times New Roman" w:hAnsi="Times New Roman" w:cs="Times New Roman"/>
          <w:sz w:val="16"/>
          <w:szCs w:val="16"/>
        </w:rPr>
        <w:t>, vol. 7, p. 410, 2016, doi: 10.3389/fmicb.2016.00410.</w:t>
      </w:r>
    </w:p>
    <w:p w14:paraId="42E2F39D" w14:textId="3E06197C"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[36]</w:t>
      </w:r>
      <w:r w:rsidRPr="0076419B">
        <w:rPr>
          <w:rFonts w:ascii="Times New Roman" w:hAnsi="Times New Roman" w:cs="Times New Roman"/>
          <w:sz w:val="16"/>
          <w:szCs w:val="16"/>
        </w:rPr>
        <w:tab/>
        <w:t xml:space="preserve">R. D. Smith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 Novel Lipid-Based MALDI-TOF Assay for the Rapid Detection of Colistin-Resistant Enterobacter Species,” </w:t>
      </w:r>
      <w:r w:rsidRPr="0076419B">
        <w:rPr>
          <w:rFonts w:ascii="Times New Roman" w:hAnsi="Times New Roman" w:cs="Times New Roman"/>
          <w:i/>
          <w:iCs/>
          <w:sz w:val="16"/>
          <w:szCs w:val="16"/>
        </w:rPr>
        <w:t>Microbiol Spectr</w:t>
      </w:r>
      <w:r w:rsidRPr="0076419B">
        <w:rPr>
          <w:rFonts w:ascii="Times New Roman" w:hAnsi="Times New Roman" w:cs="Times New Roman"/>
          <w:sz w:val="16"/>
          <w:szCs w:val="16"/>
        </w:rPr>
        <w:t>, vol. 10, no. 1, pp. e01445-21, doi: 10.1128/spectrum.01445-21.</w:t>
      </w:r>
    </w:p>
    <w:p w14:paraId="4CACB44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[37]</w:t>
      </w:r>
      <w:r w:rsidRPr="0076419B">
        <w:rPr>
          <w:rFonts w:ascii="Times New Roman" w:hAnsi="Times New Roman" w:cs="Times New Roman"/>
          <w:sz w:val="16"/>
          <w:szCs w:val="16"/>
        </w:rPr>
        <w:tab/>
        <w:t xml:space="preserve">J. P. Hulme, “Emerging Diagnostics in Clostridioides difficile Infection,” </w:t>
      </w:r>
      <w:r w:rsidRPr="0076419B">
        <w:rPr>
          <w:rFonts w:ascii="Times New Roman" w:hAnsi="Times New Roman" w:cs="Times New Roman"/>
          <w:i/>
          <w:iCs/>
          <w:sz w:val="16"/>
          <w:szCs w:val="16"/>
        </w:rPr>
        <w:t>Int J Mol Sci</w:t>
      </w:r>
      <w:r w:rsidRPr="0076419B">
        <w:rPr>
          <w:rFonts w:ascii="Times New Roman" w:hAnsi="Times New Roman" w:cs="Times New Roman"/>
          <w:sz w:val="16"/>
          <w:szCs w:val="16"/>
        </w:rPr>
        <w:t>, vol. 25, no. 16, p. 8672, Aug. 2024, doi: 10.3390/ijms25168672.</w:t>
      </w:r>
    </w:p>
    <w:p w14:paraId="188C9C5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[38]</w:t>
      </w:r>
      <w:r w:rsidRPr="0076419B">
        <w:rPr>
          <w:rFonts w:ascii="Times New Roman" w:hAnsi="Times New Roman" w:cs="Times New Roman"/>
          <w:sz w:val="16"/>
          <w:szCs w:val="16"/>
        </w:rPr>
        <w:tab/>
        <w:t xml:space="preserve">M. H. Wilcox, “Overcoming barriers to effective recognition and diagnosis of </w:t>
      </w:r>
      <w:r w:rsidRPr="0076419B">
        <w:rPr>
          <w:rFonts w:ascii="Times New Roman" w:hAnsi="Times New Roman" w:cs="Times New Roman"/>
          <w:i/>
          <w:iCs/>
          <w:sz w:val="16"/>
          <w:szCs w:val="16"/>
        </w:rPr>
        <w:t>Clostridium difficile</w:t>
      </w:r>
      <w:r w:rsidRPr="0076419B">
        <w:rPr>
          <w:rFonts w:ascii="Times New Roman" w:hAnsi="Times New Roman" w:cs="Times New Roman"/>
          <w:sz w:val="16"/>
          <w:szCs w:val="16"/>
        </w:rPr>
        <w:t xml:space="preserve"> infection,” </w:t>
      </w:r>
      <w:r w:rsidRPr="0076419B">
        <w:rPr>
          <w:rFonts w:ascii="Times New Roman" w:hAnsi="Times New Roman" w:cs="Times New Roman"/>
          <w:i/>
          <w:iCs/>
          <w:sz w:val="16"/>
          <w:szCs w:val="16"/>
        </w:rPr>
        <w:t>Clinical Microbiology and Infection</w:t>
      </w:r>
      <w:r w:rsidRPr="0076419B">
        <w:rPr>
          <w:rFonts w:ascii="Times New Roman" w:hAnsi="Times New Roman" w:cs="Times New Roman"/>
          <w:sz w:val="16"/>
          <w:szCs w:val="16"/>
        </w:rPr>
        <w:t>, vol. 18, pp. 13–20, Jan. 2012, doi: 10.1111/1469-0691.12057.</w:t>
      </w:r>
    </w:p>
    <w:p w14:paraId="6555ED2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[39]</w:t>
      </w:r>
      <w:r w:rsidRPr="0076419B">
        <w:rPr>
          <w:rFonts w:ascii="Times New Roman" w:hAnsi="Times New Roman" w:cs="Times New Roman"/>
          <w:sz w:val="16"/>
          <w:szCs w:val="16"/>
        </w:rPr>
        <w:tab/>
        <w:t xml:space="preserve">A. Nakayama, Y. Morinaga, R. Izuno, K. Morikane, and K. Yanagihara, “Evaluation of MALDI-TOF mass spectrometry coupled with ClinProTools as a rapid tool for toxin-producing Clostridioides difficile,” </w:t>
      </w:r>
      <w:r w:rsidRPr="0076419B">
        <w:rPr>
          <w:rFonts w:ascii="Times New Roman" w:hAnsi="Times New Roman" w:cs="Times New Roman"/>
          <w:i/>
          <w:iCs/>
          <w:sz w:val="16"/>
          <w:szCs w:val="16"/>
        </w:rPr>
        <w:t>Journal of Infection and Chemotherapy</w:t>
      </w:r>
      <w:r w:rsidRPr="0076419B">
        <w:rPr>
          <w:rFonts w:ascii="Times New Roman" w:hAnsi="Times New Roman" w:cs="Times New Roman"/>
          <w:sz w:val="16"/>
          <w:szCs w:val="16"/>
        </w:rPr>
        <w:t>, vol. 30, no. 9, pp. 847–852, Sep. 2024, doi: 10.1016/j.jiac.2024.02.024.</w:t>
      </w:r>
    </w:p>
    <w:p w14:paraId="2C77B23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[40]</w:t>
      </w:r>
      <w:r w:rsidRPr="0076419B">
        <w:rPr>
          <w:rFonts w:ascii="Times New Roman" w:hAnsi="Times New Roman" w:cs="Times New Roman"/>
          <w:sz w:val="16"/>
          <w:szCs w:val="16"/>
        </w:rPr>
        <w:tab/>
        <w:t xml:space="preserve">A. E. Boyer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“Quantitative Mass Spectrometry for Bacterial Protein Toxins — A Sensitive, Specific, High-Throughput Tool for Detection and Diagnosis,” </w:t>
      </w:r>
      <w:r w:rsidRPr="0076419B">
        <w:rPr>
          <w:rFonts w:ascii="Times New Roman" w:hAnsi="Times New Roman" w:cs="Times New Roman"/>
          <w:i/>
          <w:iCs/>
          <w:sz w:val="16"/>
          <w:szCs w:val="16"/>
        </w:rPr>
        <w:t>Molecules</w:t>
      </w:r>
      <w:r w:rsidRPr="0076419B">
        <w:rPr>
          <w:rFonts w:ascii="Times New Roman" w:hAnsi="Times New Roman" w:cs="Times New Roman"/>
          <w:sz w:val="16"/>
          <w:szCs w:val="16"/>
        </w:rPr>
        <w:t>, vol. 16, no. 3, Art. no. 3, Mar. 2011, doi: 10.3390/molecules16032391.</w:t>
      </w:r>
    </w:p>
    <w:p w14:paraId="06FC683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[41]</w:t>
      </w:r>
      <w:r w:rsidRPr="0076419B">
        <w:rPr>
          <w:rFonts w:ascii="Times New Roman" w:hAnsi="Times New Roman" w:cs="Times New Roman"/>
          <w:sz w:val="16"/>
          <w:szCs w:val="16"/>
        </w:rPr>
        <w:tab/>
        <w:t xml:space="preserve">A. Calderaro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“Characterization of Clostridioides difficile Strains from an Outbreak Using MALDI-TOF Mass Spectrometry,” </w:t>
      </w:r>
      <w:r w:rsidRPr="0076419B">
        <w:rPr>
          <w:rFonts w:ascii="Times New Roman" w:hAnsi="Times New Roman" w:cs="Times New Roman"/>
          <w:i/>
          <w:iCs/>
          <w:sz w:val="16"/>
          <w:szCs w:val="16"/>
        </w:rPr>
        <w:t>Microorganisms</w:t>
      </w:r>
      <w:r w:rsidRPr="0076419B">
        <w:rPr>
          <w:rFonts w:ascii="Times New Roman" w:hAnsi="Times New Roman" w:cs="Times New Roman"/>
          <w:sz w:val="16"/>
          <w:szCs w:val="16"/>
        </w:rPr>
        <w:t>, vol. 10, no. 7, Art. no. 7, Jul. 2022, doi: 10.3390/microorganisms10071477.</w:t>
      </w:r>
    </w:p>
    <w:p w14:paraId="1C3681A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[42]</w:t>
      </w:r>
      <w:r w:rsidRPr="0076419B">
        <w:rPr>
          <w:rFonts w:ascii="Times New Roman" w:hAnsi="Times New Roman" w:cs="Times New Roman"/>
          <w:sz w:val="16"/>
          <w:szCs w:val="16"/>
        </w:rPr>
        <w:tab/>
        <w:t xml:space="preserve">F. Bittar, Z. Ouchenane, F. Smati, D. Raoult, and J.-M. Rolain, “MALDI-TOF-MS for rapid detection of staphylococcal Panton-Valentine leukocidin,” </w:t>
      </w:r>
      <w:r w:rsidRPr="0076419B">
        <w:rPr>
          <w:rFonts w:ascii="Times New Roman" w:hAnsi="Times New Roman" w:cs="Times New Roman"/>
          <w:i/>
          <w:iCs/>
          <w:sz w:val="16"/>
          <w:szCs w:val="16"/>
        </w:rPr>
        <w:t>Int J Antimicrob Agents</w:t>
      </w:r>
      <w:r w:rsidRPr="0076419B">
        <w:rPr>
          <w:rFonts w:ascii="Times New Roman" w:hAnsi="Times New Roman" w:cs="Times New Roman"/>
          <w:sz w:val="16"/>
          <w:szCs w:val="16"/>
        </w:rPr>
        <w:t>, vol. 34, no. 5, pp. 467–470, Nov. 2009, doi: 10.1016/j.ijantimicag.2009.03.017.</w:t>
      </w:r>
    </w:p>
    <w:p w14:paraId="72180F8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[43]</w:t>
      </w:r>
      <w:r w:rsidRPr="0076419B">
        <w:rPr>
          <w:rFonts w:ascii="Times New Roman" w:hAnsi="Times New Roman" w:cs="Times New Roman"/>
          <w:sz w:val="16"/>
          <w:szCs w:val="16"/>
        </w:rPr>
        <w:tab/>
        <w:t xml:space="preserve">C. Ranasinghe and R. J. Akhurst, “Matrix assisted laser desorption ionisation time of flight mass spectrometry (MALDI-TOF MS) for detecting novel Bt toxins,” </w:t>
      </w:r>
      <w:r w:rsidRPr="0076419B">
        <w:rPr>
          <w:rFonts w:ascii="Times New Roman" w:hAnsi="Times New Roman" w:cs="Times New Roman"/>
          <w:i/>
          <w:iCs/>
          <w:sz w:val="16"/>
          <w:szCs w:val="16"/>
        </w:rPr>
        <w:t>J Invertebr Pathol</w:t>
      </w:r>
      <w:r w:rsidRPr="0076419B">
        <w:rPr>
          <w:rFonts w:ascii="Times New Roman" w:hAnsi="Times New Roman" w:cs="Times New Roman"/>
          <w:sz w:val="16"/>
          <w:szCs w:val="16"/>
        </w:rPr>
        <w:t>, vol. 79, no. 1, pp. 51–58, Jan. 2002, doi: 10.1016/S0022-2011(02)00004-6.</w:t>
      </w:r>
    </w:p>
    <w:p w14:paraId="2018623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[44]</w:t>
      </w:r>
      <w:r w:rsidRPr="0076419B">
        <w:rPr>
          <w:rFonts w:ascii="Times New Roman" w:hAnsi="Times New Roman" w:cs="Times New Roman"/>
          <w:sz w:val="16"/>
          <w:szCs w:val="16"/>
        </w:rPr>
        <w:tab/>
        <w:t xml:space="preserve">F. Kondo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“Identification of Shiga toxins in Shiga toxin-producing Escherichia coli using immunoprecipitation and high-performance liquid chromatography-electrospray ionization mass spectrometry,” </w:t>
      </w:r>
      <w:r w:rsidRPr="0076419B">
        <w:rPr>
          <w:rFonts w:ascii="Times New Roman" w:hAnsi="Times New Roman" w:cs="Times New Roman"/>
          <w:i/>
          <w:iCs/>
          <w:sz w:val="16"/>
          <w:szCs w:val="16"/>
        </w:rPr>
        <w:t>Analyst</w:t>
      </w:r>
      <w:r w:rsidRPr="0076419B">
        <w:rPr>
          <w:rFonts w:ascii="Times New Roman" w:hAnsi="Times New Roman" w:cs="Times New Roman"/>
          <w:sz w:val="16"/>
          <w:szCs w:val="16"/>
        </w:rPr>
        <w:t>, vol. 128, no. 11, pp. 1360–1364, Nov. 2003, doi: 10.1039/B309401D.</w:t>
      </w:r>
    </w:p>
    <w:p w14:paraId="627BDBD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[45]</w:t>
      </w:r>
      <w:r w:rsidRPr="0076419B">
        <w:rPr>
          <w:rFonts w:ascii="Times New Roman" w:hAnsi="Times New Roman" w:cs="Times New Roman"/>
          <w:sz w:val="16"/>
          <w:szCs w:val="16"/>
        </w:rPr>
        <w:tab/>
        <w:t xml:space="preserve">C. K. Fagerquist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“Top-Down Proteomic Identification of Shiga Toxin 2 Subtypes from Shiga Toxin-Producing Escherichia coli by Matrix-Assisted Laser Desorption Ionization–Tandem Time of Flight Mass Spectrometry,” </w:t>
      </w:r>
      <w:r w:rsidRPr="0076419B">
        <w:rPr>
          <w:rFonts w:ascii="Times New Roman" w:hAnsi="Times New Roman" w:cs="Times New Roman"/>
          <w:i/>
          <w:iCs/>
          <w:sz w:val="16"/>
          <w:szCs w:val="16"/>
        </w:rPr>
        <w:t>Applied and Environmental Microbiology</w:t>
      </w:r>
      <w:r w:rsidRPr="0076419B">
        <w:rPr>
          <w:rFonts w:ascii="Times New Roman" w:hAnsi="Times New Roman" w:cs="Times New Roman"/>
          <w:sz w:val="16"/>
          <w:szCs w:val="16"/>
        </w:rPr>
        <w:t>, vol. 80, no. 9, pp. 2928–2940, May 2014, doi: 10.1128/AEM.04058-13.</w:t>
      </w:r>
    </w:p>
    <w:p w14:paraId="44AD0851"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[46]</w:t>
      </w:r>
      <w:r w:rsidRPr="0076419B">
        <w:rPr>
          <w:rFonts w:ascii="Times New Roman" w:hAnsi="Times New Roman" w:cs="Times New Roman"/>
          <w:sz w:val="16"/>
          <w:szCs w:val="16"/>
        </w:rPr>
        <w:tab/>
        <w:t xml:space="preserve">C. K. Fagerquist, Y. Shi, and C. E. Dodd, “Toxin and phage production from pathogenic E. coli by antibiotic induction analyzed by chemical reduction, MALDI-TOF-TOF mass spectrometry and top-down proteomic analysis,” </w:t>
      </w:r>
      <w:r w:rsidRPr="0076419B">
        <w:rPr>
          <w:rFonts w:ascii="Times New Roman" w:hAnsi="Times New Roman" w:cs="Times New Roman"/>
          <w:i/>
          <w:iCs/>
          <w:sz w:val="16"/>
          <w:szCs w:val="16"/>
        </w:rPr>
        <w:t>Rapid Commun Mass Spectrom</w:t>
      </w:r>
      <w:r w:rsidRPr="0076419B">
        <w:rPr>
          <w:rFonts w:ascii="Times New Roman" w:hAnsi="Times New Roman" w:cs="Times New Roman"/>
          <w:sz w:val="16"/>
          <w:szCs w:val="16"/>
        </w:rPr>
        <w:t>, vol. 37, no. 10, p. e9505, Mar. 2023, doi: 10.1002/rcm.9505.</w:t>
      </w:r>
    </w:p>
    <w:p w14:paraId="3D24DD0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[47]</w:t>
      </w:r>
      <w:r w:rsidRPr="0076419B">
        <w:rPr>
          <w:rFonts w:ascii="Times New Roman" w:hAnsi="Times New Roman" w:cs="Times New Roman"/>
          <w:sz w:val="16"/>
          <w:szCs w:val="16"/>
        </w:rPr>
        <w:tab/>
        <w:t xml:space="preserve">J. A. Roberts, R. Norris, D. L. Paterson, and J. H. Martin, “Therapeutic drug monitoring of antimicrobials,” </w:t>
      </w:r>
      <w:r w:rsidRPr="0076419B">
        <w:rPr>
          <w:rFonts w:ascii="Times New Roman" w:hAnsi="Times New Roman" w:cs="Times New Roman"/>
          <w:i/>
          <w:iCs/>
          <w:sz w:val="16"/>
          <w:szCs w:val="16"/>
        </w:rPr>
        <w:t>Br J Clin Pharmacol</w:t>
      </w:r>
      <w:r w:rsidRPr="0076419B">
        <w:rPr>
          <w:rFonts w:ascii="Times New Roman" w:hAnsi="Times New Roman" w:cs="Times New Roman"/>
          <w:sz w:val="16"/>
          <w:szCs w:val="16"/>
        </w:rPr>
        <w:t>, vol. 73, no. 1, pp. 27–36, Jan. 2012, doi: 10.1111/j.1365-2125.2011.04080.x.</w:t>
      </w:r>
    </w:p>
    <w:p w14:paraId="4A40019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[48]</w:t>
      </w:r>
      <w:r w:rsidRPr="0076419B">
        <w:rPr>
          <w:rFonts w:ascii="Times New Roman" w:hAnsi="Times New Roman" w:cs="Times New Roman"/>
          <w:sz w:val="16"/>
          <w:szCs w:val="16"/>
        </w:rPr>
        <w:tab/>
        <w:t>M. Vogeser, C. M. Cobbaert, and E. Hämäläinen, “Mass spectrometry in clinical diagnostics | LabLeaders,” Diagnostics. Accessed: Feb. 08, 2025. [Online]. Available: https://lableaders.roche.com/global/en/articles/mass-spectrometry-moving-clinical-diagnostics.html</w:t>
      </w:r>
    </w:p>
    <w:p w14:paraId="148A434B"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[49]</w:t>
      </w:r>
      <w:r w:rsidRPr="0076419B">
        <w:rPr>
          <w:rFonts w:ascii="Times New Roman" w:hAnsi="Times New Roman" w:cs="Times New Roman"/>
          <w:sz w:val="16"/>
          <w:szCs w:val="16"/>
        </w:rPr>
        <w:tab/>
        <w:t xml:space="preserve">A. Dasgupta, “Chapter 2 - Immunoassays and Issues With Interference in Therapeutic Drug Monitoring,” in </w:t>
      </w:r>
      <w:r w:rsidRPr="0076419B">
        <w:rPr>
          <w:rFonts w:ascii="Times New Roman" w:hAnsi="Times New Roman" w:cs="Times New Roman"/>
          <w:i/>
          <w:iCs/>
          <w:sz w:val="16"/>
          <w:szCs w:val="16"/>
        </w:rPr>
        <w:t>Clinical Challenges in Therapeutic Drug Monitoring</w:t>
      </w:r>
      <w:r w:rsidRPr="0076419B">
        <w:rPr>
          <w:rFonts w:ascii="Times New Roman" w:hAnsi="Times New Roman" w:cs="Times New Roman"/>
          <w:sz w:val="16"/>
          <w:szCs w:val="16"/>
        </w:rPr>
        <w:t>, W. Clarke and A. Dasgupta, Eds., San Diego: Elsevier, 2016, pp. 17–44. doi: 10.1016/B978-0-12-802025-8.00002-7.</w:t>
      </w:r>
    </w:p>
    <w:p w14:paraId="17445FA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[50]</w:t>
      </w:r>
      <w:r w:rsidRPr="0076419B">
        <w:rPr>
          <w:rFonts w:ascii="Times New Roman" w:hAnsi="Times New Roman" w:cs="Times New Roman"/>
          <w:sz w:val="16"/>
          <w:szCs w:val="16"/>
        </w:rPr>
        <w:tab/>
        <w:t xml:space="preserve">M. Manohar and M. A. Marzinke, “Chapter 3 - Application of Chromatography Combined With Mass Spectrometry in Therapeutic Drug Monitoring,” in </w:t>
      </w:r>
      <w:r w:rsidRPr="0076419B">
        <w:rPr>
          <w:rFonts w:ascii="Times New Roman" w:hAnsi="Times New Roman" w:cs="Times New Roman"/>
          <w:i/>
          <w:iCs/>
          <w:sz w:val="16"/>
          <w:szCs w:val="16"/>
        </w:rPr>
        <w:t>Clinical Challenges in Therapeutic Drug Monitoring</w:t>
      </w:r>
      <w:r w:rsidRPr="0076419B">
        <w:rPr>
          <w:rFonts w:ascii="Times New Roman" w:hAnsi="Times New Roman" w:cs="Times New Roman"/>
          <w:sz w:val="16"/>
          <w:szCs w:val="16"/>
        </w:rPr>
        <w:t>, W. Clarke and A. Dasgupta, Eds., San Diego: Elsevier, 2016, pp. 45–70. doi: 10.1016/B978-0-12-802025-8.00003-9.</w:t>
      </w:r>
    </w:p>
    <w:p w14:paraId="35154CA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lastRenderedPageBreak/>
        <w:t>[51]</w:t>
      </w:r>
      <w:r w:rsidRPr="0076419B">
        <w:rPr>
          <w:rFonts w:ascii="Times New Roman" w:hAnsi="Times New Roman" w:cs="Times New Roman"/>
          <w:sz w:val="16"/>
          <w:szCs w:val="16"/>
        </w:rPr>
        <w:tab/>
        <w:t xml:space="preserve">F. Nomura, S. Tsuchida, S. Murata, M. Satoh, and K. Matsushita, “Mass spectrometry-based microbiological testing for blood stream infection,” </w:t>
      </w:r>
      <w:r w:rsidRPr="0076419B">
        <w:rPr>
          <w:rFonts w:ascii="Times New Roman" w:hAnsi="Times New Roman" w:cs="Times New Roman"/>
          <w:i/>
          <w:iCs/>
          <w:sz w:val="16"/>
          <w:szCs w:val="16"/>
        </w:rPr>
        <w:t>Clinical Proteomics</w:t>
      </w:r>
      <w:r w:rsidRPr="0076419B">
        <w:rPr>
          <w:rFonts w:ascii="Times New Roman" w:hAnsi="Times New Roman" w:cs="Times New Roman"/>
          <w:sz w:val="16"/>
          <w:szCs w:val="16"/>
        </w:rPr>
        <w:t>, vol. 17, no. 1, p. 14, May 2020, doi: 10.1186/s12014-020-09278-7.</w:t>
      </w:r>
    </w:p>
    <w:p w14:paraId="0D296541"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[52]</w:t>
      </w:r>
      <w:r w:rsidRPr="0076419B">
        <w:rPr>
          <w:rFonts w:ascii="Times New Roman" w:hAnsi="Times New Roman" w:cs="Times New Roman"/>
          <w:sz w:val="16"/>
          <w:szCs w:val="16"/>
        </w:rPr>
        <w:tab/>
        <w:t xml:space="preserve">W. Lu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“An LC-MS/MS method for the simultaneous determination of 18 antibacterial drugs in human plasma and its application in therapeutic drug monitoring,” </w:t>
      </w:r>
      <w:r w:rsidRPr="0076419B">
        <w:rPr>
          <w:rFonts w:ascii="Times New Roman" w:hAnsi="Times New Roman" w:cs="Times New Roman"/>
          <w:i/>
          <w:iCs/>
          <w:sz w:val="16"/>
          <w:szCs w:val="16"/>
        </w:rPr>
        <w:t>Front Pharmacol</w:t>
      </w:r>
      <w:r w:rsidRPr="0076419B">
        <w:rPr>
          <w:rFonts w:ascii="Times New Roman" w:hAnsi="Times New Roman" w:cs="Times New Roman"/>
          <w:sz w:val="16"/>
          <w:szCs w:val="16"/>
        </w:rPr>
        <w:t>, vol. 13, p. 1044234, Nov. 2022, doi: 10.3389/fphar.2022.1044234.</w:t>
      </w:r>
    </w:p>
    <w:p w14:paraId="081E1AE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[53]</w:t>
      </w:r>
      <w:r w:rsidRPr="0076419B">
        <w:rPr>
          <w:rFonts w:ascii="Times New Roman" w:hAnsi="Times New Roman" w:cs="Times New Roman"/>
          <w:sz w:val="16"/>
          <w:szCs w:val="16"/>
        </w:rPr>
        <w:tab/>
        <w:t xml:space="preserve">E. Myers and E. Dodds Ashley, “Antifungal Drug Therapeutic Monitoring: What are the Issues?,” </w:t>
      </w:r>
      <w:r w:rsidRPr="0076419B">
        <w:rPr>
          <w:rFonts w:ascii="Times New Roman" w:hAnsi="Times New Roman" w:cs="Times New Roman"/>
          <w:i/>
          <w:iCs/>
          <w:sz w:val="16"/>
          <w:szCs w:val="16"/>
        </w:rPr>
        <w:t>Curr Clin Micro Rpt</w:t>
      </w:r>
      <w:r w:rsidRPr="0076419B">
        <w:rPr>
          <w:rFonts w:ascii="Times New Roman" w:hAnsi="Times New Roman" w:cs="Times New Roman"/>
          <w:sz w:val="16"/>
          <w:szCs w:val="16"/>
        </w:rPr>
        <w:t>, vol. 2, no. 2, pp. 55–66, Jun. 2015, doi: 10.1007/s40588-015-0019-x.</w:t>
      </w:r>
    </w:p>
    <w:p w14:paraId="05FAAA7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[54]</w:t>
      </w:r>
      <w:r w:rsidRPr="0076419B">
        <w:rPr>
          <w:rFonts w:ascii="Times New Roman" w:hAnsi="Times New Roman" w:cs="Times New Roman"/>
          <w:sz w:val="16"/>
          <w:szCs w:val="16"/>
        </w:rPr>
        <w:tab/>
        <w:t xml:space="preserve">S. Barco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“A liquid chromatography-tandem mass spectrometry platform for the routine therapeutic drug monitoring of 14 antibiotics: Application to critically ill pediatric patients,” </w:t>
      </w:r>
      <w:r w:rsidRPr="0076419B">
        <w:rPr>
          <w:rFonts w:ascii="Times New Roman" w:hAnsi="Times New Roman" w:cs="Times New Roman"/>
          <w:i/>
          <w:iCs/>
          <w:sz w:val="16"/>
          <w:szCs w:val="16"/>
        </w:rPr>
        <w:t>J Pharm Biomed Anal</w:t>
      </w:r>
      <w:r w:rsidRPr="0076419B">
        <w:rPr>
          <w:rFonts w:ascii="Times New Roman" w:hAnsi="Times New Roman" w:cs="Times New Roman"/>
          <w:sz w:val="16"/>
          <w:szCs w:val="16"/>
        </w:rPr>
        <w:t>, vol. 186, p. 113273, Jul. 2020, doi: 10.1016/j.jpba.2020.113273.</w:t>
      </w:r>
    </w:p>
    <w:p w14:paraId="7C69966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[55]</w:t>
      </w:r>
      <w:r w:rsidRPr="0076419B">
        <w:rPr>
          <w:rFonts w:ascii="Times New Roman" w:hAnsi="Times New Roman" w:cs="Times New Roman"/>
          <w:sz w:val="16"/>
          <w:szCs w:val="16"/>
        </w:rPr>
        <w:tab/>
        <w:t xml:space="preserve">C. Feliu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“Quantification of 15 Antibiotics Widely Used in the Critical Care Unit with a LC-MS/MS System: An Easy Method to Perform a Daily Therapeutic Drug Monitoring,” </w:t>
      </w:r>
      <w:r w:rsidRPr="0076419B">
        <w:rPr>
          <w:rFonts w:ascii="Times New Roman" w:hAnsi="Times New Roman" w:cs="Times New Roman"/>
          <w:i/>
          <w:iCs/>
          <w:sz w:val="16"/>
          <w:szCs w:val="16"/>
        </w:rPr>
        <w:t>Pharmaceuticals</w:t>
      </w:r>
      <w:r w:rsidRPr="0076419B">
        <w:rPr>
          <w:rFonts w:ascii="Times New Roman" w:hAnsi="Times New Roman" w:cs="Times New Roman"/>
          <w:sz w:val="16"/>
          <w:szCs w:val="16"/>
        </w:rPr>
        <w:t>, vol. 14, no. 12, Art. no. 12, Dec. 2021, doi: 10.3390/ph14121214.</w:t>
      </w:r>
    </w:p>
    <w:p w14:paraId="79BCCA9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[56]</w:t>
      </w:r>
      <w:r w:rsidRPr="0076419B">
        <w:rPr>
          <w:rFonts w:ascii="Times New Roman" w:hAnsi="Times New Roman" w:cs="Times New Roman"/>
          <w:sz w:val="16"/>
          <w:szCs w:val="16"/>
        </w:rPr>
        <w:tab/>
        <w:t xml:space="preserve">H. Sun, H. Xing, X. Tian, X. Zhang, J. Yang, and P. Wang, “UPLC-MS/MS Method for Simultaneous Determination of 14 Antimicrobials in Human Plasma and Cerebrospinal Fluid: Application to Therapeutic Drug Monitoring,” </w:t>
      </w:r>
      <w:r w:rsidRPr="0076419B">
        <w:rPr>
          <w:rFonts w:ascii="Times New Roman" w:hAnsi="Times New Roman" w:cs="Times New Roman"/>
          <w:i/>
          <w:iCs/>
          <w:sz w:val="16"/>
          <w:szCs w:val="16"/>
        </w:rPr>
        <w:t>J Anal Methods Chem</w:t>
      </w:r>
      <w:r w:rsidRPr="0076419B">
        <w:rPr>
          <w:rFonts w:ascii="Times New Roman" w:hAnsi="Times New Roman" w:cs="Times New Roman"/>
          <w:sz w:val="16"/>
          <w:szCs w:val="16"/>
        </w:rPr>
        <w:t>, vol. 2022, p. 7048605, 2022, doi: 10.1155/2022/7048605.</w:t>
      </w:r>
    </w:p>
    <w:p w14:paraId="5AB4A10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[57]</w:t>
      </w:r>
      <w:r w:rsidRPr="0076419B">
        <w:rPr>
          <w:rFonts w:ascii="Times New Roman" w:hAnsi="Times New Roman" w:cs="Times New Roman"/>
          <w:sz w:val="16"/>
          <w:szCs w:val="16"/>
        </w:rPr>
        <w:tab/>
        <w:t xml:space="preserve">T. Khromov, G. H. Dihazi, P. Brockmeyer, A. Fischer, and F. Streit, “24/7 Therapeutic Drug Monitoring of Beta-Lactam Antibiotics with CLAM-2000,” </w:t>
      </w:r>
      <w:r w:rsidRPr="0076419B">
        <w:rPr>
          <w:rFonts w:ascii="Times New Roman" w:hAnsi="Times New Roman" w:cs="Times New Roman"/>
          <w:i/>
          <w:iCs/>
          <w:sz w:val="16"/>
          <w:szCs w:val="16"/>
        </w:rPr>
        <w:t>Antibiotics (Basel)</w:t>
      </w:r>
      <w:r w:rsidRPr="0076419B">
        <w:rPr>
          <w:rFonts w:ascii="Times New Roman" w:hAnsi="Times New Roman" w:cs="Times New Roman"/>
          <w:sz w:val="16"/>
          <w:szCs w:val="16"/>
        </w:rPr>
        <w:t>, vol. 12, no. 10, p. 1526, Oct. 2023, doi: 10.3390/antibiotics12101526.</w:t>
      </w:r>
    </w:p>
    <w:p w14:paraId="5E93515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[58]</w:t>
      </w:r>
      <w:r w:rsidRPr="0076419B">
        <w:rPr>
          <w:rFonts w:ascii="Times New Roman" w:hAnsi="Times New Roman" w:cs="Times New Roman"/>
          <w:sz w:val="16"/>
          <w:szCs w:val="16"/>
        </w:rPr>
        <w:tab/>
        <w:t xml:space="preserve">L. Baietto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“Development, Validation, and Routine Application of a High-Performance Liquid Chromatography Method Coupled with a Single Mass Detector for Quantification of Itraconazole, Voriconazole, and Posaconazole in Human Plasma,” </w:t>
      </w:r>
      <w:r w:rsidRPr="0076419B">
        <w:rPr>
          <w:rFonts w:ascii="Times New Roman" w:hAnsi="Times New Roman" w:cs="Times New Roman"/>
          <w:i/>
          <w:iCs/>
          <w:sz w:val="16"/>
          <w:szCs w:val="16"/>
        </w:rPr>
        <w:t>Antimicrob Agents Chemother</w:t>
      </w:r>
      <w:r w:rsidRPr="0076419B">
        <w:rPr>
          <w:rFonts w:ascii="Times New Roman" w:hAnsi="Times New Roman" w:cs="Times New Roman"/>
          <w:sz w:val="16"/>
          <w:szCs w:val="16"/>
        </w:rPr>
        <w:t>, vol. 54, no. 8, pp. 3408–3413, Aug. 2010, doi: 10.1128/AAC.01807-09.</w:t>
      </w:r>
    </w:p>
    <w:p w14:paraId="54A4DD8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[59]</w:t>
      </w:r>
      <w:r w:rsidRPr="0076419B">
        <w:rPr>
          <w:rFonts w:ascii="Times New Roman" w:hAnsi="Times New Roman" w:cs="Times New Roman"/>
          <w:sz w:val="16"/>
          <w:szCs w:val="16"/>
        </w:rPr>
        <w:tab/>
        <w:t xml:space="preserve">F. Farowski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“Quantitation of Azoles and Echinocandins in Compartments of Peripheral Blood by Liquid Chromatography-Tandem Mass Spectrometry,” </w:t>
      </w:r>
      <w:r w:rsidRPr="0076419B">
        <w:rPr>
          <w:rFonts w:ascii="Times New Roman" w:hAnsi="Times New Roman" w:cs="Times New Roman"/>
          <w:i/>
          <w:iCs/>
          <w:sz w:val="16"/>
          <w:szCs w:val="16"/>
        </w:rPr>
        <w:t>Antimicrob Agents Chemother</w:t>
      </w:r>
      <w:r w:rsidRPr="0076419B">
        <w:rPr>
          <w:rFonts w:ascii="Times New Roman" w:hAnsi="Times New Roman" w:cs="Times New Roman"/>
          <w:sz w:val="16"/>
          <w:szCs w:val="16"/>
        </w:rPr>
        <w:t>, vol. 54, no. 5, pp. 1815–1819, May 2010, doi: 10.1128/AAC.01276-09.</w:t>
      </w:r>
    </w:p>
    <w:p w14:paraId="53D3A390"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[60]</w:t>
      </w:r>
      <w:r w:rsidRPr="0076419B">
        <w:rPr>
          <w:rFonts w:ascii="Times New Roman" w:hAnsi="Times New Roman" w:cs="Times New Roman"/>
          <w:sz w:val="16"/>
          <w:szCs w:val="16"/>
        </w:rPr>
        <w:tab/>
        <w:t xml:space="preserve">L. A. Decosterd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“Multiplex Ultra-Performance Liquid Chromatography-Tandem Mass Spectrometry Method for Simultaneous Quantification in Human Plasma of Fluconazole, Itraconazole, Hydroxyitraconazole, Posaconazole, Voriconazole, Voriconazole-N-Oxide, Anidulafungin, and Caspofungin,” </w:t>
      </w:r>
      <w:r w:rsidRPr="0076419B">
        <w:rPr>
          <w:rFonts w:ascii="Times New Roman" w:hAnsi="Times New Roman" w:cs="Times New Roman"/>
          <w:i/>
          <w:iCs/>
          <w:sz w:val="16"/>
          <w:szCs w:val="16"/>
        </w:rPr>
        <w:t>Antimicrob Agents Chemother</w:t>
      </w:r>
      <w:r w:rsidRPr="0076419B">
        <w:rPr>
          <w:rFonts w:ascii="Times New Roman" w:hAnsi="Times New Roman" w:cs="Times New Roman"/>
          <w:sz w:val="16"/>
          <w:szCs w:val="16"/>
        </w:rPr>
        <w:t>, vol. 54, no. 12, pp. 5303–5315, Dec. 2010, doi: 10.1128/AAC.00404-10.</w:t>
      </w:r>
    </w:p>
    <w:p w14:paraId="7936C07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[61]</w:t>
      </w:r>
      <w:r w:rsidRPr="0076419B">
        <w:rPr>
          <w:rFonts w:ascii="Times New Roman" w:hAnsi="Times New Roman" w:cs="Times New Roman"/>
          <w:sz w:val="16"/>
          <w:szCs w:val="16"/>
        </w:rPr>
        <w:tab/>
        <w:t xml:space="preserve">Y. Xiao, Y.-K. Xu, P. Pattengale, M. R. O’Gorman, and X. Fu, “A Rapid High-Performance LC-MS/MS Method for Therapeutic Drug Monitoring of Voriconazole, Posaconazole, Fluconazole, and Itraconazole in Human Serum,” </w:t>
      </w:r>
      <w:r w:rsidRPr="0076419B">
        <w:rPr>
          <w:rFonts w:ascii="Times New Roman" w:hAnsi="Times New Roman" w:cs="Times New Roman"/>
          <w:i/>
          <w:iCs/>
          <w:sz w:val="16"/>
          <w:szCs w:val="16"/>
        </w:rPr>
        <w:t>The Journal of Applied Laboratory Medicine</w:t>
      </w:r>
      <w:r w:rsidRPr="0076419B">
        <w:rPr>
          <w:rFonts w:ascii="Times New Roman" w:hAnsi="Times New Roman" w:cs="Times New Roman"/>
          <w:sz w:val="16"/>
          <w:szCs w:val="16"/>
        </w:rPr>
        <w:t>, vol. 1, no. 6, pp. 626–636, May 2017, doi: 10.1373/jalm.2016.022756.</w:t>
      </w:r>
    </w:p>
    <w:p w14:paraId="4483CBA3"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[62]</w:t>
      </w:r>
      <w:r w:rsidRPr="0076419B">
        <w:rPr>
          <w:rFonts w:ascii="Times New Roman" w:hAnsi="Times New Roman" w:cs="Times New Roman"/>
          <w:sz w:val="16"/>
          <w:szCs w:val="16"/>
        </w:rPr>
        <w:tab/>
        <w:t xml:space="preserve">A. F. Lau, “MALDI-TOF for Fungal Identification,” </w:t>
      </w:r>
      <w:r w:rsidRPr="0076419B">
        <w:rPr>
          <w:rFonts w:ascii="Times New Roman" w:hAnsi="Times New Roman" w:cs="Times New Roman"/>
          <w:i/>
          <w:iCs/>
          <w:sz w:val="16"/>
          <w:szCs w:val="16"/>
        </w:rPr>
        <w:t>Clin Lab Med</w:t>
      </w:r>
      <w:r w:rsidRPr="0076419B">
        <w:rPr>
          <w:rFonts w:ascii="Times New Roman" w:hAnsi="Times New Roman" w:cs="Times New Roman"/>
          <w:sz w:val="16"/>
          <w:szCs w:val="16"/>
        </w:rPr>
        <w:t>, vol. 41, no. 2, pp. 267–283, Jun. 2021, doi: 10.1016/j.cll.2021.03.006.</w:t>
      </w:r>
    </w:p>
    <w:p w14:paraId="0F27FDA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[63]</w:t>
      </w:r>
      <w:r w:rsidRPr="0076419B">
        <w:rPr>
          <w:rFonts w:ascii="Times New Roman" w:hAnsi="Times New Roman" w:cs="Times New Roman"/>
          <w:sz w:val="16"/>
          <w:szCs w:val="16"/>
        </w:rPr>
        <w:tab/>
        <w:t xml:space="preserve">M. E. Zvezdánova, P. Escribano, J. Guinea, P. Muñoz, D. Rodríguez-Temporal, and B. Rodríguez-Sánchez, “Evaluation of the Vitek Ms system for the identification of filamentous fungi,” </w:t>
      </w:r>
      <w:r w:rsidRPr="0076419B">
        <w:rPr>
          <w:rFonts w:ascii="Times New Roman" w:hAnsi="Times New Roman" w:cs="Times New Roman"/>
          <w:i/>
          <w:iCs/>
          <w:sz w:val="16"/>
          <w:szCs w:val="16"/>
        </w:rPr>
        <w:t>Med Mycol</w:t>
      </w:r>
      <w:r w:rsidRPr="0076419B">
        <w:rPr>
          <w:rFonts w:ascii="Times New Roman" w:hAnsi="Times New Roman" w:cs="Times New Roman"/>
          <w:sz w:val="16"/>
          <w:szCs w:val="16"/>
        </w:rPr>
        <w:t>, vol. 60, no. 4, p. myac027, Apr. 2022, doi: 10.1093/mmy/myac027.</w:t>
      </w:r>
    </w:p>
    <w:p w14:paraId="0C3B273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[64]</w:t>
      </w:r>
      <w:r w:rsidRPr="0076419B">
        <w:rPr>
          <w:rFonts w:ascii="Times New Roman" w:hAnsi="Times New Roman" w:cs="Times New Roman"/>
          <w:sz w:val="16"/>
          <w:szCs w:val="16"/>
        </w:rPr>
        <w:tab/>
        <w:t xml:space="preserve">N. Motteu, B. Goemaere, S. Bladt, and A. Packeu, “Implementation of MALDI-TOF Mass Spectrometry to Identify Fungi From the Indoor Environment as an Added Value to the Classical Morphology-Based Identification Tool,” </w:t>
      </w:r>
      <w:r w:rsidRPr="0076419B">
        <w:rPr>
          <w:rFonts w:ascii="Times New Roman" w:hAnsi="Times New Roman" w:cs="Times New Roman"/>
          <w:i/>
          <w:iCs/>
          <w:sz w:val="16"/>
          <w:szCs w:val="16"/>
        </w:rPr>
        <w:t>Front Allergy</w:t>
      </w:r>
      <w:r w:rsidRPr="0076419B">
        <w:rPr>
          <w:rFonts w:ascii="Times New Roman" w:hAnsi="Times New Roman" w:cs="Times New Roman"/>
          <w:sz w:val="16"/>
          <w:szCs w:val="16"/>
        </w:rPr>
        <w:t>, vol. 3, p. 826148, 2022, doi: 10.3389/falgy.2022.826148.</w:t>
      </w:r>
    </w:p>
    <w:p w14:paraId="545D501C"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[65]</w:t>
      </w:r>
      <w:r w:rsidRPr="0076419B">
        <w:rPr>
          <w:rFonts w:ascii="Times New Roman" w:hAnsi="Times New Roman" w:cs="Times New Roman"/>
          <w:sz w:val="16"/>
          <w:szCs w:val="16"/>
        </w:rPr>
        <w:tab/>
        <w:t xml:space="preserve">J. Chalupová, M. Raus, M. Sedlářová, and M. Sebela, “Identification of fungal microorganisms by MALDI-TOF mass spectrometry,” </w:t>
      </w:r>
      <w:r w:rsidRPr="0076419B">
        <w:rPr>
          <w:rFonts w:ascii="Times New Roman" w:hAnsi="Times New Roman" w:cs="Times New Roman"/>
          <w:i/>
          <w:iCs/>
          <w:sz w:val="16"/>
          <w:szCs w:val="16"/>
        </w:rPr>
        <w:t>Biotechnol Adv</w:t>
      </w:r>
      <w:r w:rsidRPr="0076419B">
        <w:rPr>
          <w:rFonts w:ascii="Times New Roman" w:hAnsi="Times New Roman" w:cs="Times New Roman"/>
          <w:sz w:val="16"/>
          <w:szCs w:val="16"/>
        </w:rPr>
        <w:t>, vol. 32, no. 1, pp. 230–241, 2014, doi: 10.1016/j.biotechadv.2013.11.002.</w:t>
      </w:r>
    </w:p>
    <w:p w14:paraId="1AD7332B"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[66]</w:t>
      </w:r>
      <w:r w:rsidRPr="0076419B">
        <w:rPr>
          <w:rFonts w:ascii="Times New Roman" w:hAnsi="Times New Roman" w:cs="Times New Roman"/>
          <w:sz w:val="16"/>
          <w:szCs w:val="16"/>
        </w:rPr>
        <w:tab/>
        <w:t xml:space="preserve">M. Y. Ashfaq, D. A. Da’na, and M. A. Al-Ghouti, “Application of MALDI-TOF MS for identification of environmental bacteria: A review,” </w:t>
      </w:r>
      <w:r w:rsidRPr="0076419B">
        <w:rPr>
          <w:rFonts w:ascii="Times New Roman" w:hAnsi="Times New Roman" w:cs="Times New Roman"/>
          <w:i/>
          <w:iCs/>
          <w:sz w:val="16"/>
          <w:szCs w:val="16"/>
        </w:rPr>
        <w:t>J Environ Manage</w:t>
      </w:r>
      <w:r w:rsidRPr="0076419B">
        <w:rPr>
          <w:rFonts w:ascii="Times New Roman" w:hAnsi="Times New Roman" w:cs="Times New Roman"/>
          <w:sz w:val="16"/>
          <w:szCs w:val="16"/>
        </w:rPr>
        <w:t>, vol. 305, p. 114359, Mar. 2022, doi: 10.1016/j.jenvman.2021.114359.</w:t>
      </w:r>
    </w:p>
    <w:p w14:paraId="4CD2A8C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[67]</w:t>
      </w:r>
      <w:r w:rsidRPr="0076419B">
        <w:rPr>
          <w:rFonts w:ascii="Times New Roman" w:hAnsi="Times New Roman" w:cs="Times New Roman"/>
          <w:sz w:val="16"/>
          <w:szCs w:val="16"/>
        </w:rPr>
        <w:tab/>
        <w:t xml:space="preserve">C. Firacative, L. Trilles, and W. Meyer, “MALDI-TOF MS enables the rapid identification of the major molecular types within the Cryptococcus neoformans/C. gattii species complex,” </w:t>
      </w:r>
      <w:r w:rsidRPr="0076419B">
        <w:rPr>
          <w:rFonts w:ascii="Times New Roman" w:hAnsi="Times New Roman" w:cs="Times New Roman"/>
          <w:i/>
          <w:iCs/>
          <w:sz w:val="16"/>
          <w:szCs w:val="16"/>
        </w:rPr>
        <w:t>PLoS One</w:t>
      </w:r>
      <w:r w:rsidRPr="0076419B">
        <w:rPr>
          <w:rFonts w:ascii="Times New Roman" w:hAnsi="Times New Roman" w:cs="Times New Roman"/>
          <w:sz w:val="16"/>
          <w:szCs w:val="16"/>
        </w:rPr>
        <w:t>, vol. 7, no. 5, p. e37566, 2012, doi: 10.1371/journal.pone.0037566.</w:t>
      </w:r>
    </w:p>
    <w:p w14:paraId="48A2927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[68]</w:t>
      </w:r>
      <w:r w:rsidRPr="0076419B">
        <w:rPr>
          <w:rFonts w:ascii="Times New Roman" w:hAnsi="Times New Roman" w:cs="Times New Roman"/>
          <w:sz w:val="16"/>
          <w:szCs w:val="16"/>
        </w:rPr>
        <w:tab/>
        <w:t xml:space="preserve">M. Grossegesse, F. Horn, A. Kurth, P. Lasch, A. Nitsche, and J. Doellinger, “vPro-MS enables identification of human-pathogenic viruses from patient samples by untargeted proteomics,” Sep. 27, 2024, </w:t>
      </w:r>
      <w:r w:rsidRPr="0076419B">
        <w:rPr>
          <w:rFonts w:ascii="Times New Roman" w:hAnsi="Times New Roman" w:cs="Times New Roman"/>
          <w:i/>
          <w:iCs/>
          <w:sz w:val="16"/>
          <w:szCs w:val="16"/>
        </w:rPr>
        <w:t>medRxiv</w:t>
      </w:r>
      <w:r w:rsidRPr="0076419B">
        <w:rPr>
          <w:rFonts w:ascii="Times New Roman" w:hAnsi="Times New Roman" w:cs="Times New Roman"/>
          <w:sz w:val="16"/>
          <w:szCs w:val="16"/>
        </w:rPr>
        <w:t>. doi: 10.1101/2024.08.21.24312107.</w:t>
      </w:r>
    </w:p>
    <w:p w14:paraId="1FD8EE51"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[69]</w:t>
      </w:r>
      <w:r w:rsidRPr="0076419B">
        <w:rPr>
          <w:rFonts w:ascii="Times New Roman" w:hAnsi="Times New Roman" w:cs="Times New Roman"/>
          <w:sz w:val="16"/>
          <w:szCs w:val="16"/>
        </w:rPr>
        <w:tab/>
        <w:t xml:space="preserve">L. Ganova-Raeva, S. Ramachandran, C. Honisch, J. C. Forbi, X. Zhai, and Y. Khudyakov, “Robust Hepatitis B Virus Genotyping by Mass Spectrometry,”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48, no. 11, pp. 4161–4168, Nov. 2010, doi: 10.1128/JCM.00813-10.</w:t>
      </w:r>
    </w:p>
    <w:p w14:paraId="603B572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[70]</w:t>
      </w:r>
      <w:r w:rsidRPr="0076419B">
        <w:rPr>
          <w:rFonts w:ascii="Times New Roman" w:hAnsi="Times New Roman" w:cs="Times New Roman"/>
          <w:sz w:val="16"/>
          <w:szCs w:val="16"/>
        </w:rPr>
        <w:tab/>
        <w:t xml:space="preserve">M. I. L. Sjöholm, J. Dillner, and J. Carlson, “Multiplex Detection of Human Herpesviruses from Archival Specimens by Using Matrix-Assisted Laser Desorption Ionization-Time of Flight Mass Spectrometry,”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46, no. 2, pp. 540–545, Feb. 2008, doi: 10.1128/JCM.01565-07.</w:t>
      </w:r>
    </w:p>
    <w:p w14:paraId="5F8BD9DF"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[71]</w:t>
      </w:r>
      <w:r w:rsidRPr="0076419B">
        <w:rPr>
          <w:rFonts w:ascii="Times New Roman" w:hAnsi="Times New Roman" w:cs="Times New Roman"/>
          <w:sz w:val="16"/>
          <w:szCs w:val="16"/>
        </w:rPr>
        <w:tab/>
        <w:t xml:space="preserve">V. Khieu, P. Ananta, O. Kaewprasert, M. Laohaviroj, W. Namwat, and K. Faksri, “Whole-Genome Sequencing Analysis to Identify Infection with Multiple Species of Nontuberculous Mycobacteria,” </w:t>
      </w:r>
      <w:r w:rsidRPr="0076419B">
        <w:rPr>
          <w:rFonts w:ascii="Times New Roman" w:hAnsi="Times New Roman" w:cs="Times New Roman"/>
          <w:i/>
          <w:iCs/>
          <w:sz w:val="16"/>
          <w:szCs w:val="16"/>
        </w:rPr>
        <w:t>Pathogens</w:t>
      </w:r>
      <w:r w:rsidRPr="0076419B">
        <w:rPr>
          <w:rFonts w:ascii="Times New Roman" w:hAnsi="Times New Roman" w:cs="Times New Roman"/>
          <w:sz w:val="16"/>
          <w:szCs w:val="16"/>
        </w:rPr>
        <w:t>, vol. 10, no. 7, p. 879, Jul. 2021, doi: 10.3390/pathogens10070879.</w:t>
      </w:r>
    </w:p>
    <w:p w14:paraId="1332244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[72]</w:t>
      </w:r>
      <w:r w:rsidRPr="0076419B">
        <w:rPr>
          <w:rFonts w:ascii="Times New Roman" w:hAnsi="Times New Roman" w:cs="Times New Roman"/>
          <w:sz w:val="16"/>
          <w:szCs w:val="16"/>
        </w:rPr>
        <w:tab/>
        <w:t xml:space="preserve">Y. Zhu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“Evaluation of nucleotide MALDI-TOF-MS for the identification of Mycobacterium species,” </w:t>
      </w:r>
      <w:r w:rsidRPr="0076419B">
        <w:rPr>
          <w:rFonts w:ascii="Times New Roman" w:hAnsi="Times New Roman" w:cs="Times New Roman"/>
          <w:i/>
          <w:iCs/>
          <w:sz w:val="16"/>
          <w:szCs w:val="16"/>
        </w:rPr>
        <w:t>Front Cell Infect Microbiol</w:t>
      </w:r>
      <w:r w:rsidRPr="0076419B">
        <w:rPr>
          <w:rFonts w:ascii="Times New Roman" w:hAnsi="Times New Roman" w:cs="Times New Roman"/>
          <w:sz w:val="16"/>
          <w:szCs w:val="16"/>
        </w:rPr>
        <w:t>, vol. 14, p. 1335104, 2024, doi: 10.3389/fcimb.2024.1335104.</w:t>
      </w:r>
    </w:p>
    <w:p w14:paraId="05A61FE5"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[73]</w:t>
      </w:r>
      <w:r w:rsidRPr="0076419B">
        <w:rPr>
          <w:rFonts w:ascii="Times New Roman" w:hAnsi="Times New Roman" w:cs="Times New Roman"/>
          <w:sz w:val="16"/>
          <w:szCs w:val="16"/>
        </w:rPr>
        <w:tab/>
        <w:t xml:space="preserve">D. M. Wolk, E. J. Kaleta, and V. H. Wysocki, “PCR-electrospray ionization mass spectrometry: the potential to change infectious disease diagnostics in clinical and public health laboratories,” </w:t>
      </w:r>
      <w:r w:rsidRPr="0076419B">
        <w:rPr>
          <w:rFonts w:ascii="Times New Roman" w:hAnsi="Times New Roman" w:cs="Times New Roman"/>
          <w:i/>
          <w:iCs/>
          <w:sz w:val="16"/>
          <w:szCs w:val="16"/>
        </w:rPr>
        <w:t>J Mol Diagn</w:t>
      </w:r>
      <w:r w:rsidRPr="0076419B">
        <w:rPr>
          <w:rFonts w:ascii="Times New Roman" w:hAnsi="Times New Roman" w:cs="Times New Roman"/>
          <w:sz w:val="16"/>
          <w:szCs w:val="16"/>
        </w:rPr>
        <w:t>, vol. 14, no. 4, pp. 295–304, Jul. 2012, doi: 10.1016/j.jmoldx.2012.02.005.</w:t>
      </w:r>
    </w:p>
    <w:p w14:paraId="512249D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[74]</w:t>
      </w:r>
      <w:r w:rsidRPr="0076419B">
        <w:rPr>
          <w:rFonts w:ascii="Times New Roman" w:hAnsi="Times New Roman" w:cs="Times New Roman"/>
          <w:sz w:val="16"/>
          <w:szCs w:val="16"/>
        </w:rPr>
        <w:tab/>
        <w:t xml:space="preserve">D. Metzgar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“Initial identification and characterization of an emerging zoonotic influenza virus prior to pandemic spread,” </w:t>
      </w:r>
      <w:r w:rsidRPr="0076419B">
        <w:rPr>
          <w:rFonts w:ascii="Times New Roman" w:hAnsi="Times New Roman" w:cs="Times New Roman"/>
          <w:i/>
          <w:iCs/>
          <w:sz w:val="16"/>
          <w:szCs w:val="16"/>
        </w:rPr>
        <w:t>J Clin Microbiol</w:t>
      </w:r>
      <w:r w:rsidRPr="0076419B">
        <w:rPr>
          <w:rFonts w:ascii="Times New Roman" w:hAnsi="Times New Roman" w:cs="Times New Roman"/>
          <w:sz w:val="16"/>
          <w:szCs w:val="16"/>
        </w:rPr>
        <w:t>, vol. 48, no. 11, pp. 4228–4234, Nov. 2010, doi: 10.1128/JCM.01336-10.</w:t>
      </w:r>
    </w:p>
    <w:p w14:paraId="2B77990B"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[75]</w:t>
      </w:r>
      <w:r w:rsidRPr="0076419B">
        <w:rPr>
          <w:rFonts w:ascii="Times New Roman" w:hAnsi="Times New Roman" w:cs="Times New Roman"/>
          <w:sz w:val="16"/>
          <w:szCs w:val="16"/>
        </w:rPr>
        <w:tab/>
        <w:t xml:space="preserve">M. Marrodan, L. Alessandro, M. F. Farez, and J. Correale, “The role of infections in multiple sclerosis,” </w:t>
      </w:r>
      <w:r w:rsidRPr="0076419B">
        <w:rPr>
          <w:rFonts w:ascii="Times New Roman" w:hAnsi="Times New Roman" w:cs="Times New Roman"/>
          <w:i/>
          <w:iCs/>
          <w:sz w:val="16"/>
          <w:szCs w:val="16"/>
        </w:rPr>
        <w:t>Mult Scler</w:t>
      </w:r>
      <w:r w:rsidRPr="0076419B">
        <w:rPr>
          <w:rFonts w:ascii="Times New Roman" w:hAnsi="Times New Roman" w:cs="Times New Roman"/>
          <w:sz w:val="16"/>
          <w:szCs w:val="16"/>
        </w:rPr>
        <w:t>, vol. 25, no. 7, pp. 891–901, Jun. 2019, doi: 10.1177/1352458518823940.</w:t>
      </w:r>
    </w:p>
    <w:p w14:paraId="26370FF7"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[76]</w:t>
      </w:r>
      <w:r w:rsidRPr="0076419B">
        <w:rPr>
          <w:rFonts w:ascii="Times New Roman" w:hAnsi="Times New Roman" w:cs="Times New Roman"/>
          <w:sz w:val="16"/>
          <w:szCs w:val="16"/>
        </w:rPr>
        <w:tab/>
        <w:t xml:space="preserve">Z. Liu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“Rapid Identification and Drug Sensitivity Test to Urinary Tract Infection Pathogens by DOT-MGA,” </w:t>
      </w:r>
      <w:r w:rsidRPr="0076419B">
        <w:rPr>
          <w:rFonts w:ascii="Times New Roman" w:hAnsi="Times New Roman" w:cs="Times New Roman"/>
          <w:i/>
          <w:iCs/>
          <w:sz w:val="16"/>
          <w:szCs w:val="16"/>
        </w:rPr>
        <w:t>Infect Drug Resist</w:t>
      </w:r>
      <w:r w:rsidRPr="0076419B">
        <w:rPr>
          <w:rFonts w:ascii="Times New Roman" w:hAnsi="Times New Roman" w:cs="Times New Roman"/>
          <w:sz w:val="16"/>
          <w:szCs w:val="16"/>
        </w:rPr>
        <w:t>, vol. 15, pp. 1391–1397, Mar. 2022, doi: 10.2147/IDR.S356045.</w:t>
      </w:r>
    </w:p>
    <w:p w14:paraId="296C4FD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[77]</w:t>
      </w:r>
      <w:r w:rsidRPr="0076419B">
        <w:rPr>
          <w:rFonts w:ascii="Times New Roman" w:hAnsi="Times New Roman" w:cs="Times New Roman"/>
          <w:sz w:val="16"/>
          <w:szCs w:val="16"/>
        </w:rPr>
        <w:tab/>
        <w:t xml:space="preserve">S. N. Thomas, D. French, P. J. Jannetto, B. A. Rappold, and W. A. Clarke, “Liquid chromatography–tandem mass spectrometry for clinical diagnostics,” </w:t>
      </w:r>
      <w:r w:rsidRPr="0076419B">
        <w:rPr>
          <w:rFonts w:ascii="Times New Roman" w:hAnsi="Times New Roman" w:cs="Times New Roman"/>
          <w:i/>
          <w:iCs/>
          <w:sz w:val="16"/>
          <w:szCs w:val="16"/>
        </w:rPr>
        <w:t>Nat Rev Methods Primers</w:t>
      </w:r>
      <w:r w:rsidRPr="0076419B">
        <w:rPr>
          <w:rFonts w:ascii="Times New Roman" w:hAnsi="Times New Roman" w:cs="Times New Roman"/>
          <w:sz w:val="16"/>
          <w:szCs w:val="16"/>
        </w:rPr>
        <w:t>, vol. 2, no. 1, p. 96, 2022, doi: 10.1038/s43586-022-00175-x.</w:t>
      </w:r>
    </w:p>
    <w:p w14:paraId="3B3F0401"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[78]</w:t>
      </w:r>
      <w:r w:rsidRPr="0076419B">
        <w:rPr>
          <w:rFonts w:ascii="Times New Roman" w:hAnsi="Times New Roman" w:cs="Times New Roman"/>
          <w:sz w:val="16"/>
          <w:szCs w:val="16"/>
        </w:rPr>
        <w:tab/>
        <w:t xml:space="preserve">S. Cappadona, P. R. Baker, P. R. Cutillas, A. J. R. Heck, and B. van Breukelen, “Current challenges in software solutions for mass spectrometry-based quantitative proteomics,” </w:t>
      </w:r>
      <w:r w:rsidRPr="0076419B">
        <w:rPr>
          <w:rFonts w:ascii="Times New Roman" w:hAnsi="Times New Roman" w:cs="Times New Roman"/>
          <w:i/>
          <w:iCs/>
          <w:sz w:val="16"/>
          <w:szCs w:val="16"/>
        </w:rPr>
        <w:t>Amino Acids</w:t>
      </w:r>
      <w:r w:rsidRPr="0076419B">
        <w:rPr>
          <w:rFonts w:ascii="Times New Roman" w:hAnsi="Times New Roman" w:cs="Times New Roman"/>
          <w:sz w:val="16"/>
          <w:szCs w:val="16"/>
        </w:rPr>
        <w:t>, vol. 43, no. 3, pp. 1087–1108, 2012, doi: 10.1007/s00726-012-1289-8.</w:t>
      </w:r>
    </w:p>
    <w:p w14:paraId="7B89769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[79]</w:t>
      </w:r>
      <w:r w:rsidRPr="0076419B">
        <w:rPr>
          <w:rFonts w:ascii="Times New Roman" w:hAnsi="Times New Roman" w:cs="Times New Roman"/>
          <w:sz w:val="16"/>
          <w:szCs w:val="16"/>
        </w:rPr>
        <w:tab/>
        <w:t>D. Anderson, “Mass Spectrometry for Clinical Applications: Challenges and Solutions in the New Decade,” LabX. Accessed: Jan. 31, 2025. [Online]. Available: https://www.labx.com/resources/mass-spectrometry-for-clinical-applications-challenges-and-solutions-in-the-new-decade/279</w:t>
      </w:r>
    </w:p>
    <w:p w14:paraId="6397BC6C"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lastRenderedPageBreak/>
        <w:t>[80]</w:t>
      </w:r>
      <w:r w:rsidRPr="0076419B">
        <w:rPr>
          <w:rFonts w:ascii="Times New Roman" w:hAnsi="Times New Roman" w:cs="Times New Roman"/>
          <w:sz w:val="16"/>
          <w:szCs w:val="16"/>
        </w:rPr>
        <w:tab/>
        <w:t xml:space="preserve">A. Son </w:t>
      </w:r>
      <w:r w:rsidRPr="0076419B">
        <w:rPr>
          <w:rFonts w:ascii="Times New Roman" w:hAnsi="Times New Roman" w:cs="Times New Roman"/>
          <w:i/>
          <w:iCs/>
          <w:sz w:val="16"/>
          <w:szCs w:val="16"/>
        </w:rPr>
        <w:t>et al.</w:t>
      </w:r>
      <w:r w:rsidRPr="0076419B">
        <w:rPr>
          <w:rFonts w:ascii="Times New Roman" w:hAnsi="Times New Roman" w:cs="Times New Roman"/>
          <w:sz w:val="16"/>
          <w:szCs w:val="16"/>
        </w:rPr>
        <w:t xml:space="preserve">, “Mass Spectrometry Advancements and Applications for Biomarker Discovery, Diagnostic Innovations, and Personalized Medicine,” </w:t>
      </w:r>
      <w:r w:rsidRPr="0076419B">
        <w:rPr>
          <w:rFonts w:ascii="Times New Roman" w:hAnsi="Times New Roman" w:cs="Times New Roman"/>
          <w:i/>
          <w:iCs/>
          <w:sz w:val="16"/>
          <w:szCs w:val="16"/>
        </w:rPr>
        <w:t>International Journal of Molecular Sciences</w:t>
      </w:r>
      <w:r w:rsidRPr="0076419B">
        <w:rPr>
          <w:rFonts w:ascii="Times New Roman" w:hAnsi="Times New Roman" w:cs="Times New Roman"/>
          <w:sz w:val="16"/>
          <w:szCs w:val="16"/>
        </w:rPr>
        <w:t>, vol. 25, no. 18, Art. no. 18, Jan. 2024, doi: 10.3390/ijms25189880.</w:t>
      </w:r>
    </w:p>
    <w:p w14:paraId="4F246A5A"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[81]</w:t>
      </w:r>
      <w:r w:rsidRPr="0076419B">
        <w:rPr>
          <w:rFonts w:ascii="Times New Roman" w:hAnsi="Times New Roman" w:cs="Times New Roman"/>
          <w:sz w:val="16"/>
          <w:szCs w:val="16"/>
        </w:rPr>
        <w:tab/>
        <w:t>V. Zhang, “Bringing Mass Spectrometry to the Clinical Lab,” MedicalLab Management Magazine. Accessed: Jan. 31, 2025. [Online]. Available: https://www.medlabmag.com/article/1208?utm_source=chatgpt.com</w:t>
      </w:r>
    </w:p>
    <w:p w14:paraId="4310E6D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[82]</w:t>
      </w:r>
      <w:r w:rsidRPr="0076419B">
        <w:rPr>
          <w:rFonts w:ascii="Times New Roman" w:hAnsi="Times New Roman" w:cs="Times New Roman"/>
          <w:sz w:val="16"/>
          <w:szCs w:val="16"/>
        </w:rPr>
        <w:tab/>
        <w:t xml:space="preserve">J. M. El-Khoury, “Financial considerations for purchasing a mass spectrometer,” </w:t>
      </w:r>
      <w:r w:rsidRPr="0076419B">
        <w:rPr>
          <w:rFonts w:ascii="Times New Roman" w:hAnsi="Times New Roman" w:cs="Times New Roman"/>
          <w:i/>
          <w:iCs/>
          <w:sz w:val="16"/>
          <w:szCs w:val="16"/>
        </w:rPr>
        <w:t>Yale School of Medicine</w:t>
      </w:r>
      <w:r w:rsidRPr="0076419B">
        <w:rPr>
          <w:rFonts w:ascii="Times New Roman" w:hAnsi="Times New Roman" w:cs="Times New Roman"/>
          <w:sz w:val="16"/>
          <w:szCs w:val="16"/>
        </w:rPr>
        <w:t>, 2018.</w:t>
      </w:r>
    </w:p>
    <w:p w14:paraId="7A74D8BD"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[83]</w:t>
      </w:r>
      <w:r w:rsidRPr="0076419B">
        <w:rPr>
          <w:rFonts w:ascii="Times New Roman" w:hAnsi="Times New Roman" w:cs="Times New Roman"/>
          <w:sz w:val="16"/>
          <w:szCs w:val="16"/>
        </w:rPr>
        <w:tab/>
        <w:t xml:space="preserve">P. Dixon, W. Hollingworth, K. Pike, R. Reynolds, M. Stoddart, and A. MacGowan, “Cost-effectiveness of rapid laboratory-based mass-spectrometry diagnosis of bloodstream infection: evidence from the RAPIDO randomised controlled trial,” </w:t>
      </w:r>
      <w:r w:rsidRPr="0076419B">
        <w:rPr>
          <w:rFonts w:ascii="Times New Roman" w:hAnsi="Times New Roman" w:cs="Times New Roman"/>
          <w:i/>
          <w:iCs/>
          <w:sz w:val="16"/>
          <w:szCs w:val="16"/>
        </w:rPr>
        <w:t>BMJ Open</w:t>
      </w:r>
      <w:r w:rsidRPr="0076419B">
        <w:rPr>
          <w:rFonts w:ascii="Times New Roman" w:hAnsi="Times New Roman" w:cs="Times New Roman"/>
          <w:sz w:val="16"/>
          <w:szCs w:val="16"/>
        </w:rPr>
        <w:t>, vol. 11, no. 10, p. e044623, Oct. 2021, doi: 10.1136/bmjopen-2020-044623.</w:t>
      </w:r>
    </w:p>
    <w:p w14:paraId="6FABB68E"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[84]</w:t>
      </w:r>
      <w:r w:rsidRPr="0076419B">
        <w:rPr>
          <w:rFonts w:ascii="Times New Roman" w:hAnsi="Times New Roman" w:cs="Times New Roman"/>
          <w:sz w:val="16"/>
          <w:szCs w:val="16"/>
        </w:rPr>
        <w:tab/>
        <w:t>N/A, “Education and Expense: The Barriers to Mass Spectrometry in Clinical Laboratories?,” Analysis &amp; Separations from Technology Networks. Accessed: Jan. 31, 2025. [Online]. Available: http://www.technologynetworks.com/analysis/news/education-and-expense-the-barriers-to-mass-spectrometry-in-clinical-laboratories-193157</w:t>
      </w:r>
    </w:p>
    <w:p w14:paraId="29875502"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[85]</w:t>
      </w:r>
      <w:r w:rsidRPr="0076419B">
        <w:rPr>
          <w:rFonts w:ascii="Times New Roman" w:hAnsi="Times New Roman" w:cs="Times New Roman"/>
          <w:sz w:val="16"/>
          <w:szCs w:val="16"/>
        </w:rPr>
        <w:tab/>
        <w:t xml:space="preserve">H. W. Vesper, G. L. Myers, and W. G. Miller, “Current practices and challenges in the standardization and harmonization of clinical laboratory tests1223,” </w:t>
      </w:r>
      <w:r w:rsidRPr="0076419B">
        <w:rPr>
          <w:rFonts w:ascii="Times New Roman" w:hAnsi="Times New Roman" w:cs="Times New Roman"/>
          <w:i/>
          <w:iCs/>
          <w:sz w:val="16"/>
          <w:szCs w:val="16"/>
        </w:rPr>
        <w:t>The American Journal of Clinical Nutrition</w:t>
      </w:r>
      <w:r w:rsidRPr="0076419B">
        <w:rPr>
          <w:rFonts w:ascii="Times New Roman" w:hAnsi="Times New Roman" w:cs="Times New Roman"/>
          <w:sz w:val="16"/>
          <w:szCs w:val="16"/>
        </w:rPr>
        <w:t>, vol. 104, pp. 907S-912S, Sep. 2016, doi: 10.3945/ajcn.115.110387.</w:t>
      </w:r>
    </w:p>
    <w:p w14:paraId="47D4E519"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[86]</w:t>
      </w:r>
      <w:r w:rsidRPr="0076419B">
        <w:rPr>
          <w:rFonts w:ascii="Times New Roman" w:hAnsi="Times New Roman" w:cs="Times New Roman"/>
          <w:sz w:val="16"/>
          <w:szCs w:val="16"/>
        </w:rPr>
        <w:tab/>
        <w:t xml:space="preserve">J. L. Bock and J. H. Eckfeldt, “Advances in standardization of laboratory measurement procedures: implications for measuring biomarkers of folate and vitamin B-12 status in NHANES1,” </w:t>
      </w:r>
      <w:r w:rsidRPr="0076419B">
        <w:rPr>
          <w:rFonts w:ascii="Times New Roman" w:hAnsi="Times New Roman" w:cs="Times New Roman"/>
          <w:i/>
          <w:iCs/>
          <w:sz w:val="16"/>
          <w:szCs w:val="16"/>
        </w:rPr>
        <w:t>The American Journal of Clinical Nutrition</w:t>
      </w:r>
      <w:r w:rsidRPr="0076419B">
        <w:rPr>
          <w:rFonts w:ascii="Times New Roman" w:hAnsi="Times New Roman" w:cs="Times New Roman"/>
          <w:sz w:val="16"/>
          <w:szCs w:val="16"/>
        </w:rPr>
        <w:t>, vol. 94, no. 1, p. 332S, Jul. 2011, doi: 10.3945/ajcn.111.013359.</w:t>
      </w:r>
    </w:p>
    <w:p w14:paraId="4D65D2D6"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[87]</w:t>
      </w:r>
      <w:r w:rsidRPr="0076419B">
        <w:rPr>
          <w:rFonts w:ascii="Times New Roman" w:hAnsi="Times New Roman" w:cs="Times New Roman"/>
          <w:sz w:val="16"/>
          <w:szCs w:val="16"/>
        </w:rPr>
        <w:tab/>
        <w:t>M. Vogeser, “Mass Spectrometry in the Clinical Laboratory—Challenges for Quality Assurance,” vol. 13, pp. 14–19, Jul. 2015.</w:t>
      </w:r>
    </w:p>
    <w:p w14:paraId="56564504" w14:textId="77777777" w:rsidR="0076419B" w:rsidRPr="0076419B" w:rsidRDefault="0076419B" w:rsidP="0076419B">
      <w:pPr>
        <w:pStyle w:val="Bibliography"/>
        <w:rPr>
          <w:rFonts w:ascii="Times New Roman" w:hAnsi="Times New Roman" w:cs="Times New Roman"/>
          <w:sz w:val="16"/>
          <w:szCs w:val="16"/>
        </w:rPr>
      </w:pPr>
      <w:r w:rsidRPr="0076419B">
        <w:rPr>
          <w:rFonts w:ascii="Times New Roman" w:hAnsi="Times New Roman" w:cs="Times New Roman"/>
          <w:sz w:val="16"/>
          <w:szCs w:val="16"/>
        </w:rPr>
        <w:t>[88]</w:t>
      </w:r>
      <w:r w:rsidRPr="0076419B">
        <w:rPr>
          <w:rFonts w:ascii="Times New Roman" w:hAnsi="Times New Roman" w:cs="Times New Roman"/>
          <w:sz w:val="16"/>
          <w:szCs w:val="16"/>
        </w:rPr>
        <w:tab/>
        <w:t>M. S. Cooke Peter, “Bringing down barriers to give better access to mass spectrometry in the clinical laboratory,” Medical Laboratory Observer. Accessed: Jan. 31, 2025. [Online]. Available: https://www.mlo-online.com/molecular/mdx/article/21274162/bringing-down-barriers-to-give-better-access-to-mass-spectrometry-in-the-clinical-laboratory</w:t>
      </w:r>
    </w:p>
    <w:p w14:paraId="54B3ED87" w14:textId="2CF03948" w:rsidR="00CF00F8" w:rsidRPr="0076419B" w:rsidRDefault="00672929">
      <w:pPr>
        <w:spacing w:after="0" w:line="240" w:lineRule="auto"/>
        <w:jc w:val="both"/>
        <w:rPr>
          <w:rFonts w:ascii="Times New Roman" w:eastAsia="Times New Roman" w:hAnsi="Times New Roman" w:cs="Times New Roman"/>
          <w:sz w:val="16"/>
          <w:szCs w:val="16"/>
        </w:rPr>
      </w:pPr>
      <w:r w:rsidRPr="0076419B">
        <w:rPr>
          <w:rFonts w:ascii="Times New Roman" w:eastAsia="Times New Roman" w:hAnsi="Times New Roman" w:cs="Times New Roman"/>
          <w:sz w:val="16"/>
          <w:szCs w:val="16"/>
        </w:rPr>
        <w:fldChar w:fldCharType="end"/>
      </w:r>
    </w:p>
    <w:sectPr w:rsidR="00CF00F8" w:rsidRPr="0076419B">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3831E" w14:textId="77777777" w:rsidR="005227E8" w:rsidRDefault="005227E8" w:rsidP="00DF2716">
      <w:pPr>
        <w:spacing w:after="0" w:line="240" w:lineRule="auto"/>
      </w:pPr>
      <w:r>
        <w:separator/>
      </w:r>
    </w:p>
  </w:endnote>
  <w:endnote w:type="continuationSeparator" w:id="0">
    <w:p w14:paraId="0D0AF332" w14:textId="77777777" w:rsidR="005227E8" w:rsidRDefault="005227E8" w:rsidP="00DF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8DC181F-EC66-4E9A-A239-B95950B6B5BE}"/>
    <w:embedItalic r:id="rId2" w:fontKey="{8662A57E-0443-4EF5-9248-FD0B14B50A7D}"/>
  </w:font>
  <w:font w:name="Aptos Display">
    <w:charset w:val="00"/>
    <w:family w:val="swiss"/>
    <w:pitch w:val="variable"/>
    <w:sig w:usb0="20000287" w:usb1="00000003" w:usb2="00000000" w:usb3="00000000" w:csb0="0000019F" w:csb1="00000000"/>
    <w:embedRegular r:id="rId3" w:fontKey="{CA89A636-FE51-4AB7-8AA3-0CE75CD85DD0}"/>
  </w:font>
  <w:font w:name="Calibri">
    <w:panose1 w:val="020F0502020204030204"/>
    <w:charset w:val="00"/>
    <w:family w:val="swiss"/>
    <w:pitch w:val="variable"/>
    <w:sig w:usb0="E4002EFF" w:usb1="C000247B" w:usb2="00000009" w:usb3="00000000" w:csb0="000001FF" w:csb1="00000000"/>
    <w:embedRegular r:id="rId4" w:fontKey="{70A14BB0-8F46-416B-9406-B1F4FF8A772F}"/>
    <w:embedBoldItalic r:id="rId5" w:fontKey="{CF5C5360-C7C2-4B08-978B-6A8838921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1314198"/>
      <w:docPartObj>
        <w:docPartGallery w:val="Page Numbers (Bottom of Page)"/>
        <w:docPartUnique/>
      </w:docPartObj>
    </w:sdtPr>
    <w:sdtEndPr>
      <w:rPr>
        <w:rFonts w:ascii="Times New Roman" w:hAnsi="Times New Roman" w:cs="Times New Roman"/>
        <w:noProof/>
        <w:sz w:val="20"/>
        <w:szCs w:val="20"/>
      </w:rPr>
    </w:sdtEndPr>
    <w:sdtContent>
      <w:p w14:paraId="01B7206C" w14:textId="12786517" w:rsidR="00DF2716" w:rsidRPr="00DF2716" w:rsidRDefault="00DF2716" w:rsidP="00DF2716">
        <w:pPr>
          <w:pStyle w:val="Footer"/>
          <w:jc w:val="center"/>
          <w:rPr>
            <w:rFonts w:ascii="Times New Roman" w:hAnsi="Times New Roman" w:cs="Times New Roman"/>
            <w:sz w:val="20"/>
            <w:szCs w:val="20"/>
          </w:rPr>
        </w:pPr>
        <w:r w:rsidRPr="00DF2716">
          <w:rPr>
            <w:rFonts w:ascii="Times New Roman" w:hAnsi="Times New Roman" w:cs="Times New Roman"/>
            <w:sz w:val="20"/>
            <w:szCs w:val="20"/>
          </w:rPr>
          <w:fldChar w:fldCharType="begin"/>
        </w:r>
        <w:r w:rsidRPr="00DF2716">
          <w:rPr>
            <w:rFonts w:ascii="Times New Roman" w:hAnsi="Times New Roman" w:cs="Times New Roman"/>
            <w:sz w:val="20"/>
            <w:szCs w:val="20"/>
          </w:rPr>
          <w:instrText xml:space="preserve"> PAGE   \* MERGEFORMAT </w:instrText>
        </w:r>
        <w:r w:rsidRPr="00DF2716">
          <w:rPr>
            <w:rFonts w:ascii="Times New Roman" w:hAnsi="Times New Roman" w:cs="Times New Roman"/>
            <w:sz w:val="20"/>
            <w:szCs w:val="20"/>
          </w:rPr>
          <w:fldChar w:fldCharType="separate"/>
        </w:r>
        <w:r w:rsidRPr="00DF2716">
          <w:rPr>
            <w:rFonts w:ascii="Times New Roman" w:hAnsi="Times New Roman" w:cs="Times New Roman"/>
            <w:noProof/>
            <w:sz w:val="20"/>
            <w:szCs w:val="20"/>
          </w:rPr>
          <w:t>2</w:t>
        </w:r>
        <w:r w:rsidRPr="00DF2716">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CC813" w14:textId="77777777" w:rsidR="005227E8" w:rsidRDefault="005227E8" w:rsidP="00DF2716">
      <w:pPr>
        <w:spacing w:after="0" w:line="240" w:lineRule="auto"/>
      </w:pPr>
      <w:r>
        <w:separator/>
      </w:r>
    </w:p>
  </w:footnote>
  <w:footnote w:type="continuationSeparator" w:id="0">
    <w:p w14:paraId="4220C5C0" w14:textId="77777777" w:rsidR="005227E8" w:rsidRDefault="005227E8" w:rsidP="00DF27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11470"/>
    <w:multiLevelType w:val="multilevel"/>
    <w:tmpl w:val="8A1A9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27EAE"/>
    <w:multiLevelType w:val="multilevel"/>
    <w:tmpl w:val="464E9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449EF"/>
    <w:multiLevelType w:val="multilevel"/>
    <w:tmpl w:val="4B4E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32233F"/>
    <w:multiLevelType w:val="multilevel"/>
    <w:tmpl w:val="C3308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C172E9"/>
    <w:multiLevelType w:val="multilevel"/>
    <w:tmpl w:val="3902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15220E"/>
    <w:multiLevelType w:val="multilevel"/>
    <w:tmpl w:val="43384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C94EEB"/>
    <w:multiLevelType w:val="multilevel"/>
    <w:tmpl w:val="C1E2A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D26246"/>
    <w:multiLevelType w:val="multilevel"/>
    <w:tmpl w:val="9FECA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3A3E17"/>
    <w:multiLevelType w:val="multilevel"/>
    <w:tmpl w:val="7AC2C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E2513B"/>
    <w:multiLevelType w:val="multilevel"/>
    <w:tmpl w:val="FCE69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6A1C3D"/>
    <w:multiLevelType w:val="multilevel"/>
    <w:tmpl w:val="06E26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EB15B2"/>
    <w:multiLevelType w:val="multilevel"/>
    <w:tmpl w:val="0A582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8A6621"/>
    <w:multiLevelType w:val="multilevel"/>
    <w:tmpl w:val="A37C6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1C0F92"/>
    <w:multiLevelType w:val="multilevel"/>
    <w:tmpl w:val="09ECF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E2125B"/>
    <w:multiLevelType w:val="multilevel"/>
    <w:tmpl w:val="C3A4F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35D3A37"/>
    <w:multiLevelType w:val="multilevel"/>
    <w:tmpl w:val="091A7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6958FD"/>
    <w:multiLevelType w:val="multilevel"/>
    <w:tmpl w:val="33BAD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1F0CE7"/>
    <w:multiLevelType w:val="multilevel"/>
    <w:tmpl w:val="4AB2E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927379"/>
    <w:multiLevelType w:val="multilevel"/>
    <w:tmpl w:val="66D8F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6468C8"/>
    <w:multiLevelType w:val="multilevel"/>
    <w:tmpl w:val="55C4AD4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91400E"/>
    <w:multiLevelType w:val="multilevel"/>
    <w:tmpl w:val="0F86D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D91AB2"/>
    <w:multiLevelType w:val="multilevel"/>
    <w:tmpl w:val="AF340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BCD4371"/>
    <w:multiLevelType w:val="multilevel"/>
    <w:tmpl w:val="2174A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7564195">
    <w:abstractNumId w:val="3"/>
  </w:num>
  <w:num w:numId="2" w16cid:durableId="297999213">
    <w:abstractNumId w:val="9"/>
  </w:num>
  <w:num w:numId="3" w16cid:durableId="1408454946">
    <w:abstractNumId w:val="11"/>
  </w:num>
  <w:num w:numId="4" w16cid:durableId="266432347">
    <w:abstractNumId w:val="16"/>
  </w:num>
  <w:num w:numId="5" w16cid:durableId="1530529197">
    <w:abstractNumId w:val="10"/>
  </w:num>
  <w:num w:numId="6" w16cid:durableId="660699434">
    <w:abstractNumId w:val="5"/>
  </w:num>
  <w:num w:numId="7" w16cid:durableId="1597977733">
    <w:abstractNumId w:val="4"/>
  </w:num>
  <w:num w:numId="8" w16cid:durableId="1201551119">
    <w:abstractNumId w:val="12"/>
  </w:num>
  <w:num w:numId="9" w16cid:durableId="1421489959">
    <w:abstractNumId w:val="13"/>
  </w:num>
  <w:num w:numId="10" w16cid:durableId="1081758335">
    <w:abstractNumId w:val="2"/>
  </w:num>
  <w:num w:numId="11" w16cid:durableId="1857111420">
    <w:abstractNumId w:val="1"/>
  </w:num>
  <w:num w:numId="12" w16cid:durableId="1543399139">
    <w:abstractNumId w:val="18"/>
  </w:num>
  <w:num w:numId="13" w16cid:durableId="4720378">
    <w:abstractNumId w:val="14"/>
  </w:num>
  <w:num w:numId="14" w16cid:durableId="1731877525">
    <w:abstractNumId w:val="6"/>
  </w:num>
  <w:num w:numId="15" w16cid:durableId="256908257">
    <w:abstractNumId w:val="21"/>
  </w:num>
  <w:num w:numId="16" w16cid:durableId="1728337703">
    <w:abstractNumId w:val="15"/>
  </w:num>
  <w:num w:numId="17" w16cid:durableId="1573930208">
    <w:abstractNumId w:val="8"/>
  </w:num>
  <w:num w:numId="18" w16cid:durableId="1678195682">
    <w:abstractNumId w:val="7"/>
  </w:num>
  <w:num w:numId="19" w16cid:durableId="1840003285">
    <w:abstractNumId w:val="17"/>
  </w:num>
  <w:num w:numId="20" w16cid:durableId="2016181971">
    <w:abstractNumId w:val="22"/>
  </w:num>
  <w:num w:numId="21" w16cid:durableId="1948540019">
    <w:abstractNumId w:val="20"/>
  </w:num>
  <w:num w:numId="22" w16cid:durableId="39747240">
    <w:abstractNumId w:val="0"/>
  </w:num>
  <w:num w:numId="23" w16cid:durableId="3371216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0F8"/>
    <w:rsid w:val="000235E5"/>
    <w:rsid w:val="000D0745"/>
    <w:rsid w:val="000F51C3"/>
    <w:rsid w:val="000F6F20"/>
    <w:rsid w:val="00106548"/>
    <w:rsid w:val="00111AF2"/>
    <w:rsid w:val="00113C04"/>
    <w:rsid w:val="00204A0D"/>
    <w:rsid w:val="00214A33"/>
    <w:rsid w:val="00221915"/>
    <w:rsid w:val="002F04AD"/>
    <w:rsid w:val="002F3F19"/>
    <w:rsid w:val="003077DA"/>
    <w:rsid w:val="00336519"/>
    <w:rsid w:val="003C3235"/>
    <w:rsid w:val="003E4821"/>
    <w:rsid w:val="004B1623"/>
    <w:rsid w:val="004B50DB"/>
    <w:rsid w:val="005227E8"/>
    <w:rsid w:val="00526918"/>
    <w:rsid w:val="005732B3"/>
    <w:rsid w:val="00586BF9"/>
    <w:rsid w:val="00590A53"/>
    <w:rsid w:val="00643D6F"/>
    <w:rsid w:val="00672929"/>
    <w:rsid w:val="00673111"/>
    <w:rsid w:val="006D24C2"/>
    <w:rsid w:val="006E7E09"/>
    <w:rsid w:val="0076419B"/>
    <w:rsid w:val="007C5FC6"/>
    <w:rsid w:val="007E50C8"/>
    <w:rsid w:val="008111B7"/>
    <w:rsid w:val="008951DE"/>
    <w:rsid w:val="00966A4E"/>
    <w:rsid w:val="009E1BDE"/>
    <w:rsid w:val="009F530F"/>
    <w:rsid w:val="00A34857"/>
    <w:rsid w:val="00BE3D4E"/>
    <w:rsid w:val="00C32ED1"/>
    <w:rsid w:val="00CC162F"/>
    <w:rsid w:val="00CF00F8"/>
    <w:rsid w:val="00D876D1"/>
    <w:rsid w:val="00D90752"/>
    <w:rsid w:val="00DB1185"/>
    <w:rsid w:val="00DF2716"/>
    <w:rsid w:val="00E42B6C"/>
    <w:rsid w:val="00E62E0E"/>
    <w:rsid w:val="00E73E1E"/>
    <w:rsid w:val="00EA1788"/>
    <w:rsid w:val="00F13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2BB3"/>
  <w15:docId w15:val="{2DC6F7B2-D726-42BA-A47E-EE255C5B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4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1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1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1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1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41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4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11F"/>
    <w:rPr>
      <w:rFonts w:eastAsiaTheme="majorEastAsia" w:cstheme="majorBidi"/>
      <w:color w:val="272727" w:themeColor="text1" w:themeTint="D8"/>
    </w:rPr>
  </w:style>
  <w:style w:type="character" w:customStyle="1" w:styleId="TitleChar">
    <w:name w:val="Title Char"/>
    <w:basedOn w:val="DefaultParagraphFont"/>
    <w:link w:val="Title"/>
    <w:uiPriority w:val="10"/>
    <w:rsid w:val="00F64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64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11F"/>
    <w:pPr>
      <w:spacing w:before="160"/>
      <w:jc w:val="center"/>
    </w:pPr>
    <w:rPr>
      <w:i/>
      <w:iCs/>
      <w:color w:val="404040" w:themeColor="text1" w:themeTint="BF"/>
    </w:rPr>
  </w:style>
  <w:style w:type="character" w:customStyle="1" w:styleId="QuoteChar">
    <w:name w:val="Quote Char"/>
    <w:basedOn w:val="DefaultParagraphFont"/>
    <w:link w:val="Quote"/>
    <w:uiPriority w:val="29"/>
    <w:rsid w:val="00F6411F"/>
    <w:rPr>
      <w:i/>
      <w:iCs/>
      <w:color w:val="404040" w:themeColor="text1" w:themeTint="BF"/>
    </w:rPr>
  </w:style>
  <w:style w:type="paragraph" w:styleId="ListParagraph">
    <w:name w:val="List Paragraph"/>
    <w:basedOn w:val="Normal"/>
    <w:uiPriority w:val="34"/>
    <w:qFormat/>
    <w:rsid w:val="00F6411F"/>
    <w:pPr>
      <w:ind w:left="720"/>
      <w:contextualSpacing/>
    </w:pPr>
  </w:style>
  <w:style w:type="character" w:styleId="IntenseEmphasis">
    <w:name w:val="Intense Emphasis"/>
    <w:basedOn w:val="DefaultParagraphFont"/>
    <w:uiPriority w:val="21"/>
    <w:qFormat/>
    <w:rsid w:val="00F6411F"/>
    <w:rPr>
      <w:i/>
      <w:iCs/>
      <w:color w:val="0F4761" w:themeColor="accent1" w:themeShade="BF"/>
    </w:rPr>
  </w:style>
  <w:style w:type="paragraph" w:styleId="IntenseQuote">
    <w:name w:val="Intense Quote"/>
    <w:basedOn w:val="Normal"/>
    <w:next w:val="Normal"/>
    <w:link w:val="IntenseQuoteChar"/>
    <w:uiPriority w:val="30"/>
    <w:qFormat/>
    <w:rsid w:val="00F64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11F"/>
    <w:rPr>
      <w:i/>
      <w:iCs/>
      <w:color w:val="0F4761" w:themeColor="accent1" w:themeShade="BF"/>
    </w:rPr>
  </w:style>
  <w:style w:type="character" w:styleId="IntenseReference">
    <w:name w:val="Intense Reference"/>
    <w:basedOn w:val="DefaultParagraphFont"/>
    <w:uiPriority w:val="32"/>
    <w:qFormat/>
    <w:rsid w:val="00F6411F"/>
    <w:rPr>
      <w:b/>
      <w:bCs/>
      <w:smallCaps/>
      <w:color w:val="0F4761" w:themeColor="accent1" w:themeShade="BF"/>
      <w:spacing w:val="5"/>
    </w:rPr>
  </w:style>
  <w:style w:type="table" w:styleId="TableGrid">
    <w:name w:val="Table Grid"/>
    <w:basedOn w:val="TableNormal"/>
    <w:uiPriority w:val="39"/>
    <w:rsid w:val="00F64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411F"/>
    <w:rPr>
      <w:color w:val="467886" w:themeColor="hyperlink"/>
      <w:u w:val="single"/>
    </w:rPr>
  </w:style>
  <w:style w:type="character" w:styleId="UnresolvedMention">
    <w:name w:val="Unresolved Mention"/>
    <w:basedOn w:val="DefaultParagraphFont"/>
    <w:uiPriority w:val="99"/>
    <w:semiHidden/>
    <w:unhideWhenUsed/>
    <w:rsid w:val="00F6411F"/>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8878B2"/>
    <w:pPr>
      <w:tabs>
        <w:tab w:val="left" w:pos="504"/>
      </w:tabs>
      <w:spacing w:after="0" w:line="240" w:lineRule="auto"/>
      <w:ind w:left="504" w:hanging="504"/>
    </w:pPr>
  </w:style>
  <w:style w:type="paragraph" w:styleId="TOCHeading">
    <w:name w:val="TOC Heading"/>
    <w:basedOn w:val="Heading1"/>
    <w:next w:val="Normal"/>
    <w:uiPriority w:val="39"/>
    <w:unhideWhenUsed/>
    <w:qFormat/>
    <w:rsid w:val="003A76BE"/>
    <w:pPr>
      <w:spacing w:before="240" w:after="0" w:line="259" w:lineRule="auto"/>
      <w:outlineLvl w:val="9"/>
    </w:pPr>
    <w:rPr>
      <w:sz w:val="32"/>
      <w:szCs w:val="32"/>
    </w:rPr>
  </w:style>
  <w:style w:type="paragraph" w:styleId="TOC2">
    <w:name w:val="toc 2"/>
    <w:basedOn w:val="Normal"/>
    <w:next w:val="Normal"/>
    <w:autoRedefine/>
    <w:uiPriority w:val="39"/>
    <w:unhideWhenUsed/>
    <w:rsid w:val="003A76BE"/>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3A76BE"/>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3A76BE"/>
    <w:pPr>
      <w:spacing w:after="100" w:line="259" w:lineRule="auto"/>
      <w:ind w:left="440"/>
    </w:pPr>
    <w:rPr>
      <w:rFonts w:asciiTheme="minorHAnsi" w:eastAsiaTheme="minorEastAsia" w:hAnsiTheme="minorHAnsi" w:cs="Times New Roman"/>
      <w:sz w:val="22"/>
      <w:szCs w:val="22"/>
    </w:r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F2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716"/>
  </w:style>
  <w:style w:type="paragraph" w:styleId="Footer">
    <w:name w:val="footer"/>
    <w:basedOn w:val="Normal"/>
    <w:link w:val="FooterChar"/>
    <w:uiPriority w:val="99"/>
    <w:unhideWhenUsed/>
    <w:rsid w:val="00DF2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ntthoai@hcmiu.edu.v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g6Em8CqyQezrQtdGAekPHV1Aw==">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FFCC59-D35E-4ADD-BC02-153D1955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69655</Words>
  <Characters>397038</Characters>
  <Application>Microsoft Office Word</Application>
  <DocSecurity>0</DocSecurity>
  <Lines>3308</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BAO TRAN</dc:creator>
  <cp:lastModifiedBy>Nguyen Thi Thu Hoai</cp:lastModifiedBy>
  <cp:revision>9</cp:revision>
  <dcterms:created xsi:type="dcterms:W3CDTF">2025-03-05T08:22:00Z</dcterms:created>
  <dcterms:modified xsi:type="dcterms:W3CDTF">2025-03-06T01:02:00Z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0a54d8a3-6ea5-4aa3-900d-453622b2336e</vt:lpwstr>
  </property>
  <property fmtid="{D5CDD505-2E9C-101B-9397-08002B2CF9AE}" pid="3" name="ZOTERO_PREF_1">
    <vt:lpwstr>&lt;data data-version="3" zotero-version="6.0.36"&gt;&lt;session id="jmRUD0gO"/&gt;&lt;style id="http://www.zotero.org/styles/ieee" locale="en-US" hasBibliography="1" bibliographyStyleHasBeenSet="1"/&gt;&lt;prefs&gt;&lt;pref name="fieldType" value="Field"/&gt;&lt;/prefs&gt;&lt;/data&gt;</vt:lpwstr>
  </property>
</Properties>
</file>