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79A9C" w14:textId="77777777" w:rsidR="009E3BA6" w:rsidRPr="00143F3B" w:rsidRDefault="00E34CC8" w:rsidP="00F9173A">
      <w:pPr>
        <w:ind w:left="0" w:firstLine="0"/>
        <w:jc w:val="left"/>
        <w:rPr>
          <w:rFonts w:asciiTheme="majorBidi" w:hAnsiTheme="majorBidi" w:cstheme="majorBidi"/>
          <w:b/>
          <w:bCs/>
          <w:sz w:val="48"/>
          <w:szCs w:val="48"/>
        </w:rPr>
      </w:pPr>
      <w:r w:rsidRPr="00143F3B">
        <w:rPr>
          <w:rFonts w:asciiTheme="majorBidi" w:hAnsiTheme="majorBidi" w:cstheme="majorBidi"/>
          <w:b/>
          <w:bCs/>
          <w:sz w:val="48"/>
          <w:szCs w:val="48"/>
        </w:rPr>
        <w:t xml:space="preserve">The Role of Biofire in Bone Infection </w:t>
      </w:r>
    </w:p>
    <w:p w14:paraId="642D113D" w14:textId="6143B585" w:rsidR="00035917" w:rsidRPr="00143F3B" w:rsidRDefault="00E34CC8" w:rsidP="00F9173A">
      <w:pPr>
        <w:ind w:left="0" w:firstLine="0"/>
        <w:jc w:val="left"/>
        <w:rPr>
          <w:rFonts w:asciiTheme="majorBidi" w:hAnsiTheme="majorBidi" w:cstheme="majorBidi"/>
          <w:b/>
          <w:bCs/>
          <w:sz w:val="48"/>
          <w:szCs w:val="48"/>
        </w:rPr>
      </w:pPr>
      <w:r w:rsidRPr="00143F3B">
        <w:rPr>
          <w:rFonts w:asciiTheme="majorBidi" w:hAnsiTheme="majorBidi" w:cstheme="majorBidi"/>
          <w:b/>
          <w:bCs/>
          <w:sz w:val="48"/>
          <w:szCs w:val="48"/>
        </w:rPr>
        <w:t xml:space="preserve">Diagnosis and </w:t>
      </w:r>
      <w:r w:rsidR="00CF641D" w:rsidRPr="00143F3B">
        <w:rPr>
          <w:rFonts w:asciiTheme="majorBidi" w:hAnsiTheme="majorBidi" w:cstheme="majorBidi"/>
          <w:b/>
          <w:bCs/>
          <w:sz w:val="48"/>
          <w:szCs w:val="48"/>
        </w:rPr>
        <w:t>Treatment</w:t>
      </w:r>
    </w:p>
    <w:p w14:paraId="2FFB3E68" w14:textId="77777777" w:rsidR="00507480" w:rsidRPr="00143F3B" w:rsidRDefault="00507480" w:rsidP="00C85568">
      <w:pPr>
        <w:ind w:left="0" w:firstLine="0"/>
        <w:rPr>
          <w:rFonts w:asciiTheme="majorBidi" w:hAnsiTheme="majorBidi" w:cstheme="majorBidi"/>
          <w:b/>
          <w:bCs/>
          <w:sz w:val="20"/>
          <w:szCs w:val="20"/>
        </w:rPr>
      </w:pPr>
    </w:p>
    <w:p w14:paraId="3E2F804A" w14:textId="77777777" w:rsidR="0013525E" w:rsidRPr="00143F3B" w:rsidRDefault="0013525E" w:rsidP="00C85568">
      <w:pPr>
        <w:ind w:left="0" w:firstLine="0"/>
        <w:rPr>
          <w:rFonts w:asciiTheme="majorBidi" w:hAnsiTheme="majorBidi" w:cstheme="majorBidi"/>
          <w:b/>
          <w:bCs/>
          <w:sz w:val="20"/>
          <w:szCs w:val="20"/>
        </w:rPr>
      </w:pPr>
    </w:p>
    <w:p w14:paraId="668B0C43" w14:textId="4603031D" w:rsidR="0013525E" w:rsidRPr="00143F3B" w:rsidRDefault="0013525E"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Author</w:t>
      </w:r>
    </w:p>
    <w:p w14:paraId="6ADC6ABF" w14:textId="4EFDD346" w:rsidR="0013525E" w:rsidRPr="00143F3B" w:rsidRDefault="0013525E"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Dr Reham Abdelmonem</w:t>
      </w:r>
    </w:p>
    <w:p w14:paraId="76B7F933" w14:textId="3920A216" w:rsidR="00B5128E" w:rsidRPr="00143F3B" w:rsidRDefault="00B5128E"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MBBC</w:t>
      </w:r>
      <w:r w:rsidR="00840568" w:rsidRPr="00143F3B">
        <w:rPr>
          <w:rFonts w:asciiTheme="majorBidi" w:hAnsiTheme="majorBidi" w:cstheme="majorBidi"/>
          <w:b/>
          <w:bCs/>
          <w:sz w:val="20"/>
          <w:szCs w:val="20"/>
        </w:rPr>
        <w:t>h</w:t>
      </w:r>
      <w:r w:rsidRPr="00143F3B">
        <w:rPr>
          <w:rFonts w:asciiTheme="majorBidi" w:hAnsiTheme="majorBidi" w:cstheme="majorBidi"/>
          <w:b/>
          <w:bCs/>
          <w:sz w:val="20"/>
          <w:szCs w:val="20"/>
        </w:rPr>
        <w:t>, MPH, MBA, DipRCPath, PhD, D (ABMM)</w:t>
      </w:r>
    </w:p>
    <w:p w14:paraId="434ACF2F" w14:textId="3F781867" w:rsidR="0013525E" w:rsidRPr="00143F3B" w:rsidRDefault="0013525E" w:rsidP="00C85568">
      <w:pPr>
        <w:ind w:left="0" w:firstLine="0"/>
        <w:rPr>
          <w:rFonts w:asciiTheme="majorBidi" w:hAnsiTheme="majorBidi" w:cstheme="majorBidi"/>
          <w:sz w:val="20"/>
          <w:szCs w:val="20"/>
        </w:rPr>
      </w:pPr>
      <w:r w:rsidRPr="00143F3B">
        <w:rPr>
          <w:rFonts w:asciiTheme="majorBidi" w:hAnsiTheme="majorBidi" w:cstheme="majorBidi"/>
          <w:sz w:val="20"/>
          <w:szCs w:val="20"/>
        </w:rPr>
        <w:t>Consultant in Medical Microbiology and Public Health</w:t>
      </w:r>
    </w:p>
    <w:p w14:paraId="2E8ECB4D" w14:textId="402E3A8E" w:rsidR="0013525E" w:rsidRPr="00143F3B" w:rsidRDefault="009B2061" w:rsidP="009B2061">
      <w:pPr>
        <w:ind w:left="0" w:firstLine="0"/>
        <w:rPr>
          <w:rFonts w:asciiTheme="majorBidi" w:hAnsiTheme="majorBidi" w:cstheme="majorBidi"/>
          <w:sz w:val="20"/>
          <w:szCs w:val="20"/>
        </w:rPr>
      </w:pPr>
      <w:r w:rsidRPr="00143F3B">
        <w:rPr>
          <w:rFonts w:asciiTheme="majorBidi" w:hAnsiTheme="majorBidi" w:cstheme="majorBidi"/>
          <w:sz w:val="20"/>
          <w:szCs w:val="20"/>
        </w:rPr>
        <w:t xml:space="preserve">Senior clinical fellow- </w:t>
      </w:r>
      <w:r w:rsidR="0013525E" w:rsidRPr="00143F3B">
        <w:rPr>
          <w:rFonts w:asciiTheme="majorBidi" w:hAnsiTheme="majorBidi" w:cstheme="majorBidi"/>
          <w:sz w:val="20"/>
          <w:szCs w:val="20"/>
        </w:rPr>
        <w:t xml:space="preserve">Lancashire Teaching </w:t>
      </w:r>
      <w:r w:rsidR="00687E20" w:rsidRPr="00143F3B">
        <w:rPr>
          <w:rFonts w:asciiTheme="majorBidi" w:hAnsiTheme="majorBidi" w:cstheme="majorBidi"/>
          <w:sz w:val="20"/>
          <w:szCs w:val="20"/>
        </w:rPr>
        <w:t>Hospitals NHS Foundation Trust- Royal Preston Hospital</w:t>
      </w:r>
    </w:p>
    <w:p w14:paraId="441322BC" w14:textId="3AF6C17F" w:rsidR="00687E20" w:rsidRPr="00143F3B" w:rsidRDefault="00F0409D" w:rsidP="00C85568">
      <w:pPr>
        <w:ind w:left="0" w:firstLine="0"/>
        <w:rPr>
          <w:rFonts w:asciiTheme="majorBidi" w:hAnsiTheme="majorBidi" w:cstheme="majorBidi"/>
          <w:sz w:val="20"/>
          <w:szCs w:val="20"/>
        </w:rPr>
      </w:pPr>
      <w:r w:rsidRPr="00143F3B">
        <w:rPr>
          <w:rFonts w:asciiTheme="majorBidi" w:hAnsiTheme="majorBidi" w:cstheme="majorBidi"/>
          <w:sz w:val="20"/>
          <w:szCs w:val="20"/>
        </w:rPr>
        <w:t>Sharoe Green Lane</w:t>
      </w:r>
    </w:p>
    <w:p w14:paraId="292545F5" w14:textId="24FE927B" w:rsidR="00F0409D" w:rsidRPr="00143F3B" w:rsidRDefault="00F0409D" w:rsidP="00C85568">
      <w:pPr>
        <w:ind w:left="0" w:firstLine="0"/>
        <w:rPr>
          <w:rFonts w:asciiTheme="majorBidi" w:hAnsiTheme="majorBidi" w:cstheme="majorBidi"/>
          <w:sz w:val="20"/>
          <w:szCs w:val="20"/>
        </w:rPr>
      </w:pPr>
      <w:r w:rsidRPr="00143F3B">
        <w:rPr>
          <w:rFonts w:asciiTheme="majorBidi" w:hAnsiTheme="majorBidi" w:cstheme="majorBidi"/>
          <w:sz w:val="20"/>
          <w:szCs w:val="20"/>
        </w:rPr>
        <w:t>Fulwood- Preston- Lancashire</w:t>
      </w:r>
    </w:p>
    <w:p w14:paraId="04D5FBFF" w14:textId="3D704D52" w:rsidR="00F0409D" w:rsidRPr="00143F3B" w:rsidRDefault="00F0409D" w:rsidP="00C85568">
      <w:pPr>
        <w:ind w:left="0" w:firstLine="0"/>
        <w:rPr>
          <w:rFonts w:asciiTheme="majorBidi" w:hAnsiTheme="majorBidi" w:cstheme="majorBidi"/>
          <w:sz w:val="20"/>
          <w:szCs w:val="20"/>
        </w:rPr>
      </w:pPr>
      <w:r w:rsidRPr="00143F3B">
        <w:rPr>
          <w:rFonts w:asciiTheme="majorBidi" w:hAnsiTheme="majorBidi" w:cstheme="majorBidi"/>
          <w:sz w:val="20"/>
          <w:szCs w:val="20"/>
        </w:rPr>
        <w:t xml:space="preserve">PR2 9HT </w:t>
      </w:r>
    </w:p>
    <w:p w14:paraId="44E33C2A" w14:textId="5F878C90" w:rsidR="00F0409D" w:rsidRPr="00143F3B" w:rsidRDefault="000A5F09" w:rsidP="00C85568">
      <w:pPr>
        <w:ind w:left="0" w:firstLine="0"/>
        <w:rPr>
          <w:rFonts w:asciiTheme="majorBidi" w:hAnsiTheme="majorBidi" w:cstheme="majorBidi"/>
          <w:sz w:val="20"/>
          <w:szCs w:val="20"/>
        </w:rPr>
      </w:pPr>
      <w:hyperlink r:id="rId8" w:history="1">
        <w:r w:rsidRPr="00143F3B">
          <w:rPr>
            <w:rStyle w:val="Hyperlink"/>
            <w:rFonts w:asciiTheme="majorBidi" w:hAnsiTheme="majorBidi" w:cstheme="majorBidi"/>
            <w:sz w:val="20"/>
            <w:szCs w:val="20"/>
          </w:rPr>
          <w:t>Reham.h.e@hotmail.com</w:t>
        </w:r>
      </w:hyperlink>
    </w:p>
    <w:p w14:paraId="67E54A60" w14:textId="1642F0F3" w:rsidR="00600BB2" w:rsidRPr="00143F3B" w:rsidRDefault="00600BB2" w:rsidP="00600BB2">
      <w:pPr>
        <w:pStyle w:val="ListParagraph"/>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ABSTRACT</w:t>
      </w:r>
    </w:p>
    <w:p w14:paraId="3C02374E" w14:textId="280DE574" w:rsidR="00600BB2" w:rsidRPr="00143F3B" w:rsidRDefault="00AD10BE" w:rsidP="00775F92">
      <w:pPr>
        <w:pStyle w:val="ListParagraph"/>
        <w:ind w:left="0"/>
        <w:rPr>
          <w:rFonts w:asciiTheme="majorBidi" w:hAnsiTheme="majorBidi" w:cstheme="majorBidi"/>
          <w:sz w:val="20"/>
          <w:szCs w:val="20"/>
        </w:rPr>
      </w:pPr>
      <w:r w:rsidRPr="00143F3B">
        <w:rPr>
          <w:rFonts w:asciiTheme="majorBidi" w:hAnsiTheme="majorBidi" w:cstheme="majorBidi"/>
          <w:sz w:val="20"/>
          <w:szCs w:val="20"/>
        </w:rPr>
        <w:t xml:space="preserve">The evolution of diagnostics in recent decades, has been of </w:t>
      </w:r>
      <w:r w:rsidR="004E456B" w:rsidRPr="00143F3B">
        <w:rPr>
          <w:rFonts w:asciiTheme="majorBidi" w:hAnsiTheme="majorBidi" w:cstheme="majorBidi"/>
          <w:sz w:val="20"/>
          <w:szCs w:val="20"/>
        </w:rPr>
        <w:t xml:space="preserve">a </w:t>
      </w:r>
      <w:r w:rsidRPr="00143F3B">
        <w:rPr>
          <w:rFonts w:asciiTheme="majorBidi" w:hAnsiTheme="majorBidi" w:cstheme="majorBidi"/>
          <w:sz w:val="20"/>
          <w:szCs w:val="20"/>
        </w:rPr>
        <w:t xml:space="preserve">great importance in </w:t>
      </w:r>
      <w:r w:rsidR="00422933" w:rsidRPr="00143F3B">
        <w:rPr>
          <w:rFonts w:asciiTheme="majorBidi" w:hAnsiTheme="majorBidi" w:cstheme="majorBidi"/>
          <w:sz w:val="20"/>
          <w:szCs w:val="20"/>
        </w:rPr>
        <w:t>laboratory medicine, especially the Microbiology laboratory. The accurate diagnosis of pathogen stand</w:t>
      </w:r>
      <w:r w:rsidR="004E456B" w:rsidRPr="00143F3B">
        <w:rPr>
          <w:rFonts w:asciiTheme="majorBidi" w:hAnsiTheme="majorBidi" w:cstheme="majorBidi"/>
          <w:sz w:val="20"/>
          <w:szCs w:val="20"/>
        </w:rPr>
        <w:t>ing</w:t>
      </w:r>
      <w:r w:rsidR="00422933" w:rsidRPr="00143F3B">
        <w:rPr>
          <w:rFonts w:asciiTheme="majorBidi" w:hAnsiTheme="majorBidi" w:cstheme="majorBidi"/>
          <w:sz w:val="20"/>
          <w:szCs w:val="20"/>
        </w:rPr>
        <w:t xml:space="preserve"> behind the acute or chronic infections, is the corner stone </w:t>
      </w:r>
      <w:r w:rsidR="004E456B" w:rsidRPr="00143F3B">
        <w:rPr>
          <w:rFonts w:asciiTheme="majorBidi" w:hAnsiTheme="majorBidi" w:cstheme="majorBidi"/>
          <w:sz w:val="20"/>
          <w:szCs w:val="20"/>
        </w:rPr>
        <w:t>of</w:t>
      </w:r>
      <w:r w:rsidR="00422933" w:rsidRPr="00143F3B">
        <w:rPr>
          <w:rFonts w:asciiTheme="majorBidi" w:hAnsiTheme="majorBidi" w:cstheme="majorBidi"/>
          <w:sz w:val="20"/>
          <w:szCs w:val="20"/>
        </w:rPr>
        <w:t xml:space="preserve"> the proper management </w:t>
      </w:r>
      <w:r w:rsidR="00393793" w:rsidRPr="00143F3B">
        <w:rPr>
          <w:rFonts w:asciiTheme="majorBidi" w:hAnsiTheme="majorBidi" w:cstheme="majorBidi"/>
          <w:sz w:val="20"/>
          <w:szCs w:val="20"/>
        </w:rPr>
        <w:t>of infections. In bone infections, such as septic arthritis, osteomyelitis,</w:t>
      </w:r>
      <w:r w:rsidR="00FF3E32" w:rsidRPr="00143F3B">
        <w:rPr>
          <w:rFonts w:asciiTheme="majorBidi" w:hAnsiTheme="majorBidi" w:cstheme="majorBidi"/>
          <w:sz w:val="20"/>
          <w:szCs w:val="20"/>
        </w:rPr>
        <w:t xml:space="preserve"> diabetic foot infections, spinal infections, and</w:t>
      </w:r>
      <w:r w:rsidR="00393793" w:rsidRPr="00143F3B">
        <w:rPr>
          <w:rFonts w:asciiTheme="majorBidi" w:hAnsiTheme="majorBidi" w:cstheme="majorBidi"/>
          <w:sz w:val="20"/>
          <w:szCs w:val="20"/>
        </w:rPr>
        <w:t xml:space="preserve"> periprosthetic joint infections</w:t>
      </w:r>
      <w:r w:rsidR="00FF3E32" w:rsidRPr="00143F3B">
        <w:rPr>
          <w:rFonts w:asciiTheme="majorBidi" w:hAnsiTheme="majorBidi" w:cstheme="majorBidi"/>
          <w:sz w:val="20"/>
          <w:szCs w:val="20"/>
        </w:rPr>
        <w:t xml:space="preserve">, the diagnosis of causative organisms is challenging </w:t>
      </w:r>
      <w:r w:rsidR="00DC4A47" w:rsidRPr="00143F3B">
        <w:rPr>
          <w:rFonts w:asciiTheme="majorBidi" w:hAnsiTheme="majorBidi" w:cstheme="majorBidi"/>
          <w:sz w:val="20"/>
          <w:szCs w:val="20"/>
        </w:rPr>
        <w:t xml:space="preserve">while using the conventional methods. Modern diagnostics such as BIOFIRE JI panel </w:t>
      </w:r>
      <w:r w:rsidR="00A029AA" w:rsidRPr="00143F3B">
        <w:rPr>
          <w:rFonts w:asciiTheme="majorBidi" w:hAnsiTheme="majorBidi" w:cstheme="majorBidi"/>
          <w:sz w:val="20"/>
          <w:szCs w:val="20"/>
        </w:rPr>
        <w:t xml:space="preserve">can add a great </w:t>
      </w:r>
      <w:r w:rsidR="008E19EC" w:rsidRPr="00143F3B">
        <w:rPr>
          <w:rFonts w:asciiTheme="majorBidi" w:hAnsiTheme="majorBidi" w:cstheme="majorBidi"/>
          <w:sz w:val="20"/>
          <w:szCs w:val="20"/>
        </w:rPr>
        <w:t>benefit</w:t>
      </w:r>
      <w:r w:rsidR="00A029AA" w:rsidRPr="00143F3B">
        <w:rPr>
          <w:rFonts w:asciiTheme="majorBidi" w:hAnsiTheme="majorBidi" w:cstheme="majorBidi"/>
          <w:sz w:val="20"/>
          <w:szCs w:val="20"/>
        </w:rPr>
        <w:t xml:space="preserve"> not only in identifying the causative organisms but also in specifying the antimicrobial resistance genes which can </w:t>
      </w:r>
      <w:r w:rsidR="008E19EC" w:rsidRPr="00143F3B">
        <w:rPr>
          <w:rFonts w:asciiTheme="majorBidi" w:hAnsiTheme="majorBidi" w:cstheme="majorBidi"/>
          <w:sz w:val="20"/>
          <w:szCs w:val="20"/>
        </w:rPr>
        <w:t>help in tailoring effective empirical antimicrobial treatment</w:t>
      </w:r>
      <w:r w:rsidR="00C21C08" w:rsidRPr="00143F3B">
        <w:rPr>
          <w:rFonts w:asciiTheme="majorBidi" w:hAnsiTheme="majorBidi" w:cstheme="majorBidi"/>
          <w:sz w:val="20"/>
          <w:szCs w:val="20"/>
        </w:rPr>
        <w:t xml:space="preserve"> plan.</w:t>
      </w:r>
    </w:p>
    <w:p w14:paraId="30B34181" w14:textId="77777777" w:rsidR="00775F92" w:rsidRPr="00143F3B" w:rsidRDefault="00775F92" w:rsidP="00775F92">
      <w:pPr>
        <w:pStyle w:val="ListParagraph"/>
        <w:ind w:left="0"/>
        <w:rPr>
          <w:rFonts w:asciiTheme="majorBidi" w:hAnsiTheme="majorBidi" w:cstheme="majorBidi"/>
          <w:b/>
          <w:bCs/>
          <w:sz w:val="20"/>
          <w:szCs w:val="20"/>
        </w:rPr>
      </w:pPr>
    </w:p>
    <w:p w14:paraId="10471AEE" w14:textId="60A3AFB2" w:rsidR="00600BB2" w:rsidRPr="00143F3B" w:rsidRDefault="00CB5C3D" w:rsidP="00775F92">
      <w:pPr>
        <w:pStyle w:val="ListParagraph"/>
        <w:ind w:left="0"/>
        <w:rPr>
          <w:rFonts w:asciiTheme="majorBidi" w:hAnsiTheme="majorBidi" w:cstheme="majorBidi"/>
          <w:b/>
          <w:bCs/>
          <w:sz w:val="20"/>
          <w:szCs w:val="20"/>
        </w:rPr>
      </w:pPr>
      <w:r w:rsidRPr="00143F3B">
        <w:rPr>
          <w:rFonts w:asciiTheme="majorBidi" w:hAnsiTheme="majorBidi" w:cstheme="majorBidi"/>
          <w:b/>
          <w:bCs/>
          <w:sz w:val="20"/>
          <w:szCs w:val="20"/>
        </w:rPr>
        <w:t xml:space="preserve">Keywords: </w:t>
      </w:r>
      <w:r w:rsidRPr="00143F3B">
        <w:rPr>
          <w:rFonts w:asciiTheme="majorBidi" w:hAnsiTheme="majorBidi" w:cstheme="majorBidi"/>
          <w:sz w:val="20"/>
          <w:szCs w:val="20"/>
        </w:rPr>
        <w:t>BIOFIRE, Bone</w:t>
      </w:r>
      <w:r w:rsidR="00C21C08" w:rsidRPr="00143F3B">
        <w:rPr>
          <w:rFonts w:asciiTheme="majorBidi" w:hAnsiTheme="majorBidi" w:cstheme="majorBidi"/>
          <w:sz w:val="20"/>
          <w:szCs w:val="20"/>
        </w:rPr>
        <w:t>,</w:t>
      </w:r>
      <w:r w:rsidRPr="00143F3B">
        <w:rPr>
          <w:rFonts w:asciiTheme="majorBidi" w:hAnsiTheme="majorBidi" w:cstheme="majorBidi"/>
          <w:sz w:val="20"/>
          <w:szCs w:val="20"/>
        </w:rPr>
        <w:t xml:space="preserve"> Infection, Diagnostics, </w:t>
      </w:r>
      <w:r w:rsidR="00EB2173" w:rsidRPr="00143F3B">
        <w:rPr>
          <w:rFonts w:asciiTheme="majorBidi" w:hAnsiTheme="majorBidi" w:cstheme="majorBidi"/>
          <w:sz w:val="20"/>
          <w:szCs w:val="20"/>
        </w:rPr>
        <w:t>conventional, culture</w:t>
      </w:r>
      <w:r w:rsidR="00C21C08" w:rsidRPr="00143F3B">
        <w:rPr>
          <w:rFonts w:asciiTheme="majorBidi" w:hAnsiTheme="majorBidi" w:cstheme="majorBidi"/>
          <w:sz w:val="20"/>
          <w:szCs w:val="20"/>
        </w:rPr>
        <w:t>, antimicrobial, empirical, resistance, genes.</w:t>
      </w:r>
    </w:p>
    <w:p w14:paraId="55C6D9A9" w14:textId="77777777" w:rsidR="00600BB2" w:rsidRPr="00143F3B" w:rsidRDefault="00600BB2" w:rsidP="00600BB2">
      <w:pPr>
        <w:pStyle w:val="ListParagraph"/>
        <w:ind w:left="680" w:firstLine="0"/>
        <w:rPr>
          <w:rFonts w:asciiTheme="majorBidi" w:hAnsiTheme="majorBidi" w:cstheme="majorBidi"/>
          <w:b/>
          <w:bCs/>
          <w:sz w:val="20"/>
          <w:szCs w:val="20"/>
        </w:rPr>
      </w:pPr>
    </w:p>
    <w:p w14:paraId="781035BF" w14:textId="4F32B8B8" w:rsidR="00C4479E" w:rsidRPr="00143F3B" w:rsidRDefault="000A5F09" w:rsidP="00775F92">
      <w:pPr>
        <w:pStyle w:val="ListParagraph"/>
        <w:numPr>
          <w:ilvl w:val="0"/>
          <w:numId w:val="14"/>
        </w:numPr>
        <w:ind w:left="340" w:hanging="170"/>
        <w:rPr>
          <w:rFonts w:asciiTheme="majorBidi" w:hAnsiTheme="majorBidi" w:cstheme="majorBidi"/>
          <w:b/>
          <w:bCs/>
          <w:sz w:val="20"/>
          <w:szCs w:val="20"/>
        </w:rPr>
      </w:pPr>
      <w:r w:rsidRPr="00143F3B">
        <w:rPr>
          <w:rFonts w:asciiTheme="majorBidi" w:hAnsiTheme="majorBidi" w:cstheme="majorBidi"/>
          <w:b/>
          <w:bCs/>
          <w:sz w:val="20"/>
          <w:szCs w:val="20"/>
        </w:rPr>
        <w:t>I</w:t>
      </w:r>
      <w:r w:rsidR="00575882" w:rsidRPr="00143F3B">
        <w:rPr>
          <w:rFonts w:asciiTheme="majorBidi" w:hAnsiTheme="majorBidi" w:cstheme="majorBidi"/>
          <w:b/>
          <w:bCs/>
          <w:sz w:val="20"/>
          <w:szCs w:val="20"/>
        </w:rPr>
        <w:t>NTRODUCTION</w:t>
      </w:r>
    </w:p>
    <w:p w14:paraId="6B5E1918" w14:textId="77777777" w:rsidR="00C4479E" w:rsidRPr="00143F3B" w:rsidRDefault="00C4479E" w:rsidP="00C4479E">
      <w:pPr>
        <w:pStyle w:val="ListParagraph"/>
        <w:ind w:left="527" w:firstLine="0"/>
        <w:rPr>
          <w:rFonts w:asciiTheme="majorBidi" w:hAnsiTheme="majorBidi" w:cstheme="majorBidi"/>
          <w:b/>
          <w:bCs/>
          <w:sz w:val="20"/>
          <w:szCs w:val="20"/>
        </w:rPr>
      </w:pPr>
    </w:p>
    <w:p w14:paraId="07F78C80" w14:textId="77777777" w:rsidR="00157809" w:rsidRPr="00157809" w:rsidRDefault="00157809" w:rsidP="00382AB2">
      <w:pPr>
        <w:pStyle w:val="ListParagraph"/>
        <w:ind w:left="0"/>
        <w:rPr>
          <w:rFonts w:asciiTheme="majorBidi" w:hAnsiTheme="majorBidi" w:cstheme="majorBidi"/>
          <w:sz w:val="20"/>
          <w:szCs w:val="20"/>
        </w:rPr>
      </w:pPr>
      <w:r w:rsidRPr="00157809">
        <w:rPr>
          <w:rFonts w:asciiTheme="majorBidi" w:hAnsiTheme="majorBidi" w:cstheme="majorBidi"/>
          <w:sz w:val="20"/>
          <w:szCs w:val="20"/>
        </w:rPr>
        <w:t>Bone and joint infections, including osteomyelitis, septic arthritis, and prosthetic joint infections, represent a significant clinical challenge due to their complexity, potential for severe complications, and the need for timely and accurate diagnosis. Traditional diagnostic methods, such as culture-based techniques, often require extended timeframes, ranging from 48 hours to several days, and may yield false-negative results, especially when patients have received prior antibiotic therapy. These limitations can delay the initiation of targeted treatment, increasing the risk of poor outcomes, including chronic infection, amputation, or the need for repeated surgeries. The introduction of advanced molecular diagnostic tools, such as the BIOFIRE Joint Infection (JI) Panel, has revolutionized the approach to diagnosing and treating these infections.</w:t>
      </w:r>
    </w:p>
    <w:p w14:paraId="3ED5B0CA" w14:textId="77777777" w:rsidR="00157809" w:rsidRPr="00157809" w:rsidRDefault="00157809" w:rsidP="00382AB2">
      <w:pPr>
        <w:pStyle w:val="ListParagraph"/>
        <w:ind w:left="0"/>
        <w:rPr>
          <w:rFonts w:asciiTheme="majorBidi" w:hAnsiTheme="majorBidi" w:cstheme="majorBidi"/>
          <w:sz w:val="20"/>
          <w:szCs w:val="20"/>
        </w:rPr>
      </w:pPr>
      <w:r w:rsidRPr="00157809">
        <w:rPr>
          <w:rFonts w:asciiTheme="majorBidi" w:hAnsiTheme="majorBidi" w:cstheme="majorBidi"/>
          <w:sz w:val="20"/>
          <w:szCs w:val="20"/>
        </w:rPr>
        <w:t xml:space="preserve">The BIOFIRE JI Panel is a multiplex polymerase chain reaction (PCR) assay designed to rapidly identify a comprehensive array of pathogens and key antimicrobial resistance (AMR) genes directly from synovial fluid. This cutting-edge technology offers results in approximately one hour, significantly shortening the diagnostic timeline compared to traditional methods. By detecting up to 39 targets, including bacteria such as </w:t>
      </w:r>
      <w:r w:rsidRPr="00157809">
        <w:rPr>
          <w:rFonts w:asciiTheme="majorBidi" w:hAnsiTheme="majorBidi" w:cstheme="majorBidi"/>
          <w:i/>
          <w:iCs/>
          <w:sz w:val="20"/>
          <w:szCs w:val="20"/>
        </w:rPr>
        <w:t>Staphylococcus aureus</w:t>
      </w:r>
      <w:r w:rsidRPr="00157809">
        <w:rPr>
          <w:rFonts w:asciiTheme="majorBidi" w:hAnsiTheme="majorBidi" w:cstheme="majorBidi"/>
          <w:sz w:val="20"/>
          <w:szCs w:val="20"/>
        </w:rPr>
        <w:t xml:space="preserve"> and </w:t>
      </w:r>
      <w:r w:rsidRPr="00157809">
        <w:rPr>
          <w:rFonts w:asciiTheme="majorBidi" w:hAnsiTheme="majorBidi" w:cstheme="majorBidi"/>
          <w:i/>
          <w:iCs/>
          <w:sz w:val="20"/>
          <w:szCs w:val="20"/>
        </w:rPr>
        <w:t>Pseudomonas aeruginosa</w:t>
      </w:r>
      <w:r w:rsidRPr="00157809">
        <w:rPr>
          <w:rFonts w:asciiTheme="majorBidi" w:hAnsiTheme="majorBidi" w:cstheme="majorBidi"/>
          <w:sz w:val="20"/>
          <w:szCs w:val="20"/>
        </w:rPr>
        <w:t xml:space="preserve">, fungi like </w:t>
      </w:r>
      <w:r w:rsidRPr="00157809">
        <w:rPr>
          <w:rFonts w:asciiTheme="majorBidi" w:hAnsiTheme="majorBidi" w:cstheme="majorBidi"/>
          <w:i/>
          <w:iCs/>
          <w:sz w:val="20"/>
          <w:szCs w:val="20"/>
        </w:rPr>
        <w:t>Candida</w:t>
      </w:r>
      <w:r w:rsidRPr="00157809">
        <w:rPr>
          <w:rFonts w:asciiTheme="majorBidi" w:hAnsiTheme="majorBidi" w:cstheme="majorBidi"/>
          <w:sz w:val="20"/>
          <w:szCs w:val="20"/>
        </w:rPr>
        <w:t xml:space="preserve"> species, and critical resistance markers such as </w:t>
      </w:r>
      <w:proofErr w:type="spellStart"/>
      <w:r w:rsidRPr="00157809">
        <w:rPr>
          <w:rFonts w:asciiTheme="majorBidi" w:hAnsiTheme="majorBidi" w:cstheme="majorBidi"/>
          <w:sz w:val="20"/>
          <w:szCs w:val="20"/>
        </w:rPr>
        <w:t>mecA</w:t>
      </w:r>
      <w:proofErr w:type="spellEnd"/>
      <w:r w:rsidRPr="00157809">
        <w:rPr>
          <w:rFonts w:asciiTheme="majorBidi" w:hAnsiTheme="majorBidi" w:cstheme="majorBidi"/>
          <w:sz w:val="20"/>
          <w:szCs w:val="20"/>
        </w:rPr>
        <w:t xml:space="preserve"> and </w:t>
      </w:r>
      <w:proofErr w:type="spellStart"/>
      <w:r w:rsidRPr="00157809">
        <w:rPr>
          <w:rFonts w:asciiTheme="majorBidi" w:hAnsiTheme="majorBidi" w:cstheme="majorBidi"/>
          <w:sz w:val="20"/>
          <w:szCs w:val="20"/>
        </w:rPr>
        <w:t>vanA</w:t>
      </w:r>
      <w:proofErr w:type="spellEnd"/>
      <w:r w:rsidRPr="00157809">
        <w:rPr>
          <w:rFonts w:asciiTheme="majorBidi" w:hAnsiTheme="majorBidi" w:cstheme="majorBidi"/>
          <w:sz w:val="20"/>
          <w:szCs w:val="20"/>
        </w:rPr>
        <w:t>/B, the panel provides a detailed microbiological profile essential for tailoring therapy.</w:t>
      </w:r>
    </w:p>
    <w:p w14:paraId="26EC0841" w14:textId="77777777" w:rsidR="00157809" w:rsidRPr="00157809" w:rsidRDefault="00157809" w:rsidP="00382AB2">
      <w:pPr>
        <w:pStyle w:val="ListParagraph"/>
        <w:ind w:left="0"/>
        <w:rPr>
          <w:rFonts w:asciiTheme="majorBidi" w:hAnsiTheme="majorBidi" w:cstheme="majorBidi"/>
          <w:sz w:val="20"/>
          <w:szCs w:val="20"/>
        </w:rPr>
      </w:pPr>
      <w:r w:rsidRPr="00157809">
        <w:rPr>
          <w:rFonts w:asciiTheme="majorBidi" w:hAnsiTheme="majorBidi" w:cstheme="majorBidi"/>
          <w:sz w:val="20"/>
          <w:szCs w:val="20"/>
        </w:rPr>
        <w:t>One of the panel’s primary advantages is its utility in situations where standard culture methods are insufficient. For instance, it excels in detecting fastidious organisms or polymicrobial infections, which are often missed due to the limitations of culture techniques. This feature is particularly important in cases of chronic or complex infections, where multiple pathogens may coexist, or in patients who have been pre-treated with antibiotics that suppress bacterial growth in cultures. Furthermore, the BIOFIRE JI Panel’s ability to identify resistance genes facilitates the early administration of appropriate antibiotics, reducing reliance on broad-spectrum empiric therapy and promoting antimicrobial stewardship.</w:t>
      </w:r>
    </w:p>
    <w:p w14:paraId="6915EFBB" w14:textId="6D536A70" w:rsidR="00EB2173" w:rsidRPr="00143F3B" w:rsidRDefault="00157809" w:rsidP="00382AB2">
      <w:pPr>
        <w:pStyle w:val="ListParagraph"/>
        <w:ind w:left="0"/>
        <w:rPr>
          <w:rFonts w:asciiTheme="majorBidi" w:hAnsiTheme="majorBidi" w:cstheme="majorBidi"/>
          <w:b/>
          <w:bCs/>
          <w:sz w:val="20"/>
          <w:szCs w:val="20"/>
        </w:rPr>
      </w:pPr>
      <w:r w:rsidRPr="00157809">
        <w:rPr>
          <w:rFonts w:asciiTheme="majorBidi" w:hAnsiTheme="majorBidi" w:cstheme="majorBidi"/>
          <w:sz w:val="20"/>
          <w:szCs w:val="20"/>
        </w:rPr>
        <w:t>The clinical impact of the BIOFIRE JI Panel extends beyond rapid diagnostics. Its implementation has been shown to improve patient outcomes by enabling timely and targeted intervention, which reduces the risk of prolonged infections and associated complications. Additionally, it enhances the efficiency of healthcare delivery by decreasing hospital stays, minimizing unnecessary procedures, and reducing overall healthcare costs. By integrating this tool into diagnostic workflows, clinicians can address bone and joint infections more effectively, ensuring that patients receive optimal care based on precise and actionable data.</w:t>
      </w:r>
      <w:r w:rsidR="0072602C" w:rsidRPr="00143F3B">
        <w:rPr>
          <w:rFonts w:asciiTheme="majorBidi" w:hAnsiTheme="majorBidi" w:cstheme="majorBidi"/>
          <w:sz w:val="20"/>
          <w:szCs w:val="20"/>
        </w:rPr>
        <w:t xml:space="preserve"> </w:t>
      </w:r>
      <w:r w:rsidRPr="00143F3B">
        <w:rPr>
          <w:rFonts w:asciiTheme="majorBidi" w:hAnsiTheme="majorBidi" w:cstheme="majorBidi"/>
          <w:sz w:val="20"/>
          <w:szCs w:val="20"/>
        </w:rPr>
        <w:t>In conclusion, the BIOFIRE JI Panel represents a paradigm shift in the management of bone infections, bridging the gap between microbiological diagnostics and clinical decision-making. Its rapid, accurate, and comprehensive detection capabilities are indispensable in modern infectious disease management, providing significant benefits for both patients and healthcare systems.</w:t>
      </w:r>
    </w:p>
    <w:p w14:paraId="0F2DC314" w14:textId="77777777" w:rsidR="00EB2173" w:rsidRPr="00143F3B" w:rsidRDefault="00EB2173" w:rsidP="00C4479E">
      <w:pPr>
        <w:pStyle w:val="ListParagraph"/>
        <w:ind w:left="527" w:firstLine="0"/>
        <w:rPr>
          <w:rFonts w:asciiTheme="majorBidi" w:hAnsiTheme="majorBidi" w:cstheme="majorBidi"/>
          <w:b/>
          <w:bCs/>
          <w:sz w:val="20"/>
          <w:szCs w:val="20"/>
        </w:rPr>
      </w:pPr>
    </w:p>
    <w:p w14:paraId="0D815AC4" w14:textId="00F5FDA4" w:rsidR="00133607" w:rsidRPr="00143F3B" w:rsidRDefault="00133607" w:rsidP="00C4479E">
      <w:pPr>
        <w:pStyle w:val="ListParagraph"/>
        <w:numPr>
          <w:ilvl w:val="0"/>
          <w:numId w:val="14"/>
        </w:numPr>
        <w:ind w:left="527" w:hanging="170"/>
        <w:rPr>
          <w:rFonts w:asciiTheme="majorBidi" w:hAnsiTheme="majorBidi" w:cstheme="majorBidi"/>
          <w:b/>
          <w:bCs/>
          <w:sz w:val="20"/>
          <w:szCs w:val="20"/>
        </w:rPr>
      </w:pPr>
      <w:r w:rsidRPr="00143F3B">
        <w:rPr>
          <w:rFonts w:asciiTheme="majorBidi" w:hAnsiTheme="majorBidi" w:cstheme="majorBidi"/>
          <w:b/>
          <w:bCs/>
          <w:sz w:val="20"/>
          <w:szCs w:val="20"/>
        </w:rPr>
        <w:t>TOPICS</w:t>
      </w:r>
    </w:p>
    <w:p w14:paraId="0EDE688A" w14:textId="77777777" w:rsidR="0013525E" w:rsidRPr="00143F3B" w:rsidRDefault="0013525E" w:rsidP="00C85568">
      <w:pPr>
        <w:ind w:left="0" w:firstLine="0"/>
        <w:rPr>
          <w:rFonts w:asciiTheme="majorBidi" w:hAnsiTheme="majorBidi" w:cstheme="majorBidi"/>
          <w:b/>
          <w:bCs/>
          <w:sz w:val="20"/>
          <w:szCs w:val="20"/>
        </w:rPr>
      </w:pPr>
    </w:p>
    <w:p w14:paraId="5495EF2D" w14:textId="64D267F2" w:rsidR="00507480" w:rsidRPr="00143F3B" w:rsidRDefault="00507480"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What is the bone infection?</w:t>
      </w:r>
    </w:p>
    <w:p w14:paraId="1705718F" w14:textId="77777777" w:rsidR="00AE1BF6" w:rsidRPr="00143F3B" w:rsidRDefault="00AE1BF6"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 xml:space="preserve">What are the different </w:t>
      </w:r>
      <w:r w:rsidR="00C75711" w:rsidRPr="00143F3B">
        <w:rPr>
          <w:rFonts w:asciiTheme="majorBidi" w:hAnsiTheme="majorBidi" w:cstheme="majorBidi"/>
          <w:b/>
          <w:bCs/>
          <w:sz w:val="20"/>
          <w:szCs w:val="20"/>
        </w:rPr>
        <w:t>diagnostics</w:t>
      </w:r>
      <w:r w:rsidRPr="00143F3B">
        <w:rPr>
          <w:rFonts w:asciiTheme="majorBidi" w:hAnsiTheme="majorBidi" w:cstheme="majorBidi"/>
          <w:b/>
          <w:bCs/>
          <w:sz w:val="20"/>
          <w:szCs w:val="20"/>
        </w:rPr>
        <w:t xml:space="preserve"> used for the diagnosis of bone infection?</w:t>
      </w:r>
    </w:p>
    <w:p w14:paraId="46E2371E" w14:textId="77777777" w:rsidR="00AE1BF6" w:rsidRPr="00143F3B" w:rsidRDefault="00C75711"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What is the Biofire technology?</w:t>
      </w:r>
    </w:p>
    <w:p w14:paraId="6F694E44" w14:textId="77777777" w:rsidR="00C75711" w:rsidRPr="00143F3B" w:rsidRDefault="00C75711"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 xml:space="preserve">What is the role of Biofire in diagnosis of </w:t>
      </w:r>
      <w:r w:rsidR="008E05AA" w:rsidRPr="00143F3B">
        <w:rPr>
          <w:rFonts w:asciiTheme="majorBidi" w:hAnsiTheme="majorBidi" w:cstheme="majorBidi"/>
          <w:b/>
          <w:bCs/>
          <w:sz w:val="20"/>
          <w:szCs w:val="20"/>
        </w:rPr>
        <w:t>bone infection?</w:t>
      </w:r>
    </w:p>
    <w:p w14:paraId="35EC74C6" w14:textId="77777777" w:rsidR="008E05AA" w:rsidRPr="00143F3B" w:rsidRDefault="008E05AA"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What is the role of Biofire in treatment of bone infection?</w:t>
      </w:r>
    </w:p>
    <w:p w14:paraId="5EEA5AE9" w14:textId="61A5CF4E" w:rsidR="00493A6D" w:rsidRPr="00143F3B" w:rsidRDefault="0019054D"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Case scenarios representing the value of the BIOFIRE JI panel in diagnosis and treatment of bone infections.</w:t>
      </w:r>
    </w:p>
    <w:p w14:paraId="4B48A353" w14:textId="77777777" w:rsidR="00AB0C89" w:rsidRPr="00143F3B" w:rsidRDefault="008E05AA" w:rsidP="00621247">
      <w:pPr>
        <w:pStyle w:val="ListParagraph"/>
        <w:numPr>
          <w:ilvl w:val="0"/>
          <w:numId w:val="15"/>
        </w:numPr>
        <w:rPr>
          <w:rFonts w:asciiTheme="majorBidi" w:hAnsiTheme="majorBidi" w:cstheme="majorBidi"/>
          <w:b/>
          <w:bCs/>
          <w:sz w:val="20"/>
          <w:szCs w:val="20"/>
        </w:rPr>
      </w:pPr>
      <w:r w:rsidRPr="00143F3B">
        <w:rPr>
          <w:rFonts w:asciiTheme="majorBidi" w:hAnsiTheme="majorBidi" w:cstheme="majorBidi"/>
          <w:b/>
          <w:bCs/>
          <w:sz w:val="20"/>
          <w:szCs w:val="20"/>
        </w:rPr>
        <w:t xml:space="preserve">Recommendations for Biofire use in bone infection </w:t>
      </w:r>
      <w:r w:rsidR="009263B5" w:rsidRPr="00143F3B">
        <w:rPr>
          <w:rFonts w:asciiTheme="majorBidi" w:hAnsiTheme="majorBidi" w:cstheme="majorBidi"/>
          <w:b/>
          <w:bCs/>
          <w:sz w:val="20"/>
          <w:szCs w:val="20"/>
        </w:rPr>
        <w:t>management.</w:t>
      </w:r>
    </w:p>
    <w:p w14:paraId="1CE659DF" w14:textId="77777777" w:rsidR="00382AB2" w:rsidRPr="00143F3B" w:rsidRDefault="00382AB2" w:rsidP="00382AB2">
      <w:pPr>
        <w:pStyle w:val="ListParagraph"/>
        <w:ind w:firstLine="0"/>
        <w:rPr>
          <w:rFonts w:asciiTheme="majorBidi" w:hAnsiTheme="majorBidi" w:cstheme="majorBidi"/>
          <w:b/>
          <w:bCs/>
          <w:sz w:val="20"/>
          <w:szCs w:val="20"/>
        </w:rPr>
      </w:pPr>
    </w:p>
    <w:p w14:paraId="3CAE875C" w14:textId="77777777" w:rsidR="00AB0C89" w:rsidRPr="00143F3B" w:rsidRDefault="00AB0C89" w:rsidP="00C85568">
      <w:pPr>
        <w:ind w:left="0" w:firstLine="0"/>
        <w:rPr>
          <w:rFonts w:asciiTheme="majorBidi" w:hAnsiTheme="majorBidi" w:cstheme="majorBidi"/>
          <w:b/>
          <w:bCs/>
          <w:sz w:val="20"/>
          <w:szCs w:val="20"/>
        </w:rPr>
      </w:pPr>
    </w:p>
    <w:p w14:paraId="0053E11E" w14:textId="517AF247" w:rsidR="000C02EE" w:rsidRPr="00143F3B" w:rsidRDefault="00AB0C89" w:rsidP="00AE7906">
      <w:pPr>
        <w:pStyle w:val="ListParagraph"/>
        <w:numPr>
          <w:ilvl w:val="0"/>
          <w:numId w:val="16"/>
        </w:numPr>
        <w:ind w:left="284" w:hanging="284"/>
        <w:rPr>
          <w:rFonts w:asciiTheme="majorBidi" w:hAnsiTheme="majorBidi" w:cstheme="majorBidi"/>
          <w:b/>
          <w:bCs/>
          <w:sz w:val="20"/>
          <w:szCs w:val="20"/>
        </w:rPr>
      </w:pPr>
      <w:r w:rsidRPr="00143F3B">
        <w:rPr>
          <w:rFonts w:asciiTheme="majorBidi" w:hAnsiTheme="majorBidi" w:cstheme="majorBidi"/>
          <w:b/>
          <w:bCs/>
          <w:sz w:val="20"/>
          <w:szCs w:val="20"/>
        </w:rPr>
        <w:t>What is the bone infection?</w:t>
      </w:r>
    </w:p>
    <w:p w14:paraId="6112A939" w14:textId="77777777" w:rsidR="00831FA2" w:rsidRPr="00143F3B" w:rsidRDefault="00831FA2" w:rsidP="00831FA2">
      <w:pPr>
        <w:pStyle w:val="ListParagraph"/>
        <w:ind w:firstLine="0"/>
        <w:rPr>
          <w:rFonts w:asciiTheme="majorBidi" w:hAnsiTheme="majorBidi" w:cstheme="majorBidi"/>
          <w:b/>
          <w:bCs/>
          <w:sz w:val="20"/>
          <w:szCs w:val="20"/>
        </w:rPr>
      </w:pPr>
    </w:p>
    <w:p w14:paraId="36473115" w14:textId="0EFBFF79" w:rsidR="00DF0824" w:rsidRPr="00143F3B" w:rsidRDefault="00D14A0B" w:rsidP="00293645">
      <w:pPr>
        <w:ind w:left="0"/>
        <w:rPr>
          <w:rFonts w:asciiTheme="majorBidi" w:hAnsiTheme="majorBidi" w:cstheme="majorBidi"/>
          <w:sz w:val="20"/>
          <w:szCs w:val="20"/>
        </w:rPr>
      </w:pPr>
      <w:r w:rsidRPr="00143F3B">
        <w:rPr>
          <w:rFonts w:asciiTheme="majorBidi" w:hAnsiTheme="majorBidi" w:cstheme="majorBidi"/>
          <w:sz w:val="20"/>
          <w:szCs w:val="20"/>
        </w:rPr>
        <w:t xml:space="preserve">Bone infection </w:t>
      </w:r>
      <w:r w:rsidR="00F36125" w:rsidRPr="00143F3B">
        <w:rPr>
          <w:rFonts w:asciiTheme="majorBidi" w:hAnsiTheme="majorBidi" w:cstheme="majorBidi"/>
          <w:sz w:val="20"/>
          <w:szCs w:val="20"/>
        </w:rPr>
        <w:t xml:space="preserve">is one of the </w:t>
      </w:r>
      <w:r w:rsidR="0087742F" w:rsidRPr="00143F3B">
        <w:rPr>
          <w:rFonts w:asciiTheme="majorBidi" w:hAnsiTheme="majorBidi" w:cstheme="majorBidi"/>
          <w:sz w:val="20"/>
          <w:szCs w:val="20"/>
        </w:rPr>
        <w:t xml:space="preserve">most </w:t>
      </w:r>
      <w:r w:rsidR="00686ED3" w:rsidRPr="00143F3B">
        <w:rPr>
          <w:rFonts w:asciiTheme="majorBidi" w:hAnsiTheme="majorBidi" w:cstheme="majorBidi"/>
          <w:sz w:val="20"/>
          <w:szCs w:val="20"/>
        </w:rPr>
        <w:t>serious</w:t>
      </w:r>
      <w:r w:rsidR="0087742F" w:rsidRPr="00143F3B">
        <w:rPr>
          <w:rFonts w:asciiTheme="majorBidi" w:hAnsiTheme="majorBidi" w:cstheme="majorBidi"/>
          <w:sz w:val="20"/>
          <w:szCs w:val="20"/>
        </w:rPr>
        <w:t xml:space="preserve"> complaints among all ages of patients. </w:t>
      </w:r>
      <w:r w:rsidR="00A867FE" w:rsidRPr="00143F3B">
        <w:rPr>
          <w:rFonts w:asciiTheme="majorBidi" w:hAnsiTheme="majorBidi" w:cstheme="majorBidi"/>
          <w:sz w:val="20"/>
          <w:szCs w:val="20"/>
        </w:rPr>
        <w:t xml:space="preserve">It has a wide range of signs and symptoms based on the type, site and </w:t>
      </w:r>
      <w:r w:rsidR="00695455" w:rsidRPr="00143F3B">
        <w:rPr>
          <w:rFonts w:asciiTheme="majorBidi" w:hAnsiTheme="majorBidi" w:cstheme="majorBidi"/>
          <w:sz w:val="20"/>
          <w:szCs w:val="20"/>
        </w:rPr>
        <w:t>complications caused by this infection.</w:t>
      </w:r>
      <w:r w:rsidR="00FB01CE" w:rsidRPr="00143F3B">
        <w:rPr>
          <w:rFonts w:asciiTheme="majorBidi" w:hAnsiTheme="majorBidi" w:cstheme="majorBidi"/>
          <w:sz w:val="20"/>
          <w:szCs w:val="20"/>
        </w:rPr>
        <w:t xml:space="preserve"> </w:t>
      </w:r>
      <w:r w:rsidR="00695455" w:rsidRPr="00143F3B">
        <w:rPr>
          <w:rFonts w:asciiTheme="majorBidi" w:hAnsiTheme="majorBidi" w:cstheme="majorBidi"/>
          <w:sz w:val="20"/>
          <w:szCs w:val="20"/>
        </w:rPr>
        <w:t xml:space="preserve">Serious morbidities </w:t>
      </w:r>
      <w:r w:rsidR="00DF0824" w:rsidRPr="00143F3B">
        <w:rPr>
          <w:rFonts w:asciiTheme="majorBidi" w:hAnsiTheme="majorBidi" w:cstheme="majorBidi"/>
          <w:sz w:val="20"/>
          <w:szCs w:val="20"/>
        </w:rPr>
        <w:t>and</w:t>
      </w:r>
      <w:r w:rsidR="00695455" w:rsidRPr="00143F3B">
        <w:rPr>
          <w:rFonts w:asciiTheme="majorBidi" w:hAnsiTheme="majorBidi" w:cstheme="majorBidi"/>
          <w:sz w:val="20"/>
          <w:szCs w:val="20"/>
        </w:rPr>
        <w:t xml:space="preserve"> mortalities can be caused by bone infections especially that it has management challenges starting from </w:t>
      </w:r>
      <w:r w:rsidR="00B315BD" w:rsidRPr="00143F3B">
        <w:rPr>
          <w:rFonts w:asciiTheme="majorBidi" w:hAnsiTheme="majorBidi" w:cstheme="majorBidi"/>
          <w:sz w:val="20"/>
          <w:szCs w:val="20"/>
        </w:rPr>
        <w:t xml:space="preserve">the need for </w:t>
      </w:r>
      <w:r w:rsidR="00695455" w:rsidRPr="00143F3B">
        <w:rPr>
          <w:rFonts w:asciiTheme="majorBidi" w:hAnsiTheme="majorBidi" w:cstheme="majorBidi"/>
          <w:sz w:val="20"/>
          <w:szCs w:val="20"/>
        </w:rPr>
        <w:t xml:space="preserve">proper diagnosis </w:t>
      </w:r>
      <w:r w:rsidR="00B315BD" w:rsidRPr="00143F3B">
        <w:rPr>
          <w:rFonts w:asciiTheme="majorBidi" w:hAnsiTheme="majorBidi" w:cstheme="majorBidi"/>
          <w:sz w:val="20"/>
          <w:szCs w:val="20"/>
        </w:rPr>
        <w:t>passing through surgical and medical management of this infection.</w:t>
      </w:r>
      <w:r w:rsidR="00293645" w:rsidRPr="00143F3B">
        <w:rPr>
          <w:rFonts w:asciiTheme="majorBidi" w:hAnsiTheme="majorBidi" w:cstheme="majorBidi"/>
          <w:sz w:val="20"/>
          <w:szCs w:val="20"/>
        </w:rPr>
        <w:t xml:space="preserve"> </w:t>
      </w:r>
      <w:r w:rsidR="00DF0824" w:rsidRPr="00143F3B">
        <w:rPr>
          <w:rFonts w:asciiTheme="majorBidi" w:hAnsiTheme="majorBidi" w:cstheme="majorBidi"/>
          <w:sz w:val="20"/>
          <w:szCs w:val="20"/>
        </w:rPr>
        <w:t xml:space="preserve">Bone infection </w:t>
      </w:r>
      <w:r w:rsidR="004D1BDF" w:rsidRPr="00143F3B">
        <w:rPr>
          <w:rFonts w:asciiTheme="majorBidi" w:hAnsiTheme="majorBidi" w:cstheme="majorBidi"/>
          <w:sz w:val="20"/>
          <w:szCs w:val="20"/>
        </w:rPr>
        <w:t xml:space="preserve">might be native or </w:t>
      </w:r>
      <w:r w:rsidR="00472948" w:rsidRPr="00143F3B">
        <w:rPr>
          <w:rFonts w:asciiTheme="majorBidi" w:hAnsiTheme="majorBidi" w:cstheme="majorBidi"/>
          <w:sz w:val="20"/>
          <w:szCs w:val="20"/>
        </w:rPr>
        <w:t>caused by external factors such as</w:t>
      </w:r>
      <w:r w:rsidR="004D1BDF" w:rsidRPr="00143F3B">
        <w:rPr>
          <w:rFonts w:asciiTheme="majorBidi" w:hAnsiTheme="majorBidi" w:cstheme="majorBidi"/>
          <w:sz w:val="20"/>
          <w:szCs w:val="20"/>
        </w:rPr>
        <w:t xml:space="preserve"> trauma</w:t>
      </w:r>
      <w:r w:rsidR="00683ECD" w:rsidRPr="00143F3B">
        <w:rPr>
          <w:rFonts w:asciiTheme="majorBidi" w:hAnsiTheme="majorBidi" w:cstheme="majorBidi"/>
          <w:sz w:val="20"/>
          <w:szCs w:val="20"/>
        </w:rPr>
        <w:t xml:space="preserve">, or surgical intervention. </w:t>
      </w:r>
      <w:r w:rsidR="00AF798C" w:rsidRPr="00143F3B">
        <w:rPr>
          <w:rFonts w:asciiTheme="majorBidi" w:hAnsiTheme="majorBidi" w:cstheme="majorBidi"/>
          <w:sz w:val="20"/>
          <w:szCs w:val="20"/>
        </w:rPr>
        <w:t xml:space="preserve">Different clinical forms of bone infection include </w:t>
      </w:r>
      <w:r w:rsidR="004D1BDF" w:rsidRPr="00143F3B">
        <w:rPr>
          <w:rFonts w:asciiTheme="majorBidi" w:hAnsiTheme="majorBidi" w:cstheme="majorBidi"/>
          <w:sz w:val="20"/>
          <w:szCs w:val="20"/>
        </w:rPr>
        <w:t xml:space="preserve">septic arthritis, osteomyelitis, </w:t>
      </w:r>
      <w:r w:rsidR="00736FC1" w:rsidRPr="00143F3B">
        <w:rPr>
          <w:rFonts w:asciiTheme="majorBidi" w:hAnsiTheme="majorBidi" w:cstheme="majorBidi"/>
          <w:sz w:val="20"/>
          <w:szCs w:val="20"/>
        </w:rPr>
        <w:t>spinal infections, diabetic foot infection, fracture related infection, and implant related infections.</w:t>
      </w:r>
    </w:p>
    <w:p w14:paraId="0873F074" w14:textId="6AD2BAC2" w:rsidR="00B6311A" w:rsidRPr="00143F3B" w:rsidRDefault="008127FD" w:rsidP="00293645">
      <w:pPr>
        <w:ind w:left="0"/>
        <w:rPr>
          <w:rFonts w:asciiTheme="majorBidi" w:hAnsiTheme="majorBidi" w:cstheme="majorBidi"/>
          <w:sz w:val="20"/>
          <w:szCs w:val="20"/>
        </w:rPr>
      </w:pPr>
      <w:r w:rsidRPr="00143F3B">
        <w:rPr>
          <w:rFonts w:asciiTheme="majorBidi" w:hAnsiTheme="majorBidi" w:cstheme="majorBidi"/>
          <w:sz w:val="20"/>
          <w:szCs w:val="20"/>
        </w:rPr>
        <w:t xml:space="preserve">A very big challenge in management of </w:t>
      </w:r>
      <w:r w:rsidR="00002654" w:rsidRPr="00143F3B">
        <w:rPr>
          <w:rFonts w:asciiTheme="majorBidi" w:hAnsiTheme="majorBidi" w:cstheme="majorBidi"/>
          <w:sz w:val="20"/>
          <w:szCs w:val="20"/>
        </w:rPr>
        <w:t>c</w:t>
      </w:r>
      <w:r w:rsidR="00F937C7" w:rsidRPr="00143F3B">
        <w:rPr>
          <w:rFonts w:asciiTheme="majorBidi" w:hAnsiTheme="majorBidi" w:cstheme="majorBidi"/>
          <w:sz w:val="20"/>
          <w:szCs w:val="20"/>
        </w:rPr>
        <w:t>hronic</w:t>
      </w:r>
      <w:r w:rsidR="003D44FD" w:rsidRPr="00143F3B">
        <w:rPr>
          <w:rFonts w:asciiTheme="majorBidi" w:hAnsiTheme="majorBidi" w:cstheme="majorBidi"/>
          <w:sz w:val="20"/>
          <w:szCs w:val="20"/>
        </w:rPr>
        <w:t xml:space="preserve"> bone infection</w:t>
      </w:r>
      <w:r w:rsidR="00002654" w:rsidRPr="00143F3B">
        <w:rPr>
          <w:rFonts w:asciiTheme="majorBidi" w:hAnsiTheme="majorBidi" w:cstheme="majorBidi"/>
          <w:sz w:val="20"/>
          <w:szCs w:val="20"/>
        </w:rPr>
        <w:t xml:space="preserve">, is the </w:t>
      </w:r>
      <w:r w:rsidR="00F937C7" w:rsidRPr="00143F3B">
        <w:rPr>
          <w:rFonts w:asciiTheme="majorBidi" w:hAnsiTheme="majorBidi" w:cstheme="majorBidi"/>
          <w:sz w:val="20"/>
          <w:szCs w:val="20"/>
        </w:rPr>
        <w:t>evolve</w:t>
      </w:r>
      <w:r w:rsidR="00002654" w:rsidRPr="00143F3B">
        <w:rPr>
          <w:rFonts w:asciiTheme="majorBidi" w:hAnsiTheme="majorBidi" w:cstheme="majorBidi"/>
          <w:sz w:val="20"/>
          <w:szCs w:val="20"/>
        </w:rPr>
        <w:t xml:space="preserve">ment and </w:t>
      </w:r>
      <w:r w:rsidR="00685D59" w:rsidRPr="00143F3B">
        <w:rPr>
          <w:rFonts w:asciiTheme="majorBidi" w:hAnsiTheme="majorBidi" w:cstheme="majorBidi"/>
          <w:sz w:val="20"/>
          <w:szCs w:val="20"/>
        </w:rPr>
        <w:t>rever</w:t>
      </w:r>
      <w:r w:rsidR="00002654" w:rsidRPr="00143F3B">
        <w:rPr>
          <w:rFonts w:asciiTheme="majorBidi" w:hAnsiTheme="majorBidi" w:cstheme="majorBidi"/>
          <w:sz w:val="20"/>
          <w:szCs w:val="20"/>
        </w:rPr>
        <w:t xml:space="preserve">sion </w:t>
      </w:r>
      <w:r w:rsidR="00FF450B" w:rsidRPr="00143F3B">
        <w:rPr>
          <w:rFonts w:asciiTheme="majorBidi" w:hAnsiTheme="majorBidi" w:cstheme="majorBidi"/>
          <w:sz w:val="20"/>
          <w:szCs w:val="20"/>
        </w:rPr>
        <w:t xml:space="preserve">of infection </w:t>
      </w:r>
      <w:r w:rsidR="00685D59" w:rsidRPr="00143F3B">
        <w:rPr>
          <w:rFonts w:asciiTheme="majorBidi" w:hAnsiTheme="majorBidi" w:cstheme="majorBidi"/>
          <w:sz w:val="20"/>
          <w:szCs w:val="20"/>
        </w:rPr>
        <w:t xml:space="preserve">due to </w:t>
      </w:r>
      <w:r w:rsidR="00B72007" w:rsidRPr="00143F3B">
        <w:rPr>
          <w:rFonts w:asciiTheme="majorBidi" w:hAnsiTheme="majorBidi" w:cstheme="majorBidi"/>
          <w:sz w:val="20"/>
          <w:szCs w:val="20"/>
        </w:rPr>
        <w:t xml:space="preserve">the ability of bacteria to persist like </w:t>
      </w:r>
      <w:r w:rsidR="007B03AB" w:rsidRPr="00143F3B">
        <w:rPr>
          <w:rFonts w:asciiTheme="majorBidi" w:hAnsiTheme="majorBidi" w:cstheme="majorBidi"/>
          <w:sz w:val="20"/>
          <w:szCs w:val="20"/>
        </w:rPr>
        <w:t xml:space="preserve">in </w:t>
      </w:r>
      <w:r w:rsidR="00B72007" w:rsidRPr="00143F3B">
        <w:rPr>
          <w:rFonts w:asciiTheme="majorBidi" w:hAnsiTheme="majorBidi" w:cstheme="majorBidi"/>
          <w:i/>
          <w:iCs/>
          <w:sz w:val="20"/>
          <w:szCs w:val="20"/>
        </w:rPr>
        <w:t>Staphylococcus aureus</w:t>
      </w:r>
      <w:r w:rsidR="00207A81" w:rsidRPr="00143F3B">
        <w:rPr>
          <w:rFonts w:asciiTheme="majorBidi" w:hAnsiTheme="majorBidi" w:cstheme="majorBidi"/>
          <w:i/>
          <w:iCs/>
          <w:sz w:val="20"/>
          <w:szCs w:val="20"/>
        </w:rPr>
        <w:t xml:space="preserve"> </w:t>
      </w:r>
      <w:r w:rsidR="00207A81" w:rsidRPr="00143F3B">
        <w:rPr>
          <w:rFonts w:asciiTheme="majorBidi" w:hAnsiTheme="majorBidi" w:cstheme="majorBidi"/>
          <w:sz w:val="20"/>
          <w:szCs w:val="20"/>
        </w:rPr>
        <w:t>which endures through</w:t>
      </w:r>
      <w:r w:rsidR="00FF450B" w:rsidRPr="00143F3B">
        <w:rPr>
          <w:rFonts w:asciiTheme="majorBidi" w:hAnsiTheme="majorBidi" w:cstheme="majorBidi"/>
          <w:sz w:val="20"/>
          <w:szCs w:val="20"/>
        </w:rPr>
        <w:t xml:space="preserve"> several mechanisms such as</w:t>
      </w:r>
      <w:r w:rsidR="00207A81" w:rsidRPr="00143F3B">
        <w:rPr>
          <w:rFonts w:asciiTheme="majorBidi" w:hAnsiTheme="majorBidi" w:cstheme="majorBidi"/>
          <w:sz w:val="20"/>
          <w:szCs w:val="20"/>
        </w:rPr>
        <w:t xml:space="preserve"> small colony variants</w:t>
      </w:r>
      <w:r w:rsidR="0093452F" w:rsidRPr="00143F3B">
        <w:rPr>
          <w:rFonts w:asciiTheme="majorBidi" w:hAnsiTheme="majorBidi" w:cstheme="majorBidi"/>
          <w:sz w:val="20"/>
          <w:szCs w:val="20"/>
        </w:rPr>
        <w:t xml:space="preserve">, intracellular survival, biofilm formation, invasion of lacunocanalicular network of the </w:t>
      </w:r>
      <w:r w:rsidR="008C6EA2" w:rsidRPr="00143F3B">
        <w:rPr>
          <w:rFonts w:asciiTheme="majorBidi" w:hAnsiTheme="majorBidi" w:cstheme="majorBidi"/>
          <w:sz w:val="20"/>
          <w:szCs w:val="20"/>
        </w:rPr>
        <w:t>bone osteocytes</w:t>
      </w:r>
      <w:r w:rsidR="0093452F" w:rsidRPr="00143F3B">
        <w:rPr>
          <w:rFonts w:asciiTheme="majorBidi" w:hAnsiTheme="majorBidi" w:cstheme="majorBidi"/>
          <w:sz w:val="20"/>
          <w:szCs w:val="20"/>
        </w:rPr>
        <w:t xml:space="preserve">, </w:t>
      </w:r>
      <w:r w:rsidR="00AB05ED" w:rsidRPr="00143F3B">
        <w:rPr>
          <w:rFonts w:asciiTheme="majorBidi" w:hAnsiTheme="majorBidi" w:cstheme="majorBidi"/>
          <w:sz w:val="20"/>
          <w:szCs w:val="20"/>
        </w:rPr>
        <w:t xml:space="preserve">in addition to </w:t>
      </w:r>
      <w:r w:rsidR="008C6EA2" w:rsidRPr="00143F3B">
        <w:rPr>
          <w:rFonts w:asciiTheme="majorBidi" w:hAnsiTheme="majorBidi" w:cstheme="majorBidi"/>
          <w:sz w:val="20"/>
          <w:szCs w:val="20"/>
        </w:rPr>
        <w:t xml:space="preserve">collection and </w:t>
      </w:r>
      <w:r w:rsidR="00AB05ED" w:rsidRPr="00143F3B">
        <w:rPr>
          <w:rFonts w:asciiTheme="majorBidi" w:hAnsiTheme="majorBidi" w:cstheme="majorBidi"/>
          <w:sz w:val="20"/>
          <w:szCs w:val="20"/>
        </w:rPr>
        <w:t>abscess formation</w:t>
      </w:r>
      <w:r w:rsidR="00820B9B" w:rsidRPr="00143F3B">
        <w:rPr>
          <w:rFonts w:asciiTheme="majorBidi" w:hAnsiTheme="majorBidi" w:cstheme="majorBidi"/>
          <w:sz w:val="20"/>
          <w:szCs w:val="20"/>
        </w:rPr>
        <w:t>.</w:t>
      </w:r>
      <w:r w:rsidR="00115165" w:rsidRPr="00143F3B">
        <w:rPr>
          <w:rFonts w:asciiTheme="majorBidi" w:hAnsiTheme="majorBidi" w:cstheme="majorBidi"/>
          <w:sz w:val="20"/>
          <w:szCs w:val="20"/>
        </w:rPr>
        <w:t xml:space="preserve"> </w:t>
      </w:r>
      <w:r w:rsidR="00115165" w:rsidRPr="00143F3B">
        <w:rPr>
          <w:rFonts w:asciiTheme="majorBidi" w:hAnsiTheme="majorBidi" w:cstheme="majorBidi"/>
          <w:sz w:val="20"/>
          <w:szCs w:val="20"/>
        </w:rPr>
        <w:fldChar w:fldCharType="begin"/>
      </w:r>
      <w:r w:rsidR="00115165" w:rsidRPr="00143F3B">
        <w:rPr>
          <w:rFonts w:asciiTheme="majorBidi" w:hAnsiTheme="majorBidi" w:cstheme="majorBidi"/>
          <w:sz w:val="20"/>
          <w:szCs w:val="20"/>
        </w:rPr>
        <w:instrText xml:space="preserve"> ADDIN ZOTERO_ITEM CSL_CITATION {"citationID":"sFRPUwoW","properties":{"formattedCitation":"(1)","plainCitation":"(1)","noteIndex":0},"citationItems":[{"id":2215,"uris":["http://zotero.org/users/local/5UWbIU8o/items/H8RN6QNU"],"itemData":{"id":2215,"type":"article-journal","abstract":"Osteomyelitis remains one of the greatest risks in orthopaedic surgery. Although many organisms are linked to skeletal infections, Staphylococcus aureus remains the most prevalent and devastating causative pathogen. Important discoveries have uncovered novel mechanisms of S. aureus pathogenesis and persistence within bone tissue, including implant-associated biofilms, abscesses and invasion of the osteocyte lacuno-canalicular network. However, little clinical progress has been made in the prevention and eradication of skeletal infection as treatment algorithms and outcomes have only incrementally changed over the past half century. In this Review, we discuss the mechanisms of persistence and immune evasion in S. aureus infection of the skeletal system as well as features of other osteomyelitis-causing pathogens in implant-associated and native bone infections. We also describe how the host fails to eradicate bacterial bone infections, and how this new information may lead to the development of novel interventions. Finally, we discuss the clinical management of skeletal infection, including osteomyelitis classification and strategies to treat skeletal infections with emerging technologies that could translate to the clinic in the future.","container-title":"Nature Reviews. Microbiology","DOI":"10.1038/s41579-022-00686-0","ISSN":"1740-1534","issue":"7","journalAbbreviation":"Nat Rev Microbiol","language":"eng","note":"PMID: 35169289\nPMCID: PMC8852989","page":"385-400","source":"PubMed","title":"Skeletal infections: microbial pathogenesis, immunity and clinical management","title-short":"Skeletal infections","volume":"20","author":[{"family":"Masters","given":"Elysia A."},{"family":"Ricciardi","given":"Benjamin F."},{"family":"Bentley","given":"Karen L. de Mesy"},{"family":"Moriarty","given":"T. Fintan"},{"family":"Schwarz","given":"Edward M."},{"family":"Muthukrishnan","given":"Gowrishankar"}],"issued":{"date-parts":[["2022",7]]}}}],"schema":"https://github.com/citation-style-language/schema/raw/master/csl-citation.json"} </w:instrText>
      </w:r>
      <w:r w:rsidR="00115165" w:rsidRPr="00143F3B">
        <w:rPr>
          <w:rFonts w:asciiTheme="majorBidi" w:hAnsiTheme="majorBidi" w:cstheme="majorBidi"/>
          <w:sz w:val="20"/>
          <w:szCs w:val="20"/>
        </w:rPr>
        <w:fldChar w:fldCharType="separate"/>
      </w:r>
      <w:r w:rsidR="00115165" w:rsidRPr="00143F3B">
        <w:rPr>
          <w:rFonts w:asciiTheme="majorBidi" w:hAnsiTheme="majorBidi" w:cstheme="majorBidi"/>
          <w:sz w:val="20"/>
          <w:szCs w:val="20"/>
        </w:rPr>
        <w:t>(1)</w:t>
      </w:r>
      <w:r w:rsidR="00115165" w:rsidRPr="00143F3B">
        <w:rPr>
          <w:rFonts w:asciiTheme="majorBidi" w:hAnsiTheme="majorBidi" w:cstheme="majorBidi"/>
          <w:sz w:val="20"/>
          <w:szCs w:val="20"/>
        </w:rPr>
        <w:fldChar w:fldCharType="end"/>
      </w:r>
      <w:r w:rsidR="00293645" w:rsidRPr="00143F3B">
        <w:rPr>
          <w:rFonts w:asciiTheme="majorBidi" w:hAnsiTheme="majorBidi" w:cstheme="majorBidi"/>
          <w:sz w:val="20"/>
          <w:szCs w:val="20"/>
        </w:rPr>
        <w:t xml:space="preserve"> </w:t>
      </w:r>
      <w:r w:rsidR="00810522" w:rsidRPr="00143F3B">
        <w:rPr>
          <w:rFonts w:asciiTheme="majorBidi" w:hAnsiTheme="majorBidi" w:cstheme="majorBidi"/>
          <w:sz w:val="20"/>
          <w:szCs w:val="20"/>
        </w:rPr>
        <w:t xml:space="preserve">Many factors have been contributing to the </w:t>
      </w:r>
      <w:r w:rsidR="007911F8" w:rsidRPr="00143F3B">
        <w:rPr>
          <w:rFonts w:asciiTheme="majorBidi" w:hAnsiTheme="majorBidi" w:cstheme="majorBidi"/>
          <w:sz w:val="20"/>
          <w:szCs w:val="20"/>
        </w:rPr>
        <w:t xml:space="preserve">deep understanding of the </w:t>
      </w:r>
      <w:r w:rsidR="00587E7B" w:rsidRPr="00143F3B">
        <w:rPr>
          <w:rFonts w:asciiTheme="majorBidi" w:hAnsiTheme="majorBidi" w:cstheme="majorBidi"/>
          <w:sz w:val="20"/>
          <w:szCs w:val="20"/>
        </w:rPr>
        <w:t>of</w:t>
      </w:r>
      <w:r w:rsidR="007911F8" w:rsidRPr="00143F3B">
        <w:rPr>
          <w:rFonts w:asciiTheme="majorBidi" w:hAnsiTheme="majorBidi" w:cstheme="majorBidi"/>
          <w:sz w:val="20"/>
          <w:szCs w:val="20"/>
        </w:rPr>
        <w:t xml:space="preserve"> the</w:t>
      </w:r>
      <w:r w:rsidR="00587E7B" w:rsidRPr="00143F3B">
        <w:rPr>
          <w:rFonts w:asciiTheme="majorBidi" w:hAnsiTheme="majorBidi" w:cstheme="majorBidi"/>
          <w:sz w:val="20"/>
          <w:szCs w:val="20"/>
        </w:rPr>
        <w:t xml:space="preserve"> Microbiology </w:t>
      </w:r>
      <w:r w:rsidR="007911F8" w:rsidRPr="00143F3B">
        <w:rPr>
          <w:rFonts w:asciiTheme="majorBidi" w:hAnsiTheme="majorBidi" w:cstheme="majorBidi"/>
          <w:sz w:val="20"/>
          <w:szCs w:val="20"/>
        </w:rPr>
        <w:t>of bone infection, these factors include</w:t>
      </w:r>
      <w:r w:rsidR="00E0382B" w:rsidRPr="00143F3B">
        <w:rPr>
          <w:rFonts w:asciiTheme="majorBidi" w:hAnsiTheme="majorBidi" w:cstheme="majorBidi"/>
          <w:sz w:val="20"/>
          <w:szCs w:val="20"/>
        </w:rPr>
        <w:t xml:space="preserve"> </w:t>
      </w:r>
      <w:r w:rsidR="009A5128" w:rsidRPr="00143F3B">
        <w:rPr>
          <w:rFonts w:asciiTheme="majorBidi" w:hAnsiTheme="majorBidi" w:cstheme="majorBidi"/>
          <w:sz w:val="20"/>
          <w:szCs w:val="20"/>
        </w:rPr>
        <w:t>the evolution in Microbiology diagnostics,</w:t>
      </w:r>
      <w:r w:rsidR="00562B29" w:rsidRPr="00143F3B">
        <w:rPr>
          <w:rFonts w:asciiTheme="majorBidi" w:hAnsiTheme="majorBidi" w:cstheme="majorBidi"/>
          <w:sz w:val="20"/>
          <w:szCs w:val="20"/>
        </w:rPr>
        <w:t xml:space="preserve"> especially the molecular techniques</w:t>
      </w:r>
      <w:r w:rsidR="005C619B" w:rsidRPr="00143F3B">
        <w:rPr>
          <w:rFonts w:asciiTheme="majorBidi" w:hAnsiTheme="majorBidi" w:cstheme="majorBidi"/>
          <w:sz w:val="20"/>
          <w:szCs w:val="20"/>
        </w:rPr>
        <w:t>. It</w:t>
      </w:r>
      <w:r w:rsidR="00562B29" w:rsidRPr="00143F3B">
        <w:rPr>
          <w:rFonts w:asciiTheme="majorBidi" w:hAnsiTheme="majorBidi" w:cstheme="majorBidi"/>
          <w:sz w:val="20"/>
          <w:szCs w:val="20"/>
        </w:rPr>
        <w:t xml:space="preserve"> </w:t>
      </w:r>
      <w:r w:rsidR="000108A5" w:rsidRPr="00143F3B">
        <w:rPr>
          <w:rFonts w:asciiTheme="majorBidi" w:hAnsiTheme="majorBidi" w:cstheme="majorBidi"/>
          <w:sz w:val="20"/>
          <w:szCs w:val="20"/>
        </w:rPr>
        <w:t>help</w:t>
      </w:r>
      <w:r w:rsidR="005C619B" w:rsidRPr="00143F3B">
        <w:rPr>
          <w:rFonts w:asciiTheme="majorBidi" w:hAnsiTheme="majorBidi" w:cstheme="majorBidi"/>
          <w:sz w:val="20"/>
          <w:szCs w:val="20"/>
        </w:rPr>
        <w:t>s</w:t>
      </w:r>
      <w:r w:rsidR="000108A5" w:rsidRPr="00143F3B">
        <w:rPr>
          <w:rFonts w:asciiTheme="majorBidi" w:hAnsiTheme="majorBidi" w:cstheme="majorBidi"/>
          <w:sz w:val="20"/>
          <w:szCs w:val="20"/>
        </w:rPr>
        <w:t xml:space="preserve"> in identifying </w:t>
      </w:r>
      <w:r w:rsidR="000F167B" w:rsidRPr="00143F3B">
        <w:rPr>
          <w:rFonts w:asciiTheme="majorBidi" w:hAnsiTheme="majorBidi" w:cstheme="majorBidi"/>
          <w:sz w:val="20"/>
          <w:szCs w:val="20"/>
        </w:rPr>
        <w:t xml:space="preserve">organisms that might be </w:t>
      </w:r>
      <w:r w:rsidR="00D439E8" w:rsidRPr="00143F3B">
        <w:rPr>
          <w:rFonts w:asciiTheme="majorBidi" w:hAnsiTheme="majorBidi" w:cstheme="majorBidi"/>
          <w:sz w:val="20"/>
          <w:szCs w:val="20"/>
        </w:rPr>
        <w:t xml:space="preserve">hard to be isolated through conventional methodologies, in addition to detection of wide range of genes that stand behind antibiotic resistance which also plays a role in improving the management of </w:t>
      </w:r>
      <w:r w:rsidR="005C619B" w:rsidRPr="00143F3B">
        <w:rPr>
          <w:rFonts w:asciiTheme="majorBidi" w:hAnsiTheme="majorBidi" w:cstheme="majorBidi"/>
          <w:sz w:val="20"/>
          <w:szCs w:val="20"/>
        </w:rPr>
        <w:t>infections.</w:t>
      </w:r>
      <w:r w:rsidR="00820B9B" w:rsidRPr="00143F3B">
        <w:rPr>
          <w:rFonts w:asciiTheme="majorBidi" w:hAnsiTheme="majorBidi" w:cstheme="majorBidi"/>
          <w:sz w:val="20"/>
          <w:szCs w:val="20"/>
        </w:rPr>
        <w:t xml:space="preserve"> </w:t>
      </w:r>
      <w:r w:rsidR="00664320" w:rsidRPr="00143F3B">
        <w:rPr>
          <w:rFonts w:asciiTheme="majorBidi" w:hAnsiTheme="majorBidi" w:cstheme="majorBidi"/>
          <w:sz w:val="20"/>
          <w:szCs w:val="20"/>
        </w:rPr>
        <w:fldChar w:fldCharType="begin"/>
      </w:r>
      <w:r w:rsidR="00FC7006" w:rsidRPr="00143F3B">
        <w:rPr>
          <w:rFonts w:asciiTheme="majorBidi" w:hAnsiTheme="majorBidi" w:cstheme="majorBidi"/>
          <w:sz w:val="20"/>
          <w:szCs w:val="20"/>
        </w:rPr>
        <w:instrText xml:space="preserve"> ADDIN ZOTERO_ITEM CSL_CITATION {"citationID":"1qxuv6ou","properties":{"formattedCitation":"(2)","plainCitation":"(2)","noteIndex":0},"citationItems":[{"id":2218,"uris":["http://zotero.org/users/local/5UWbIU8o/items/68S3FLR2"],"itemData":{"id":2218,"type":"article-journal","container-title":"Clinical Microbiology and Infection","DOI":"10.1016/j.cmi.2014.09.007","ISSN":"1198-743X","issue":"3","journalAbbreviation":"Clinical Microbiology and Infection","language":"English","note":"publisher: Elsevier\nPMID: 25618436","page":"254.e1-254.e8","source":"www.clinicalmicrobiologyandinfection.com","title":"The changing epidemiology of bacteraemic osteoarticular infections in the early 21st century","URL":"https://www.clinicalmicrobiologyandinfection.com/article/S1198-743X(14)00038-X/fulltext","volume":"21","author":[{"family":"Murillo","given":"O."},{"family":"Grau","given":"I."},{"family":"Lora-Tamayo","given":"J."},{"family":"Gomez-Junyent","given":"J."},{"family":"Ribera","given":"A."},{"family":"Tubau","given":"F."},{"family":"Ariza","given":"J."},{"family":"Pallares","given":"R."}],"accessed":{"date-parts":[["2024",12,21]]},"issued":{"date-parts":[["2015",3,1]]}}}],"schema":"https://github.com/citation-style-language/schema/raw/master/csl-citation.json"} </w:instrText>
      </w:r>
      <w:r w:rsidR="00664320" w:rsidRPr="00143F3B">
        <w:rPr>
          <w:rFonts w:asciiTheme="majorBidi" w:hAnsiTheme="majorBidi" w:cstheme="majorBidi"/>
          <w:sz w:val="20"/>
          <w:szCs w:val="20"/>
        </w:rPr>
        <w:fldChar w:fldCharType="separate"/>
      </w:r>
      <w:r w:rsidR="00664320" w:rsidRPr="00143F3B">
        <w:rPr>
          <w:rFonts w:asciiTheme="majorBidi" w:hAnsiTheme="majorBidi" w:cstheme="majorBidi"/>
          <w:sz w:val="20"/>
          <w:szCs w:val="20"/>
        </w:rPr>
        <w:t>(2)</w:t>
      </w:r>
      <w:r w:rsidR="00664320" w:rsidRPr="00143F3B">
        <w:rPr>
          <w:rFonts w:asciiTheme="majorBidi" w:hAnsiTheme="majorBidi" w:cstheme="majorBidi"/>
          <w:sz w:val="20"/>
          <w:szCs w:val="20"/>
        </w:rPr>
        <w:fldChar w:fldCharType="end"/>
      </w:r>
    </w:p>
    <w:p w14:paraId="3150196C" w14:textId="0782CEA7" w:rsidR="00C965DC" w:rsidRPr="00143F3B" w:rsidRDefault="007514F9" w:rsidP="00382AB2">
      <w:pPr>
        <w:ind w:left="0"/>
        <w:rPr>
          <w:rFonts w:asciiTheme="majorBidi" w:hAnsiTheme="majorBidi" w:cstheme="majorBidi"/>
          <w:sz w:val="20"/>
          <w:szCs w:val="20"/>
        </w:rPr>
      </w:pPr>
      <w:r w:rsidRPr="00143F3B">
        <w:rPr>
          <w:rFonts w:asciiTheme="majorBidi" w:hAnsiTheme="majorBidi" w:cstheme="majorBidi"/>
          <w:sz w:val="20"/>
          <w:szCs w:val="20"/>
        </w:rPr>
        <w:t>S</w:t>
      </w:r>
      <w:r w:rsidR="004833EA" w:rsidRPr="00143F3B">
        <w:rPr>
          <w:rFonts w:asciiTheme="majorBidi" w:hAnsiTheme="majorBidi" w:cstheme="majorBidi"/>
          <w:sz w:val="20"/>
          <w:szCs w:val="20"/>
        </w:rPr>
        <w:t>eptic arthritis</w:t>
      </w:r>
      <w:r w:rsidR="008C0FF5" w:rsidRPr="00143F3B">
        <w:rPr>
          <w:rFonts w:asciiTheme="majorBidi" w:hAnsiTheme="majorBidi" w:cstheme="majorBidi"/>
          <w:sz w:val="20"/>
          <w:szCs w:val="20"/>
        </w:rPr>
        <w:t xml:space="preserve"> almost affect 4-10</w:t>
      </w:r>
      <w:r w:rsidR="0044523C" w:rsidRPr="00143F3B">
        <w:rPr>
          <w:rFonts w:asciiTheme="majorBidi" w:hAnsiTheme="majorBidi" w:cstheme="majorBidi"/>
          <w:sz w:val="20"/>
          <w:szCs w:val="20"/>
        </w:rPr>
        <w:t>/ 100.000 patients each year, this incidence increase to 30-60</w:t>
      </w:r>
      <w:r w:rsidR="009F3E8E" w:rsidRPr="00143F3B">
        <w:rPr>
          <w:rFonts w:asciiTheme="majorBidi" w:hAnsiTheme="majorBidi" w:cstheme="majorBidi"/>
          <w:sz w:val="20"/>
          <w:szCs w:val="20"/>
        </w:rPr>
        <w:t xml:space="preserve"> individual per 100.000 in patients with underlying joint </w:t>
      </w:r>
      <w:r w:rsidR="00612C78" w:rsidRPr="00143F3B">
        <w:rPr>
          <w:rFonts w:asciiTheme="majorBidi" w:hAnsiTheme="majorBidi" w:cstheme="majorBidi"/>
          <w:sz w:val="20"/>
          <w:szCs w:val="20"/>
        </w:rPr>
        <w:t>diseases</w:t>
      </w:r>
      <w:r w:rsidR="009F3E8E" w:rsidRPr="00143F3B">
        <w:rPr>
          <w:rFonts w:asciiTheme="majorBidi" w:hAnsiTheme="majorBidi" w:cstheme="majorBidi"/>
          <w:sz w:val="20"/>
          <w:szCs w:val="20"/>
        </w:rPr>
        <w:t>.</w:t>
      </w:r>
      <w:r w:rsidR="00612C78" w:rsidRPr="00143F3B">
        <w:rPr>
          <w:rFonts w:asciiTheme="majorBidi" w:hAnsiTheme="majorBidi" w:cstheme="majorBidi"/>
          <w:sz w:val="20"/>
          <w:szCs w:val="20"/>
        </w:rPr>
        <w:t xml:space="preserve"> </w:t>
      </w:r>
      <w:r w:rsidR="00612C78" w:rsidRPr="00143F3B">
        <w:rPr>
          <w:rFonts w:asciiTheme="majorBidi" w:hAnsiTheme="majorBidi" w:cstheme="majorBidi"/>
          <w:sz w:val="20"/>
          <w:szCs w:val="20"/>
        </w:rPr>
        <w:fldChar w:fldCharType="begin"/>
      </w:r>
      <w:r w:rsidR="00612C78" w:rsidRPr="00143F3B">
        <w:rPr>
          <w:rFonts w:asciiTheme="majorBidi" w:hAnsiTheme="majorBidi" w:cstheme="majorBidi"/>
          <w:sz w:val="20"/>
          <w:szCs w:val="20"/>
        </w:rPr>
        <w:instrText xml:space="preserve"> ADDIN ZOTERO_ITEM CSL_CITATION {"citationID":"XWEbdj5t","properties":{"formattedCitation":"(3)","plainCitation":"(3)","noteIndex":0},"citationItems":[{"id":2241,"uris":["http://zotero.org/users/local/5UWbIU8o/items/HWAFVQHB"],"itemData":{"id":2241,"type":"article-journal","abstract":"OBJECTIVES: To assess the impact of increased number of diagnostic and therapeutic joint procedures on the incidence and type of septic arthritis (SA).\nMETHODS: All cases of SA in Iceland from 1990-2002 were identified by thorough review of the available medical information. The results of synovial fluid cultures from every microbiology department in Iceland were checked and positive culture results reviewed, as well as patient charts with a discharge diagnosis of septic arthritis (International Statistical Classification of Diseases and Related Health Problems (ICD) code M009).\nRESULTS: A total of 253 cases of SA (69 children and 184 adults) were diagnosed in Iceland in 1990-2002, giving an average incidence of 7.1 cases/100,000 inhabitants. The incidence of SA increased from 4.2 cases/100,000 in 1990 to 11.0 cases/100,000 in 2002. This rise in SA was primarily observed in adults where the incidence rose by 0.61 cases/100,000 per year (p&lt;0.001). SA was iatrogenic in 41.8% of adults and the number of iatrogenic infections increased from 2.8 cases/year in 1990-1994 to 9.0 cases/year in 1998-2002 (p&lt;0.01). The annual number of arthroscopies increased from 430 in 1990-1994 to 2303 in 1998-2002 (p&lt;0.001) and there was a correlation between the total usage of intra-articular drugs in Iceland and the incidence of SA (p&lt;0.01). The frequency of post-arthroscopy SA was 0.14% and post-arthrocentesis SA 0.037%.\nCONCLUSIONS: The incidence of SA has increased in recent years due to an increased number of arthroscopies and joint injections. Although the frequency of SA per procedure has not changed, these results emphasise the importance of sterile technique and firm indications for joint procedures.","container-title":"Annals of the Rheumatic Diseases","DOI":"10.1136/ard.2007.077131","ISSN":"1468-2060","issue":"5","journalAbbreviation":"Ann Rheum Dis","language":"eng","note":"PMID: 17901088\nPMCID: PMC2563417","page":"638-643","source":"PubMed","title":"Septic arthritis in Iceland 1990-2002: increasing incidence due to iatrogenic infections","title-short":"Septic arthritis in Iceland 1990-2002","volume":"67","author":[{"family":"Geirsson","given":"A. J."},{"family":"Statkevicius","given":"S."},{"family":"Víkingsson","given":"A."}],"issued":{"date-parts":[["2008",5]]}}}],"schema":"https://github.com/citation-style-language/schema/raw/master/csl-citation.json"} </w:instrText>
      </w:r>
      <w:r w:rsidR="00612C78" w:rsidRPr="00143F3B">
        <w:rPr>
          <w:rFonts w:asciiTheme="majorBidi" w:hAnsiTheme="majorBidi" w:cstheme="majorBidi"/>
          <w:sz w:val="20"/>
          <w:szCs w:val="20"/>
        </w:rPr>
        <w:fldChar w:fldCharType="separate"/>
      </w:r>
      <w:r w:rsidR="00612C78" w:rsidRPr="00143F3B">
        <w:rPr>
          <w:rFonts w:asciiTheme="majorBidi" w:hAnsiTheme="majorBidi" w:cstheme="majorBidi"/>
          <w:sz w:val="20"/>
          <w:szCs w:val="20"/>
        </w:rPr>
        <w:t>(3)</w:t>
      </w:r>
      <w:r w:rsidR="00612C78" w:rsidRPr="00143F3B">
        <w:rPr>
          <w:rFonts w:asciiTheme="majorBidi" w:hAnsiTheme="majorBidi" w:cstheme="majorBidi"/>
          <w:sz w:val="20"/>
          <w:szCs w:val="20"/>
        </w:rPr>
        <w:fldChar w:fldCharType="end"/>
      </w:r>
      <w:r w:rsidR="00067418" w:rsidRPr="00143F3B">
        <w:rPr>
          <w:rFonts w:asciiTheme="majorBidi" w:hAnsiTheme="majorBidi" w:cstheme="majorBidi"/>
          <w:sz w:val="20"/>
          <w:szCs w:val="20"/>
        </w:rPr>
        <w:t xml:space="preserve"> </w:t>
      </w:r>
      <w:r w:rsidR="00F10513" w:rsidRPr="00143F3B">
        <w:rPr>
          <w:rFonts w:asciiTheme="majorBidi" w:hAnsiTheme="majorBidi" w:cstheme="majorBidi"/>
          <w:sz w:val="20"/>
          <w:szCs w:val="20"/>
        </w:rPr>
        <w:t>T</w:t>
      </w:r>
      <w:r w:rsidR="00825F81" w:rsidRPr="00143F3B">
        <w:rPr>
          <w:rFonts w:asciiTheme="majorBidi" w:hAnsiTheme="majorBidi" w:cstheme="majorBidi"/>
          <w:sz w:val="20"/>
          <w:szCs w:val="20"/>
        </w:rPr>
        <w:t xml:space="preserve">he average incidence of chronic multifocal osteomyelitis </w:t>
      </w:r>
      <w:r w:rsidR="001D1408" w:rsidRPr="00143F3B">
        <w:rPr>
          <w:rFonts w:asciiTheme="majorBidi" w:hAnsiTheme="majorBidi" w:cstheme="majorBidi"/>
          <w:sz w:val="20"/>
          <w:szCs w:val="20"/>
        </w:rPr>
        <w:t>is 0.65/ 100.000 among children and adolescence in the UK and Republic of Ireland</w:t>
      </w:r>
      <w:r w:rsidR="00FC7006" w:rsidRPr="00143F3B">
        <w:rPr>
          <w:rFonts w:asciiTheme="majorBidi" w:hAnsiTheme="majorBidi" w:cstheme="majorBidi"/>
          <w:sz w:val="20"/>
          <w:szCs w:val="20"/>
        </w:rPr>
        <w:t>.</w:t>
      </w:r>
      <w:r w:rsidR="001D1408" w:rsidRPr="00143F3B">
        <w:rPr>
          <w:rFonts w:asciiTheme="majorBidi" w:hAnsiTheme="majorBidi" w:cstheme="majorBidi"/>
          <w:sz w:val="20"/>
          <w:szCs w:val="20"/>
        </w:rPr>
        <w:t xml:space="preserve"> </w:t>
      </w:r>
      <w:r w:rsidR="00FC7006" w:rsidRPr="00143F3B">
        <w:rPr>
          <w:rFonts w:asciiTheme="majorBidi" w:hAnsiTheme="majorBidi" w:cstheme="majorBidi"/>
          <w:sz w:val="20"/>
          <w:szCs w:val="20"/>
        </w:rPr>
        <w:fldChar w:fldCharType="begin"/>
      </w:r>
      <w:r w:rsidR="00FC7006" w:rsidRPr="00143F3B">
        <w:rPr>
          <w:rFonts w:asciiTheme="majorBidi" w:hAnsiTheme="majorBidi" w:cstheme="majorBidi"/>
          <w:sz w:val="20"/>
          <w:szCs w:val="20"/>
        </w:rPr>
        <w:instrText xml:space="preserve"> ADDIN ZOTERO_ITEM CSL_CITATION {"citationID":"UqME4rvS","properties":{"formattedCitation":"(4)","plainCitation":"(4)","noteIndex":0},"citationItems":[{"id":2247,"uris":["http://zotero.org/users/local/5UWbIU8o/items/5VY5A698"],"itemData":{"id":2247,"type":"article-journal","abstract":"Chronic recurrent multifocal osteomyelitis (CRMO), also known as chronic non-bacterial osteomyelitis (CNO), is a rare autoinflammatory condition affecting the bones in children and teenagers. The actual incidence of CRMO remains uncertain. The objective of this study was to identify the incidence of CRMO in children and young people under the age of 16 years in the United Kingdom (UK) and Republic of Ireland (ROI). We also aimed to delineate the demographics, clinical presentation, investigations, initial management and healthcare needs for children and adolescents with CRMO.We conducted monthly surveys among all paediatric consultants and paediatric orthopaedic surgeons to identify patients newly diagnosed with CRMO between October 2020 and November 2022. A standardized questionnaire was sent to reporting clinicians to collect further information.Over the surveillance period, 288 patients were reported, among which, 165 confirmed and 20 probable cases were included in the analysis. The highest incidences were among 8–10 year-olds. A two-to-one female-to-male difference in incidence was observed, and male patients were more likely to present with multifocal disease. A negative correlation was observed between reporting clavicular and leg pain. Investigation-wise, 80.0% of patients were reported to have undergone whole-body MRI and 51.1% had bone biopsies. The most common initial treatments were NSAIDs (93.9%) and bisphosphonates (44.8%).This study estimates an average annual CRMO incidence of 0.65 cases per 100 000 children and adolescents in the UK and ROI. These findings establish a crucial baseline for ongoing research and improvement in the care of individuals with CRMO.","container-title":"Rheumatology","DOI":"10.1093/rheumatology/keae447","ISSN":"1462-0324","journalAbbreviation":"Rheumatology","page":"keae447","source":"Silverchair","title":"Incidence of chronic recurrent multifocal osteomyelitis in children and adolescents in the UK and Republic of Ireland","URL":"https://doi.org/10.1093/rheumatology/keae447","author":[{"family":"Chia","given":"Daphne Theresa"},{"family":"Toms","given":"Andoni Paul"},{"family":"Sanghrajka","given":"Anish"},{"family":"Ramanan","given":"Athimalaipet V"},{"family":"Killeen","given":"Orla G"},{"family":"Ilea","given":"Cristina"},{"family":"Mahmood","given":"Kamran"},{"family":"Compeyrot-Lacassagne","given":"Sandrine"},{"family":"Bailey","given":"Kathryn"},{"family":"Martin","given":"Neil"},{"family":"Armon","given":"Kate"},{"family":"Suo","given":"Chenqu"}],"accessed":{"date-parts":[["2025",1,4]]},"issued":{"date-parts":[["2024",8,21]]}}}],"schema":"https://github.com/citation-style-language/schema/raw/master/csl-citation.json"} </w:instrText>
      </w:r>
      <w:r w:rsidR="00FC7006" w:rsidRPr="00143F3B">
        <w:rPr>
          <w:rFonts w:asciiTheme="majorBidi" w:hAnsiTheme="majorBidi" w:cstheme="majorBidi"/>
          <w:sz w:val="20"/>
          <w:szCs w:val="20"/>
        </w:rPr>
        <w:fldChar w:fldCharType="separate"/>
      </w:r>
      <w:r w:rsidR="00FC7006" w:rsidRPr="00143F3B">
        <w:rPr>
          <w:rFonts w:asciiTheme="majorBidi" w:hAnsiTheme="majorBidi" w:cstheme="majorBidi"/>
          <w:sz w:val="20"/>
          <w:szCs w:val="20"/>
        </w:rPr>
        <w:t>(4)</w:t>
      </w:r>
      <w:r w:rsidR="00FC7006" w:rsidRPr="00143F3B">
        <w:rPr>
          <w:rFonts w:asciiTheme="majorBidi" w:hAnsiTheme="majorBidi" w:cstheme="majorBidi"/>
          <w:sz w:val="20"/>
          <w:szCs w:val="20"/>
        </w:rPr>
        <w:fldChar w:fldCharType="end"/>
      </w:r>
      <w:r w:rsidR="00FC7006" w:rsidRPr="00143F3B">
        <w:rPr>
          <w:rFonts w:asciiTheme="majorBidi" w:hAnsiTheme="majorBidi" w:cstheme="majorBidi"/>
          <w:sz w:val="20"/>
          <w:szCs w:val="20"/>
        </w:rPr>
        <w:t xml:space="preserve"> </w:t>
      </w:r>
      <w:r w:rsidR="00002F6B" w:rsidRPr="00143F3B">
        <w:rPr>
          <w:rFonts w:asciiTheme="majorBidi" w:hAnsiTheme="majorBidi" w:cstheme="majorBidi"/>
          <w:sz w:val="20"/>
          <w:szCs w:val="20"/>
        </w:rPr>
        <w:t xml:space="preserve">Among </w:t>
      </w:r>
      <w:r w:rsidR="00802114" w:rsidRPr="00143F3B">
        <w:rPr>
          <w:rFonts w:asciiTheme="majorBidi" w:hAnsiTheme="majorBidi" w:cstheme="majorBidi"/>
          <w:sz w:val="20"/>
          <w:szCs w:val="20"/>
        </w:rPr>
        <w:t>musculoskeletal</w:t>
      </w:r>
      <w:r w:rsidR="00002F6B" w:rsidRPr="00143F3B">
        <w:rPr>
          <w:rFonts w:asciiTheme="majorBidi" w:hAnsiTheme="majorBidi" w:cstheme="majorBidi"/>
          <w:sz w:val="20"/>
          <w:szCs w:val="20"/>
        </w:rPr>
        <w:t xml:space="preserve"> infections</w:t>
      </w:r>
      <w:r w:rsidR="00802114" w:rsidRPr="00143F3B">
        <w:rPr>
          <w:rFonts w:asciiTheme="majorBidi" w:hAnsiTheme="majorBidi" w:cstheme="majorBidi"/>
          <w:sz w:val="20"/>
          <w:szCs w:val="20"/>
        </w:rPr>
        <w:t>, the spinal infections occurrence ranges from</w:t>
      </w:r>
      <w:r w:rsidR="00C05AD8" w:rsidRPr="00143F3B">
        <w:rPr>
          <w:rFonts w:asciiTheme="majorBidi" w:hAnsiTheme="majorBidi" w:cstheme="majorBidi"/>
          <w:sz w:val="20"/>
          <w:szCs w:val="20"/>
        </w:rPr>
        <w:t xml:space="preserve"> 2-7 % and although its</w:t>
      </w:r>
      <w:r w:rsidR="0065129A" w:rsidRPr="00143F3B">
        <w:rPr>
          <w:rFonts w:asciiTheme="majorBidi" w:hAnsiTheme="majorBidi" w:cstheme="majorBidi"/>
          <w:sz w:val="20"/>
          <w:szCs w:val="20"/>
        </w:rPr>
        <w:t xml:space="preserve"> low</w:t>
      </w:r>
      <w:r w:rsidR="00C05AD8" w:rsidRPr="00143F3B">
        <w:rPr>
          <w:rFonts w:asciiTheme="majorBidi" w:hAnsiTheme="majorBidi" w:cstheme="majorBidi"/>
          <w:sz w:val="20"/>
          <w:szCs w:val="20"/>
        </w:rPr>
        <w:t xml:space="preserve"> incidence rate in some areas like deve</w:t>
      </w:r>
      <w:r w:rsidR="00B736EE" w:rsidRPr="00143F3B">
        <w:rPr>
          <w:rFonts w:asciiTheme="majorBidi" w:hAnsiTheme="majorBidi" w:cstheme="majorBidi"/>
          <w:sz w:val="20"/>
          <w:szCs w:val="20"/>
        </w:rPr>
        <w:t>loped countries (1</w:t>
      </w:r>
      <w:r w:rsidR="007D6289" w:rsidRPr="00143F3B">
        <w:rPr>
          <w:rFonts w:asciiTheme="majorBidi" w:hAnsiTheme="majorBidi" w:cstheme="majorBidi"/>
          <w:sz w:val="20"/>
          <w:szCs w:val="20"/>
        </w:rPr>
        <w:t>/</w:t>
      </w:r>
      <w:r w:rsidR="00B736EE" w:rsidRPr="00143F3B">
        <w:rPr>
          <w:rFonts w:asciiTheme="majorBidi" w:hAnsiTheme="majorBidi" w:cstheme="majorBidi"/>
          <w:sz w:val="20"/>
          <w:szCs w:val="20"/>
        </w:rPr>
        <w:t>100.000 to 1/250.000), its has a 2-4% mortality rate</w:t>
      </w:r>
      <w:r w:rsidR="007D6289" w:rsidRPr="00143F3B">
        <w:rPr>
          <w:rFonts w:asciiTheme="majorBidi" w:hAnsiTheme="majorBidi" w:cstheme="majorBidi"/>
          <w:sz w:val="20"/>
          <w:szCs w:val="20"/>
        </w:rPr>
        <w:t>.</w:t>
      </w:r>
      <w:r w:rsidR="0065129A" w:rsidRPr="00143F3B">
        <w:rPr>
          <w:rFonts w:asciiTheme="majorBidi" w:hAnsiTheme="majorBidi" w:cstheme="majorBidi"/>
          <w:sz w:val="20"/>
          <w:szCs w:val="20"/>
        </w:rPr>
        <w:t xml:space="preserve"> </w:t>
      </w:r>
      <w:r w:rsidR="007D6289" w:rsidRPr="00143F3B">
        <w:rPr>
          <w:rFonts w:asciiTheme="majorBidi" w:hAnsiTheme="majorBidi" w:cstheme="majorBidi"/>
          <w:sz w:val="20"/>
          <w:szCs w:val="20"/>
        </w:rPr>
        <w:fldChar w:fldCharType="begin"/>
      </w:r>
      <w:r w:rsidR="007D6289" w:rsidRPr="00143F3B">
        <w:rPr>
          <w:rFonts w:asciiTheme="majorBidi" w:hAnsiTheme="majorBidi" w:cstheme="majorBidi"/>
          <w:sz w:val="20"/>
          <w:szCs w:val="20"/>
        </w:rPr>
        <w:instrText xml:space="preserve"> ADDIN ZOTERO_ITEM CSL_CITATION {"citationID":"bnO3tIiy","properties":{"formattedCitation":"(5)","plainCitation":"(5)","noteIndex":0},"citationItems":[{"id":2251,"uris":["http://zotero.org/users/local/5UWbIU8o/items/S94B7WC5"],"itemData":{"id":2251,"type":"article-journal","language":"en","source":"Zotero","title":"Spinal infection – an overview","author":[{"family":"Goubran","given":"Alex"},{"family":"Tomlinson","given":"James"}]}}],"schema":"https://github.com/citation-style-language/schema/raw/master/csl-citation.json"} </w:instrText>
      </w:r>
      <w:r w:rsidR="007D6289" w:rsidRPr="00143F3B">
        <w:rPr>
          <w:rFonts w:asciiTheme="majorBidi" w:hAnsiTheme="majorBidi" w:cstheme="majorBidi"/>
          <w:sz w:val="20"/>
          <w:szCs w:val="20"/>
        </w:rPr>
        <w:fldChar w:fldCharType="separate"/>
      </w:r>
      <w:r w:rsidR="007D6289" w:rsidRPr="00143F3B">
        <w:rPr>
          <w:rFonts w:asciiTheme="majorBidi" w:hAnsiTheme="majorBidi" w:cstheme="majorBidi"/>
          <w:sz w:val="20"/>
          <w:szCs w:val="20"/>
        </w:rPr>
        <w:t>(5)</w:t>
      </w:r>
      <w:r w:rsidR="007D6289" w:rsidRPr="00143F3B">
        <w:rPr>
          <w:rFonts w:asciiTheme="majorBidi" w:hAnsiTheme="majorBidi" w:cstheme="majorBidi"/>
          <w:sz w:val="20"/>
          <w:szCs w:val="20"/>
        </w:rPr>
        <w:fldChar w:fldCharType="end"/>
      </w:r>
      <w:r w:rsidR="00F94CC0" w:rsidRPr="00143F3B">
        <w:rPr>
          <w:rFonts w:asciiTheme="majorBidi" w:hAnsiTheme="majorBidi" w:cstheme="majorBidi"/>
          <w:sz w:val="20"/>
          <w:szCs w:val="20"/>
        </w:rPr>
        <w:t xml:space="preserve"> </w:t>
      </w:r>
      <w:r w:rsidR="00E33BDE" w:rsidRPr="00143F3B">
        <w:rPr>
          <w:rFonts w:asciiTheme="majorBidi" w:hAnsiTheme="majorBidi" w:cstheme="majorBidi"/>
          <w:sz w:val="20"/>
          <w:szCs w:val="20"/>
        </w:rPr>
        <w:t xml:space="preserve">On the other hand, PJI incidence ranges from 2-2.4% in primary </w:t>
      </w:r>
      <w:r w:rsidR="0047196B" w:rsidRPr="00143F3B">
        <w:rPr>
          <w:rFonts w:asciiTheme="majorBidi" w:hAnsiTheme="majorBidi" w:cstheme="majorBidi"/>
          <w:sz w:val="20"/>
          <w:szCs w:val="20"/>
        </w:rPr>
        <w:t>joint arthroplasty and up to 20% in revision surgeries.</w:t>
      </w:r>
      <w:r w:rsidR="00AF374A" w:rsidRPr="00143F3B">
        <w:rPr>
          <w:rFonts w:asciiTheme="majorBidi" w:hAnsiTheme="majorBidi" w:cstheme="majorBidi"/>
          <w:sz w:val="20"/>
          <w:szCs w:val="20"/>
        </w:rPr>
        <w:t xml:space="preserve"> </w:t>
      </w:r>
      <w:r w:rsidR="00AF374A" w:rsidRPr="00143F3B">
        <w:rPr>
          <w:rFonts w:asciiTheme="majorBidi" w:hAnsiTheme="majorBidi" w:cstheme="majorBidi"/>
          <w:sz w:val="20"/>
          <w:szCs w:val="20"/>
        </w:rPr>
        <w:fldChar w:fldCharType="begin"/>
      </w:r>
      <w:r w:rsidR="007D6289" w:rsidRPr="00143F3B">
        <w:rPr>
          <w:rFonts w:asciiTheme="majorBidi" w:hAnsiTheme="majorBidi" w:cstheme="majorBidi"/>
          <w:sz w:val="20"/>
          <w:szCs w:val="20"/>
        </w:rPr>
        <w:instrText xml:space="preserve"> ADDIN ZOTERO_ITEM CSL_CITATION {"citationID":"aoItBAy8","properties":{"formattedCitation":"(6)","plainCitation":"(6)","noteIndex":0},"citationItems":[{"id":2244,"uris":["http://zotero.org/users/local/5UWbIU8o/items/G46JPZAM"],"itemData":{"id":2244,"type":"article-journal","abstract":"Background\nFor the diagnosis of prosthetic joint infection, real evidence-based guidelines to aid clinicians in choosing the most accurate diagnostic strategy are lacking.\n\nAim and Methods\nTo address this need, we performed a multidisciplinary systematic review of relevant nuclear medicine, radiological, orthopaedic, infectious, and microbiological literature to define the diagnostic accuracy of each diagnostic technique and to address and provide evidence-based answers on uniform statements for each topic that was found to be important to develop a commonly agreed upon diagnostic flowchart.\n\nResults and Conclusion\nThe approach used to prepare this set of multidisciplinary guidelines was to define statements of interest and follow the procedure indicated by the Oxford Centre for Evidence-based Medicine (OCEBM).\n\nElectronic supplementary material\nThe online version of this article (10.1007/s00259-019-4263-9) contains supplementary material, which is available to authorized users.","container-title":"European Journal of Nuclear Medicine and Molecular Imaging","DOI":"10.1007/s00259-019-4263-9","ISSN":"1619-7070","issue":"4","journalAbbreviation":"Eur J Nucl Med Mol Imaging","note":"PMID: 30683987\nPMCID: PMC6450843","page":"971-988","source":"PubMed Central","title":"Consensus document for the diagnosis of prosthetic joint infections: a joint paper by the EANM, EBJIS, and ESR (with ESCMID endorsement)","title-short":"Consensus document for the diagnosis of prosthetic joint infections","URL":"https://www.ncbi.nlm.nih.gov/pmc/articles/PMC6450843/","volume":"46","author":[{"family":"Signore","given":"Alberto"},{"family":"Sconfienza","given":"Luca Maria"},{"family":"Borens","given":"Olivier"},{"family":"Glaudemans","given":"Andor W. J. M."},{"family":"Cassar-Pullicino","given":"Victor"},{"family":"Trampuz","given":"Andrej"},{"family":"Winkler","given":"Heinz"},{"family":"Gheysens","given":"Olivier"},{"family":"Vanhoenacker","given":"Filip M. H. M."},{"family":"Petrosillo","given":"Nicola"},{"family":"Jutte","given":"Paul C."}],"accessed":{"date-parts":[["2024",12,24]]},"issued":{"date-parts":[["2019"]]}}}],"schema":"https://github.com/citation-style-language/schema/raw/master/csl-citation.json"} </w:instrText>
      </w:r>
      <w:r w:rsidR="00AF374A" w:rsidRPr="00143F3B">
        <w:rPr>
          <w:rFonts w:asciiTheme="majorBidi" w:hAnsiTheme="majorBidi" w:cstheme="majorBidi"/>
          <w:sz w:val="20"/>
          <w:szCs w:val="20"/>
        </w:rPr>
        <w:fldChar w:fldCharType="separate"/>
      </w:r>
      <w:r w:rsidR="007D6289" w:rsidRPr="00143F3B">
        <w:rPr>
          <w:rFonts w:asciiTheme="majorBidi" w:hAnsiTheme="majorBidi" w:cstheme="majorBidi"/>
          <w:sz w:val="20"/>
          <w:szCs w:val="20"/>
        </w:rPr>
        <w:t>(6)</w:t>
      </w:r>
      <w:r w:rsidR="00AF374A" w:rsidRPr="00143F3B">
        <w:rPr>
          <w:rFonts w:asciiTheme="majorBidi" w:hAnsiTheme="majorBidi" w:cstheme="majorBidi"/>
          <w:sz w:val="20"/>
          <w:szCs w:val="20"/>
        </w:rPr>
        <w:fldChar w:fldCharType="end"/>
      </w:r>
    </w:p>
    <w:p w14:paraId="31E2092C" w14:textId="77777777" w:rsidR="00FD6C6C" w:rsidRPr="00143F3B" w:rsidRDefault="00FD6C6C" w:rsidP="00293645">
      <w:pPr>
        <w:ind w:left="0" w:firstLine="0"/>
        <w:rPr>
          <w:rFonts w:asciiTheme="majorBidi" w:hAnsiTheme="majorBidi" w:cstheme="majorBidi"/>
          <w:sz w:val="20"/>
          <w:szCs w:val="20"/>
        </w:rPr>
      </w:pPr>
    </w:p>
    <w:tbl>
      <w:tblPr>
        <w:tblStyle w:val="TableGrid"/>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3607"/>
        <w:gridCol w:w="3608"/>
      </w:tblGrid>
      <w:tr w:rsidR="00FD6C6C" w:rsidRPr="00143F3B" w14:paraId="7857C6B0" w14:textId="77777777" w:rsidTr="00AC0E7A">
        <w:trPr>
          <w:trHeight w:val="2806"/>
        </w:trPr>
        <w:tc>
          <w:tcPr>
            <w:tcW w:w="3607" w:type="dxa"/>
          </w:tcPr>
          <w:p w14:paraId="5AFCAA9C" w14:textId="4A99A981" w:rsidR="00FD6C6C" w:rsidRPr="00143F3B" w:rsidRDefault="00FD6C6C" w:rsidP="00293645">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0B44BA10" wp14:editId="14CE222B">
                  <wp:extent cx="1238250" cy="1560195"/>
                  <wp:effectExtent l="76200" t="76200" r="133350" b="135255"/>
                  <wp:docPr id="1083104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04215" name="Picture 1083104215"/>
                          <pic:cNvPicPr/>
                        </pic:nvPicPr>
                        <pic:blipFill>
                          <a:blip r:embed="rId9">
                            <a:extLst>
                              <a:ext uri="{28A0092B-C50C-407E-A947-70E740481C1C}">
                                <a14:useLocalDpi xmlns:a14="http://schemas.microsoft.com/office/drawing/2010/main" val="0"/>
                              </a:ext>
                            </a:extLst>
                          </a:blip>
                          <a:stretch>
                            <a:fillRect/>
                          </a:stretch>
                        </pic:blipFill>
                        <pic:spPr>
                          <a:xfrm>
                            <a:off x="0" y="0"/>
                            <a:ext cx="1241158" cy="15638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607" w:type="dxa"/>
          </w:tcPr>
          <w:p w14:paraId="2A2A08E0" w14:textId="7B83F380" w:rsidR="00FD6C6C" w:rsidRPr="00143F3B" w:rsidRDefault="00FD6C6C" w:rsidP="00293645">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10216A77" wp14:editId="1B143CAD">
                  <wp:extent cx="1245840" cy="1555750"/>
                  <wp:effectExtent l="76200" t="76200" r="126365" b="139700"/>
                  <wp:docPr id="1471945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45257" name="Picture 1471945257"/>
                          <pic:cNvPicPr/>
                        </pic:nvPicPr>
                        <pic:blipFill>
                          <a:blip r:embed="rId10">
                            <a:extLst>
                              <a:ext uri="{28A0092B-C50C-407E-A947-70E740481C1C}">
                                <a14:useLocalDpi xmlns:a14="http://schemas.microsoft.com/office/drawing/2010/main" val="0"/>
                              </a:ext>
                            </a:extLst>
                          </a:blip>
                          <a:stretch>
                            <a:fillRect/>
                          </a:stretch>
                        </pic:blipFill>
                        <pic:spPr>
                          <a:xfrm>
                            <a:off x="0" y="0"/>
                            <a:ext cx="1248806" cy="15594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608" w:type="dxa"/>
          </w:tcPr>
          <w:p w14:paraId="29A349ED" w14:textId="26D14BE3" w:rsidR="00FD6C6C" w:rsidRPr="00143F3B" w:rsidRDefault="00FD6C6C" w:rsidP="00293645">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46590F98" wp14:editId="3595AC9C">
                  <wp:extent cx="1292173" cy="1568450"/>
                  <wp:effectExtent l="76200" t="76200" r="137160" b="127000"/>
                  <wp:docPr id="1610610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10040" name="Picture 161061004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507" cy="15724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37FC2" w:rsidRPr="00143F3B" w14:paraId="244E465E" w14:textId="77777777" w:rsidTr="00AC0E7A">
        <w:trPr>
          <w:trHeight w:val="346"/>
        </w:trPr>
        <w:tc>
          <w:tcPr>
            <w:tcW w:w="10822" w:type="dxa"/>
            <w:gridSpan w:val="3"/>
          </w:tcPr>
          <w:p w14:paraId="6EC55B59" w14:textId="5B08462F" w:rsidR="00637FC2" w:rsidRPr="00143F3B" w:rsidRDefault="00637FC2" w:rsidP="00293645">
            <w:pPr>
              <w:pStyle w:val="ListParagraph"/>
              <w:ind w:left="0"/>
              <w:jc w:val="center"/>
              <w:rPr>
                <w:rFonts w:asciiTheme="majorBidi" w:hAnsiTheme="majorBidi" w:cstheme="majorBidi"/>
                <w:b/>
                <w:bCs/>
                <w:noProof/>
                <w:sz w:val="20"/>
                <w:szCs w:val="20"/>
              </w:rPr>
            </w:pPr>
            <w:r w:rsidRPr="00143F3B">
              <w:rPr>
                <w:rFonts w:asciiTheme="majorBidi" w:hAnsiTheme="majorBidi" w:cstheme="majorBidi"/>
                <w:b/>
                <w:bCs/>
                <w:noProof/>
                <w:sz w:val="20"/>
                <w:szCs w:val="20"/>
              </w:rPr>
              <w:t>Figure (1) Different types of bone infection</w:t>
            </w:r>
          </w:p>
        </w:tc>
      </w:tr>
      <w:tr w:rsidR="00745BB5" w:rsidRPr="00143F3B" w14:paraId="40CB282F" w14:textId="77777777" w:rsidTr="00AC0E7A">
        <w:trPr>
          <w:trHeight w:val="346"/>
        </w:trPr>
        <w:tc>
          <w:tcPr>
            <w:tcW w:w="3607" w:type="dxa"/>
          </w:tcPr>
          <w:p w14:paraId="5328816E" w14:textId="0A4DC86C" w:rsidR="00745BB5" w:rsidRPr="00143F3B" w:rsidRDefault="00C067DE" w:rsidP="00293645">
            <w:pPr>
              <w:pStyle w:val="ListParagraph"/>
              <w:numPr>
                <w:ilvl w:val="0"/>
                <w:numId w:val="18"/>
              </w:numPr>
              <w:ind w:left="0" w:firstLine="284"/>
              <w:jc w:val="center"/>
              <w:rPr>
                <w:rFonts w:asciiTheme="majorBidi" w:hAnsiTheme="majorBidi" w:cstheme="majorBidi"/>
                <w:b/>
                <w:bCs/>
                <w:noProof/>
                <w:sz w:val="20"/>
                <w:szCs w:val="20"/>
              </w:rPr>
            </w:pPr>
            <w:r w:rsidRPr="00143F3B">
              <w:rPr>
                <w:rFonts w:asciiTheme="majorBidi" w:hAnsiTheme="majorBidi" w:cstheme="majorBidi"/>
                <w:b/>
                <w:bCs/>
                <w:noProof/>
                <w:sz w:val="20"/>
                <w:szCs w:val="20"/>
              </w:rPr>
              <w:t>knee</w:t>
            </w:r>
            <w:r w:rsidRPr="00143F3B">
              <w:rPr>
                <w:rFonts w:asciiTheme="majorBidi" w:hAnsiTheme="majorBidi" w:cstheme="majorBidi"/>
                <w:b/>
                <w:bCs/>
                <w:noProof/>
                <w:sz w:val="20"/>
                <w:szCs w:val="20"/>
              </w:rPr>
              <w:t xml:space="preserve"> </w:t>
            </w:r>
            <w:r w:rsidR="00745BB5" w:rsidRPr="00143F3B">
              <w:rPr>
                <w:rFonts w:asciiTheme="majorBidi" w:hAnsiTheme="majorBidi" w:cstheme="majorBidi"/>
                <w:b/>
                <w:bCs/>
                <w:noProof/>
                <w:sz w:val="20"/>
                <w:szCs w:val="20"/>
              </w:rPr>
              <w:t xml:space="preserve">Osteomyelitis </w:t>
            </w:r>
          </w:p>
        </w:tc>
        <w:tc>
          <w:tcPr>
            <w:tcW w:w="3607" w:type="dxa"/>
          </w:tcPr>
          <w:p w14:paraId="53FA466E" w14:textId="1B9295D4" w:rsidR="00745BB5" w:rsidRPr="00143F3B" w:rsidRDefault="00C067DE" w:rsidP="00293645">
            <w:pPr>
              <w:pStyle w:val="ListParagraph"/>
              <w:numPr>
                <w:ilvl w:val="0"/>
                <w:numId w:val="18"/>
              </w:numPr>
              <w:ind w:left="0" w:firstLine="284"/>
              <w:jc w:val="center"/>
              <w:rPr>
                <w:rFonts w:asciiTheme="majorBidi" w:hAnsiTheme="majorBidi" w:cstheme="majorBidi"/>
                <w:b/>
                <w:bCs/>
                <w:noProof/>
                <w:sz w:val="20"/>
                <w:szCs w:val="20"/>
              </w:rPr>
            </w:pPr>
            <w:r w:rsidRPr="00143F3B">
              <w:rPr>
                <w:rFonts w:asciiTheme="majorBidi" w:hAnsiTheme="majorBidi" w:cstheme="majorBidi"/>
                <w:b/>
                <w:bCs/>
                <w:noProof/>
                <w:sz w:val="20"/>
                <w:szCs w:val="20"/>
              </w:rPr>
              <w:t>Knee post-surgical infection</w:t>
            </w:r>
          </w:p>
        </w:tc>
        <w:tc>
          <w:tcPr>
            <w:tcW w:w="3608" w:type="dxa"/>
          </w:tcPr>
          <w:p w14:paraId="436CD243" w14:textId="103D7F6D" w:rsidR="00745BB5" w:rsidRPr="00143F3B" w:rsidRDefault="00C067DE" w:rsidP="00293645">
            <w:pPr>
              <w:pStyle w:val="ListParagraph"/>
              <w:numPr>
                <w:ilvl w:val="0"/>
                <w:numId w:val="18"/>
              </w:numPr>
              <w:ind w:left="0" w:firstLine="284"/>
              <w:jc w:val="center"/>
              <w:rPr>
                <w:rFonts w:asciiTheme="majorBidi" w:hAnsiTheme="majorBidi" w:cstheme="majorBidi"/>
                <w:b/>
                <w:bCs/>
                <w:noProof/>
                <w:sz w:val="20"/>
                <w:szCs w:val="20"/>
              </w:rPr>
            </w:pPr>
            <w:r w:rsidRPr="00143F3B">
              <w:rPr>
                <w:rFonts w:asciiTheme="majorBidi" w:hAnsiTheme="majorBidi" w:cstheme="majorBidi"/>
                <w:b/>
                <w:bCs/>
                <w:noProof/>
                <w:sz w:val="20"/>
                <w:szCs w:val="20"/>
              </w:rPr>
              <w:t>Septic artheritis</w:t>
            </w:r>
          </w:p>
        </w:tc>
      </w:tr>
    </w:tbl>
    <w:p w14:paraId="58A26E37" w14:textId="77777777" w:rsidR="0072602C" w:rsidRPr="00143F3B" w:rsidRDefault="0072602C" w:rsidP="0072602C">
      <w:pPr>
        <w:pStyle w:val="ListParagraph"/>
        <w:ind w:firstLine="0"/>
        <w:rPr>
          <w:rFonts w:asciiTheme="majorBidi" w:hAnsiTheme="majorBidi" w:cstheme="majorBidi"/>
          <w:b/>
          <w:bCs/>
          <w:sz w:val="20"/>
          <w:szCs w:val="20"/>
        </w:rPr>
      </w:pPr>
    </w:p>
    <w:p w14:paraId="62DC5A38" w14:textId="54257B44" w:rsidR="00D603DB" w:rsidRPr="00143F3B" w:rsidRDefault="00D603DB" w:rsidP="00AE7906">
      <w:pPr>
        <w:pStyle w:val="ListParagraph"/>
        <w:numPr>
          <w:ilvl w:val="0"/>
          <w:numId w:val="16"/>
        </w:numPr>
        <w:ind w:left="284" w:hanging="284"/>
        <w:rPr>
          <w:rFonts w:asciiTheme="majorBidi" w:hAnsiTheme="majorBidi" w:cstheme="majorBidi"/>
          <w:b/>
          <w:bCs/>
          <w:sz w:val="20"/>
          <w:szCs w:val="20"/>
        </w:rPr>
      </w:pPr>
      <w:r w:rsidRPr="00143F3B">
        <w:rPr>
          <w:rFonts w:asciiTheme="majorBidi" w:hAnsiTheme="majorBidi" w:cstheme="majorBidi"/>
          <w:b/>
          <w:bCs/>
          <w:sz w:val="20"/>
          <w:szCs w:val="20"/>
        </w:rPr>
        <w:t>What are the different diagnostics used for the diagnosis of bone infection?</w:t>
      </w:r>
    </w:p>
    <w:p w14:paraId="3293A8E0" w14:textId="77777777" w:rsidR="00831FA2" w:rsidRPr="00143F3B" w:rsidRDefault="00831FA2" w:rsidP="00831FA2">
      <w:pPr>
        <w:pStyle w:val="ListParagraph"/>
        <w:ind w:firstLine="0"/>
        <w:rPr>
          <w:rFonts w:asciiTheme="majorBidi" w:hAnsiTheme="majorBidi" w:cstheme="majorBidi"/>
          <w:b/>
          <w:bCs/>
          <w:sz w:val="20"/>
          <w:szCs w:val="20"/>
        </w:rPr>
      </w:pPr>
    </w:p>
    <w:p w14:paraId="36FA3171" w14:textId="55C0CCCF" w:rsidR="009C1064" w:rsidRPr="00143F3B" w:rsidRDefault="00767381" w:rsidP="00293645">
      <w:pPr>
        <w:ind w:left="0"/>
        <w:rPr>
          <w:rFonts w:asciiTheme="majorBidi" w:hAnsiTheme="majorBidi" w:cstheme="majorBidi"/>
          <w:sz w:val="20"/>
          <w:szCs w:val="20"/>
        </w:rPr>
      </w:pPr>
      <w:r w:rsidRPr="00143F3B">
        <w:rPr>
          <w:rFonts w:asciiTheme="majorBidi" w:hAnsiTheme="majorBidi" w:cstheme="majorBidi"/>
          <w:sz w:val="20"/>
          <w:szCs w:val="20"/>
        </w:rPr>
        <w:t>C</w:t>
      </w:r>
      <w:r w:rsidR="00933F31" w:rsidRPr="00143F3B">
        <w:rPr>
          <w:rFonts w:asciiTheme="majorBidi" w:hAnsiTheme="majorBidi" w:cstheme="majorBidi"/>
          <w:sz w:val="20"/>
          <w:szCs w:val="20"/>
        </w:rPr>
        <w:t xml:space="preserve">onventional Microbiology diagnostics </w:t>
      </w:r>
      <w:r w:rsidR="00F85924" w:rsidRPr="00143F3B">
        <w:rPr>
          <w:rFonts w:asciiTheme="majorBidi" w:hAnsiTheme="majorBidi" w:cstheme="majorBidi"/>
          <w:sz w:val="20"/>
          <w:szCs w:val="20"/>
        </w:rPr>
        <w:t xml:space="preserve">such as routine culture, and </w:t>
      </w:r>
      <w:r w:rsidR="006142D3" w:rsidRPr="00143F3B">
        <w:rPr>
          <w:rFonts w:asciiTheme="majorBidi" w:hAnsiTheme="majorBidi" w:cstheme="majorBidi"/>
          <w:sz w:val="20"/>
          <w:szCs w:val="20"/>
        </w:rPr>
        <w:t xml:space="preserve">analytic profile index (API) </w:t>
      </w:r>
      <w:r w:rsidR="00933F31" w:rsidRPr="00143F3B">
        <w:rPr>
          <w:rFonts w:asciiTheme="majorBidi" w:hAnsiTheme="majorBidi" w:cstheme="majorBidi"/>
          <w:sz w:val="20"/>
          <w:szCs w:val="20"/>
        </w:rPr>
        <w:t xml:space="preserve">are still the gold standard </w:t>
      </w:r>
      <w:r w:rsidR="00E85C34" w:rsidRPr="00143F3B">
        <w:rPr>
          <w:rFonts w:asciiTheme="majorBidi" w:hAnsiTheme="majorBidi" w:cstheme="majorBidi"/>
          <w:sz w:val="20"/>
          <w:szCs w:val="20"/>
        </w:rPr>
        <w:t xml:space="preserve">although their limitations, and they should not be replaced by the advanced molecular techniques, but they </w:t>
      </w:r>
      <w:r w:rsidR="00262277" w:rsidRPr="00143F3B">
        <w:rPr>
          <w:rFonts w:asciiTheme="majorBidi" w:hAnsiTheme="majorBidi" w:cstheme="majorBidi"/>
          <w:sz w:val="20"/>
          <w:szCs w:val="20"/>
        </w:rPr>
        <w:t>can</w:t>
      </w:r>
      <w:r w:rsidR="00E85C34" w:rsidRPr="00143F3B">
        <w:rPr>
          <w:rFonts w:asciiTheme="majorBidi" w:hAnsiTheme="majorBidi" w:cstheme="majorBidi"/>
          <w:sz w:val="20"/>
          <w:szCs w:val="20"/>
        </w:rPr>
        <w:t xml:space="preserve"> complement the role of each other. </w:t>
      </w:r>
      <w:r w:rsidR="00BF24FF" w:rsidRPr="00143F3B">
        <w:rPr>
          <w:rFonts w:asciiTheme="majorBidi" w:hAnsiTheme="majorBidi" w:cstheme="majorBidi"/>
          <w:sz w:val="20"/>
          <w:szCs w:val="20"/>
        </w:rPr>
        <w:t>Conventional Microbiology</w:t>
      </w:r>
      <w:r w:rsidR="00FF45F4" w:rsidRPr="00143F3B">
        <w:rPr>
          <w:rFonts w:asciiTheme="majorBidi" w:hAnsiTheme="majorBidi" w:cstheme="majorBidi"/>
          <w:sz w:val="20"/>
          <w:szCs w:val="20"/>
        </w:rPr>
        <w:t xml:space="preserve"> </w:t>
      </w:r>
      <w:r w:rsidR="00D61598" w:rsidRPr="00143F3B">
        <w:rPr>
          <w:rFonts w:asciiTheme="majorBidi" w:hAnsiTheme="majorBidi" w:cstheme="majorBidi"/>
          <w:sz w:val="20"/>
          <w:szCs w:val="20"/>
        </w:rPr>
        <w:t>cultures have</w:t>
      </w:r>
      <w:r w:rsidR="00BF24FF" w:rsidRPr="00143F3B">
        <w:rPr>
          <w:rFonts w:asciiTheme="majorBidi" w:hAnsiTheme="majorBidi" w:cstheme="majorBidi"/>
          <w:sz w:val="20"/>
          <w:szCs w:val="20"/>
        </w:rPr>
        <w:t xml:space="preserve"> the advantage of providing antibiotic </w:t>
      </w:r>
      <w:r w:rsidR="006346CC" w:rsidRPr="00143F3B">
        <w:rPr>
          <w:rFonts w:asciiTheme="majorBidi" w:hAnsiTheme="majorBidi" w:cstheme="majorBidi"/>
          <w:sz w:val="20"/>
          <w:szCs w:val="20"/>
        </w:rPr>
        <w:t>sensitivity,</w:t>
      </w:r>
      <w:r w:rsidR="00BF24FF" w:rsidRPr="00143F3B">
        <w:rPr>
          <w:rFonts w:asciiTheme="majorBidi" w:hAnsiTheme="majorBidi" w:cstheme="majorBidi"/>
          <w:sz w:val="20"/>
          <w:szCs w:val="20"/>
        </w:rPr>
        <w:t xml:space="preserve"> </w:t>
      </w:r>
      <w:r w:rsidR="009B7F35" w:rsidRPr="00143F3B">
        <w:rPr>
          <w:rFonts w:asciiTheme="majorBidi" w:hAnsiTheme="majorBidi" w:cstheme="majorBidi"/>
          <w:sz w:val="20"/>
          <w:szCs w:val="20"/>
        </w:rPr>
        <w:t xml:space="preserve">but it has a long </w:t>
      </w:r>
      <w:r w:rsidR="004A307E" w:rsidRPr="00143F3B">
        <w:rPr>
          <w:rFonts w:asciiTheme="majorBidi" w:hAnsiTheme="majorBidi" w:cstheme="majorBidi"/>
          <w:sz w:val="20"/>
          <w:szCs w:val="20"/>
        </w:rPr>
        <w:t>turnaround</w:t>
      </w:r>
      <w:r w:rsidR="009B7F35" w:rsidRPr="00143F3B">
        <w:rPr>
          <w:rFonts w:asciiTheme="majorBidi" w:hAnsiTheme="majorBidi" w:cstheme="majorBidi"/>
          <w:sz w:val="20"/>
          <w:szCs w:val="20"/>
        </w:rPr>
        <w:t xml:space="preserve"> time. On the other hand, the molecular techniques have the advantage of identifying organisms in </w:t>
      </w:r>
      <w:r w:rsidR="00700E87" w:rsidRPr="00143F3B">
        <w:rPr>
          <w:rFonts w:asciiTheme="majorBidi" w:hAnsiTheme="majorBidi" w:cstheme="majorBidi"/>
          <w:sz w:val="20"/>
          <w:szCs w:val="20"/>
        </w:rPr>
        <w:t xml:space="preserve">false negative </w:t>
      </w:r>
      <w:r w:rsidR="009B7F35" w:rsidRPr="00143F3B">
        <w:rPr>
          <w:rFonts w:asciiTheme="majorBidi" w:hAnsiTheme="majorBidi" w:cstheme="majorBidi"/>
          <w:sz w:val="20"/>
          <w:szCs w:val="20"/>
        </w:rPr>
        <w:t xml:space="preserve">culture </w:t>
      </w:r>
      <w:r w:rsidR="00180B79" w:rsidRPr="00143F3B">
        <w:rPr>
          <w:rFonts w:asciiTheme="majorBidi" w:hAnsiTheme="majorBidi" w:cstheme="majorBidi"/>
          <w:sz w:val="20"/>
          <w:szCs w:val="20"/>
        </w:rPr>
        <w:t>results</w:t>
      </w:r>
      <w:r w:rsidR="00B02CAB" w:rsidRPr="00143F3B">
        <w:rPr>
          <w:rFonts w:asciiTheme="majorBidi" w:hAnsiTheme="majorBidi" w:cstheme="majorBidi"/>
          <w:sz w:val="20"/>
          <w:szCs w:val="20"/>
        </w:rPr>
        <w:t xml:space="preserve">, which caused by </w:t>
      </w:r>
      <w:r w:rsidR="00DC5C61" w:rsidRPr="00143F3B">
        <w:rPr>
          <w:rFonts w:asciiTheme="majorBidi" w:hAnsiTheme="majorBidi" w:cstheme="majorBidi"/>
          <w:sz w:val="20"/>
          <w:szCs w:val="20"/>
        </w:rPr>
        <w:t xml:space="preserve">multiple reasons </w:t>
      </w:r>
      <w:r w:rsidR="0016280F" w:rsidRPr="00143F3B">
        <w:rPr>
          <w:rFonts w:asciiTheme="majorBidi" w:hAnsiTheme="majorBidi" w:cstheme="majorBidi"/>
          <w:sz w:val="20"/>
          <w:szCs w:val="20"/>
        </w:rPr>
        <w:t>such as infections caused by</w:t>
      </w:r>
      <w:r w:rsidR="00DC5C61" w:rsidRPr="00143F3B">
        <w:rPr>
          <w:rFonts w:asciiTheme="majorBidi" w:hAnsiTheme="majorBidi" w:cstheme="majorBidi"/>
          <w:sz w:val="20"/>
          <w:szCs w:val="20"/>
        </w:rPr>
        <w:t xml:space="preserve"> fastidious organism</w:t>
      </w:r>
      <w:r w:rsidR="00700E87" w:rsidRPr="00143F3B">
        <w:rPr>
          <w:rFonts w:asciiTheme="majorBidi" w:hAnsiTheme="majorBidi" w:cstheme="majorBidi"/>
          <w:sz w:val="20"/>
          <w:szCs w:val="20"/>
        </w:rPr>
        <w:t>s</w:t>
      </w:r>
      <w:r w:rsidR="003B4870" w:rsidRPr="00143F3B">
        <w:rPr>
          <w:rFonts w:asciiTheme="majorBidi" w:hAnsiTheme="majorBidi" w:cstheme="majorBidi"/>
          <w:sz w:val="20"/>
          <w:szCs w:val="20"/>
        </w:rPr>
        <w:t xml:space="preserve"> </w:t>
      </w:r>
      <w:r w:rsidR="0016280F" w:rsidRPr="00143F3B">
        <w:rPr>
          <w:rFonts w:asciiTheme="majorBidi" w:hAnsiTheme="majorBidi" w:cstheme="majorBidi"/>
          <w:sz w:val="20"/>
          <w:szCs w:val="20"/>
        </w:rPr>
        <w:t>like</w:t>
      </w:r>
      <w:r w:rsidR="003B4870" w:rsidRPr="00143F3B">
        <w:rPr>
          <w:rFonts w:asciiTheme="majorBidi" w:hAnsiTheme="majorBidi" w:cstheme="majorBidi"/>
          <w:sz w:val="20"/>
          <w:szCs w:val="20"/>
        </w:rPr>
        <w:t xml:space="preserve"> </w:t>
      </w:r>
      <w:r w:rsidR="003B4870" w:rsidRPr="00143F3B">
        <w:rPr>
          <w:rFonts w:asciiTheme="majorBidi" w:hAnsiTheme="majorBidi" w:cstheme="majorBidi"/>
          <w:i/>
          <w:iCs/>
          <w:sz w:val="20"/>
          <w:szCs w:val="20"/>
        </w:rPr>
        <w:t>Kingella kingae</w:t>
      </w:r>
      <w:r w:rsidR="003B4870" w:rsidRPr="00143F3B">
        <w:rPr>
          <w:rFonts w:asciiTheme="majorBidi" w:hAnsiTheme="majorBidi" w:cstheme="majorBidi"/>
          <w:sz w:val="20"/>
          <w:szCs w:val="20"/>
        </w:rPr>
        <w:t xml:space="preserve">, </w:t>
      </w:r>
      <w:r w:rsidR="00DD2C7A" w:rsidRPr="00143F3B">
        <w:rPr>
          <w:rFonts w:asciiTheme="majorBidi" w:hAnsiTheme="majorBidi" w:cstheme="majorBidi"/>
          <w:sz w:val="20"/>
          <w:szCs w:val="20"/>
        </w:rPr>
        <w:t>which is on top causes of septic arthritis in children</w:t>
      </w:r>
      <w:r w:rsidR="002C3AE6" w:rsidRPr="00143F3B">
        <w:rPr>
          <w:rFonts w:asciiTheme="majorBidi" w:hAnsiTheme="majorBidi" w:cstheme="majorBidi"/>
          <w:sz w:val="20"/>
          <w:szCs w:val="20"/>
        </w:rPr>
        <w:t xml:space="preserve"> and </w:t>
      </w:r>
      <w:r w:rsidR="002C3AE6" w:rsidRPr="00143F3B">
        <w:rPr>
          <w:rFonts w:asciiTheme="majorBidi" w:hAnsiTheme="majorBidi" w:cstheme="majorBidi"/>
          <w:i/>
          <w:iCs/>
          <w:sz w:val="20"/>
          <w:szCs w:val="20"/>
        </w:rPr>
        <w:t>Neisseria gonorrhoeae</w:t>
      </w:r>
      <w:r w:rsidR="002C3AE6" w:rsidRPr="00143F3B">
        <w:rPr>
          <w:rFonts w:asciiTheme="majorBidi" w:hAnsiTheme="majorBidi" w:cstheme="majorBidi"/>
          <w:sz w:val="20"/>
          <w:szCs w:val="20"/>
        </w:rPr>
        <w:t xml:space="preserve"> which causes </w:t>
      </w:r>
      <w:r w:rsidR="001C16F9" w:rsidRPr="00143F3B">
        <w:rPr>
          <w:rFonts w:asciiTheme="majorBidi" w:hAnsiTheme="majorBidi" w:cstheme="majorBidi"/>
          <w:sz w:val="20"/>
          <w:szCs w:val="20"/>
        </w:rPr>
        <w:t>septic arthritis in sexually active individuals.</w:t>
      </w:r>
      <w:r w:rsidR="00F9342B" w:rsidRPr="00143F3B">
        <w:rPr>
          <w:rFonts w:asciiTheme="majorBidi" w:hAnsiTheme="majorBidi" w:cstheme="majorBidi"/>
          <w:sz w:val="20"/>
          <w:szCs w:val="20"/>
        </w:rPr>
        <w:t xml:space="preserve"> </w:t>
      </w:r>
      <w:r w:rsidR="00F9342B" w:rsidRPr="00143F3B">
        <w:rPr>
          <w:rFonts w:asciiTheme="majorBidi" w:hAnsiTheme="majorBidi" w:cstheme="majorBidi"/>
          <w:sz w:val="20"/>
          <w:szCs w:val="20"/>
        </w:rPr>
        <w:fldChar w:fldCharType="begin"/>
      </w:r>
      <w:r w:rsidR="00370685" w:rsidRPr="00143F3B">
        <w:rPr>
          <w:rFonts w:asciiTheme="majorBidi" w:hAnsiTheme="majorBidi" w:cstheme="majorBidi"/>
          <w:sz w:val="20"/>
          <w:szCs w:val="20"/>
        </w:rPr>
        <w:instrText xml:space="preserve"> ADDIN ZOTERO_ITEM CSL_CITATION {"citationID":"yxPmc0qm","properties":{"formattedCitation":"(7,8)","plainCitation":"(7,8)","noteIndex":0},"citationItems":[{"id":2252,"uris":["http://zotero.org/users/local/5UWbIU8o/items/Z8FTEHMX"],"itemData":{"id":2252,"type":"article-journal","abstract":"PURPOSE: Childhood bone and joint infection (BJI) is a potentially severe disease that may have permanent sequelae, including growth impairment and limb deformity. It has been characterised in the literature with a focus on Western epidemiology; there are currently no reports detailing global epidemiology and bacteriology. This omits key data from determining temporal trends, appropriate antibiotic therapy, and resource allocation. This review aims to identify studies that characterise the incidence of childhood bone and joint infection or provide detailed bacteriology within their region.\nMETHODS: A systematic review of the literature was performed from 01/01/1980 to 31/12/2020. Data has been analysed to give incidence of disease per 100,000 children, primary pathogen by country where available, and risk ratio (RR) for disease by ethnicity. This is applicable for areas that experience race-related inequitable burden of disease.\nRESULTS: Forty-four articles met the inclusion area; of these, seven were population-wide studies, primarily from Europe or the United States, and the remainder were cohort studies. Incidence could be derived from 26 studies compromising over 34, 000 children. Information on bacteriology was available from 39 publications (10, 957 cases). Methicillin-sensitive Staphylococcus aureus is the most common pathogen in the West. Recently, disease secondary to Kingella kingae and methicillin-resistant S. aureus has increased. Salmonella remains a dominant pathogen in African regions. Increased risk of disease is observed in Aboriginal, New Zealand Māori, Pacific, Indigenous Fijian, and Bedouin children.\nCONCLUSION: The current state of the literature detailing incidence of childhood BJI focuses on disease patterns from the West. There is a paucity of high-quality publications in the developing world. Despite these limitations, global trends in burden of disease show race-related inequitable risk of BJI. Temporal and regional variation in bacteriology can be demonstrated.\nLEVEL OF EVIDENCE: III.","container-title":"Infection","DOI":"10.1007/s15010-021-01741-3","ISSN":"1439-0973","issue":"2","journalAbbreviation":"Infection","language":"eng","note":"PMID: 35048321","page":"329-341","source":"PubMed","title":"Global epidemiology of childhood bone and joint infection: a systematic review","title-short":"Global epidemiology of childhood bone and joint infection","volume":"50","author":[{"family":"Hunter","given":"Sarah"},{"family":"Chan","given":"Heidi"},{"family":"Baker","given":"Joseph F."}],"issued":{"date-parts":[["2022",4]]}}},{"id":2254,"uris":["http://zotero.org/users/local/5UWbIU8o/items/WGFEE4YD"],"itemData":{"id":2254,"type":"article-journal","abstract":"OBJECTIVES: Extra-genital manifestations of gonococcal infection are rare (0.5-3%). Among them, gonococcal arthritis (GA) is the most frequent, accounting for 30-90% of disseminated infections. Our study aimed to describe all hospital cases of GA in Reunion Island, a French overseas territory.\nMETHODS: We conducted a retrospective, multicentric, observational study of all cases of certain, probable or possible GA from 2008 to 2020.\nRESULTS: We identified 58 cases of GA, mostly certain cases (n = 48). Sex ratio was balanced, but men were older than women (51 vs 27 years, p &lt; 0.001). A total of 41% had travelled abroad during the previous 3 months, mostly in Madagascar or South-East Asia. The most frequently infected joint was the knee, followed by ankle, wrist and fingers or carpal joints. Only 16% of cases had genital symptoms, but 50% had another extra-genital manifestation, mainly skin lesions (40%). Positivity rate of joint puncture was 91%, with a purulent liquid. Only 58% had a positive culture, and 33% had only a positive PCR. There was no 3GC-resistant strain. In comparison with gonococcal infection without arthritis, patients were older and had fewer genital but more extra-genital symptoms. On discharge 60% had persistent articular symptoms. GA represented 18% of all hospitalised septic arthritis cases with microbial identification in 2019.\nCONCLUSIONS: GA is rare but it is important to make an early diagnosis and treat promptly, as joint destruction may be important, leading to persistent symptoms after discharge. PCR use in joint puncture is useful in cases with negative culture.","container-title":"Clinical Rheumatology","DOI":"10.1007/s10067-022-06208-w","ISSN":"1434-9949","issue":"9","journalAbbreviation":"Clin Rheumatol","language":"eng","note":"PMID: 35590115","page":"2855-2862","source":"PubMed","title":"Gonococcal arthritis: case series of 58 hospital cases","title-short":"Gonococcal arthritis","volume":"41","author":[{"family":"Moussiegt","given":"Aurore"},{"family":"François","given":"Claire"},{"family":"Belmonte","given":"Olivier"},{"family":"Jaubert","given":"Julien"},{"family":"Traversier","given":"Nicolas"},{"family":"Picot","given":"Sandrine"},{"family":"Josse","given":"Françoise"},{"family":"Guillot","given":"Xavier"},{"family":"Poubeau","given":"Patrice"},{"family":"Moiton","given":"Marie-Pierre"},{"family":"Bertolotti","given":"Antoine"},{"family":"Raffray","given":"Loïc"}],"issued":{"date-parts":[["2022",9]]}}}],"schema":"https://github.com/citation-style-language/schema/raw/master/csl-citation.json"} </w:instrText>
      </w:r>
      <w:r w:rsidR="00F9342B" w:rsidRPr="00143F3B">
        <w:rPr>
          <w:rFonts w:asciiTheme="majorBidi" w:hAnsiTheme="majorBidi" w:cstheme="majorBidi"/>
          <w:sz w:val="20"/>
          <w:szCs w:val="20"/>
        </w:rPr>
        <w:fldChar w:fldCharType="separate"/>
      </w:r>
      <w:r w:rsidR="00370685" w:rsidRPr="00143F3B">
        <w:rPr>
          <w:rFonts w:asciiTheme="majorBidi" w:hAnsiTheme="majorBidi" w:cstheme="majorBidi"/>
          <w:sz w:val="20"/>
          <w:szCs w:val="20"/>
        </w:rPr>
        <w:t>(7,8)</w:t>
      </w:r>
      <w:r w:rsidR="00F9342B" w:rsidRPr="00143F3B">
        <w:rPr>
          <w:rFonts w:asciiTheme="majorBidi" w:hAnsiTheme="majorBidi" w:cstheme="majorBidi"/>
          <w:sz w:val="20"/>
          <w:szCs w:val="20"/>
        </w:rPr>
        <w:fldChar w:fldCharType="end"/>
      </w:r>
      <w:r w:rsidR="002C3AE6" w:rsidRPr="00143F3B">
        <w:rPr>
          <w:rFonts w:asciiTheme="majorBidi" w:hAnsiTheme="majorBidi" w:cstheme="majorBidi"/>
          <w:i/>
          <w:iCs/>
          <w:sz w:val="20"/>
          <w:szCs w:val="20"/>
        </w:rPr>
        <w:t xml:space="preserve"> </w:t>
      </w:r>
      <w:r w:rsidR="002C3AE6" w:rsidRPr="00143F3B">
        <w:rPr>
          <w:rFonts w:asciiTheme="majorBidi" w:hAnsiTheme="majorBidi" w:cstheme="majorBidi"/>
          <w:sz w:val="20"/>
          <w:szCs w:val="20"/>
        </w:rPr>
        <w:t xml:space="preserve"> </w:t>
      </w:r>
      <w:r w:rsidR="00AE19B2" w:rsidRPr="00143F3B">
        <w:rPr>
          <w:rFonts w:asciiTheme="majorBidi" w:hAnsiTheme="majorBidi" w:cstheme="majorBidi"/>
          <w:sz w:val="20"/>
          <w:szCs w:val="20"/>
        </w:rPr>
        <w:t>Persistence</w:t>
      </w:r>
      <w:r w:rsidR="00DC5C61" w:rsidRPr="00143F3B">
        <w:rPr>
          <w:rFonts w:asciiTheme="majorBidi" w:hAnsiTheme="majorBidi" w:cstheme="majorBidi"/>
          <w:sz w:val="20"/>
          <w:szCs w:val="20"/>
        </w:rPr>
        <w:t xml:space="preserve"> of antibiotics in </w:t>
      </w:r>
      <w:r w:rsidR="006346CC" w:rsidRPr="00143F3B">
        <w:rPr>
          <w:rFonts w:asciiTheme="majorBidi" w:hAnsiTheme="majorBidi" w:cstheme="majorBidi"/>
          <w:sz w:val="20"/>
          <w:szCs w:val="20"/>
        </w:rPr>
        <w:t>specimens</w:t>
      </w:r>
      <w:r w:rsidR="00DC5C61" w:rsidRPr="00143F3B">
        <w:rPr>
          <w:rFonts w:asciiTheme="majorBidi" w:hAnsiTheme="majorBidi" w:cstheme="majorBidi"/>
          <w:sz w:val="20"/>
          <w:szCs w:val="20"/>
        </w:rPr>
        <w:t xml:space="preserve"> </w:t>
      </w:r>
      <w:r w:rsidR="00591036" w:rsidRPr="00143F3B">
        <w:rPr>
          <w:rFonts w:asciiTheme="majorBidi" w:hAnsiTheme="majorBidi" w:cstheme="majorBidi"/>
          <w:sz w:val="20"/>
          <w:szCs w:val="20"/>
        </w:rPr>
        <w:t>which hinder the ability of conventional cultures to isolate organisms</w:t>
      </w:r>
      <w:r w:rsidR="002812D0" w:rsidRPr="00143F3B">
        <w:rPr>
          <w:rFonts w:asciiTheme="majorBidi" w:hAnsiTheme="majorBidi" w:cstheme="majorBidi"/>
          <w:sz w:val="20"/>
          <w:szCs w:val="20"/>
        </w:rPr>
        <w:t xml:space="preserve"> is also one of the reasons behind </w:t>
      </w:r>
      <w:r w:rsidR="00700E87" w:rsidRPr="00143F3B">
        <w:rPr>
          <w:rFonts w:asciiTheme="majorBidi" w:hAnsiTheme="majorBidi" w:cstheme="majorBidi"/>
          <w:sz w:val="20"/>
          <w:szCs w:val="20"/>
        </w:rPr>
        <w:t xml:space="preserve">false negative </w:t>
      </w:r>
      <w:r w:rsidR="00AE19B2" w:rsidRPr="00143F3B">
        <w:rPr>
          <w:rFonts w:asciiTheme="majorBidi" w:hAnsiTheme="majorBidi" w:cstheme="majorBidi"/>
          <w:sz w:val="20"/>
          <w:szCs w:val="20"/>
        </w:rPr>
        <w:t>culture results.</w:t>
      </w:r>
      <w:r w:rsidR="00715327" w:rsidRPr="00143F3B">
        <w:rPr>
          <w:rFonts w:asciiTheme="majorBidi" w:hAnsiTheme="majorBidi" w:cstheme="majorBidi"/>
          <w:sz w:val="20"/>
          <w:szCs w:val="20"/>
        </w:rPr>
        <w:t xml:space="preserve"> </w:t>
      </w:r>
      <w:r w:rsidR="00FF45F4" w:rsidRPr="00143F3B">
        <w:rPr>
          <w:rFonts w:asciiTheme="majorBidi" w:hAnsiTheme="majorBidi" w:cstheme="majorBidi"/>
          <w:sz w:val="20"/>
          <w:szCs w:val="20"/>
        </w:rPr>
        <w:t xml:space="preserve">However, </w:t>
      </w:r>
      <w:r w:rsidR="002969B9" w:rsidRPr="00143F3B">
        <w:rPr>
          <w:rFonts w:asciiTheme="majorBidi" w:hAnsiTheme="majorBidi" w:cstheme="majorBidi"/>
          <w:sz w:val="20"/>
          <w:szCs w:val="20"/>
        </w:rPr>
        <w:t xml:space="preserve">Molecular diagnostics are still having limitations to detect organisms in some situations such as low inoculum or </w:t>
      </w:r>
      <w:r w:rsidR="00FF45F4" w:rsidRPr="00143F3B">
        <w:rPr>
          <w:rFonts w:asciiTheme="majorBidi" w:hAnsiTheme="majorBidi" w:cstheme="majorBidi"/>
          <w:sz w:val="20"/>
          <w:szCs w:val="20"/>
        </w:rPr>
        <w:t>polymicrobial infections</w:t>
      </w:r>
      <w:r w:rsidR="009C1064" w:rsidRPr="00143F3B">
        <w:rPr>
          <w:rFonts w:asciiTheme="majorBidi" w:hAnsiTheme="majorBidi" w:cstheme="majorBidi"/>
          <w:sz w:val="20"/>
          <w:szCs w:val="20"/>
        </w:rPr>
        <w:t xml:space="preserve">, or even identifying nucleic acid of </w:t>
      </w:r>
      <w:r w:rsidR="005D4371" w:rsidRPr="00143F3B">
        <w:rPr>
          <w:rFonts w:asciiTheme="majorBidi" w:hAnsiTheme="majorBidi" w:cstheme="majorBidi"/>
          <w:sz w:val="20"/>
          <w:szCs w:val="20"/>
        </w:rPr>
        <w:t>non-viable</w:t>
      </w:r>
      <w:r w:rsidR="009C1064" w:rsidRPr="00143F3B">
        <w:rPr>
          <w:rFonts w:asciiTheme="majorBidi" w:hAnsiTheme="majorBidi" w:cstheme="majorBidi"/>
          <w:sz w:val="20"/>
          <w:szCs w:val="20"/>
        </w:rPr>
        <w:t xml:space="preserve"> </w:t>
      </w:r>
      <w:r w:rsidR="00A90CB2" w:rsidRPr="00143F3B">
        <w:rPr>
          <w:rFonts w:asciiTheme="majorBidi" w:hAnsiTheme="majorBidi" w:cstheme="majorBidi"/>
          <w:sz w:val="20"/>
          <w:szCs w:val="20"/>
        </w:rPr>
        <w:t>organisms.</w:t>
      </w:r>
      <w:r w:rsidR="006346CC" w:rsidRPr="00143F3B">
        <w:rPr>
          <w:rFonts w:asciiTheme="majorBidi" w:hAnsiTheme="majorBidi" w:cstheme="majorBidi"/>
          <w:sz w:val="20"/>
          <w:szCs w:val="20"/>
        </w:rPr>
        <w:t xml:space="preserve"> Variable molecular techniques can be used</w:t>
      </w:r>
      <w:r w:rsidR="002B2D27" w:rsidRPr="00143F3B">
        <w:rPr>
          <w:rFonts w:asciiTheme="majorBidi" w:hAnsiTheme="majorBidi" w:cstheme="majorBidi"/>
          <w:sz w:val="20"/>
          <w:szCs w:val="20"/>
        </w:rPr>
        <w:t xml:space="preserve">, for example; </w:t>
      </w:r>
      <w:r w:rsidR="00361039" w:rsidRPr="00143F3B">
        <w:rPr>
          <w:rFonts w:asciiTheme="majorBidi" w:hAnsiTheme="majorBidi" w:cstheme="majorBidi"/>
          <w:sz w:val="20"/>
          <w:szCs w:val="20"/>
        </w:rPr>
        <w:t xml:space="preserve">specific, multiplex and universal </w:t>
      </w:r>
      <w:r w:rsidR="002B2D27" w:rsidRPr="00143F3B">
        <w:rPr>
          <w:rFonts w:asciiTheme="majorBidi" w:hAnsiTheme="majorBidi" w:cstheme="majorBidi"/>
          <w:sz w:val="20"/>
          <w:szCs w:val="20"/>
        </w:rPr>
        <w:t xml:space="preserve">PCR, </w:t>
      </w:r>
      <w:r w:rsidR="00361039" w:rsidRPr="00143F3B">
        <w:rPr>
          <w:rFonts w:asciiTheme="majorBidi" w:hAnsiTheme="majorBidi" w:cstheme="majorBidi"/>
          <w:sz w:val="20"/>
          <w:szCs w:val="20"/>
        </w:rPr>
        <w:t xml:space="preserve">and </w:t>
      </w:r>
      <w:r w:rsidR="002B2D27" w:rsidRPr="00143F3B">
        <w:rPr>
          <w:rFonts w:asciiTheme="majorBidi" w:hAnsiTheme="majorBidi" w:cstheme="majorBidi"/>
          <w:sz w:val="20"/>
          <w:szCs w:val="20"/>
        </w:rPr>
        <w:t>whole genome sequencing</w:t>
      </w:r>
      <w:r w:rsidR="00F85924" w:rsidRPr="00143F3B">
        <w:rPr>
          <w:rFonts w:asciiTheme="majorBidi" w:hAnsiTheme="majorBidi" w:cstheme="majorBidi"/>
          <w:sz w:val="20"/>
          <w:szCs w:val="20"/>
        </w:rPr>
        <w:t xml:space="preserve"> (WGS)</w:t>
      </w:r>
      <w:r w:rsidR="00361039" w:rsidRPr="00143F3B">
        <w:rPr>
          <w:rFonts w:asciiTheme="majorBidi" w:hAnsiTheme="majorBidi" w:cstheme="majorBidi"/>
          <w:sz w:val="20"/>
          <w:szCs w:val="20"/>
        </w:rPr>
        <w:t>.</w:t>
      </w:r>
      <w:r w:rsidR="002B2D27" w:rsidRPr="00143F3B">
        <w:rPr>
          <w:rFonts w:asciiTheme="majorBidi" w:hAnsiTheme="majorBidi" w:cstheme="majorBidi"/>
          <w:sz w:val="20"/>
          <w:szCs w:val="20"/>
        </w:rPr>
        <w:t xml:space="preserve"> </w:t>
      </w:r>
      <w:r w:rsidR="00DD2A0E" w:rsidRPr="00143F3B">
        <w:rPr>
          <w:rFonts w:asciiTheme="majorBidi" w:hAnsiTheme="majorBidi" w:cstheme="majorBidi"/>
          <w:sz w:val="20"/>
          <w:szCs w:val="20"/>
        </w:rPr>
        <w:fldChar w:fldCharType="begin"/>
      </w:r>
      <w:r w:rsidR="00370685" w:rsidRPr="00143F3B">
        <w:rPr>
          <w:rFonts w:asciiTheme="majorBidi" w:hAnsiTheme="majorBidi" w:cstheme="majorBidi"/>
          <w:sz w:val="20"/>
          <w:szCs w:val="20"/>
        </w:rPr>
        <w:instrText xml:space="preserve"> ADDIN ZOTERO_ITEM CSL_CITATION {"citationID":"5oVXf6iR","properties":{"formattedCitation":"(9)","plainCitation":"(9)","noteIndex":0},"citationItems":[{"id":2221,"uris":["http://zotero.org/users/local/5UWbIU8o/items/D4TSLHMU"],"itemData":{"id":2221,"type":"article-journal","abstract":"Résumé\nLe diagnostic microbiologique des infections ostéo-articulaires est complexe et nécessite une collaboration forte entre orthopédistes, infectiologues et biologistes. Il est obligatoire de réaliser des prélèvements dans les conditions les plus strictes d’asepsie au bloc chirurgical avec un acheminement rapide au laboratoire de bactériologie. La multiplication des prélèvements facilite l’interprétation des résultats. Une fois au laboratoire, ces prélèvements doivent être traités dans des conditions d’asepsie pour éviter toute contamination. L’incubation des milieux gélosés doit être prolongée (minimum 14 jours) pour permettre la culture de toutes les bactéries. L’identification et les antibiogrammes sur tous les types de colonies bactériennes sont d’ailleurs indispensables. La biologie moléculaire est utile en cas de forte suspicion d’infection alors que les cultures sont négatives ou systématiquement en cas d’arthrite septique de l’enfant de moins de 4 ans.\nSummary\nMicrobiological diagnosis of bone and joint infections is complex and needs strong collaboration between surgeons, infectious disease specialists and microbiologists. It is mandatory to take samples in the strictest conditions of asepsis in surgical unit with a quick delivery to the laboratory of Bacteriology. The multiplication of samples facilitates interpretation of results. In the lab, samples should be treated in aseptic conditions to avoid contamination. The incubation of the agar media has to be prolonged (14 days minimum) to allow the culture of all bacteria species. The bacterial identification and susceptibility testing on all types of bacterial colonies are also essential. Molecular biology is useful in case of strong suspicion of bone infection while cultures are negative or systematically in case of septic arthritis in children under 4 years.","collection-title":"Infections ostéo-articulaires","container-title":"Revue Francophone des Laboratoires","DOI":"10.1016/S1773-035X(16)30087-9","ISSN":"1773-035X","issue":"480","journalAbbreviation":"Revue Francophone des Laboratoires","page":"47-53","source":"ScienceDirect","title":"Diagnostic des infections ostéo-articulaires","URL":"https://www.sciencedirect.com/science/article/pii/S1773035X16300879","volume":"2016","author":[{"family":"Dupieux","given":"Céline"},{"family":"Laurent","given":"Frédéric"}],"accessed":{"date-parts":[["2024",12,21]]},"issued":{"date-parts":[["2016",3,1]]}}}],"schema":"https://github.com/citation-style-language/schema/raw/master/csl-citation.json"} </w:instrText>
      </w:r>
      <w:r w:rsidR="00DD2A0E" w:rsidRPr="00143F3B">
        <w:rPr>
          <w:rFonts w:asciiTheme="majorBidi" w:hAnsiTheme="majorBidi" w:cstheme="majorBidi"/>
          <w:sz w:val="20"/>
          <w:szCs w:val="20"/>
        </w:rPr>
        <w:fldChar w:fldCharType="separate"/>
      </w:r>
      <w:r w:rsidR="00370685" w:rsidRPr="00143F3B">
        <w:rPr>
          <w:rFonts w:asciiTheme="majorBidi" w:hAnsiTheme="majorBidi" w:cstheme="majorBidi"/>
          <w:sz w:val="20"/>
          <w:szCs w:val="20"/>
        </w:rPr>
        <w:t>(9)</w:t>
      </w:r>
      <w:r w:rsidR="00DD2A0E" w:rsidRPr="00143F3B">
        <w:rPr>
          <w:rFonts w:asciiTheme="majorBidi" w:hAnsiTheme="majorBidi" w:cstheme="majorBidi"/>
          <w:sz w:val="20"/>
          <w:szCs w:val="20"/>
        </w:rPr>
        <w:fldChar w:fldCharType="end"/>
      </w:r>
    </w:p>
    <w:p w14:paraId="23583057" w14:textId="77777777" w:rsidR="00F6045C" w:rsidRPr="00143F3B" w:rsidRDefault="00F6045C" w:rsidP="00715327">
      <w:pPr>
        <w:rPr>
          <w:rFonts w:asciiTheme="majorBidi" w:hAnsiTheme="majorBidi" w:cstheme="majorBid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2632"/>
        <w:gridCol w:w="2794"/>
        <w:gridCol w:w="2659"/>
      </w:tblGrid>
      <w:tr w:rsidR="0068385A" w:rsidRPr="00143F3B" w14:paraId="5EAEB959" w14:textId="10C292EC" w:rsidTr="0068385A">
        <w:tc>
          <w:tcPr>
            <w:tcW w:w="2674" w:type="dxa"/>
          </w:tcPr>
          <w:p w14:paraId="6260C516" w14:textId="5CB31842" w:rsidR="00044DDA" w:rsidRPr="00143F3B" w:rsidRDefault="00044DDA" w:rsidP="0068385A">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5E149784" wp14:editId="4F5A3F8F">
                  <wp:extent cx="1429886" cy="945515"/>
                  <wp:effectExtent l="76200" t="76200" r="132715" b="140335"/>
                  <wp:docPr id="3275229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22919" name="Picture 3275229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4193" cy="9549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520" w:type="dxa"/>
          </w:tcPr>
          <w:p w14:paraId="3575BC27" w14:textId="5345D32C" w:rsidR="00044DDA" w:rsidRPr="00143F3B" w:rsidRDefault="00F97238" w:rsidP="0068385A">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38C31035" wp14:editId="328208B1">
                  <wp:extent cx="1320800" cy="952500"/>
                  <wp:effectExtent l="76200" t="76200" r="127000" b="133350"/>
                  <wp:docPr id="1015440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40165" name="Picture 1015440165"/>
                          <pic:cNvPicPr/>
                        </pic:nvPicPr>
                        <pic:blipFill rotWithShape="1">
                          <a:blip r:embed="rId13">
                            <a:extLst>
                              <a:ext uri="{28A0092B-C50C-407E-A947-70E740481C1C}">
                                <a14:useLocalDpi xmlns:a14="http://schemas.microsoft.com/office/drawing/2010/main" val="0"/>
                              </a:ext>
                            </a:extLst>
                          </a:blip>
                          <a:srcRect t="15866" b="12019"/>
                          <a:stretch/>
                        </pic:blipFill>
                        <pic:spPr bwMode="auto">
                          <a:xfrm>
                            <a:off x="0" y="0"/>
                            <a:ext cx="1320800" cy="952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2675" w:type="dxa"/>
          </w:tcPr>
          <w:p w14:paraId="00BFF1DF" w14:textId="4F4988FD" w:rsidR="00044DDA" w:rsidRPr="00143F3B" w:rsidRDefault="00F97238" w:rsidP="0068385A">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53192CF2" wp14:editId="24042DB5">
                  <wp:extent cx="1428724" cy="945515"/>
                  <wp:effectExtent l="76200" t="76200" r="133985" b="140335"/>
                  <wp:docPr id="7734466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46600" name="Picture 773446600"/>
                          <pic:cNvPicPr/>
                        </pic:nvPicPr>
                        <pic:blipFill rotWithShape="1">
                          <a:blip r:embed="rId14" cstate="print">
                            <a:extLst>
                              <a:ext uri="{28A0092B-C50C-407E-A947-70E740481C1C}">
                                <a14:useLocalDpi xmlns:a14="http://schemas.microsoft.com/office/drawing/2010/main" val="0"/>
                              </a:ext>
                            </a:extLst>
                          </a:blip>
                          <a:srcRect r="21052"/>
                          <a:stretch/>
                        </pic:blipFill>
                        <pic:spPr bwMode="auto">
                          <a:xfrm>
                            <a:off x="0" y="0"/>
                            <a:ext cx="1430736" cy="9468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2546" w:type="dxa"/>
          </w:tcPr>
          <w:p w14:paraId="138B149F" w14:textId="763B71DA" w:rsidR="00044DDA" w:rsidRPr="00143F3B" w:rsidRDefault="00F97238" w:rsidP="0068385A">
            <w:pPr>
              <w:ind w:left="0"/>
              <w:jc w:val="center"/>
              <w:rPr>
                <w:rFonts w:asciiTheme="majorBidi" w:hAnsiTheme="majorBidi" w:cstheme="majorBidi"/>
                <w:sz w:val="20"/>
                <w:szCs w:val="20"/>
              </w:rPr>
            </w:pPr>
            <w:r w:rsidRPr="00143F3B">
              <w:rPr>
                <w:rFonts w:asciiTheme="majorBidi" w:hAnsiTheme="majorBidi" w:cstheme="majorBidi"/>
                <w:noProof/>
                <w:sz w:val="20"/>
                <w:szCs w:val="20"/>
              </w:rPr>
              <w:drawing>
                <wp:inline distT="0" distB="0" distL="0" distR="0" wp14:anchorId="618BABCF" wp14:editId="43454C7C">
                  <wp:extent cx="1339850" cy="946061"/>
                  <wp:effectExtent l="76200" t="76200" r="127000" b="140335"/>
                  <wp:docPr id="20666633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63361" name="Picture 2066663361"/>
                          <pic:cNvPicPr/>
                        </pic:nvPicPr>
                        <pic:blipFill rotWithShape="1">
                          <a:blip r:embed="rId15">
                            <a:extLst>
                              <a:ext uri="{28A0092B-C50C-407E-A947-70E740481C1C}">
                                <a14:useLocalDpi xmlns:a14="http://schemas.microsoft.com/office/drawing/2010/main" val="0"/>
                              </a:ext>
                            </a:extLst>
                          </a:blip>
                          <a:srcRect r="6097"/>
                          <a:stretch/>
                        </pic:blipFill>
                        <pic:spPr bwMode="auto">
                          <a:xfrm>
                            <a:off x="0" y="0"/>
                            <a:ext cx="1345361" cy="9499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637FC2" w:rsidRPr="00143F3B" w14:paraId="2219D83B" w14:textId="77777777" w:rsidTr="0068385A">
        <w:trPr>
          <w:trHeight w:val="386"/>
        </w:trPr>
        <w:tc>
          <w:tcPr>
            <w:tcW w:w="10415" w:type="dxa"/>
            <w:gridSpan w:val="4"/>
          </w:tcPr>
          <w:p w14:paraId="046B43EF" w14:textId="55BCB268" w:rsidR="00AC0E7A" w:rsidRPr="00143F3B" w:rsidRDefault="007E39C5" w:rsidP="0068385A">
            <w:pPr>
              <w:pStyle w:val="ListParagraph"/>
              <w:ind w:left="0"/>
              <w:jc w:val="center"/>
              <w:rPr>
                <w:rFonts w:asciiTheme="majorBidi" w:hAnsiTheme="majorBidi" w:cstheme="majorBidi"/>
                <w:b/>
                <w:bCs/>
                <w:sz w:val="20"/>
                <w:szCs w:val="20"/>
              </w:rPr>
            </w:pPr>
            <w:r w:rsidRPr="00143F3B">
              <w:rPr>
                <w:rFonts w:asciiTheme="majorBidi" w:hAnsiTheme="majorBidi" w:cstheme="majorBidi"/>
                <w:b/>
                <w:bCs/>
                <w:sz w:val="20"/>
                <w:szCs w:val="20"/>
              </w:rPr>
              <w:t>Figure (2): Different diagnostics used in Microbiology laboratory</w:t>
            </w:r>
          </w:p>
        </w:tc>
      </w:tr>
      <w:tr w:rsidR="0068385A" w:rsidRPr="00143F3B" w14:paraId="4C616728" w14:textId="59A2C3AB" w:rsidTr="0068385A">
        <w:tc>
          <w:tcPr>
            <w:tcW w:w="2674" w:type="dxa"/>
          </w:tcPr>
          <w:p w14:paraId="70097428" w14:textId="1639D517" w:rsidR="00044DDA" w:rsidRPr="00143F3B" w:rsidRDefault="00A92EC3" w:rsidP="0068385A">
            <w:pPr>
              <w:pStyle w:val="ListParagraph"/>
              <w:numPr>
                <w:ilvl w:val="0"/>
                <w:numId w:val="19"/>
              </w:numPr>
              <w:ind w:left="0" w:firstLine="284"/>
              <w:rPr>
                <w:rFonts w:asciiTheme="majorBidi" w:hAnsiTheme="majorBidi" w:cstheme="majorBidi"/>
                <w:b/>
                <w:bCs/>
                <w:sz w:val="20"/>
                <w:szCs w:val="20"/>
              </w:rPr>
            </w:pPr>
            <w:r w:rsidRPr="00143F3B">
              <w:rPr>
                <w:rFonts w:asciiTheme="majorBidi" w:hAnsiTheme="majorBidi" w:cstheme="majorBidi"/>
                <w:b/>
                <w:bCs/>
                <w:sz w:val="20"/>
                <w:szCs w:val="20"/>
              </w:rPr>
              <w:t>Routine culture</w:t>
            </w:r>
          </w:p>
        </w:tc>
        <w:tc>
          <w:tcPr>
            <w:tcW w:w="2520" w:type="dxa"/>
          </w:tcPr>
          <w:p w14:paraId="35BA0C42" w14:textId="4E9B577E" w:rsidR="00044DDA" w:rsidRPr="00143F3B" w:rsidRDefault="00A92EC3" w:rsidP="0068385A">
            <w:pPr>
              <w:pStyle w:val="ListParagraph"/>
              <w:numPr>
                <w:ilvl w:val="0"/>
                <w:numId w:val="19"/>
              </w:numPr>
              <w:ind w:left="0" w:firstLine="284"/>
              <w:rPr>
                <w:rFonts w:asciiTheme="majorBidi" w:hAnsiTheme="majorBidi" w:cstheme="majorBidi"/>
                <w:b/>
                <w:bCs/>
                <w:sz w:val="20"/>
                <w:szCs w:val="20"/>
              </w:rPr>
            </w:pPr>
            <w:r w:rsidRPr="00143F3B">
              <w:rPr>
                <w:rFonts w:asciiTheme="majorBidi" w:hAnsiTheme="majorBidi" w:cstheme="majorBidi"/>
                <w:b/>
                <w:bCs/>
                <w:sz w:val="20"/>
                <w:szCs w:val="20"/>
              </w:rPr>
              <w:t xml:space="preserve">API </w:t>
            </w:r>
          </w:p>
        </w:tc>
        <w:tc>
          <w:tcPr>
            <w:tcW w:w="2675" w:type="dxa"/>
          </w:tcPr>
          <w:p w14:paraId="3D74FED8" w14:textId="4F49611B" w:rsidR="00044DDA" w:rsidRPr="00143F3B" w:rsidRDefault="00A92EC3" w:rsidP="0068385A">
            <w:pPr>
              <w:pStyle w:val="ListParagraph"/>
              <w:numPr>
                <w:ilvl w:val="0"/>
                <w:numId w:val="19"/>
              </w:numPr>
              <w:ind w:left="0" w:firstLine="284"/>
              <w:rPr>
                <w:rFonts w:asciiTheme="majorBidi" w:hAnsiTheme="majorBidi" w:cstheme="majorBidi"/>
                <w:b/>
                <w:bCs/>
                <w:sz w:val="20"/>
                <w:szCs w:val="20"/>
              </w:rPr>
            </w:pPr>
            <w:r w:rsidRPr="00143F3B">
              <w:rPr>
                <w:rFonts w:asciiTheme="majorBidi" w:hAnsiTheme="majorBidi" w:cstheme="majorBidi"/>
                <w:b/>
                <w:bCs/>
                <w:sz w:val="20"/>
                <w:szCs w:val="20"/>
              </w:rPr>
              <w:t>PCR</w:t>
            </w:r>
          </w:p>
        </w:tc>
        <w:tc>
          <w:tcPr>
            <w:tcW w:w="2546" w:type="dxa"/>
          </w:tcPr>
          <w:p w14:paraId="543961E5" w14:textId="16D61C29" w:rsidR="00044DDA" w:rsidRPr="00143F3B" w:rsidRDefault="00F6045C" w:rsidP="0068385A">
            <w:pPr>
              <w:pStyle w:val="ListParagraph"/>
              <w:numPr>
                <w:ilvl w:val="0"/>
                <w:numId w:val="19"/>
              </w:numPr>
              <w:ind w:left="0" w:firstLine="284"/>
              <w:jc w:val="left"/>
              <w:rPr>
                <w:rFonts w:asciiTheme="majorBidi" w:hAnsiTheme="majorBidi" w:cstheme="majorBidi"/>
                <w:b/>
                <w:bCs/>
                <w:sz w:val="20"/>
                <w:szCs w:val="20"/>
              </w:rPr>
            </w:pPr>
            <w:r w:rsidRPr="00143F3B">
              <w:rPr>
                <w:rFonts w:asciiTheme="majorBidi" w:hAnsiTheme="majorBidi" w:cstheme="majorBidi"/>
                <w:b/>
                <w:bCs/>
                <w:sz w:val="20"/>
                <w:szCs w:val="20"/>
              </w:rPr>
              <w:t>WGS</w:t>
            </w:r>
          </w:p>
        </w:tc>
      </w:tr>
    </w:tbl>
    <w:p w14:paraId="7B2E71AA" w14:textId="77777777" w:rsidR="00621247" w:rsidRPr="00143F3B" w:rsidRDefault="00621247" w:rsidP="00447686">
      <w:pPr>
        <w:rPr>
          <w:rFonts w:asciiTheme="majorBidi" w:hAnsiTheme="majorBidi" w:cstheme="majorBidi"/>
          <w:sz w:val="20"/>
          <w:szCs w:val="20"/>
        </w:rPr>
      </w:pPr>
    </w:p>
    <w:p w14:paraId="10B29BDD" w14:textId="3172FDF6" w:rsidR="00D603DB" w:rsidRPr="00143F3B" w:rsidRDefault="002C4C82" w:rsidP="00AE7906">
      <w:pPr>
        <w:pStyle w:val="ListParagraph"/>
        <w:numPr>
          <w:ilvl w:val="0"/>
          <w:numId w:val="16"/>
        </w:numPr>
        <w:ind w:left="284" w:hanging="284"/>
        <w:rPr>
          <w:rFonts w:asciiTheme="majorBidi" w:hAnsiTheme="majorBidi" w:cstheme="majorBidi"/>
          <w:b/>
          <w:bCs/>
          <w:sz w:val="20"/>
          <w:szCs w:val="20"/>
        </w:rPr>
      </w:pPr>
      <w:r w:rsidRPr="00143F3B">
        <w:rPr>
          <w:noProof/>
        </w:rPr>
        <w:lastRenderedPageBreak/>
        <w:drawing>
          <wp:anchor distT="0" distB="0" distL="114300" distR="114300" simplePos="0" relativeHeight="251658240" behindDoc="0" locked="0" layoutInCell="1" allowOverlap="1" wp14:anchorId="0ACBC3D2" wp14:editId="52A9AD3D">
            <wp:simplePos x="0" y="0"/>
            <wp:positionH relativeFrom="page">
              <wp:posOffset>5245100</wp:posOffset>
            </wp:positionH>
            <wp:positionV relativeFrom="paragraph">
              <wp:posOffset>84455</wp:posOffset>
            </wp:positionV>
            <wp:extent cx="1791335" cy="2133600"/>
            <wp:effectExtent l="76200" t="76200" r="132715" b="133350"/>
            <wp:wrapSquare wrapText="bothSides"/>
            <wp:docPr id="2089259004" name="Picture 1" descr="A white and red box with red tri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59004" name="Picture 1" descr="A white and red box with red trim&#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l="15622" t="4033" r="13362" b="5457"/>
                    <a:stretch/>
                  </pic:blipFill>
                  <pic:spPr bwMode="auto">
                    <a:xfrm>
                      <a:off x="0" y="0"/>
                      <a:ext cx="1791335"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3DB" w:rsidRPr="00143F3B">
        <w:rPr>
          <w:rFonts w:asciiTheme="majorBidi" w:hAnsiTheme="majorBidi" w:cstheme="majorBidi"/>
          <w:b/>
          <w:bCs/>
          <w:sz w:val="20"/>
          <w:szCs w:val="20"/>
        </w:rPr>
        <w:t>What is the Biofire technology?</w:t>
      </w:r>
    </w:p>
    <w:p w14:paraId="6F355D60" w14:textId="77777777" w:rsidR="00831FA2" w:rsidRPr="00143F3B" w:rsidRDefault="00831FA2" w:rsidP="00831FA2">
      <w:pPr>
        <w:pStyle w:val="ListParagraph"/>
        <w:ind w:firstLine="0"/>
        <w:rPr>
          <w:rFonts w:asciiTheme="majorBidi" w:hAnsiTheme="majorBidi" w:cstheme="majorBidi"/>
          <w:b/>
          <w:bCs/>
          <w:sz w:val="20"/>
          <w:szCs w:val="20"/>
        </w:rPr>
      </w:pPr>
    </w:p>
    <w:p w14:paraId="2F122F73" w14:textId="435EEDA7" w:rsidR="00210DA7" w:rsidRPr="00143F3B" w:rsidRDefault="00ED5961" w:rsidP="0068385A">
      <w:pPr>
        <w:ind w:left="0"/>
        <w:rPr>
          <w:rFonts w:asciiTheme="majorBidi" w:hAnsiTheme="majorBidi" w:cstheme="majorBidi"/>
          <w:sz w:val="20"/>
          <w:szCs w:val="20"/>
        </w:rPr>
      </w:pPr>
      <w:r w:rsidRPr="00143F3B">
        <w:rPr>
          <w:rFonts w:asciiTheme="majorBidi" w:hAnsiTheme="majorBidi" w:cstheme="majorBidi"/>
          <w:sz w:val="20"/>
          <w:szCs w:val="20"/>
        </w:rPr>
        <w:t xml:space="preserve">The </w:t>
      </w:r>
      <w:r w:rsidR="0079642E" w:rsidRPr="00143F3B">
        <w:rPr>
          <w:rFonts w:asciiTheme="majorBidi" w:hAnsiTheme="majorBidi" w:cstheme="majorBidi"/>
          <w:sz w:val="20"/>
          <w:szCs w:val="20"/>
        </w:rPr>
        <w:t>BIOFIRE</w:t>
      </w:r>
      <w:r w:rsidRPr="00143F3B">
        <w:rPr>
          <w:rFonts w:asciiTheme="majorBidi" w:hAnsiTheme="majorBidi" w:cstheme="majorBidi"/>
          <w:sz w:val="20"/>
          <w:szCs w:val="20"/>
          <w:vertAlign w:val="superscript"/>
        </w:rPr>
        <w:t>®</w:t>
      </w:r>
      <w:r w:rsidRPr="00143F3B">
        <w:rPr>
          <w:rFonts w:asciiTheme="majorBidi" w:hAnsiTheme="majorBidi" w:cstheme="majorBidi"/>
          <w:sz w:val="20"/>
          <w:szCs w:val="20"/>
        </w:rPr>
        <w:t> FILMARRAY</w:t>
      </w:r>
      <w:r w:rsidRPr="00143F3B">
        <w:rPr>
          <w:rFonts w:asciiTheme="majorBidi" w:hAnsiTheme="majorBidi" w:cstheme="majorBidi"/>
          <w:sz w:val="20"/>
          <w:szCs w:val="20"/>
          <w:vertAlign w:val="superscript"/>
        </w:rPr>
        <w:t>®</w:t>
      </w:r>
      <w:r w:rsidRPr="00143F3B">
        <w:rPr>
          <w:rFonts w:asciiTheme="majorBidi" w:hAnsiTheme="majorBidi" w:cstheme="majorBidi"/>
          <w:sz w:val="20"/>
          <w:szCs w:val="20"/>
        </w:rPr>
        <w:t> Pouch is based on multiplex PCR</w:t>
      </w:r>
      <w:r w:rsidR="0047281F" w:rsidRPr="00143F3B">
        <w:rPr>
          <w:rFonts w:asciiTheme="majorBidi" w:hAnsiTheme="majorBidi" w:cstheme="majorBidi"/>
          <w:sz w:val="20"/>
          <w:szCs w:val="20"/>
        </w:rPr>
        <w:t xml:space="preserve">, </w:t>
      </w:r>
      <w:r w:rsidR="005755F7" w:rsidRPr="00143F3B">
        <w:rPr>
          <w:rFonts w:asciiTheme="majorBidi" w:hAnsiTheme="majorBidi" w:cstheme="majorBidi"/>
          <w:sz w:val="20"/>
          <w:szCs w:val="20"/>
        </w:rPr>
        <w:t xml:space="preserve">which is performed through three simple </w:t>
      </w:r>
      <w:r w:rsidR="00087453" w:rsidRPr="00143F3B">
        <w:rPr>
          <w:rFonts w:asciiTheme="majorBidi" w:hAnsiTheme="majorBidi" w:cstheme="majorBidi"/>
          <w:sz w:val="20"/>
          <w:szCs w:val="20"/>
        </w:rPr>
        <w:t>steps:</w:t>
      </w:r>
      <w:r w:rsidR="005755F7" w:rsidRPr="00143F3B">
        <w:rPr>
          <w:rFonts w:asciiTheme="majorBidi" w:hAnsiTheme="majorBidi" w:cstheme="majorBidi"/>
          <w:sz w:val="20"/>
          <w:szCs w:val="20"/>
        </w:rPr>
        <w:t xml:space="preserve"> </w:t>
      </w:r>
      <w:r w:rsidR="00F8446C" w:rsidRPr="00143F3B">
        <w:rPr>
          <w:rFonts w:asciiTheme="majorBidi" w:hAnsiTheme="majorBidi" w:cstheme="majorBidi"/>
          <w:sz w:val="20"/>
          <w:szCs w:val="20"/>
        </w:rPr>
        <w:t>(a) S</w:t>
      </w:r>
      <w:r w:rsidR="005755F7" w:rsidRPr="00143F3B">
        <w:rPr>
          <w:rFonts w:asciiTheme="majorBidi" w:hAnsiTheme="majorBidi" w:cstheme="majorBidi"/>
          <w:sz w:val="20"/>
          <w:szCs w:val="20"/>
        </w:rPr>
        <w:t>etup through injecti</w:t>
      </w:r>
      <w:r w:rsidR="00BF2431" w:rsidRPr="00143F3B">
        <w:rPr>
          <w:rFonts w:asciiTheme="majorBidi" w:hAnsiTheme="majorBidi" w:cstheme="majorBidi"/>
          <w:sz w:val="20"/>
          <w:szCs w:val="20"/>
        </w:rPr>
        <w:t>on of hydration solution and sample</w:t>
      </w:r>
      <w:r w:rsidR="00B6081A" w:rsidRPr="00143F3B">
        <w:rPr>
          <w:rFonts w:asciiTheme="majorBidi" w:hAnsiTheme="majorBidi" w:cstheme="majorBidi"/>
          <w:sz w:val="20"/>
          <w:szCs w:val="20"/>
        </w:rPr>
        <w:t xml:space="preserve">, followed by </w:t>
      </w:r>
      <w:r w:rsidR="00F8446C" w:rsidRPr="00143F3B">
        <w:rPr>
          <w:rFonts w:asciiTheme="majorBidi" w:hAnsiTheme="majorBidi" w:cstheme="majorBidi"/>
          <w:sz w:val="20"/>
          <w:szCs w:val="20"/>
        </w:rPr>
        <w:t>(b) I</w:t>
      </w:r>
      <w:r w:rsidR="00BF2431" w:rsidRPr="00143F3B">
        <w:rPr>
          <w:rFonts w:asciiTheme="majorBidi" w:hAnsiTheme="majorBidi" w:cstheme="majorBidi"/>
          <w:sz w:val="20"/>
          <w:szCs w:val="20"/>
        </w:rPr>
        <w:t>nserting the pouch into the instrument</w:t>
      </w:r>
      <w:r w:rsidR="00FC11ED" w:rsidRPr="00143F3B">
        <w:rPr>
          <w:rFonts w:asciiTheme="majorBidi" w:hAnsiTheme="majorBidi" w:cstheme="majorBidi"/>
          <w:sz w:val="20"/>
          <w:szCs w:val="20"/>
        </w:rPr>
        <w:t xml:space="preserve"> </w:t>
      </w:r>
      <w:r w:rsidR="00FC11ED" w:rsidRPr="00143F3B">
        <w:rPr>
          <w:rFonts w:asciiTheme="majorBidi" w:hAnsiTheme="majorBidi" w:cstheme="majorBidi"/>
          <w:b/>
          <w:bCs/>
          <w:sz w:val="20"/>
          <w:szCs w:val="20"/>
        </w:rPr>
        <w:t>figure (3)</w:t>
      </w:r>
      <w:r w:rsidR="00F8446C" w:rsidRPr="00143F3B">
        <w:rPr>
          <w:rFonts w:asciiTheme="majorBidi" w:hAnsiTheme="majorBidi" w:cstheme="majorBidi"/>
          <w:sz w:val="20"/>
          <w:szCs w:val="20"/>
        </w:rPr>
        <w:t>.</w:t>
      </w:r>
      <w:r w:rsidR="00B6081A" w:rsidRPr="00143F3B">
        <w:rPr>
          <w:rFonts w:asciiTheme="majorBidi" w:hAnsiTheme="majorBidi" w:cstheme="majorBidi"/>
          <w:sz w:val="20"/>
          <w:szCs w:val="20"/>
        </w:rPr>
        <w:t xml:space="preserve"> Then finally </w:t>
      </w:r>
      <w:r w:rsidR="00F8446C" w:rsidRPr="00143F3B">
        <w:rPr>
          <w:rFonts w:asciiTheme="majorBidi" w:hAnsiTheme="majorBidi" w:cstheme="majorBidi"/>
          <w:sz w:val="20"/>
          <w:szCs w:val="20"/>
        </w:rPr>
        <w:t xml:space="preserve">(c) </w:t>
      </w:r>
      <w:r w:rsidR="00BF2431" w:rsidRPr="00143F3B">
        <w:rPr>
          <w:rFonts w:asciiTheme="majorBidi" w:hAnsiTheme="majorBidi" w:cstheme="majorBidi"/>
          <w:sz w:val="20"/>
          <w:szCs w:val="20"/>
        </w:rPr>
        <w:t xml:space="preserve">ended by </w:t>
      </w:r>
      <w:r w:rsidR="00087453" w:rsidRPr="00143F3B">
        <w:rPr>
          <w:rFonts w:asciiTheme="majorBidi" w:hAnsiTheme="majorBidi" w:cstheme="majorBidi"/>
          <w:sz w:val="20"/>
          <w:szCs w:val="20"/>
        </w:rPr>
        <w:t>software reporting the results. Biofire</w:t>
      </w:r>
      <w:r w:rsidR="0047281F" w:rsidRPr="00143F3B">
        <w:rPr>
          <w:rFonts w:asciiTheme="majorBidi" w:hAnsiTheme="majorBidi" w:cstheme="majorBidi"/>
          <w:sz w:val="20"/>
          <w:szCs w:val="20"/>
        </w:rPr>
        <w:t xml:space="preserve"> cycle of identification </w:t>
      </w:r>
      <w:r w:rsidR="00087453" w:rsidRPr="00143F3B">
        <w:rPr>
          <w:rFonts w:asciiTheme="majorBidi" w:hAnsiTheme="majorBidi" w:cstheme="majorBidi"/>
          <w:sz w:val="20"/>
          <w:szCs w:val="20"/>
        </w:rPr>
        <w:t xml:space="preserve">starts with </w:t>
      </w:r>
      <w:r w:rsidR="0047281F" w:rsidRPr="00143F3B">
        <w:rPr>
          <w:rFonts w:asciiTheme="majorBidi" w:hAnsiTheme="majorBidi" w:cstheme="majorBidi"/>
          <w:sz w:val="20"/>
          <w:szCs w:val="20"/>
        </w:rPr>
        <w:t xml:space="preserve">extraction and purification of nucleic acids from the </w:t>
      </w:r>
      <w:r w:rsidR="00D46EDB" w:rsidRPr="00143F3B">
        <w:rPr>
          <w:rFonts w:asciiTheme="majorBidi" w:hAnsiTheme="majorBidi" w:cstheme="majorBidi"/>
          <w:sz w:val="20"/>
          <w:szCs w:val="20"/>
        </w:rPr>
        <w:t xml:space="preserve">suitable sample. Thereafter, </w:t>
      </w:r>
      <w:r w:rsidR="0079642E" w:rsidRPr="00143F3B">
        <w:rPr>
          <w:rFonts w:asciiTheme="majorBidi" w:hAnsiTheme="majorBidi" w:cstheme="majorBidi"/>
          <w:sz w:val="20"/>
          <w:szCs w:val="20"/>
        </w:rPr>
        <w:t xml:space="preserve">two steps of multiplex PCR </w:t>
      </w:r>
      <w:r w:rsidR="00087453" w:rsidRPr="00143F3B">
        <w:rPr>
          <w:rFonts w:asciiTheme="majorBidi" w:hAnsiTheme="majorBidi" w:cstheme="majorBidi"/>
          <w:sz w:val="20"/>
          <w:szCs w:val="20"/>
        </w:rPr>
        <w:t>are</w:t>
      </w:r>
      <w:r w:rsidR="0079642E" w:rsidRPr="00143F3B">
        <w:rPr>
          <w:rFonts w:asciiTheme="majorBidi" w:hAnsiTheme="majorBidi" w:cstheme="majorBidi"/>
          <w:sz w:val="20"/>
          <w:szCs w:val="20"/>
        </w:rPr>
        <w:t xml:space="preserve"> commenced</w:t>
      </w:r>
      <w:r w:rsidR="000A27E2" w:rsidRPr="00143F3B">
        <w:rPr>
          <w:rFonts w:asciiTheme="majorBidi" w:hAnsiTheme="majorBidi" w:cstheme="majorBidi"/>
          <w:sz w:val="20"/>
          <w:szCs w:val="20"/>
        </w:rPr>
        <w:t xml:space="preserve">, starting with single multiplexed reaction followed by individual single-plex reactions to detect the </w:t>
      </w:r>
      <w:r w:rsidR="005D7D3C" w:rsidRPr="00143F3B">
        <w:rPr>
          <w:rFonts w:asciiTheme="majorBidi" w:hAnsiTheme="majorBidi" w:cstheme="majorBidi"/>
          <w:sz w:val="20"/>
          <w:szCs w:val="20"/>
        </w:rPr>
        <w:t>target either an organism or a</w:t>
      </w:r>
      <w:r w:rsidR="001255D6" w:rsidRPr="00143F3B">
        <w:rPr>
          <w:rFonts w:asciiTheme="majorBidi" w:hAnsiTheme="majorBidi" w:cstheme="majorBidi"/>
          <w:sz w:val="20"/>
          <w:szCs w:val="20"/>
        </w:rPr>
        <w:t>n antimicrobial</w:t>
      </w:r>
      <w:r w:rsidR="005D7D3C" w:rsidRPr="00143F3B">
        <w:rPr>
          <w:rFonts w:asciiTheme="majorBidi" w:hAnsiTheme="majorBidi" w:cstheme="majorBidi"/>
          <w:sz w:val="20"/>
          <w:szCs w:val="20"/>
        </w:rPr>
        <w:t xml:space="preserve"> </w:t>
      </w:r>
      <w:r w:rsidR="008458DC" w:rsidRPr="00143F3B">
        <w:rPr>
          <w:rFonts w:asciiTheme="majorBidi" w:hAnsiTheme="majorBidi" w:cstheme="majorBidi"/>
          <w:sz w:val="20"/>
          <w:szCs w:val="20"/>
        </w:rPr>
        <w:t>resistant gene</w:t>
      </w:r>
      <w:r w:rsidR="005D7D3C" w:rsidRPr="00143F3B">
        <w:rPr>
          <w:rFonts w:asciiTheme="majorBidi" w:hAnsiTheme="majorBidi" w:cstheme="majorBidi"/>
          <w:sz w:val="20"/>
          <w:szCs w:val="20"/>
        </w:rPr>
        <w:t>.</w:t>
      </w:r>
    </w:p>
    <w:p w14:paraId="67B31129" w14:textId="526D85B7" w:rsidR="000C5C43" w:rsidRPr="00143F3B" w:rsidRDefault="000C5C43" w:rsidP="0068385A">
      <w:pPr>
        <w:ind w:left="0"/>
        <w:rPr>
          <w:rFonts w:asciiTheme="majorBidi" w:hAnsiTheme="majorBidi" w:cstheme="majorBidi"/>
          <w:sz w:val="20"/>
          <w:szCs w:val="20"/>
        </w:rPr>
      </w:pPr>
      <w:r w:rsidRPr="00143F3B">
        <w:rPr>
          <w:rFonts w:asciiTheme="majorBidi" w:hAnsiTheme="majorBidi" w:cstheme="majorBidi"/>
          <w:sz w:val="20"/>
          <w:szCs w:val="20"/>
        </w:rPr>
        <w:t xml:space="preserve">This technology and </w:t>
      </w:r>
      <w:r w:rsidR="008A3504" w:rsidRPr="00143F3B">
        <w:rPr>
          <w:rFonts w:asciiTheme="majorBidi" w:hAnsiTheme="majorBidi" w:cstheme="majorBidi"/>
          <w:sz w:val="20"/>
          <w:szCs w:val="20"/>
        </w:rPr>
        <w:t>its</w:t>
      </w:r>
      <w:r w:rsidR="001255D6" w:rsidRPr="00143F3B">
        <w:rPr>
          <w:rFonts w:asciiTheme="majorBidi" w:hAnsiTheme="majorBidi" w:cstheme="majorBidi"/>
          <w:sz w:val="20"/>
          <w:szCs w:val="20"/>
        </w:rPr>
        <w:t xml:space="preserve"> </w:t>
      </w:r>
      <w:r w:rsidRPr="00143F3B">
        <w:rPr>
          <w:rFonts w:asciiTheme="majorBidi" w:hAnsiTheme="majorBidi" w:cstheme="majorBidi"/>
          <w:sz w:val="20"/>
          <w:szCs w:val="20"/>
        </w:rPr>
        <w:t xml:space="preserve">simple performance give </w:t>
      </w:r>
      <w:r w:rsidR="004014B6" w:rsidRPr="00143F3B">
        <w:rPr>
          <w:rFonts w:asciiTheme="majorBidi" w:hAnsiTheme="majorBidi" w:cstheme="majorBidi"/>
          <w:sz w:val="20"/>
          <w:szCs w:val="20"/>
        </w:rPr>
        <w:t xml:space="preserve">many advantages to the BIOFIRE over the conventional culture methos used in the Microbiology Laboratories. These advantages include the </w:t>
      </w:r>
      <w:r w:rsidR="00296A0E" w:rsidRPr="00143F3B">
        <w:rPr>
          <w:rFonts w:asciiTheme="majorBidi" w:hAnsiTheme="majorBidi" w:cstheme="majorBidi"/>
          <w:sz w:val="20"/>
          <w:szCs w:val="20"/>
        </w:rPr>
        <w:t>faster</w:t>
      </w:r>
      <w:r w:rsidR="004014B6" w:rsidRPr="00143F3B">
        <w:rPr>
          <w:rFonts w:asciiTheme="majorBidi" w:hAnsiTheme="majorBidi" w:cstheme="majorBidi"/>
          <w:sz w:val="20"/>
          <w:szCs w:val="20"/>
        </w:rPr>
        <w:t xml:space="preserve"> </w:t>
      </w:r>
      <w:r w:rsidR="001E617A" w:rsidRPr="00143F3B">
        <w:rPr>
          <w:rFonts w:asciiTheme="majorBidi" w:hAnsiTheme="majorBidi" w:cstheme="majorBidi"/>
          <w:sz w:val="20"/>
          <w:szCs w:val="20"/>
        </w:rPr>
        <w:t>turnaround</w:t>
      </w:r>
      <w:r w:rsidR="004014B6" w:rsidRPr="00143F3B">
        <w:rPr>
          <w:rFonts w:asciiTheme="majorBidi" w:hAnsiTheme="majorBidi" w:cstheme="majorBidi"/>
          <w:sz w:val="20"/>
          <w:szCs w:val="20"/>
        </w:rPr>
        <w:t xml:space="preserve"> time and cost effectiveness, </w:t>
      </w:r>
      <w:r w:rsidR="00296A0E" w:rsidRPr="00143F3B">
        <w:rPr>
          <w:rFonts w:asciiTheme="majorBidi" w:hAnsiTheme="majorBidi" w:cstheme="majorBidi"/>
          <w:sz w:val="20"/>
          <w:szCs w:val="20"/>
        </w:rPr>
        <w:t xml:space="preserve">which help in identifying causative organisms and their mechanism of </w:t>
      </w:r>
      <w:r w:rsidR="00303133" w:rsidRPr="00143F3B">
        <w:rPr>
          <w:rFonts w:asciiTheme="majorBidi" w:hAnsiTheme="majorBidi" w:cstheme="majorBidi"/>
          <w:sz w:val="20"/>
          <w:szCs w:val="20"/>
        </w:rPr>
        <w:t xml:space="preserve">antimicrobial </w:t>
      </w:r>
      <w:r w:rsidR="00296A0E" w:rsidRPr="00143F3B">
        <w:rPr>
          <w:rFonts w:asciiTheme="majorBidi" w:hAnsiTheme="majorBidi" w:cstheme="majorBidi"/>
          <w:sz w:val="20"/>
          <w:szCs w:val="20"/>
        </w:rPr>
        <w:t>resistance which can guide</w:t>
      </w:r>
      <w:r w:rsidR="00DB136B" w:rsidRPr="00143F3B">
        <w:rPr>
          <w:rFonts w:asciiTheme="majorBidi" w:hAnsiTheme="majorBidi" w:cstheme="majorBidi"/>
          <w:sz w:val="20"/>
          <w:szCs w:val="20"/>
        </w:rPr>
        <w:t xml:space="preserve"> the</w:t>
      </w:r>
      <w:r w:rsidR="00296A0E" w:rsidRPr="00143F3B">
        <w:rPr>
          <w:rFonts w:asciiTheme="majorBidi" w:hAnsiTheme="majorBidi" w:cstheme="majorBidi"/>
          <w:sz w:val="20"/>
          <w:szCs w:val="20"/>
        </w:rPr>
        <w:t xml:space="preserve"> physicians in </w:t>
      </w:r>
      <w:r w:rsidR="00DB136B" w:rsidRPr="00143F3B">
        <w:rPr>
          <w:rFonts w:asciiTheme="majorBidi" w:hAnsiTheme="majorBidi" w:cstheme="majorBidi"/>
          <w:sz w:val="20"/>
          <w:szCs w:val="20"/>
        </w:rPr>
        <w:t xml:space="preserve">developing an early </w:t>
      </w:r>
      <w:r w:rsidR="00881D76" w:rsidRPr="00143F3B">
        <w:rPr>
          <w:rFonts w:asciiTheme="majorBidi" w:hAnsiTheme="majorBidi" w:cstheme="majorBidi"/>
          <w:sz w:val="20"/>
          <w:szCs w:val="20"/>
        </w:rPr>
        <w:t xml:space="preserve">efficient </w:t>
      </w:r>
      <w:r w:rsidR="00DB136B" w:rsidRPr="00143F3B">
        <w:rPr>
          <w:rFonts w:asciiTheme="majorBidi" w:hAnsiTheme="majorBidi" w:cstheme="majorBidi"/>
          <w:sz w:val="20"/>
          <w:szCs w:val="20"/>
        </w:rPr>
        <w:t>antimicrobial plan</w:t>
      </w:r>
      <w:r w:rsidR="00881D76" w:rsidRPr="00143F3B">
        <w:rPr>
          <w:rFonts w:asciiTheme="majorBidi" w:hAnsiTheme="majorBidi" w:cstheme="majorBidi"/>
          <w:sz w:val="20"/>
          <w:szCs w:val="20"/>
        </w:rPr>
        <w:t>.</w:t>
      </w:r>
    </w:p>
    <w:p w14:paraId="5BA64F8C" w14:textId="179BF6ED" w:rsidR="001119CE" w:rsidRPr="00143F3B" w:rsidRDefault="002C4C82" w:rsidP="0068385A">
      <w:pPr>
        <w:ind w:left="0"/>
        <w:rPr>
          <w:rFonts w:asciiTheme="majorBidi" w:hAnsiTheme="majorBidi" w:cstheme="majorBidi"/>
          <w:sz w:val="20"/>
          <w:szCs w:val="20"/>
        </w:rPr>
      </w:pPr>
      <w:r w:rsidRPr="00143F3B">
        <w:rPr>
          <w:rFonts w:asciiTheme="majorBidi" w:hAnsiTheme="majorBidi" w:cstheme="majorBidi"/>
          <w:noProof/>
          <w:sz w:val="20"/>
          <w:szCs w:val="20"/>
        </w:rPr>
        <mc:AlternateContent>
          <mc:Choice Requires="wps">
            <w:drawing>
              <wp:anchor distT="0" distB="0" distL="114300" distR="114300" simplePos="0" relativeHeight="251660288" behindDoc="0" locked="0" layoutInCell="1" allowOverlap="1" wp14:anchorId="3170BFCB" wp14:editId="3C6FDCE7">
                <wp:simplePos x="0" y="0"/>
                <wp:positionH relativeFrom="column">
                  <wp:posOffset>4733925</wp:posOffset>
                </wp:positionH>
                <wp:positionV relativeFrom="paragraph">
                  <wp:posOffset>248920</wp:posOffset>
                </wp:positionV>
                <wp:extent cx="2174240" cy="635"/>
                <wp:effectExtent l="0" t="0" r="0" b="0"/>
                <wp:wrapSquare wrapText="bothSides"/>
                <wp:docPr id="936174093" name="Text Box 1"/>
                <wp:cNvGraphicFramePr/>
                <a:graphic xmlns:a="http://schemas.openxmlformats.org/drawingml/2006/main">
                  <a:graphicData uri="http://schemas.microsoft.com/office/word/2010/wordprocessingShape">
                    <wps:wsp>
                      <wps:cNvSpPr txBox="1"/>
                      <wps:spPr>
                        <a:xfrm>
                          <a:off x="0" y="0"/>
                          <a:ext cx="2174240" cy="635"/>
                        </a:xfrm>
                        <a:prstGeom prst="rect">
                          <a:avLst/>
                        </a:prstGeom>
                        <a:solidFill>
                          <a:prstClr val="white"/>
                        </a:solidFill>
                        <a:ln>
                          <a:noFill/>
                        </a:ln>
                      </wps:spPr>
                      <wps:txbx>
                        <w:txbxContent>
                          <w:p w14:paraId="4C258A7B" w14:textId="2A7A54EC" w:rsidR="00B10EB0" w:rsidRPr="002C4C82" w:rsidRDefault="007B6D1F" w:rsidP="00E44B08">
                            <w:pPr>
                              <w:pStyle w:val="Caption"/>
                              <w:ind w:left="0" w:firstLine="0"/>
                              <w:jc w:val="center"/>
                              <w:rPr>
                                <w:rFonts w:asciiTheme="majorBidi" w:hAnsiTheme="majorBidi" w:cstheme="majorBidi"/>
                                <w:b/>
                                <w:bCs/>
                                <w:i w:val="0"/>
                                <w:iCs w:val="0"/>
                                <w:noProof/>
                                <w:sz w:val="20"/>
                                <w:szCs w:val="20"/>
                              </w:rPr>
                            </w:pPr>
                            <w:r w:rsidRPr="002C4C82">
                              <w:rPr>
                                <w:rFonts w:asciiTheme="majorBidi" w:hAnsiTheme="majorBidi" w:cstheme="majorBidi"/>
                                <w:b/>
                                <w:bCs/>
                                <w:i w:val="0"/>
                                <w:iCs w:val="0"/>
                                <w:sz w:val="20"/>
                                <w:szCs w:val="20"/>
                              </w:rPr>
                              <w:t>Figure (</w:t>
                            </w:r>
                            <w:r w:rsidR="005F4888">
                              <w:rPr>
                                <w:rFonts w:asciiTheme="majorBidi" w:hAnsiTheme="majorBidi" w:cstheme="majorBidi"/>
                                <w:b/>
                                <w:bCs/>
                                <w:i w:val="0"/>
                                <w:iCs w:val="0"/>
                                <w:sz w:val="20"/>
                                <w:szCs w:val="20"/>
                              </w:rPr>
                              <w:t>3</w:t>
                            </w:r>
                            <w:r w:rsidRPr="002C4C82">
                              <w:rPr>
                                <w:rFonts w:asciiTheme="majorBidi" w:hAnsiTheme="majorBidi" w:cstheme="majorBidi"/>
                                <w:b/>
                                <w:bCs/>
                                <w:i w:val="0"/>
                                <w:iCs w:val="0"/>
                                <w:sz w:val="20"/>
                                <w:szCs w:val="20"/>
                              </w:rPr>
                              <w:t>)</w:t>
                            </w:r>
                            <w:r w:rsidR="00931C33">
                              <w:rPr>
                                <w:rFonts w:asciiTheme="majorBidi" w:hAnsiTheme="majorBidi" w:cstheme="majorBidi"/>
                                <w:b/>
                                <w:bCs/>
                                <w:i w:val="0"/>
                                <w:iCs w:val="0"/>
                                <w:sz w:val="20"/>
                                <w:szCs w:val="20"/>
                              </w:rPr>
                              <w:t>:</w:t>
                            </w:r>
                            <w:r w:rsidRPr="002C4C82">
                              <w:rPr>
                                <w:rFonts w:asciiTheme="majorBidi" w:hAnsiTheme="majorBidi" w:cstheme="majorBidi"/>
                                <w:b/>
                                <w:bCs/>
                                <w:i w:val="0"/>
                                <w:iCs w:val="0"/>
                                <w:sz w:val="20"/>
                                <w:szCs w:val="20"/>
                              </w:rPr>
                              <w:t xml:space="preserve"> </w:t>
                            </w:r>
                            <w:r w:rsidR="00B10EB0" w:rsidRPr="002C4C82">
                              <w:rPr>
                                <w:rFonts w:asciiTheme="majorBidi" w:hAnsiTheme="majorBidi" w:cstheme="majorBidi"/>
                                <w:b/>
                                <w:bCs/>
                                <w:i w:val="0"/>
                                <w:iCs w:val="0"/>
                                <w:sz w:val="20"/>
                                <w:szCs w:val="20"/>
                              </w:rPr>
                              <w:t>BIOFIRE FILMARRAY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70BFCB" id="_x0000_t202" coordsize="21600,21600" o:spt="202" path="m,l,21600r21600,l21600,xe">
                <v:stroke joinstyle="miter"/>
                <v:path gradientshapeok="t" o:connecttype="rect"/>
              </v:shapetype>
              <v:shape id="Text Box 1" o:spid="_x0000_s1026" type="#_x0000_t202" style="position:absolute;left:0;text-align:left;margin-left:372.75pt;margin-top:19.6pt;width:171.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" stroked="f">
                <v:textbox style="mso-fit-shape-to-text:t" inset="0,0,0,0">
                  <w:txbxContent>
                    <w:p w14:paraId="4C258A7B" w14:textId="2A7A54EC" w:rsidR="00B10EB0" w:rsidRPr="002C4C82" w:rsidRDefault="007B6D1F" w:rsidP="00E44B08">
                      <w:pPr>
                        <w:pStyle w:val="Caption"/>
                        <w:ind w:left="0" w:firstLine="0"/>
                        <w:jc w:val="center"/>
                        <w:rPr>
                          <w:rFonts w:asciiTheme="majorBidi" w:hAnsiTheme="majorBidi" w:cstheme="majorBidi"/>
                          <w:b/>
                          <w:bCs/>
                          <w:i w:val="0"/>
                          <w:iCs w:val="0"/>
                          <w:noProof/>
                          <w:sz w:val="20"/>
                          <w:szCs w:val="20"/>
                        </w:rPr>
                      </w:pPr>
                      <w:r w:rsidRPr="002C4C82">
                        <w:rPr>
                          <w:rFonts w:asciiTheme="majorBidi" w:hAnsiTheme="majorBidi" w:cstheme="majorBidi"/>
                          <w:b/>
                          <w:bCs/>
                          <w:i w:val="0"/>
                          <w:iCs w:val="0"/>
                          <w:sz w:val="20"/>
                          <w:szCs w:val="20"/>
                        </w:rPr>
                        <w:t>Figure (</w:t>
                      </w:r>
                      <w:r w:rsidR="005F4888">
                        <w:rPr>
                          <w:rFonts w:asciiTheme="majorBidi" w:hAnsiTheme="majorBidi" w:cstheme="majorBidi"/>
                          <w:b/>
                          <w:bCs/>
                          <w:i w:val="0"/>
                          <w:iCs w:val="0"/>
                          <w:sz w:val="20"/>
                          <w:szCs w:val="20"/>
                        </w:rPr>
                        <w:t>3</w:t>
                      </w:r>
                      <w:r w:rsidRPr="002C4C82">
                        <w:rPr>
                          <w:rFonts w:asciiTheme="majorBidi" w:hAnsiTheme="majorBidi" w:cstheme="majorBidi"/>
                          <w:b/>
                          <w:bCs/>
                          <w:i w:val="0"/>
                          <w:iCs w:val="0"/>
                          <w:sz w:val="20"/>
                          <w:szCs w:val="20"/>
                        </w:rPr>
                        <w:t>)</w:t>
                      </w:r>
                      <w:r w:rsidR="00931C33">
                        <w:rPr>
                          <w:rFonts w:asciiTheme="majorBidi" w:hAnsiTheme="majorBidi" w:cstheme="majorBidi"/>
                          <w:b/>
                          <w:bCs/>
                          <w:i w:val="0"/>
                          <w:iCs w:val="0"/>
                          <w:sz w:val="20"/>
                          <w:szCs w:val="20"/>
                        </w:rPr>
                        <w:t>:</w:t>
                      </w:r>
                      <w:r w:rsidRPr="002C4C82">
                        <w:rPr>
                          <w:rFonts w:asciiTheme="majorBidi" w:hAnsiTheme="majorBidi" w:cstheme="majorBidi"/>
                          <w:b/>
                          <w:bCs/>
                          <w:i w:val="0"/>
                          <w:iCs w:val="0"/>
                          <w:sz w:val="20"/>
                          <w:szCs w:val="20"/>
                        </w:rPr>
                        <w:t xml:space="preserve"> </w:t>
                      </w:r>
                      <w:r w:rsidR="00B10EB0" w:rsidRPr="002C4C82">
                        <w:rPr>
                          <w:rFonts w:asciiTheme="majorBidi" w:hAnsiTheme="majorBidi" w:cstheme="majorBidi"/>
                          <w:b/>
                          <w:bCs/>
                          <w:i w:val="0"/>
                          <w:iCs w:val="0"/>
                          <w:sz w:val="20"/>
                          <w:szCs w:val="20"/>
                        </w:rPr>
                        <w:t>BIOFIRE FILMARRAY</w:t>
                      </w:r>
                    </w:p>
                  </w:txbxContent>
                </v:textbox>
                <w10:wrap type="square"/>
              </v:shape>
            </w:pict>
          </mc:Fallback>
        </mc:AlternateContent>
      </w:r>
      <w:r w:rsidR="00612AFF" w:rsidRPr="00143F3B">
        <w:rPr>
          <w:rFonts w:asciiTheme="majorBidi" w:hAnsiTheme="majorBidi" w:cstheme="majorBidi"/>
          <w:sz w:val="20"/>
          <w:szCs w:val="20"/>
        </w:rPr>
        <w:t xml:space="preserve">In 2022, </w:t>
      </w:r>
      <w:r w:rsidR="004E6EB6" w:rsidRPr="00143F3B">
        <w:rPr>
          <w:rFonts w:asciiTheme="majorBidi" w:hAnsiTheme="majorBidi" w:cstheme="majorBidi"/>
          <w:sz w:val="20"/>
          <w:szCs w:val="20"/>
        </w:rPr>
        <w:t>Food and Drug Administration (</w:t>
      </w:r>
      <w:r w:rsidR="00612AFF" w:rsidRPr="00143F3B">
        <w:rPr>
          <w:rFonts w:asciiTheme="majorBidi" w:hAnsiTheme="majorBidi" w:cstheme="majorBidi"/>
          <w:sz w:val="20"/>
          <w:szCs w:val="20"/>
        </w:rPr>
        <w:t>FDA</w:t>
      </w:r>
      <w:r w:rsidR="004E6EB6" w:rsidRPr="00143F3B">
        <w:rPr>
          <w:rFonts w:asciiTheme="majorBidi" w:hAnsiTheme="majorBidi" w:cstheme="majorBidi"/>
          <w:sz w:val="20"/>
          <w:szCs w:val="20"/>
        </w:rPr>
        <w:t>)</w:t>
      </w:r>
      <w:r w:rsidR="00612AFF" w:rsidRPr="00143F3B">
        <w:rPr>
          <w:rFonts w:asciiTheme="majorBidi" w:hAnsiTheme="majorBidi" w:cstheme="majorBidi"/>
          <w:sz w:val="20"/>
          <w:szCs w:val="20"/>
        </w:rPr>
        <w:t xml:space="preserve"> approved </w:t>
      </w:r>
      <w:r w:rsidR="00241A9D" w:rsidRPr="00143F3B">
        <w:rPr>
          <w:rFonts w:asciiTheme="majorBidi" w:hAnsiTheme="majorBidi" w:cstheme="majorBidi"/>
          <w:sz w:val="20"/>
          <w:szCs w:val="20"/>
        </w:rPr>
        <w:t>the BIOFIRE Joint</w:t>
      </w:r>
      <w:r w:rsidR="00E62429" w:rsidRPr="00143F3B">
        <w:rPr>
          <w:rFonts w:asciiTheme="majorBidi" w:hAnsiTheme="majorBidi" w:cstheme="majorBidi"/>
          <w:sz w:val="20"/>
          <w:szCs w:val="20"/>
        </w:rPr>
        <w:t xml:space="preserve"> </w:t>
      </w:r>
      <w:r w:rsidR="00241A9D" w:rsidRPr="00143F3B">
        <w:rPr>
          <w:rFonts w:asciiTheme="majorBidi" w:hAnsiTheme="majorBidi" w:cstheme="majorBidi"/>
          <w:sz w:val="20"/>
          <w:szCs w:val="20"/>
        </w:rPr>
        <w:t>JI panel</w:t>
      </w:r>
      <w:r w:rsidR="00E62429" w:rsidRPr="00143F3B">
        <w:rPr>
          <w:rFonts w:asciiTheme="majorBidi" w:hAnsiTheme="majorBidi" w:cstheme="majorBidi"/>
          <w:sz w:val="20"/>
          <w:szCs w:val="20"/>
        </w:rPr>
        <w:t>,</w:t>
      </w:r>
      <w:r w:rsidR="00241A9D" w:rsidRPr="00143F3B">
        <w:rPr>
          <w:rFonts w:asciiTheme="majorBidi" w:hAnsiTheme="majorBidi" w:cstheme="majorBidi"/>
          <w:sz w:val="20"/>
          <w:szCs w:val="20"/>
        </w:rPr>
        <w:t xml:space="preserve"> which </w:t>
      </w:r>
      <w:r w:rsidR="00827600" w:rsidRPr="00143F3B">
        <w:rPr>
          <w:rFonts w:asciiTheme="majorBidi" w:hAnsiTheme="majorBidi" w:cstheme="majorBidi"/>
          <w:sz w:val="20"/>
          <w:szCs w:val="20"/>
        </w:rPr>
        <w:t xml:space="preserve">is targeting </w:t>
      </w:r>
      <w:r w:rsidR="00E01704" w:rsidRPr="00143F3B">
        <w:rPr>
          <w:rFonts w:asciiTheme="majorBidi" w:hAnsiTheme="majorBidi" w:cstheme="majorBidi"/>
          <w:sz w:val="20"/>
          <w:szCs w:val="20"/>
        </w:rPr>
        <w:t xml:space="preserve">39 clinically relevant targets </w:t>
      </w:r>
      <w:r w:rsidR="00303133" w:rsidRPr="00143F3B">
        <w:rPr>
          <w:rFonts w:asciiTheme="majorBidi" w:hAnsiTheme="majorBidi" w:cstheme="majorBidi"/>
          <w:sz w:val="20"/>
          <w:szCs w:val="20"/>
        </w:rPr>
        <w:t>including</w:t>
      </w:r>
      <w:r w:rsidR="00E01704" w:rsidRPr="00143F3B">
        <w:rPr>
          <w:rFonts w:asciiTheme="majorBidi" w:hAnsiTheme="majorBidi" w:cstheme="majorBidi"/>
          <w:sz w:val="20"/>
          <w:szCs w:val="20"/>
        </w:rPr>
        <w:t xml:space="preserve"> </w:t>
      </w:r>
      <w:r w:rsidR="00303133" w:rsidRPr="00143F3B">
        <w:rPr>
          <w:rFonts w:asciiTheme="majorBidi" w:hAnsiTheme="majorBidi" w:cstheme="majorBidi"/>
          <w:sz w:val="20"/>
          <w:szCs w:val="20"/>
        </w:rPr>
        <w:t>Gram-positive</w:t>
      </w:r>
      <w:r w:rsidR="008D5A43" w:rsidRPr="00143F3B">
        <w:rPr>
          <w:rFonts w:asciiTheme="majorBidi" w:hAnsiTheme="majorBidi" w:cstheme="majorBidi"/>
          <w:sz w:val="20"/>
          <w:szCs w:val="20"/>
        </w:rPr>
        <w:t xml:space="preserve"> bacteria</w:t>
      </w:r>
      <w:r w:rsidR="00303133" w:rsidRPr="00143F3B">
        <w:rPr>
          <w:rFonts w:asciiTheme="majorBidi" w:hAnsiTheme="majorBidi" w:cstheme="majorBidi"/>
          <w:sz w:val="20"/>
          <w:szCs w:val="20"/>
        </w:rPr>
        <w:t>, Gram-negative</w:t>
      </w:r>
      <w:r w:rsidR="00E01704" w:rsidRPr="00143F3B">
        <w:rPr>
          <w:rFonts w:asciiTheme="majorBidi" w:hAnsiTheme="majorBidi" w:cstheme="majorBidi"/>
          <w:sz w:val="20"/>
          <w:szCs w:val="20"/>
        </w:rPr>
        <w:t xml:space="preserve"> bacteria, </w:t>
      </w:r>
      <w:r w:rsidR="00303133" w:rsidRPr="00143F3B">
        <w:rPr>
          <w:rFonts w:asciiTheme="majorBidi" w:hAnsiTheme="majorBidi" w:cstheme="majorBidi"/>
          <w:sz w:val="20"/>
          <w:szCs w:val="20"/>
        </w:rPr>
        <w:t>yeast, and antimicrobial resistance genes</w:t>
      </w:r>
      <w:r w:rsidR="00FA037B" w:rsidRPr="00143F3B">
        <w:rPr>
          <w:rFonts w:asciiTheme="majorBidi" w:hAnsiTheme="majorBidi" w:cstheme="majorBidi"/>
          <w:sz w:val="20"/>
          <w:szCs w:val="20"/>
        </w:rPr>
        <w:t xml:space="preserve"> </w:t>
      </w:r>
      <w:r w:rsidR="00241A9D" w:rsidRPr="00143F3B">
        <w:rPr>
          <w:rFonts w:asciiTheme="majorBidi" w:hAnsiTheme="majorBidi" w:cstheme="majorBidi"/>
          <w:b/>
          <w:bCs/>
          <w:sz w:val="20"/>
          <w:szCs w:val="20"/>
        </w:rPr>
        <w:t xml:space="preserve">Table </w:t>
      </w:r>
      <w:r w:rsidR="00E62429" w:rsidRPr="00143F3B">
        <w:rPr>
          <w:rFonts w:asciiTheme="majorBidi" w:hAnsiTheme="majorBidi" w:cstheme="majorBidi"/>
          <w:b/>
          <w:bCs/>
          <w:sz w:val="20"/>
          <w:szCs w:val="20"/>
        </w:rPr>
        <w:t>(</w:t>
      </w:r>
      <w:r w:rsidR="00241A9D" w:rsidRPr="00143F3B">
        <w:rPr>
          <w:rFonts w:asciiTheme="majorBidi" w:hAnsiTheme="majorBidi" w:cstheme="majorBidi"/>
          <w:b/>
          <w:bCs/>
          <w:sz w:val="20"/>
          <w:szCs w:val="20"/>
        </w:rPr>
        <w:t>1</w:t>
      </w:r>
      <w:r w:rsidR="00E62429" w:rsidRPr="00143F3B">
        <w:rPr>
          <w:rFonts w:asciiTheme="majorBidi" w:hAnsiTheme="majorBidi" w:cstheme="majorBidi"/>
          <w:b/>
          <w:bCs/>
          <w:sz w:val="20"/>
          <w:szCs w:val="20"/>
        </w:rPr>
        <w:t>)</w:t>
      </w:r>
      <w:r w:rsidR="00303133" w:rsidRPr="00143F3B">
        <w:rPr>
          <w:rFonts w:asciiTheme="majorBidi" w:hAnsiTheme="majorBidi" w:cstheme="majorBidi"/>
          <w:sz w:val="20"/>
          <w:szCs w:val="20"/>
        </w:rPr>
        <w:t>.</w:t>
      </w:r>
      <w:r w:rsidR="00FA037B" w:rsidRPr="00143F3B">
        <w:rPr>
          <w:rFonts w:asciiTheme="majorBidi" w:hAnsiTheme="majorBidi" w:cstheme="majorBidi"/>
          <w:sz w:val="20"/>
          <w:szCs w:val="20"/>
        </w:rPr>
        <w:t xml:space="preserve"> </w:t>
      </w:r>
      <w:r w:rsidR="009B69CF" w:rsidRPr="00143F3B">
        <w:rPr>
          <w:rFonts w:asciiTheme="majorBidi" w:hAnsiTheme="majorBidi" w:cstheme="majorBidi"/>
          <w:sz w:val="20"/>
          <w:szCs w:val="20"/>
        </w:rPr>
        <w:fldChar w:fldCharType="begin"/>
      </w:r>
      <w:r w:rsidR="00370685" w:rsidRPr="00143F3B">
        <w:rPr>
          <w:rFonts w:asciiTheme="majorBidi" w:hAnsiTheme="majorBidi" w:cstheme="majorBidi"/>
          <w:sz w:val="20"/>
          <w:szCs w:val="20"/>
        </w:rPr>
        <w:instrText xml:space="preserve"> ADDIN ZOTERO_ITEM CSL_CITATION {"citationID":"63UvVR1l","properties":{"formattedCitation":"(10)","plainCitation":"(10)","noteIndex":0},"citationItems":[{"id":2225,"uris":["http://zotero.org/users/local/5UWbIU8o/items/S7VSJC56"],"itemData":{"id":2225,"type":"webpage","abstract":"Using PCR technology, the BIOFIRE JI Panel is a rapid syndromic test that delivers comprehensive results in one easy-to-read report.","container-title":"bioMérieux Website","language":"en","title":"BIOFIRE® Joint Infection Panel","URL":"https://www.biomerieux.com/corp/en/our-offer/clinical-products/biofire-joint-infection-panel.html","accessed":{"date-parts":[["2024",12,22]]}}}],"schema":"https://github.com/citation-style-language/schema/raw/master/csl-citation.json"} </w:instrText>
      </w:r>
      <w:r w:rsidR="009B69CF" w:rsidRPr="00143F3B">
        <w:rPr>
          <w:rFonts w:asciiTheme="majorBidi" w:hAnsiTheme="majorBidi" w:cstheme="majorBidi"/>
          <w:sz w:val="20"/>
          <w:szCs w:val="20"/>
        </w:rPr>
        <w:fldChar w:fldCharType="separate"/>
      </w:r>
      <w:r w:rsidR="00370685" w:rsidRPr="00143F3B">
        <w:rPr>
          <w:rFonts w:asciiTheme="majorBidi" w:hAnsiTheme="majorBidi" w:cstheme="majorBidi"/>
          <w:sz w:val="20"/>
          <w:szCs w:val="20"/>
        </w:rPr>
        <w:t>(10)</w:t>
      </w:r>
      <w:r w:rsidR="009B69CF" w:rsidRPr="00143F3B">
        <w:rPr>
          <w:rFonts w:asciiTheme="majorBidi" w:hAnsiTheme="majorBidi" w:cstheme="majorBidi"/>
          <w:sz w:val="20"/>
          <w:szCs w:val="20"/>
        </w:rPr>
        <w:fldChar w:fldCharType="end"/>
      </w:r>
      <w:r w:rsidR="00612AFF" w:rsidRPr="00143F3B">
        <w:rPr>
          <w:rFonts w:asciiTheme="majorBidi" w:hAnsiTheme="majorBidi" w:cstheme="majorBidi"/>
          <w:sz w:val="20"/>
          <w:szCs w:val="20"/>
        </w:rPr>
        <w:t xml:space="preserve"> </w:t>
      </w:r>
      <w:r w:rsidR="00C51F88" w:rsidRPr="00143F3B">
        <w:rPr>
          <w:rFonts w:asciiTheme="majorBidi" w:hAnsiTheme="majorBidi" w:cstheme="majorBidi"/>
          <w:sz w:val="20"/>
          <w:szCs w:val="20"/>
        </w:rPr>
        <w:t>The sample used for this panel is 200 μL of synovial fluid, with minimal hands on and short turnaround time nearly one hour.</w:t>
      </w:r>
    </w:p>
    <w:p w14:paraId="7CCE9E5D" w14:textId="77777777" w:rsidR="0058050F" w:rsidRPr="00143F3B" w:rsidRDefault="0058050F" w:rsidP="00C85568">
      <w:pPr>
        <w:ind w:left="0" w:firstLine="0"/>
        <w:rPr>
          <w:rFonts w:asciiTheme="majorBidi" w:hAnsiTheme="majorBidi" w:cstheme="majorBidi"/>
          <w:b/>
          <w:bCs/>
          <w:sz w:val="20"/>
          <w:szCs w:val="20"/>
        </w:rPr>
      </w:pPr>
    </w:p>
    <w:p w14:paraId="6310E139" w14:textId="3D960994" w:rsidR="006A5829" w:rsidRPr="00143F3B" w:rsidRDefault="00520EBA" w:rsidP="00E237B9">
      <w:pPr>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 xml:space="preserve">Table (1): </w:t>
      </w:r>
      <w:r w:rsidR="00E237B9" w:rsidRPr="00143F3B">
        <w:rPr>
          <w:rFonts w:asciiTheme="majorBidi" w:hAnsiTheme="majorBidi" w:cstheme="majorBidi"/>
          <w:b/>
          <w:bCs/>
          <w:sz w:val="20"/>
          <w:szCs w:val="20"/>
        </w:rPr>
        <w:t>C</w:t>
      </w:r>
      <w:r w:rsidR="00E237B9" w:rsidRPr="00143F3B">
        <w:rPr>
          <w:rFonts w:asciiTheme="majorBidi" w:hAnsiTheme="majorBidi" w:cstheme="majorBidi"/>
          <w:b/>
          <w:bCs/>
          <w:sz w:val="20"/>
          <w:szCs w:val="20"/>
        </w:rPr>
        <w:t xml:space="preserve">linically relevant targets </w:t>
      </w:r>
      <w:r w:rsidRPr="00143F3B">
        <w:rPr>
          <w:rFonts w:asciiTheme="majorBidi" w:hAnsiTheme="majorBidi" w:cstheme="majorBidi"/>
          <w:b/>
          <w:bCs/>
          <w:sz w:val="20"/>
          <w:szCs w:val="20"/>
        </w:rPr>
        <w:t>identified by the BIOFIRE JI Panel:</w:t>
      </w:r>
    </w:p>
    <w:p w14:paraId="78C26232" w14:textId="77777777" w:rsidR="00E644F8" w:rsidRPr="00143F3B" w:rsidRDefault="00E644F8" w:rsidP="0058050F">
      <w:pPr>
        <w:ind w:left="0" w:firstLine="0"/>
        <w:jc w:val="center"/>
        <w:rPr>
          <w:rFonts w:asciiTheme="majorBidi" w:hAnsiTheme="majorBidi" w:cstheme="majorBidi"/>
          <w:b/>
          <w:bCs/>
          <w:sz w:val="20"/>
          <w:szCs w:val="20"/>
        </w:rPr>
      </w:pPr>
    </w:p>
    <w:tbl>
      <w:tblPr>
        <w:tblStyle w:val="TableGrid"/>
        <w:tblW w:w="0" w:type="auto"/>
        <w:jc w:val="center"/>
        <w:tblLook w:val="04A0" w:firstRow="1" w:lastRow="0" w:firstColumn="1" w:lastColumn="0" w:noHBand="0" w:noVBand="1"/>
      </w:tblPr>
      <w:tblGrid>
        <w:gridCol w:w="3964"/>
        <w:gridCol w:w="5052"/>
      </w:tblGrid>
      <w:tr w:rsidR="008C092A" w:rsidRPr="00143F3B" w14:paraId="7C03B74E" w14:textId="77777777" w:rsidTr="006A5829">
        <w:trPr>
          <w:jc w:val="center"/>
        </w:trPr>
        <w:tc>
          <w:tcPr>
            <w:tcW w:w="3964" w:type="dxa"/>
            <w:vMerge w:val="restart"/>
            <w:vAlign w:val="center"/>
          </w:tcPr>
          <w:p w14:paraId="16469F27" w14:textId="77777777" w:rsidR="008C092A" w:rsidRPr="00143F3B" w:rsidRDefault="008C092A"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Gram positive bacteria</w:t>
            </w:r>
          </w:p>
        </w:tc>
        <w:tc>
          <w:tcPr>
            <w:tcW w:w="5052" w:type="dxa"/>
            <w:vAlign w:val="center"/>
          </w:tcPr>
          <w:p w14:paraId="63096F67" w14:textId="3AD5835A" w:rsidR="008C092A" w:rsidRPr="00143F3B" w:rsidRDefault="008C092A" w:rsidP="00C85568">
            <w:pPr>
              <w:ind w:left="0" w:firstLine="0"/>
              <w:rPr>
                <w:rFonts w:asciiTheme="majorBidi" w:hAnsiTheme="majorBidi" w:cstheme="majorBidi"/>
                <w:sz w:val="20"/>
                <w:szCs w:val="20"/>
              </w:rPr>
            </w:pPr>
            <w:proofErr w:type="spellStart"/>
            <w:r w:rsidRPr="00143F3B">
              <w:rPr>
                <w:rFonts w:asciiTheme="majorBidi" w:hAnsiTheme="majorBidi" w:cstheme="majorBidi"/>
                <w:i/>
                <w:iCs/>
                <w:sz w:val="20"/>
                <w:szCs w:val="20"/>
              </w:rPr>
              <w:t>Anaerococcus</w:t>
            </w:r>
            <w:proofErr w:type="spellEnd"/>
            <w:r w:rsidRPr="00143F3B">
              <w:rPr>
                <w:rFonts w:asciiTheme="majorBidi" w:hAnsiTheme="majorBidi" w:cstheme="majorBidi"/>
                <w:i/>
                <w:iCs/>
                <w:sz w:val="20"/>
                <w:szCs w:val="20"/>
              </w:rPr>
              <w:t xml:space="preserve"> </w:t>
            </w:r>
            <w:proofErr w:type="spellStart"/>
            <w:r w:rsidRPr="00143F3B">
              <w:rPr>
                <w:rFonts w:asciiTheme="majorBidi" w:hAnsiTheme="majorBidi" w:cstheme="majorBidi"/>
                <w:i/>
                <w:iCs/>
                <w:sz w:val="20"/>
                <w:szCs w:val="20"/>
              </w:rPr>
              <w:t>prevotii</w:t>
            </w:r>
            <w:proofErr w:type="spellEnd"/>
            <w:r w:rsidRPr="00143F3B">
              <w:rPr>
                <w:rFonts w:asciiTheme="majorBidi" w:hAnsiTheme="majorBidi" w:cstheme="majorBidi"/>
                <w:i/>
                <w:iCs/>
                <w:sz w:val="20"/>
                <w:szCs w:val="20"/>
              </w:rPr>
              <w:t>/vaginalis</w:t>
            </w:r>
          </w:p>
        </w:tc>
      </w:tr>
      <w:tr w:rsidR="008C092A" w:rsidRPr="00143F3B" w14:paraId="1D58D1F6" w14:textId="77777777" w:rsidTr="006A5829">
        <w:trPr>
          <w:jc w:val="center"/>
        </w:trPr>
        <w:tc>
          <w:tcPr>
            <w:tcW w:w="3964" w:type="dxa"/>
            <w:vMerge/>
            <w:vAlign w:val="center"/>
          </w:tcPr>
          <w:p w14:paraId="359C12F6"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F90494C" w14:textId="7EE327E3"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i/>
                <w:iCs/>
                <w:sz w:val="20"/>
                <w:szCs w:val="20"/>
              </w:rPr>
              <w:t>Clostridium perfringens</w:t>
            </w:r>
          </w:p>
        </w:tc>
      </w:tr>
      <w:tr w:rsidR="008C092A" w:rsidRPr="00143F3B" w14:paraId="1450B9D2" w14:textId="77777777" w:rsidTr="006A5829">
        <w:trPr>
          <w:jc w:val="center"/>
        </w:trPr>
        <w:tc>
          <w:tcPr>
            <w:tcW w:w="3964" w:type="dxa"/>
            <w:vMerge/>
            <w:vAlign w:val="center"/>
          </w:tcPr>
          <w:p w14:paraId="737B8CAD"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5D0BF88" w14:textId="28F63EA7"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i/>
                <w:iCs/>
                <w:sz w:val="20"/>
                <w:szCs w:val="20"/>
              </w:rPr>
              <w:t xml:space="preserve">Cutibacterium </w:t>
            </w:r>
            <w:proofErr w:type="spellStart"/>
            <w:r w:rsidRPr="00143F3B">
              <w:rPr>
                <w:rFonts w:asciiTheme="majorBidi" w:hAnsiTheme="majorBidi" w:cstheme="majorBidi"/>
                <w:i/>
                <w:iCs/>
                <w:sz w:val="20"/>
                <w:szCs w:val="20"/>
              </w:rPr>
              <w:t>avidum</w:t>
            </w:r>
            <w:proofErr w:type="spellEnd"/>
            <w:r w:rsidRPr="00143F3B">
              <w:rPr>
                <w:rFonts w:asciiTheme="majorBidi" w:hAnsiTheme="majorBidi" w:cstheme="majorBidi"/>
                <w:i/>
                <w:iCs/>
                <w:sz w:val="20"/>
                <w:szCs w:val="20"/>
              </w:rPr>
              <w:t>/granulosum</w:t>
            </w:r>
          </w:p>
        </w:tc>
      </w:tr>
      <w:tr w:rsidR="008C092A" w:rsidRPr="00143F3B" w14:paraId="5701D586" w14:textId="77777777" w:rsidTr="006A5829">
        <w:trPr>
          <w:jc w:val="center"/>
        </w:trPr>
        <w:tc>
          <w:tcPr>
            <w:tcW w:w="3964" w:type="dxa"/>
            <w:vMerge/>
            <w:vAlign w:val="center"/>
          </w:tcPr>
          <w:p w14:paraId="77F578F7"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1F2E871B" w14:textId="2934945E"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i/>
                <w:iCs/>
                <w:sz w:val="20"/>
                <w:szCs w:val="20"/>
              </w:rPr>
              <w:t>Enterococcus faecalis</w:t>
            </w:r>
          </w:p>
        </w:tc>
      </w:tr>
      <w:tr w:rsidR="008C092A" w:rsidRPr="00143F3B" w14:paraId="4886A727" w14:textId="77777777" w:rsidTr="006A5829">
        <w:trPr>
          <w:jc w:val="center"/>
        </w:trPr>
        <w:tc>
          <w:tcPr>
            <w:tcW w:w="3964" w:type="dxa"/>
            <w:vMerge/>
            <w:vAlign w:val="center"/>
          </w:tcPr>
          <w:p w14:paraId="2BE45D17"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72D3F5B9" w14:textId="1465E17C"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Enterococcus faecium</w:t>
            </w:r>
          </w:p>
        </w:tc>
      </w:tr>
      <w:tr w:rsidR="008C092A" w:rsidRPr="00143F3B" w14:paraId="1FEC3779" w14:textId="77777777" w:rsidTr="006A5829">
        <w:trPr>
          <w:jc w:val="center"/>
        </w:trPr>
        <w:tc>
          <w:tcPr>
            <w:tcW w:w="3964" w:type="dxa"/>
            <w:vMerge/>
            <w:vAlign w:val="center"/>
          </w:tcPr>
          <w:p w14:paraId="70C76133"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2BE8E028" w14:textId="3A97D863"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Finegoldia magna</w:t>
            </w:r>
          </w:p>
        </w:tc>
      </w:tr>
      <w:tr w:rsidR="008C092A" w:rsidRPr="00143F3B" w14:paraId="448DCB06" w14:textId="77777777" w:rsidTr="006A5829">
        <w:trPr>
          <w:jc w:val="center"/>
        </w:trPr>
        <w:tc>
          <w:tcPr>
            <w:tcW w:w="3964" w:type="dxa"/>
            <w:vMerge/>
            <w:vAlign w:val="center"/>
          </w:tcPr>
          <w:p w14:paraId="4418E7BC"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0A7EFBC8" w14:textId="2A1BC4A8" w:rsidR="008C092A" w:rsidRPr="00143F3B" w:rsidRDefault="008C092A" w:rsidP="00C85568">
            <w:pPr>
              <w:ind w:left="0" w:firstLine="0"/>
              <w:rPr>
                <w:rFonts w:asciiTheme="majorBidi" w:hAnsiTheme="majorBidi" w:cstheme="majorBidi"/>
                <w:i/>
                <w:iCs/>
                <w:sz w:val="20"/>
                <w:szCs w:val="20"/>
              </w:rPr>
            </w:pPr>
            <w:proofErr w:type="spellStart"/>
            <w:r w:rsidRPr="00143F3B">
              <w:rPr>
                <w:rFonts w:asciiTheme="majorBidi" w:hAnsiTheme="majorBidi" w:cstheme="majorBidi"/>
                <w:i/>
                <w:iCs/>
                <w:sz w:val="20"/>
                <w:szCs w:val="20"/>
              </w:rPr>
              <w:t>Parvimonas</w:t>
            </w:r>
            <w:proofErr w:type="spellEnd"/>
            <w:r w:rsidRPr="00143F3B">
              <w:rPr>
                <w:rFonts w:asciiTheme="majorBidi" w:hAnsiTheme="majorBidi" w:cstheme="majorBidi"/>
                <w:i/>
                <w:iCs/>
                <w:sz w:val="20"/>
                <w:szCs w:val="20"/>
              </w:rPr>
              <w:t xml:space="preserve"> micra</w:t>
            </w:r>
          </w:p>
        </w:tc>
      </w:tr>
      <w:tr w:rsidR="008C092A" w:rsidRPr="00143F3B" w14:paraId="7013B7AB" w14:textId="77777777" w:rsidTr="006A5829">
        <w:trPr>
          <w:jc w:val="center"/>
        </w:trPr>
        <w:tc>
          <w:tcPr>
            <w:tcW w:w="3964" w:type="dxa"/>
            <w:vMerge/>
            <w:vAlign w:val="center"/>
          </w:tcPr>
          <w:p w14:paraId="0EB274D5"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F38C613" w14:textId="50462340"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Peptoniphilus</w:t>
            </w:r>
          </w:p>
        </w:tc>
      </w:tr>
      <w:tr w:rsidR="008C092A" w:rsidRPr="00143F3B" w14:paraId="1CE06DD9" w14:textId="77777777" w:rsidTr="006A5829">
        <w:trPr>
          <w:jc w:val="center"/>
        </w:trPr>
        <w:tc>
          <w:tcPr>
            <w:tcW w:w="3964" w:type="dxa"/>
            <w:vMerge/>
            <w:vAlign w:val="center"/>
          </w:tcPr>
          <w:p w14:paraId="203EF71F"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2A9B24D3" w14:textId="4BAB115D" w:rsidR="008C092A" w:rsidRPr="00143F3B" w:rsidRDefault="008C092A" w:rsidP="00C85568">
            <w:pPr>
              <w:ind w:left="0" w:firstLine="0"/>
              <w:rPr>
                <w:rFonts w:asciiTheme="majorBidi" w:hAnsiTheme="majorBidi" w:cstheme="majorBidi"/>
                <w:i/>
                <w:iCs/>
                <w:sz w:val="20"/>
                <w:szCs w:val="20"/>
              </w:rPr>
            </w:pPr>
            <w:proofErr w:type="spellStart"/>
            <w:r w:rsidRPr="00143F3B">
              <w:rPr>
                <w:rFonts w:asciiTheme="majorBidi" w:hAnsiTheme="majorBidi" w:cstheme="majorBidi"/>
                <w:i/>
                <w:iCs/>
                <w:sz w:val="20"/>
                <w:szCs w:val="20"/>
              </w:rPr>
              <w:t>Peptostreptococcus</w:t>
            </w:r>
            <w:proofErr w:type="spellEnd"/>
            <w:r w:rsidRPr="00143F3B">
              <w:rPr>
                <w:rFonts w:asciiTheme="majorBidi" w:hAnsiTheme="majorBidi" w:cstheme="majorBidi"/>
                <w:i/>
                <w:iCs/>
                <w:sz w:val="20"/>
                <w:szCs w:val="20"/>
              </w:rPr>
              <w:t xml:space="preserve"> </w:t>
            </w:r>
            <w:proofErr w:type="spellStart"/>
            <w:r w:rsidRPr="00143F3B">
              <w:rPr>
                <w:rFonts w:asciiTheme="majorBidi" w:hAnsiTheme="majorBidi" w:cstheme="majorBidi"/>
                <w:i/>
                <w:iCs/>
                <w:sz w:val="20"/>
                <w:szCs w:val="20"/>
              </w:rPr>
              <w:t>anaerobius</w:t>
            </w:r>
            <w:proofErr w:type="spellEnd"/>
          </w:p>
        </w:tc>
      </w:tr>
      <w:tr w:rsidR="008C092A" w:rsidRPr="00143F3B" w14:paraId="43404721" w14:textId="77777777" w:rsidTr="006A5829">
        <w:trPr>
          <w:jc w:val="center"/>
        </w:trPr>
        <w:tc>
          <w:tcPr>
            <w:tcW w:w="3964" w:type="dxa"/>
            <w:vMerge/>
            <w:vAlign w:val="center"/>
          </w:tcPr>
          <w:p w14:paraId="68E2E456"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35EB485" w14:textId="79D10074"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Staphylococcus aureus</w:t>
            </w:r>
          </w:p>
        </w:tc>
      </w:tr>
      <w:tr w:rsidR="008C092A" w:rsidRPr="00143F3B" w14:paraId="31362161" w14:textId="77777777" w:rsidTr="006A5829">
        <w:trPr>
          <w:jc w:val="center"/>
        </w:trPr>
        <w:tc>
          <w:tcPr>
            <w:tcW w:w="3964" w:type="dxa"/>
            <w:vMerge/>
            <w:vAlign w:val="center"/>
          </w:tcPr>
          <w:p w14:paraId="13F59DA6"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50ADA8EB" w14:textId="11F0D59A"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Staphylococcus lugdunensis</w:t>
            </w:r>
          </w:p>
        </w:tc>
      </w:tr>
      <w:tr w:rsidR="008C092A" w:rsidRPr="00143F3B" w14:paraId="46EE0FC2" w14:textId="77777777" w:rsidTr="006A5829">
        <w:trPr>
          <w:jc w:val="center"/>
        </w:trPr>
        <w:tc>
          <w:tcPr>
            <w:tcW w:w="3964" w:type="dxa"/>
            <w:vMerge/>
            <w:vAlign w:val="center"/>
          </w:tcPr>
          <w:p w14:paraId="04AB5032"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B304C5B" w14:textId="6CE318E3"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Streptococcus agalactiae</w:t>
            </w:r>
          </w:p>
        </w:tc>
      </w:tr>
      <w:tr w:rsidR="008C092A" w:rsidRPr="00143F3B" w14:paraId="33AA076D" w14:textId="77777777" w:rsidTr="006A5829">
        <w:trPr>
          <w:jc w:val="center"/>
        </w:trPr>
        <w:tc>
          <w:tcPr>
            <w:tcW w:w="3964" w:type="dxa"/>
            <w:vMerge/>
            <w:vAlign w:val="center"/>
          </w:tcPr>
          <w:p w14:paraId="777B2F5A"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4BD48974" w14:textId="64C89DA8"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Streptococcus pneumoniae</w:t>
            </w:r>
          </w:p>
        </w:tc>
      </w:tr>
      <w:tr w:rsidR="008C092A" w:rsidRPr="00143F3B" w14:paraId="57C749F0" w14:textId="77777777" w:rsidTr="006A5829">
        <w:trPr>
          <w:jc w:val="center"/>
        </w:trPr>
        <w:tc>
          <w:tcPr>
            <w:tcW w:w="3964" w:type="dxa"/>
            <w:vMerge/>
            <w:vAlign w:val="center"/>
          </w:tcPr>
          <w:p w14:paraId="1CEBA3BC"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16F5338C" w14:textId="3BAA60A3"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Streptococcus pyogenes</w:t>
            </w:r>
          </w:p>
        </w:tc>
      </w:tr>
      <w:tr w:rsidR="008C092A" w:rsidRPr="00143F3B" w14:paraId="37989E0B" w14:textId="77777777" w:rsidTr="006A5829">
        <w:trPr>
          <w:jc w:val="center"/>
        </w:trPr>
        <w:tc>
          <w:tcPr>
            <w:tcW w:w="3964" w:type="dxa"/>
            <w:vMerge w:val="restart"/>
            <w:vAlign w:val="center"/>
          </w:tcPr>
          <w:p w14:paraId="136C725A" w14:textId="7C23C3C4" w:rsidR="008C092A" w:rsidRPr="00143F3B" w:rsidRDefault="008C092A"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Gram negative bacteria</w:t>
            </w:r>
          </w:p>
        </w:tc>
        <w:tc>
          <w:tcPr>
            <w:tcW w:w="5052" w:type="dxa"/>
            <w:vAlign w:val="center"/>
          </w:tcPr>
          <w:p w14:paraId="426BAB54" w14:textId="46C9C2EF"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Bacteroides fragilis</w:t>
            </w:r>
          </w:p>
        </w:tc>
      </w:tr>
      <w:tr w:rsidR="008C092A" w:rsidRPr="00143F3B" w14:paraId="0E958833" w14:textId="77777777" w:rsidTr="006A5829">
        <w:trPr>
          <w:jc w:val="center"/>
        </w:trPr>
        <w:tc>
          <w:tcPr>
            <w:tcW w:w="3964" w:type="dxa"/>
            <w:vMerge/>
            <w:vAlign w:val="center"/>
          </w:tcPr>
          <w:p w14:paraId="74F3CE61"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48415CE5" w14:textId="4C38E12A"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Citrobacter</w:t>
            </w:r>
          </w:p>
        </w:tc>
      </w:tr>
      <w:tr w:rsidR="008C092A" w:rsidRPr="00143F3B" w14:paraId="691AE7EF" w14:textId="77777777" w:rsidTr="006A5829">
        <w:trPr>
          <w:jc w:val="center"/>
        </w:trPr>
        <w:tc>
          <w:tcPr>
            <w:tcW w:w="3964" w:type="dxa"/>
            <w:vMerge/>
            <w:vAlign w:val="center"/>
          </w:tcPr>
          <w:p w14:paraId="4BA9669C"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CD2412B" w14:textId="342664FF"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Enterobacter cloacae complex</w:t>
            </w:r>
          </w:p>
        </w:tc>
      </w:tr>
      <w:tr w:rsidR="008C092A" w:rsidRPr="00143F3B" w14:paraId="737BC47C" w14:textId="77777777" w:rsidTr="006A5829">
        <w:trPr>
          <w:jc w:val="center"/>
        </w:trPr>
        <w:tc>
          <w:tcPr>
            <w:tcW w:w="3964" w:type="dxa"/>
            <w:vMerge/>
            <w:vAlign w:val="center"/>
          </w:tcPr>
          <w:p w14:paraId="4840A972"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73B14A49" w14:textId="0445F842"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Escherichia coli</w:t>
            </w:r>
          </w:p>
        </w:tc>
      </w:tr>
      <w:tr w:rsidR="008C092A" w:rsidRPr="00143F3B" w14:paraId="2A59A487" w14:textId="77777777" w:rsidTr="006A5829">
        <w:trPr>
          <w:jc w:val="center"/>
        </w:trPr>
        <w:tc>
          <w:tcPr>
            <w:tcW w:w="3964" w:type="dxa"/>
            <w:vMerge/>
            <w:vAlign w:val="center"/>
          </w:tcPr>
          <w:p w14:paraId="6E2DAD86"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966DDD8" w14:textId="21B98267"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Haemophilus influenzae</w:t>
            </w:r>
          </w:p>
        </w:tc>
      </w:tr>
      <w:tr w:rsidR="008C092A" w:rsidRPr="00143F3B" w14:paraId="6D2AB971" w14:textId="77777777" w:rsidTr="006A5829">
        <w:trPr>
          <w:jc w:val="center"/>
        </w:trPr>
        <w:tc>
          <w:tcPr>
            <w:tcW w:w="3964" w:type="dxa"/>
            <w:vMerge/>
            <w:vAlign w:val="center"/>
          </w:tcPr>
          <w:p w14:paraId="4C098896"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24C9CF84" w14:textId="3BE634D3"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Kingella kingae</w:t>
            </w:r>
          </w:p>
        </w:tc>
      </w:tr>
      <w:tr w:rsidR="008C092A" w:rsidRPr="00143F3B" w14:paraId="5D0603E0" w14:textId="77777777" w:rsidTr="006A5829">
        <w:trPr>
          <w:jc w:val="center"/>
        </w:trPr>
        <w:tc>
          <w:tcPr>
            <w:tcW w:w="3964" w:type="dxa"/>
            <w:vMerge/>
            <w:vAlign w:val="center"/>
          </w:tcPr>
          <w:p w14:paraId="26DAA3F5"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2CD0B03E" w14:textId="5E4DFAD7"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Haemophilus influenzae</w:t>
            </w:r>
          </w:p>
        </w:tc>
      </w:tr>
      <w:tr w:rsidR="008C092A" w:rsidRPr="00143F3B" w14:paraId="36465CCF" w14:textId="77777777" w:rsidTr="006A5829">
        <w:trPr>
          <w:jc w:val="center"/>
        </w:trPr>
        <w:tc>
          <w:tcPr>
            <w:tcW w:w="3964" w:type="dxa"/>
            <w:vMerge/>
            <w:vAlign w:val="center"/>
          </w:tcPr>
          <w:p w14:paraId="4ACFA1E9"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1A8332F3" w14:textId="000F9092"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Kingella kingae</w:t>
            </w:r>
          </w:p>
        </w:tc>
      </w:tr>
      <w:tr w:rsidR="008C092A" w:rsidRPr="00143F3B" w14:paraId="1C727359" w14:textId="77777777" w:rsidTr="006A5829">
        <w:trPr>
          <w:jc w:val="center"/>
        </w:trPr>
        <w:tc>
          <w:tcPr>
            <w:tcW w:w="3964" w:type="dxa"/>
            <w:vMerge/>
            <w:vAlign w:val="center"/>
          </w:tcPr>
          <w:p w14:paraId="44634472"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2F459BB0" w14:textId="6907D7CF"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Klebsiella aerogenes</w:t>
            </w:r>
          </w:p>
        </w:tc>
      </w:tr>
      <w:tr w:rsidR="008C092A" w:rsidRPr="00143F3B" w14:paraId="4008C592" w14:textId="77777777" w:rsidTr="006A5829">
        <w:trPr>
          <w:jc w:val="center"/>
        </w:trPr>
        <w:tc>
          <w:tcPr>
            <w:tcW w:w="3964" w:type="dxa"/>
            <w:vMerge/>
            <w:vAlign w:val="center"/>
          </w:tcPr>
          <w:p w14:paraId="6DBFF0F3"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778B8F63" w14:textId="291FEF79"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Klebsiella pneumoniae group</w:t>
            </w:r>
          </w:p>
        </w:tc>
      </w:tr>
      <w:tr w:rsidR="008C092A" w:rsidRPr="00143F3B" w14:paraId="15EB219A" w14:textId="77777777" w:rsidTr="006A5829">
        <w:trPr>
          <w:jc w:val="center"/>
        </w:trPr>
        <w:tc>
          <w:tcPr>
            <w:tcW w:w="3964" w:type="dxa"/>
            <w:vMerge/>
            <w:vAlign w:val="center"/>
          </w:tcPr>
          <w:p w14:paraId="2B904E94"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5A2343C1" w14:textId="2D522FDF" w:rsidR="008C092A" w:rsidRPr="00143F3B" w:rsidRDefault="008C092A" w:rsidP="00C85568">
            <w:pPr>
              <w:ind w:left="0" w:firstLine="0"/>
              <w:rPr>
                <w:rFonts w:asciiTheme="majorBidi" w:hAnsiTheme="majorBidi" w:cstheme="majorBidi"/>
                <w:i/>
                <w:iCs/>
                <w:sz w:val="20"/>
                <w:szCs w:val="20"/>
              </w:rPr>
            </w:pPr>
            <w:proofErr w:type="spellStart"/>
            <w:r w:rsidRPr="00143F3B">
              <w:rPr>
                <w:rFonts w:asciiTheme="majorBidi" w:hAnsiTheme="majorBidi" w:cstheme="majorBidi"/>
                <w:i/>
                <w:iCs/>
                <w:sz w:val="20"/>
                <w:szCs w:val="20"/>
              </w:rPr>
              <w:t>Morganella</w:t>
            </w:r>
            <w:proofErr w:type="spellEnd"/>
            <w:r w:rsidRPr="00143F3B">
              <w:rPr>
                <w:rFonts w:asciiTheme="majorBidi" w:hAnsiTheme="majorBidi" w:cstheme="majorBidi"/>
                <w:i/>
                <w:iCs/>
                <w:sz w:val="20"/>
                <w:szCs w:val="20"/>
              </w:rPr>
              <w:t xml:space="preserve"> morganii</w:t>
            </w:r>
          </w:p>
        </w:tc>
      </w:tr>
      <w:tr w:rsidR="008C092A" w:rsidRPr="00143F3B" w14:paraId="6A2B90FC" w14:textId="77777777" w:rsidTr="006A5829">
        <w:trPr>
          <w:jc w:val="center"/>
        </w:trPr>
        <w:tc>
          <w:tcPr>
            <w:tcW w:w="3964" w:type="dxa"/>
            <w:vMerge/>
            <w:vAlign w:val="center"/>
          </w:tcPr>
          <w:p w14:paraId="0BFAD904"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16426A7" w14:textId="2B475F12"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Neisseria gonorrhoeae</w:t>
            </w:r>
          </w:p>
        </w:tc>
      </w:tr>
      <w:tr w:rsidR="008C092A" w:rsidRPr="00143F3B" w14:paraId="630FC43F" w14:textId="77777777" w:rsidTr="006A5829">
        <w:trPr>
          <w:jc w:val="center"/>
        </w:trPr>
        <w:tc>
          <w:tcPr>
            <w:tcW w:w="3964" w:type="dxa"/>
            <w:vMerge/>
            <w:vAlign w:val="center"/>
          </w:tcPr>
          <w:p w14:paraId="2465F5DB"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76959205" w14:textId="7ED7C131"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Proteus spp.</w:t>
            </w:r>
          </w:p>
        </w:tc>
      </w:tr>
      <w:tr w:rsidR="008C092A" w:rsidRPr="00143F3B" w14:paraId="3807CA04" w14:textId="77777777" w:rsidTr="006A5829">
        <w:trPr>
          <w:jc w:val="center"/>
        </w:trPr>
        <w:tc>
          <w:tcPr>
            <w:tcW w:w="3964" w:type="dxa"/>
            <w:vMerge/>
            <w:vAlign w:val="center"/>
          </w:tcPr>
          <w:p w14:paraId="6EE89D98"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CF2C1F5" w14:textId="5ED3102B"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Pseudomonas aeruginosa</w:t>
            </w:r>
          </w:p>
        </w:tc>
      </w:tr>
      <w:tr w:rsidR="008C092A" w:rsidRPr="00143F3B" w14:paraId="1D8896F4" w14:textId="77777777" w:rsidTr="006A5829">
        <w:trPr>
          <w:jc w:val="center"/>
        </w:trPr>
        <w:tc>
          <w:tcPr>
            <w:tcW w:w="3964" w:type="dxa"/>
            <w:vMerge/>
            <w:vAlign w:val="center"/>
          </w:tcPr>
          <w:p w14:paraId="1DDDD897"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2CAEA3A" w14:textId="757AC57A"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Salmonella spp.</w:t>
            </w:r>
          </w:p>
        </w:tc>
      </w:tr>
      <w:tr w:rsidR="008C092A" w:rsidRPr="00143F3B" w14:paraId="61EAFF52" w14:textId="77777777" w:rsidTr="006A5829">
        <w:trPr>
          <w:jc w:val="center"/>
        </w:trPr>
        <w:tc>
          <w:tcPr>
            <w:tcW w:w="3964" w:type="dxa"/>
            <w:vMerge/>
            <w:vAlign w:val="center"/>
          </w:tcPr>
          <w:p w14:paraId="1C13C6FD"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DC5A22A" w14:textId="4B990932" w:rsidR="008C092A" w:rsidRPr="00143F3B" w:rsidRDefault="008C092A"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Serratia marcescens</w:t>
            </w:r>
          </w:p>
        </w:tc>
      </w:tr>
      <w:tr w:rsidR="004C4DFA" w:rsidRPr="00143F3B" w14:paraId="4E8FAFB2" w14:textId="77777777" w:rsidTr="006A5829">
        <w:trPr>
          <w:jc w:val="center"/>
        </w:trPr>
        <w:tc>
          <w:tcPr>
            <w:tcW w:w="3964" w:type="dxa"/>
            <w:vAlign w:val="center"/>
          </w:tcPr>
          <w:p w14:paraId="0F51D35F" w14:textId="050FDB7C" w:rsidR="004C4DFA" w:rsidRPr="00143F3B" w:rsidRDefault="007507BC"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Yeast</w:t>
            </w:r>
          </w:p>
        </w:tc>
        <w:tc>
          <w:tcPr>
            <w:tcW w:w="5052" w:type="dxa"/>
            <w:vAlign w:val="center"/>
          </w:tcPr>
          <w:p w14:paraId="51268A2D" w14:textId="3F740207" w:rsidR="004C4DFA" w:rsidRPr="00143F3B" w:rsidRDefault="007507BC" w:rsidP="00C85568">
            <w:pPr>
              <w:ind w:left="0" w:firstLine="0"/>
              <w:rPr>
                <w:rFonts w:asciiTheme="majorBidi" w:hAnsiTheme="majorBidi" w:cstheme="majorBidi"/>
                <w:i/>
                <w:iCs/>
                <w:sz w:val="20"/>
                <w:szCs w:val="20"/>
              </w:rPr>
            </w:pPr>
            <w:r w:rsidRPr="00143F3B">
              <w:rPr>
                <w:rFonts w:asciiTheme="majorBidi" w:hAnsiTheme="majorBidi" w:cstheme="majorBidi"/>
                <w:i/>
                <w:iCs/>
                <w:sz w:val="20"/>
                <w:szCs w:val="20"/>
              </w:rPr>
              <w:t>Candida albicans</w:t>
            </w:r>
          </w:p>
        </w:tc>
      </w:tr>
      <w:tr w:rsidR="008C092A" w:rsidRPr="00143F3B" w14:paraId="1045823A" w14:textId="77777777" w:rsidTr="006A5829">
        <w:trPr>
          <w:jc w:val="center"/>
        </w:trPr>
        <w:tc>
          <w:tcPr>
            <w:tcW w:w="3964" w:type="dxa"/>
            <w:vMerge w:val="restart"/>
            <w:vAlign w:val="center"/>
          </w:tcPr>
          <w:p w14:paraId="79542736" w14:textId="0E84344F" w:rsidR="008C092A" w:rsidRPr="00143F3B" w:rsidRDefault="008C092A"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Antimicrobial resistance genes</w:t>
            </w:r>
          </w:p>
        </w:tc>
        <w:tc>
          <w:tcPr>
            <w:tcW w:w="5052" w:type="dxa"/>
            <w:vAlign w:val="center"/>
          </w:tcPr>
          <w:p w14:paraId="2C7143DF" w14:textId="436C4CF2"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sz w:val="20"/>
                <w:szCs w:val="20"/>
              </w:rPr>
              <w:t>CTX-M</w:t>
            </w:r>
          </w:p>
        </w:tc>
      </w:tr>
      <w:tr w:rsidR="008C092A" w:rsidRPr="00143F3B" w14:paraId="4E067183" w14:textId="77777777" w:rsidTr="006A5829">
        <w:trPr>
          <w:jc w:val="center"/>
        </w:trPr>
        <w:tc>
          <w:tcPr>
            <w:tcW w:w="3964" w:type="dxa"/>
            <w:vMerge/>
            <w:vAlign w:val="center"/>
          </w:tcPr>
          <w:p w14:paraId="55A1B818"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820666F" w14:textId="243B578F"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sz w:val="20"/>
                <w:szCs w:val="20"/>
              </w:rPr>
              <w:t>KPC</w:t>
            </w:r>
          </w:p>
        </w:tc>
      </w:tr>
      <w:tr w:rsidR="008C092A" w:rsidRPr="00143F3B" w14:paraId="13C9ABB7" w14:textId="77777777" w:rsidTr="006A5829">
        <w:trPr>
          <w:jc w:val="center"/>
        </w:trPr>
        <w:tc>
          <w:tcPr>
            <w:tcW w:w="3964" w:type="dxa"/>
            <w:vMerge/>
            <w:vAlign w:val="center"/>
          </w:tcPr>
          <w:p w14:paraId="683D897A"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1BCFF3D3" w14:textId="33E879B3"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sz w:val="20"/>
                <w:szCs w:val="20"/>
              </w:rPr>
              <w:t>NDM</w:t>
            </w:r>
          </w:p>
        </w:tc>
      </w:tr>
      <w:tr w:rsidR="008C092A" w:rsidRPr="00143F3B" w14:paraId="2CDFB388" w14:textId="77777777" w:rsidTr="006A5829">
        <w:trPr>
          <w:jc w:val="center"/>
        </w:trPr>
        <w:tc>
          <w:tcPr>
            <w:tcW w:w="3964" w:type="dxa"/>
            <w:vMerge/>
            <w:vAlign w:val="center"/>
          </w:tcPr>
          <w:p w14:paraId="3ACD3897"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6E00B9AA" w14:textId="2A0CAC85"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sz w:val="20"/>
                <w:szCs w:val="20"/>
              </w:rPr>
              <w:t>IMP</w:t>
            </w:r>
          </w:p>
        </w:tc>
      </w:tr>
      <w:tr w:rsidR="008C092A" w:rsidRPr="00143F3B" w14:paraId="1A4E78BC" w14:textId="77777777" w:rsidTr="006A5829">
        <w:trPr>
          <w:jc w:val="center"/>
        </w:trPr>
        <w:tc>
          <w:tcPr>
            <w:tcW w:w="3964" w:type="dxa"/>
            <w:vMerge/>
            <w:vAlign w:val="center"/>
          </w:tcPr>
          <w:p w14:paraId="087654FA"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EA6A681" w14:textId="6F3E80B8"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sz w:val="20"/>
                <w:szCs w:val="20"/>
              </w:rPr>
              <w:t>VIM</w:t>
            </w:r>
          </w:p>
        </w:tc>
      </w:tr>
      <w:tr w:rsidR="008C092A" w:rsidRPr="00143F3B" w14:paraId="34B1B05F" w14:textId="77777777" w:rsidTr="006A5829">
        <w:trPr>
          <w:jc w:val="center"/>
        </w:trPr>
        <w:tc>
          <w:tcPr>
            <w:tcW w:w="3964" w:type="dxa"/>
            <w:vMerge/>
            <w:vAlign w:val="center"/>
          </w:tcPr>
          <w:p w14:paraId="4F7A7DEB"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293D6E00" w14:textId="0F9D410F" w:rsidR="008C092A" w:rsidRPr="00143F3B" w:rsidRDefault="008C092A" w:rsidP="00C85568">
            <w:pPr>
              <w:ind w:left="0" w:firstLine="0"/>
              <w:rPr>
                <w:rFonts w:asciiTheme="majorBidi" w:hAnsiTheme="majorBidi" w:cstheme="majorBidi"/>
                <w:sz w:val="20"/>
                <w:szCs w:val="20"/>
              </w:rPr>
            </w:pPr>
            <w:r w:rsidRPr="00143F3B">
              <w:rPr>
                <w:rFonts w:asciiTheme="majorBidi" w:hAnsiTheme="majorBidi" w:cstheme="majorBidi"/>
                <w:sz w:val="20"/>
                <w:szCs w:val="20"/>
              </w:rPr>
              <w:t>OXA-48-like</w:t>
            </w:r>
          </w:p>
        </w:tc>
      </w:tr>
      <w:tr w:rsidR="008C092A" w:rsidRPr="00143F3B" w14:paraId="4107ADA3" w14:textId="77777777" w:rsidTr="006A5829">
        <w:trPr>
          <w:jc w:val="center"/>
        </w:trPr>
        <w:tc>
          <w:tcPr>
            <w:tcW w:w="3964" w:type="dxa"/>
            <w:vMerge/>
            <w:vAlign w:val="center"/>
          </w:tcPr>
          <w:p w14:paraId="1FC7F319"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54C5BD9A" w14:textId="1856E967" w:rsidR="008C092A" w:rsidRPr="00143F3B" w:rsidRDefault="008C092A" w:rsidP="00C85568">
            <w:pPr>
              <w:ind w:left="0" w:firstLine="0"/>
              <w:rPr>
                <w:rFonts w:asciiTheme="majorBidi" w:hAnsiTheme="majorBidi" w:cstheme="majorBidi"/>
                <w:sz w:val="20"/>
                <w:szCs w:val="20"/>
              </w:rPr>
            </w:pPr>
            <w:proofErr w:type="spellStart"/>
            <w:r w:rsidRPr="00143F3B">
              <w:rPr>
                <w:rFonts w:asciiTheme="majorBidi" w:hAnsiTheme="majorBidi" w:cstheme="majorBidi"/>
                <w:sz w:val="20"/>
                <w:szCs w:val="20"/>
              </w:rPr>
              <w:t>mecA</w:t>
            </w:r>
            <w:proofErr w:type="spellEnd"/>
            <w:r w:rsidRPr="00143F3B">
              <w:rPr>
                <w:rFonts w:asciiTheme="majorBidi" w:hAnsiTheme="majorBidi" w:cstheme="majorBidi"/>
                <w:sz w:val="20"/>
                <w:szCs w:val="20"/>
              </w:rPr>
              <w:t>/C and MREJ (MRSA)</w:t>
            </w:r>
          </w:p>
        </w:tc>
      </w:tr>
      <w:tr w:rsidR="008C092A" w:rsidRPr="00143F3B" w14:paraId="79AB8EC6" w14:textId="77777777" w:rsidTr="006A5829">
        <w:trPr>
          <w:jc w:val="center"/>
        </w:trPr>
        <w:tc>
          <w:tcPr>
            <w:tcW w:w="3964" w:type="dxa"/>
            <w:vMerge/>
            <w:vAlign w:val="center"/>
          </w:tcPr>
          <w:p w14:paraId="013A67A6" w14:textId="77777777" w:rsidR="008C092A" w:rsidRPr="00143F3B" w:rsidRDefault="008C092A" w:rsidP="00C85568">
            <w:pPr>
              <w:ind w:left="0" w:firstLine="0"/>
              <w:rPr>
                <w:rFonts w:asciiTheme="majorBidi" w:hAnsiTheme="majorBidi" w:cstheme="majorBidi"/>
                <w:b/>
                <w:bCs/>
                <w:sz w:val="20"/>
                <w:szCs w:val="20"/>
              </w:rPr>
            </w:pPr>
          </w:p>
        </w:tc>
        <w:tc>
          <w:tcPr>
            <w:tcW w:w="5052" w:type="dxa"/>
            <w:vAlign w:val="center"/>
          </w:tcPr>
          <w:p w14:paraId="38A6FFAE" w14:textId="7E7BBAFC" w:rsidR="008C092A" w:rsidRPr="00143F3B" w:rsidRDefault="008C092A" w:rsidP="00C85568">
            <w:pPr>
              <w:ind w:left="0" w:firstLine="0"/>
              <w:rPr>
                <w:rFonts w:asciiTheme="majorBidi" w:hAnsiTheme="majorBidi" w:cstheme="majorBidi"/>
                <w:sz w:val="20"/>
                <w:szCs w:val="20"/>
              </w:rPr>
            </w:pPr>
            <w:proofErr w:type="spellStart"/>
            <w:r w:rsidRPr="00143F3B">
              <w:rPr>
                <w:rFonts w:asciiTheme="majorBidi" w:hAnsiTheme="majorBidi" w:cstheme="majorBidi"/>
                <w:sz w:val="20"/>
                <w:szCs w:val="20"/>
              </w:rPr>
              <w:t>vanA</w:t>
            </w:r>
            <w:proofErr w:type="spellEnd"/>
            <w:r w:rsidRPr="00143F3B">
              <w:rPr>
                <w:rFonts w:asciiTheme="majorBidi" w:hAnsiTheme="majorBidi" w:cstheme="majorBidi"/>
                <w:sz w:val="20"/>
                <w:szCs w:val="20"/>
              </w:rPr>
              <w:t>/B</w:t>
            </w:r>
          </w:p>
        </w:tc>
      </w:tr>
    </w:tbl>
    <w:p w14:paraId="6F6A5FA9" w14:textId="77777777" w:rsidR="00621247" w:rsidRPr="00143F3B" w:rsidRDefault="00621247" w:rsidP="00C85568">
      <w:pPr>
        <w:ind w:left="0" w:firstLine="0"/>
        <w:rPr>
          <w:rFonts w:asciiTheme="majorBidi" w:hAnsiTheme="majorBidi" w:cstheme="majorBidi"/>
          <w:b/>
          <w:bCs/>
          <w:sz w:val="20"/>
          <w:szCs w:val="20"/>
        </w:rPr>
      </w:pPr>
    </w:p>
    <w:p w14:paraId="73958F05" w14:textId="77777777" w:rsidR="0068385A" w:rsidRPr="00143F3B" w:rsidRDefault="0068385A" w:rsidP="0068385A">
      <w:pPr>
        <w:pStyle w:val="ListParagraph"/>
        <w:ind w:firstLine="0"/>
        <w:rPr>
          <w:rFonts w:asciiTheme="majorBidi" w:hAnsiTheme="majorBidi" w:cstheme="majorBidi"/>
          <w:b/>
          <w:bCs/>
          <w:sz w:val="20"/>
          <w:szCs w:val="20"/>
        </w:rPr>
      </w:pPr>
    </w:p>
    <w:p w14:paraId="55479BAB" w14:textId="77777777" w:rsidR="0068385A" w:rsidRPr="00143F3B" w:rsidRDefault="0068385A" w:rsidP="0068385A">
      <w:pPr>
        <w:pStyle w:val="ListParagraph"/>
        <w:ind w:firstLine="0"/>
        <w:rPr>
          <w:rFonts w:asciiTheme="majorBidi" w:hAnsiTheme="majorBidi" w:cstheme="majorBidi"/>
          <w:b/>
          <w:bCs/>
          <w:sz w:val="20"/>
          <w:szCs w:val="20"/>
        </w:rPr>
      </w:pPr>
    </w:p>
    <w:p w14:paraId="43359B4E" w14:textId="4B9CB138" w:rsidR="0051122C" w:rsidRPr="00143F3B" w:rsidRDefault="0051122C" w:rsidP="00AE7906">
      <w:pPr>
        <w:pStyle w:val="ListParagraph"/>
        <w:numPr>
          <w:ilvl w:val="0"/>
          <w:numId w:val="16"/>
        </w:numPr>
        <w:ind w:left="284" w:hanging="284"/>
        <w:rPr>
          <w:rFonts w:asciiTheme="majorBidi" w:hAnsiTheme="majorBidi" w:cstheme="majorBidi"/>
          <w:b/>
          <w:bCs/>
          <w:sz w:val="20"/>
          <w:szCs w:val="20"/>
        </w:rPr>
      </w:pPr>
      <w:r w:rsidRPr="00143F3B">
        <w:rPr>
          <w:rFonts w:asciiTheme="majorBidi" w:hAnsiTheme="majorBidi" w:cstheme="majorBidi"/>
          <w:b/>
          <w:bCs/>
          <w:sz w:val="20"/>
          <w:szCs w:val="20"/>
        </w:rPr>
        <w:t>What is the role of Biofire in diagnosis of bone infection?</w:t>
      </w:r>
    </w:p>
    <w:p w14:paraId="1BD12935" w14:textId="77777777" w:rsidR="00831FA2" w:rsidRPr="00143F3B" w:rsidRDefault="00831FA2" w:rsidP="00831FA2">
      <w:pPr>
        <w:pStyle w:val="ListParagraph"/>
        <w:ind w:firstLine="0"/>
        <w:rPr>
          <w:rFonts w:asciiTheme="majorBidi" w:hAnsiTheme="majorBidi" w:cstheme="majorBidi"/>
          <w:b/>
          <w:bCs/>
          <w:sz w:val="20"/>
          <w:szCs w:val="20"/>
        </w:rPr>
      </w:pPr>
    </w:p>
    <w:p w14:paraId="1817F4D0" w14:textId="77777777" w:rsidR="000C110D" w:rsidRPr="00143F3B" w:rsidRDefault="00EF35AF" w:rsidP="000C110D">
      <w:pPr>
        <w:ind w:left="0"/>
        <w:rPr>
          <w:rFonts w:asciiTheme="majorBidi" w:hAnsiTheme="majorBidi" w:cstheme="majorBidi"/>
          <w:sz w:val="20"/>
          <w:szCs w:val="20"/>
        </w:rPr>
      </w:pPr>
      <w:r w:rsidRPr="00143F3B">
        <w:rPr>
          <w:rFonts w:asciiTheme="majorBidi" w:hAnsiTheme="majorBidi" w:cstheme="majorBidi"/>
          <w:sz w:val="20"/>
          <w:szCs w:val="20"/>
        </w:rPr>
        <w:t>Many</w:t>
      </w:r>
      <w:r w:rsidR="00BE3EA5" w:rsidRPr="00143F3B">
        <w:rPr>
          <w:rFonts w:asciiTheme="majorBidi" w:hAnsiTheme="majorBidi" w:cstheme="majorBidi"/>
          <w:sz w:val="20"/>
          <w:szCs w:val="20"/>
        </w:rPr>
        <w:t xml:space="preserve"> studies assessed the role of BIOFIRE </w:t>
      </w:r>
      <w:r w:rsidR="002B351C" w:rsidRPr="00143F3B">
        <w:rPr>
          <w:rFonts w:asciiTheme="majorBidi" w:hAnsiTheme="majorBidi" w:cstheme="majorBidi"/>
          <w:sz w:val="20"/>
          <w:szCs w:val="20"/>
        </w:rPr>
        <w:t xml:space="preserve">joint infection panel, </w:t>
      </w:r>
      <w:r w:rsidR="00BE3EA5" w:rsidRPr="00143F3B">
        <w:rPr>
          <w:rFonts w:asciiTheme="majorBidi" w:hAnsiTheme="majorBidi" w:cstheme="majorBidi"/>
          <w:sz w:val="20"/>
          <w:szCs w:val="20"/>
        </w:rPr>
        <w:t>in the diagnosis of periprosthetic joint infections</w:t>
      </w:r>
      <w:r w:rsidR="009206A9" w:rsidRPr="00143F3B">
        <w:rPr>
          <w:rFonts w:asciiTheme="majorBidi" w:hAnsiTheme="majorBidi" w:cstheme="majorBidi"/>
          <w:sz w:val="20"/>
          <w:szCs w:val="20"/>
        </w:rPr>
        <w:t xml:space="preserve">. </w:t>
      </w:r>
      <w:r w:rsidR="00212CF2" w:rsidRPr="00143F3B">
        <w:rPr>
          <w:rFonts w:asciiTheme="majorBidi" w:hAnsiTheme="majorBidi" w:cstheme="majorBidi"/>
          <w:sz w:val="20"/>
          <w:szCs w:val="20"/>
        </w:rPr>
        <w:t>T</w:t>
      </w:r>
      <w:r w:rsidR="004441DC" w:rsidRPr="00143F3B">
        <w:rPr>
          <w:rFonts w:asciiTheme="majorBidi" w:hAnsiTheme="majorBidi" w:cstheme="majorBidi"/>
          <w:sz w:val="20"/>
          <w:szCs w:val="20"/>
        </w:rPr>
        <w:t xml:space="preserve">he BIOFIRE technology added an advantage of identifying </w:t>
      </w:r>
      <w:r w:rsidR="006335A9" w:rsidRPr="00143F3B">
        <w:rPr>
          <w:rFonts w:asciiTheme="majorBidi" w:hAnsiTheme="majorBidi" w:cstheme="majorBidi"/>
          <w:sz w:val="20"/>
          <w:szCs w:val="20"/>
        </w:rPr>
        <w:t xml:space="preserve">some difficult to grow organisms </w:t>
      </w:r>
      <w:r w:rsidR="00F075CA" w:rsidRPr="00143F3B">
        <w:rPr>
          <w:rFonts w:asciiTheme="majorBidi" w:hAnsiTheme="majorBidi" w:cstheme="majorBidi"/>
          <w:sz w:val="20"/>
          <w:szCs w:val="20"/>
        </w:rPr>
        <w:t>specially in cases of unexpected negative cultures.</w:t>
      </w:r>
      <w:r w:rsidR="00154B63" w:rsidRPr="00143F3B">
        <w:rPr>
          <w:rFonts w:asciiTheme="majorBidi" w:hAnsiTheme="majorBidi" w:cstheme="majorBidi"/>
          <w:sz w:val="20"/>
          <w:szCs w:val="20"/>
        </w:rPr>
        <w:fldChar w:fldCharType="begin"/>
      </w:r>
      <w:r w:rsidR="00370685" w:rsidRPr="00143F3B">
        <w:rPr>
          <w:rFonts w:asciiTheme="majorBidi" w:hAnsiTheme="majorBidi" w:cstheme="majorBidi"/>
          <w:sz w:val="20"/>
          <w:szCs w:val="20"/>
        </w:rPr>
        <w:instrText xml:space="preserve"> ADDIN ZOTERO_ITEM CSL_CITATION {"citationID":"kNqm9bAc","properties":{"formattedCitation":"(11)","plainCitation":"(11)","noteIndex":0},"citationItems":[{"id":2229,"uris":["http://zotero.org/users/local/5UWbIU8o/items/GINQDEHK"],"itemData":{"id":2229,"type":"article-journal","abstract":"AIMS: This study aimed to evaluate the BioFire Joint Infection (JI) Panel in cases of hip and knee periprosthetic joint infection (PJI) where conventional microbiology is unclear, and to assess its role as a complementary intraoperative diagnostic tool.\nMETHODS: Five groups representing common microbiological scenarios in hip and knee revision arthroplasty were selected from our arthroplasty registry, prospectively maintained PJI databases, and biobank: 1) unexpected-negative cultures (UNCs), 2) unexpected-positive cultures (UPCs), 3) single-positive intraoperative cultures (SPCs), and 4) clearly septic and 5) aseptic cases. In total, 268 archived synovial fluid samples from 195 patients who underwent acute/chronic revision total hip or knee arthroplasty were included. Cases were classified according to the International Consensus Meeting 2018 criteria. JI panel evaluation of synovial fluid was performed, and the results were compared with cultures.\nRESULTS: The JI panel detected microorganisms in 7/48 (14.5%) and 15/67 (22.4%) cases related to UNCs and SPCs, respectively, but not in cases of UPCs. The correlation between JI panel detection and infection classification criteria for early/late acute and chronic PJI was 46.6%, 73%, and 40%, respectively. Overall, the JI panel identified 12.6% additional microorganisms and three new species. The JI panel pathogen identification showed a sensitivity and specificity of 41.4% (95% confidence interval (CI) 33.7 to 49.5) and 91.1% (95% CI 84.7 to 94.9), respectively. In total, 19/195 (9.7%) could have been managed differently and more accurately upon JI panel evaluation.\nCONCLUSION: Despite its microbial limitation, JI panel demonstrated clinical usefulness by complementing the traditional methods based on multiple cultures, particularly in PJI with unclear microbiological results.","container-title":"Bone &amp; Joint Research","DOI":"10.1302/2046-3758.137.BJR-2023-0321.R2","ISSN":"2046-3758","issue":"7","journalAbbreviation":"Bone Joint Res","language":"eng","note":"PMID: 38981611\nPMCID: PMC11233181","page":"353-361","source":"PubMed","title":"The role of BioFire Joint Infection Panel in diagnosing periprosthetic hip and knee joint infections in patients with unclear conventional microbiological results","volume":"13","author":[{"family":"Gardete-Hartmann","given":"Susana"},{"family":"Mitterer","given":"Jennyfer A."},{"family":"Sebastian","given":"Sujeesh"},{"family":"Frank","given":"Bernhard J. H."},{"family":"Simon","given":"Sebastian"},{"family":"Huber","given":"Stephanie"},{"family":"Löw","given":"Marcellino"},{"family":"Sommer","given":"Ian"},{"family":"Prinz","given":"Morjan"},{"family":"Halabi","given":"Milo"},{"family":"Hofstaetter","given":"Jochen G."}],"issued":{"date-parts":[["2024",7,10]]}}}],"schema":"https://github.com/citation-style-language/schema/raw/master/csl-citation.json"} </w:instrText>
      </w:r>
      <w:r w:rsidR="00154B63" w:rsidRPr="00143F3B">
        <w:rPr>
          <w:rFonts w:asciiTheme="majorBidi" w:hAnsiTheme="majorBidi" w:cstheme="majorBidi"/>
          <w:sz w:val="20"/>
          <w:szCs w:val="20"/>
        </w:rPr>
        <w:fldChar w:fldCharType="separate"/>
      </w:r>
      <w:r w:rsidR="00370685" w:rsidRPr="00143F3B">
        <w:rPr>
          <w:rFonts w:asciiTheme="majorBidi" w:hAnsiTheme="majorBidi" w:cstheme="majorBidi"/>
          <w:sz w:val="20"/>
          <w:szCs w:val="20"/>
        </w:rPr>
        <w:t>(11)</w:t>
      </w:r>
      <w:r w:rsidR="00154B63" w:rsidRPr="00143F3B">
        <w:rPr>
          <w:rFonts w:asciiTheme="majorBidi" w:hAnsiTheme="majorBidi" w:cstheme="majorBidi"/>
          <w:sz w:val="20"/>
          <w:szCs w:val="20"/>
        </w:rPr>
        <w:fldChar w:fldCharType="end"/>
      </w:r>
      <w:r w:rsidR="00154B63" w:rsidRPr="00143F3B">
        <w:rPr>
          <w:rFonts w:asciiTheme="majorBidi" w:hAnsiTheme="majorBidi" w:cstheme="majorBidi"/>
          <w:sz w:val="20"/>
          <w:szCs w:val="20"/>
        </w:rPr>
        <w:t xml:space="preserve"> </w:t>
      </w:r>
      <w:r w:rsidR="00212CF2" w:rsidRPr="00143F3B">
        <w:rPr>
          <w:rFonts w:asciiTheme="majorBidi" w:hAnsiTheme="majorBidi" w:cstheme="majorBidi"/>
          <w:sz w:val="20"/>
          <w:szCs w:val="20"/>
        </w:rPr>
        <w:t>T</w:t>
      </w:r>
      <w:r w:rsidR="00104D78" w:rsidRPr="00143F3B">
        <w:rPr>
          <w:rFonts w:asciiTheme="majorBidi" w:hAnsiTheme="majorBidi" w:cstheme="majorBidi"/>
          <w:sz w:val="20"/>
          <w:szCs w:val="20"/>
        </w:rPr>
        <w:t xml:space="preserve">he role of BIOFIRE in diagnosing </w:t>
      </w:r>
      <w:r w:rsidR="00564A2F" w:rsidRPr="00143F3B">
        <w:rPr>
          <w:rFonts w:asciiTheme="majorBidi" w:hAnsiTheme="majorBidi" w:cstheme="majorBidi"/>
          <w:sz w:val="20"/>
          <w:szCs w:val="20"/>
        </w:rPr>
        <w:t xml:space="preserve">bone </w:t>
      </w:r>
      <w:r w:rsidR="00104D78" w:rsidRPr="00143F3B">
        <w:rPr>
          <w:rFonts w:asciiTheme="majorBidi" w:hAnsiTheme="majorBidi" w:cstheme="majorBidi"/>
          <w:sz w:val="20"/>
          <w:szCs w:val="20"/>
        </w:rPr>
        <w:t xml:space="preserve">infection is much higher in native </w:t>
      </w:r>
      <w:r w:rsidR="0098769C" w:rsidRPr="00143F3B">
        <w:rPr>
          <w:rFonts w:asciiTheme="majorBidi" w:hAnsiTheme="majorBidi" w:cstheme="majorBidi"/>
          <w:sz w:val="20"/>
          <w:szCs w:val="20"/>
        </w:rPr>
        <w:t xml:space="preserve">acute </w:t>
      </w:r>
      <w:r w:rsidR="0046109D" w:rsidRPr="00143F3B">
        <w:rPr>
          <w:rFonts w:asciiTheme="majorBidi" w:hAnsiTheme="majorBidi" w:cstheme="majorBidi"/>
          <w:sz w:val="20"/>
          <w:szCs w:val="20"/>
        </w:rPr>
        <w:t>septic arthritis</w:t>
      </w:r>
      <w:r w:rsidR="00104D78" w:rsidRPr="00143F3B">
        <w:rPr>
          <w:rFonts w:asciiTheme="majorBidi" w:hAnsiTheme="majorBidi" w:cstheme="majorBidi"/>
          <w:sz w:val="20"/>
          <w:szCs w:val="20"/>
        </w:rPr>
        <w:t xml:space="preserve"> rather than </w:t>
      </w:r>
      <w:r w:rsidR="007406ED" w:rsidRPr="00143F3B">
        <w:rPr>
          <w:rFonts w:asciiTheme="majorBidi" w:hAnsiTheme="majorBidi" w:cstheme="majorBidi"/>
          <w:sz w:val="20"/>
          <w:szCs w:val="20"/>
        </w:rPr>
        <w:t>post- surgical joint infections</w:t>
      </w:r>
      <w:r w:rsidR="0046109D" w:rsidRPr="00143F3B">
        <w:rPr>
          <w:rFonts w:asciiTheme="majorBidi" w:hAnsiTheme="majorBidi" w:cstheme="majorBidi"/>
          <w:sz w:val="20"/>
          <w:szCs w:val="20"/>
        </w:rPr>
        <w:t>.</w:t>
      </w:r>
      <w:r w:rsidR="00564A2F" w:rsidRPr="00143F3B">
        <w:rPr>
          <w:rFonts w:asciiTheme="majorBidi" w:hAnsiTheme="majorBidi" w:cstheme="majorBidi"/>
          <w:sz w:val="20"/>
          <w:szCs w:val="20"/>
        </w:rPr>
        <w:t xml:space="preserve"> T</w:t>
      </w:r>
      <w:r w:rsidR="0074743A" w:rsidRPr="00143F3B">
        <w:rPr>
          <w:rFonts w:asciiTheme="majorBidi" w:hAnsiTheme="majorBidi" w:cstheme="majorBidi"/>
          <w:sz w:val="20"/>
          <w:szCs w:val="20"/>
        </w:rPr>
        <w:t xml:space="preserve">his is because </w:t>
      </w:r>
      <w:r w:rsidR="008E752D" w:rsidRPr="00143F3B">
        <w:rPr>
          <w:rFonts w:asciiTheme="majorBidi" w:hAnsiTheme="majorBidi" w:cstheme="majorBidi"/>
          <w:sz w:val="20"/>
          <w:szCs w:val="20"/>
        </w:rPr>
        <w:t xml:space="preserve">the BIOFIRE JI panel lacks </w:t>
      </w:r>
      <w:r w:rsidR="0046109D" w:rsidRPr="00143F3B">
        <w:rPr>
          <w:rFonts w:asciiTheme="majorBidi" w:hAnsiTheme="majorBidi" w:cstheme="majorBidi"/>
          <w:sz w:val="20"/>
          <w:szCs w:val="20"/>
        </w:rPr>
        <w:t xml:space="preserve">some </w:t>
      </w:r>
      <w:r w:rsidR="00D72BD5" w:rsidRPr="00143F3B">
        <w:rPr>
          <w:rFonts w:asciiTheme="majorBidi" w:hAnsiTheme="majorBidi" w:cstheme="majorBidi"/>
          <w:sz w:val="20"/>
          <w:szCs w:val="20"/>
        </w:rPr>
        <w:t>organisms,</w:t>
      </w:r>
      <w:r w:rsidR="002B351C" w:rsidRPr="00143F3B">
        <w:rPr>
          <w:rFonts w:asciiTheme="majorBidi" w:hAnsiTheme="majorBidi" w:cstheme="majorBidi"/>
          <w:sz w:val="20"/>
          <w:szCs w:val="20"/>
        </w:rPr>
        <w:t xml:space="preserve"> which are commonly isolated in post-surgical PJI</w:t>
      </w:r>
      <w:r w:rsidR="00D72BD5" w:rsidRPr="00143F3B">
        <w:rPr>
          <w:rFonts w:asciiTheme="majorBidi" w:hAnsiTheme="majorBidi" w:cstheme="majorBidi"/>
          <w:sz w:val="20"/>
          <w:szCs w:val="20"/>
        </w:rPr>
        <w:t>. These organisms</w:t>
      </w:r>
      <w:r w:rsidR="0074743A" w:rsidRPr="00143F3B">
        <w:rPr>
          <w:rFonts w:asciiTheme="majorBidi" w:hAnsiTheme="majorBidi" w:cstheme="majorBidi"/>
          <w:sz w:val="20"/>
          <w:szCs w:val="20"/>
        </w:rPr>
        <w:t xml:space="preserve"> </w:t>
      </w:r>
      <w:r w:rsidR="0046109D" w:rsidRPr="00143F3B">
        <w:rPr>
          <w:rFonts w:asciiTheme="majorBidi" w:hAnsiTheme="majorBidi" w:cstheme="majorBidi"/>
          <w:sz w:val="20"/>
          <w:szCs w:val="20"/>
        </w:rPr>
        <w:t xml:space="preserve">such as </w:t>
      </w:r>
      <w:r w:rsidR="0046109D" w:rsidRPr="00143F3B">
        <w:rPr>
          <w:rFonts w:asciiTheme="majorBidi" w:hAnsiTheme="majorBidi" w:cstheme="majorBidi"/>
          <w:i/>
          <w:iCs/>
          <w:sz w:val="20"/>
          <w:szCs w:val="20"/>
        </w:rPr>
        <w:t>staphylococcus epidermidis and cutibacterium acne</w:t>
      </w:r>
      <w:r w:rsidR="00610049" w:rsidRPr="00143F3B">
        <w:rPr>
          <w:rFonts w:asciiTheme="majorBidi" w:hAnsiTheme="majorBidi" w:cstheme="majorBidi"/>
          <w:sz w:val="20"/>
          <w:szCs w:val="20"/>
        </w:rPr>
        <w:t xml:space="preserve">. Their absence from </w:t>
      </w:r>
      <w:r w:rsidR="00092D14" w:rsidRPr="00143F3B">
        <w:rPr>
          <w:rFonts w:asciiTheme="majorBidi" w:hAnsiTheme="majorBidi" w:cstheme="majorBidi"/>
          <w:sz w:val="20"/>
          <w:szCs w:val="20"/>
        </w:rPr>
        <w:t xml:space="preserve">the </w:t>
      </w:r>
      <w:r w:rsidR="008E752D" w:rsidRPr="00143F3B">
        <w:rPr>
          <w:rFonts w:asciiTheme="majorBidi" w:hAnsiTheme="majorBidi" w:cstheme="majorBidi"/>
          <w:sz w:val="20"/>
          <w:szCs w:val="20"/>
        </w:rPr>
        <w:t xml:space="preserve">BIOFIRE </w:t>
      </w:r>
      <w:r w:rsidR="00092D14" w:rsidRPr="00143F3B">
        <w:rPr>
          <w:rFonts w:asciiTheme="majorBidi" w:hAnsiTheme="majorBidi" w:cstheme="majorBidi"/>
          <w:sz w:val="20"/>
          <w:szCs w:val="20"/>
        </w:rPr>
        <w:t xml:space="preserve">JI </w:t>
      </w:r>
      <w:r w:rsidR="00610049" w:rsidRPr="00143F3B">
        <w:rPr>
          <w:rFonts w:asciiTheme="majorBidi" w:hAnsiTheme="majorBidi" w:cstheme="majorBidi"/>
          <w:sz w:val="20"/>
          <w:szCs w:val="20"/>
        </w:rPr>
        <w:t>panel,</w:t>
      </w:r>
      <w:r w:rsidR="00A90CB2" w:rsidRPr="00143F3B">
        <w:rPr>
          <w:rFonts w:asciiTheme="majorBidi" w:hAnsiTheme="majorBidi" w:cstheme="majorBidi"/>
          <w:sz w:val="20"/>
          <w:szCs w:val="20"/>
        </w:rPr>
        <w:t xml:space="preserve"> </w:t>
      </w:r>
      <w:r w:rsidR="00610049" w:rsidRPr="00143F3B">
        <w:rPr>
          <w:rFonts w:asciiTheme="majorBidi" w:hAnsiTheme="majorBidi" w:cstheme="majorBidi"/>
          <w:sz w:val="20"/>
          <w:szCs w:val="20"/>
        </w:rPr>
        <w:t xml:space="preserve">probably </w:t>
      </w:r>
      <w:r w:rsidR="00E52D4F" w:rsidRPr="00143F3B">
        <w:rPr>
          <w:rFonts w:asciiTheme="majorBidi" w:hAnsiTheme="majorBidi" w:cstheme="majorBidi"/>
          <w:sz w:val="20"/>
          <w:szCs w:val="20"/>
        </w:rPr>
        <w:t xml:space="preserve">takes aim </w:t>
      </w:r>
      <w:r w:rsidR="00A90CB2" w:rsidRPr="00143F3B">
        <w:rPr>
          <w:rFonts w:asciiTheme="majorBidi" w:hAnsiTheme="majorBidi" w:cstheme="majorBidi"/>
          <w:sz w:val="20"/>
          <w:szCs w:val="20"/>
        </w:rPr>
        <w:t>to minimize false-positive results</w:t>
      </w:r>
      <w:r w:rsidR="00E52D4F" w:rsidRPr="00143F3B">
        <w:rPr>
          <w:rFonts w:asciiTheme="majorBidi" w:hAnsiTheme="majorBidi" w:cstheme="majorBidi"/>
          <w:sz w:val="20"/>
          <w:szCs w:val="20"/>
        </w:rPr>
        <w:t>, because the isolation of these organism</w:t>
      </w:r>
      <w:r w:rsidR="00D72BD5" w:rsidRPr="00143F3B">
        <w:rPr>
          <w:rFonts w:asciiTheme="majorBidi" w:hAnsiTheme="majorBidi" w:cstheme="majorBidi"/>
          <w:sz w:val="20"/>
          <w:szCs w:val="20"/>
        </w:rPr>
        <w:t>s</w:t>
      </w:r>
      <w:r w:rsidR="00E52D4F" w:rsidRPr="00143F3B">
        <w:rPr>
          <w:rFonts w:asciiTheme="majorBidi" w:hAnsiTheme="majorBidi" w:cstheme="majorBidi"/>
          <w:sz w:val="20"/>
          <w:szCs w:val="20"/>
        </w:rPr>
        <w:t xml:space="preserve"> is still debatable because they might be </w:t>
      </w:r>
      <w:r w:rsidR="00873776" w:rsidRPr="00143F3B">
        <w:rPr>
          <w:rFonts w:asciiTheme="majorBidi" w:hAnsiTheme="majorBidi" w:cstheme="majorBidi"/>
          <w:sz w:val="20"/>
          <w:szCs w:val="20"/>
        </w:rPr>
        <w:t xml:space="preserve">part of the </w:t>
      </w:r>
      <w:r w:rsidR="00E52D4F" w:rsidRPr="00143F3B">
        <w:rPr>
          <w:rFonts w:asciiTheme="majorBidi" w:hAnsiTheme="majorBidi" w:cstheme="majorBidi"/>
          <w:sz w:val="20"/>
          <w:szCs w:val="20"/>
        </w:rPr>
        <w:t xml:space="preserve">normal </w:t>
      </w:r>
      <w:r w:rsidR="00873776" w:rsidRPr="00143F3B">
        <w:rPr>
          <w:rFonts w:asciiTheme="majorBidi" w:hAnsiTheme="majorBidi" w:cstheme="majorBidi"/>
          <w:sz w:val="20"/>
          <w:szCs w:val="20"/>
        </w:rPr>
        <w:t xml:space="preserve">skin </w:t>
      </w:r>
      <w:r w:rsidR="00E52D4F" w:rsidRPr="00143F3B">
        <w:rPr>
          <w:rFonts w:asciiTheme="majorBidi" w:hAnsiTheme="majorBidi" w:cstheme="majorBidi"/>
          <w:sz w:val="20"/>
          <w:szCs w:val="20"/>
        </w:rPr>
        <w:t>flora</w:t>
      </w:r>
      <w:r w:rsidR="002B351C" w:rsidRPr="00143F3B">
        <w:rPr>
          <w:rFonts w:asciiTheme="majorBidi" w:hAnsiTheme="majorBidi" w:cstheme="majorBidi"/>
          <w:sz w:val="20"/>
          <w:szCs w:val="20"/>
        </w:rPr>
        <w:t xml:space="preserve">. </w:t>
      </w:r>
    </w:p>
    <w:p w14:paraId="2955A042" w14:textId="31BB361C" w:rsidR="0041721B" w:rsidRPr="00143F3B" w:rsidRDefault="00053D33" w:rsidP="000C110D">
      <w:pPr>
        <w:ind w:left="0"/>
        <w:rPr>
          <w:rFonts w:asciiTheme="majorBidi" w:hAnsiTheme="majorBidi" w:cstheme="majorBidi"/>
          <w:sz w:val="20"/>
          <w:szCs w:val="20"/>
        </w:rPr>
      </w:pPr>
      <w:r w:rsidRPr="00143F3B">
        <w:rPr>
          <w:rFonts w:asciiTheme="majorBidi" w:hAnsiTheme="majorBidi" w:cstheme="majorBidi"/>
          <w:sz w:val="20"/>
          <w:szCs w:val="20"/>
        </w:rPr>
        <w:t>Several studies have compared the performance of BIOFIRE JI panel with the routine culture, the gold standard method</w:t>
      </w:r>
      <w:r w:rsidRPr="00143F3B">
        <w:rPr>
          <w:rFonts w:asciiTheme="majorBidi" w:hAnsiTheme="majorBidi" w:cstheme="majorBidi"/>
          <w:sz w:val="20"/>
          <w:szCs w:val="20"/>
        </w:rPr>
        <w:t xml:space="preserve"> and a</w:t>
      </w:r>
      <w:r w:rsidR="005A01F3" w:rsidRPr="00143F3B">
        <w:rPr>
          <w:rFonts w:asciiTheme="majorBidi" w:hAnsiTheme="majorBidi" w:cstheme="majorBidi"/>
          <w:sz w:val="20"/>
          <w:szCs w:val="20"/>
        </w:rPr>
        <w:t xml:space="preserve">lthough the high agreement between BIOFIRE and conventional culture results, there were </w:t>
      </w:r>
      <w:r w:rsidR="008A73E4" w:rsidRPr="00143F3B">
        <w:rPr>
          <w:rFonts w:asciiTheme="majorBidi" w:hAnsiTheme="majorBidi" w:cstheme="majorBidi"/>
          <w:sz w:val="20"/>
          <w:szCs w:val="20"/>
        </w:rPr>
        <w:t xml:space="preserve">a percentage of discrepancy which </w:t>
      </w:r>
      <w:r w:rsidR="00236A89" w:rsidRPr="00143F3B">
        <w:rPr>
          <w:rFonts w:asciiTheme="majorBidi" w:hAnsiTheme="majorBidi" w:cstheme="majorBidi"/>
          <w:sz w:val="20"/>
          <w:szCs w:val="20"/>
        </w:rPr>
        <w:t>requires proper clinical assessment.</w:t>
      </w:r>
      <w:r w:rsidR="00BB4B60" w:rsidRPr="00143F3B">
        <w:rPr>
          <w:rFonts w:asciiTheme="majorBidi" w:hAnsiTheme="majorBidi" w:cstheme="majorBidi"/>
          <w:sz w:val="20"/>
          <w:szCs w:val="20"/>
        </w:rPr>
        <w:t xml:space="preserve"> </w:t>
      </w:r>
      <w:r w:rsidR="00DA671F" w:rsidRPr="00143F3B">
        <w:rPr>
          <w:rFonts w:asciiTheme="majorBidi" w:hAnsiTheme="majorBidi" w:cstheme="majorBidi"/>
          <w:sz w:val="20"/>
          <w:szCs w:val="20"/>
        </w:rPr>
        <w:fldChar w:fldCharType="begin"/>
      </w:r>
      <w:r w:rsidR="007F46A3" w:rsidRPr="00143F3B">
        <w:rPr>
          <w:rFonts w:asciiTheme="majorBidi" w:hAnsiTheme="majorBidi" w:cstheme="majorBidi"/>
          <w:sz w:val="20"/>
          <w:szCs w:val="20"/>
        </w:rPr>
        <w:instrText xml:space="preserve"> ADDIN ZOTERO_ITEM CSL_CITATION {"citationID":"A8W1uJh5","properties":{"formattedCitation":"(12)","plainCitation":"(12)","noteIndex":0},"citationItems":[{"id":2232,"uris":["http://zotero.org/users/local/5UWbIU8o/items/CQX6DBZ7"],"itemData":{"id":2232,"type":"article-journal","abstract":"The BioFire Joint Infection Panel (JI panel) is a newly FDA-approved multiplex PCR assay for detection of common bone and joint pathogens with 39 targets which include select Gram-positive and Gram-negative bacteria, yeast, and antimicrobial resistance genes. We evaluated the performance of the JI panel in detecting joint infections in our patient population. Sixty-three frozen, residual joint fluid specimens were retrospectively tested using the JI panel. An additional 104 residual joint fluid specimens were de-identified and prospectively tested within 1 week of collection. Results from routine bacterial cultures were used as the reference standard, which included inoculation to agar plates and blood culture bottles. For the frozen specimens, the JI panel showed a positive percent agreement (PPA) of 92.8% and a negative percent agreement (NPA) of 97.1%. PPA was 71.4% and NPA was 94.8% for fresh specimens. A total of 12 discrepancies were observed among the 167 specimens tested. The JI panel demonstrated good overall agreement with routine culture for the detection of joint infections and may improve timely diagnosis when used in conjunction with bacterial culture. However, potential false-positive and false-negative results were observed in both retrospective and prospective testing of specimens.IMPORTANCEThe BioFire JI panel is a new commercially available multiplex PCR assay for detecting common pathogens causing bone and joint infections. The test is performed directly on joint fluids with a fast turnaround time of 1 hour. Our study shows that while the JI panel overall shows good agreement with routine culture, discrepancies were observed in 7% of cases and results should be interpreted with appropriate clinical context.","container-title":"Journal of Clinical Microbiology","DOI":"10.1128/jcm.00182-24","ISSN":"1098-660X","issue":"8","journalAbbreviation":"J Clin Microbiol","language":"eng","note":"PMID: 39016560\nPMCID: PMC11323555","page":"e0018224","source":"PubMed","title":"Evaluation of a BioFire multiplex PCR panel for detection of joint infections using retrospective and prospectively collected specimens","volume":"62","author":[{"family":"Moran","given":"Angelica"},{"family":"Arellano","given":"Jekzaly"},{"family":"Bregman","given":"Karen"},{"family":"McElvania","given":"Erin"}],"issued":{"date-parts":[["2024",8,14]]}}}],"schema":"https://github.com/citation-style-language/schema/raw/master/csl-citation.json"} </w:instrText>
      </w:r>
      <w:r w:rsidR="00DA671F" w:rsidRPr="00143F3B">
        <w:rPr>
          <w:rFonts w:asciiTheme="majorBidi" w:hAnsiTheme="majorBidi" w:cstheme="majorBidi"/>
          <w:sz w:val="20"/>
          <w:szCs w:val="20"/>
        </w:rPr>
        <w:fldChar w:fldCharType="separate"/>
      </w:r>
      <w:r w:rsidR="007F46A3" w:rsidRPr="00143F3B">
        <w:rPr>
          <w:rFonts w:asciiTheme="majorBidi" w:hAnsiTheme="majorBidi" w:cstheme="majorBidi"/>
          <w:sz w:val="20"/>
          <w:szCs w:val="20"/>
        </w:rPr>
        <w:t>(12)</w:t>
      </w:r>
      <w:r w:rsidR="00DA671F" w:rsidRPr="00143F3B">
        <w:rPr>
          <w:rFonts w:asciiTheme="majorBidi" w:hAnsiTheme="majorBidi" w:cstheme="majorBidi"/>
          <w:sz w:val="20"/>
          <w:szCs w:val="20"/>
        </w:rPr>
        <w:fldChar w:fldCharType="end"/>
      </w:r>
      <w:r w:rsidR="006D73F8" w:rsidRPr="00143F3B">
        <w:rPr>
          <w:rFonts w:asciiTheme="majorBidi" w:hAnsiTheme="majorBidi" w:cstheme="majorBidi"/>
          <w:sz w:val="20"/>
          <w:szCs w:val="20"/>
        </w:rPr>
        <w:t xml:space="preserve"> </w:t>
      </w:r>
    </w:p>
    <w:p w14:paraId="6F21E428" w14:textId="77777777" w:rsidR="00FA037B" w:rsidRPr="00143F3B" w:rsidRDefault="00FA037B" w:rsidP="00275606">
      <w:pPr>
        <w:rPr>
          <w:rFonts w:asciiTheme="majorBidi" w:hAnsiTheme="majorBidi" w:cstheme="majorBidi"/>
          <w:sz w:val="20"/>
          <w:szCs w:val="20"/>
        </w:rPr>
      </w:pPr>
    </w:p>
    <w:p w14:paraId="5352B451" w14:textId="77777777" w:rsidR="00FA037B" w:rsidRPr="00143F3B" w:rsidRDefault="0058050F" w:rsidP="00FA037B">
      <w:pPr>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 xml:space="preserve">Table (2): Overall agreement between BIOFIRE JI panel and routine culture in </w:t>
      </w:r>
    </w:p>
    <w:p w14:paraId="6049C627" w14:textId="1F7B2BF9" w:rsidR="0058050F" w:rsidRPr="00143F3B" w:rsidRDefault="0058050F" w:rsidP="00FA037B">
      <w:pPr>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native and prosthetic joint infections</w:t>
      </w:r>
    </w:p>
    <w:p w14:paraId="699649CB" w14:textId="77777777" w:rsidR="00E644F8" w:rsidRPr="00143F3B" w:rsidRDefault="00E644F8" w:rsidP="00FA037B">
      <w:pPr>
        <w:ind w:left="0" w:firstLine="0"/>
        <w:jc w:val="center"/>
        <w:rPr>
          <w:rFonts w:asciiTheme="majorBidi" w:hAnsiTheme="majorBidi" w:cstheme="majorBidi"/>
          <w:b/>
          <w:bCs/>
          <w:sz w:val="20"/>
          <w:szCs w:val="20"/>
        </w:rPr>
      </w:pPr>
    </w:p>
    <w:tbl>
      <w:tblPr>
        <w:tblStyle w:val="TableGrid"/>
        <w:tblW w:w="0" w:type="auto"/>
        <w:jc w:val="center"/>
        <w:tblLook w:val="04A0" w:firstRow="1" w:lastRow="0" w:firstColumn="1" w:lastColumn="0" w:noHBand="0" w:noVBand="1"/>
      </w:tblPr>
      <w:tblGrid>
        <w:gridCol w:w="2254"/>
        <w:gridCol w:w="2254"/>
        <w:gridCol w:w="2254"/>
        <w:gridCol w:w="2254"/>
      </w:tblGrid>
      <w:tr w:rsidR="00190ECA" w:rsidRPr="00143F3B" w14:paraId="4DE90A82" w14:textId="77777777" w:rsidTr="00C94A88">
        <w:trPr>
          <w:jc w:val="center"/>
        </w:trPr>
        <w:tc>
          <w:tcPr>
            <w:tcW w:w="9016" w:type="dxa"/>
            <w:gridSpan w:val="4"/>
          </w:tcPr>
          <w:p w14:paraId="42CD0296" w14:textId="0AF33188" w:rsidR="00190ECA" w:rsidRPr="00143F3B" w:rsidRDefault="00190ECA"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In native joint infections</w:t>
            </w:r>
          </w:p>
        </w:tc>
      </w:tr>
      <w:tr w:rsidR="001E5A6E" w:rsidRPr="00143F3B" w14:paraId="0D361883" w14:textId="77777777" w:rsidTr="00C94A88">
        <w:trPr>
          <w:jc w:val="center"/>
        </w:trPr>
        <w:tc>
          <w:tcPr>
            <w:tcW w:w="9016" w:type="dxa"/>
            <w:gridSpan w:val="4"/>
          </w:tcPr>
          <w:p w14:paraId="1B725BBD" w14:textId="37A09CCA" w:rsidR="001E5A6E" w:rsidRPr="00143F3B" w:rsidRDefault="001E5A6E" w:rsidP="00C85568">
            <w:pPr>
              <w:ind w:left="0" w:firstLine="0"/>
              <w:rPr>
                <w:rFonts w:asciiTheme="majorBidi" w:hAnsiTheme="majorBidi" w:cstheme="majorBidi"/>
                <w:sz w:val="20"/>
                <w:szCs w:val="20"/>
              </w:rPr>
            </w:pPr>
            <w:r w:rsidRPr="00143F3B">
              <w:rPr>
                <w:rFonts w:asciiTheme="majorBidi" w:hAnsiTheme="majorBidi" w:cstheme="majorBidi"/>
                <w:sz w:val="20"/>
                <w:szCs w:val="20"/>
              </w:rPr>
              <w:t xml:space="preserve">Overall agreement between BIOFIRE </w:t>
            </w:r>
            <w:r w:rsidR="00D235F6" w:rsidRPr="00143F3B">
              <w:rPr>
                <w:rFonts w:asciiTheme="majorBidi" w:hAnsiTheme="majorBidi" w:cstheme="majorBidi"/>
                <w:sz w:val="20"/>
                <w:szCs w:val="20"/>
              </w:rPr>
              <w:t xml:space="preserve">JI panel, </w:t>
            </w:r>
            <w:r w:rsidRPr="00143F3B">
              <w:rPr>
                <w:rFonts w:asciiTheme="majorBidi" w:hAnsiTheme="majorBidi" w:cstheme="majorBidi"/>
                <w:sz w:val="20"/>
                <w:szCs w:val="20"/>
              </w:rPr>
              <w:t xml:space="preserve">and </w:t>
            </w:r>
            <w:r w:rsidR="00102A4B" w:rsidRPr="00143F3B">
              <w:rPr>
                <w:rFonts w:asciiTheme="majorBidi" w:hAnsiTheme="majorBidi" w:cstheme="majorBidi"/>
                <w:sz w:val="20"/>
                <w:szCs w:val="20"/>
              </w:rPr>
              <w:t xml:space="preserve">routine culture is </w:t>
            </w:r>
            <w:r w:rsidR="00102A4B" w:rsidRPr="00143F3B">
              <w:rPr>
                <w:rFonts w:asciiTheme="majorBidi" w:hAnsiTheme="majorBidi" w:cstheme="majorBidi"/>
                <w:b/>
                <w:bCs/>
                <w:sz w:val="20"/>
                <w:szCs w:val="20"/>
              </w:rPr>
              <w:t>88.4 %</w:t>
            </w:r>
          </w:p>
        </w:tc>
      </w:tr>
      <w:tr w:rsidR="00190ECA" w:rsidRPr="00143F3B" w14:paraId="2746B0ED" w14:textId="77777777" w:rsidTr="00C94A88">
        <w:trPr>
          <w:jc w:val="center"/>
        </w:trPr>
        <w:tc>
          <w:tcPr>
            <w:tcW w:w="2254" w:type="dxa"/>
          </w:tcPr>
          <w:p w14:paraId="6F570B91" w14:textId="6DC9E6A9" w:rsidR="00190ECA" w:rsidRPr="00143F3B" w:rsidRDefault="00102A4B"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Both positive</w:t>
            </w:r>
          </w:p>
        </w:tc>
        <w:tc>
          <w:tcPr>
            <w:tcW w:w="2254" w:type="dxa"/>
          </w:tcPr>
          <w:p w14:paraId="7963996E" w14:textId="1FA49A8F" w:rsidR="00190ECA" w:rsidRPr="00143F3B" w:rsidRDefault="00102A4B"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Both negative</w:t>
            </w:r>
          </w:p>
        </w:tc>
        <w:tc>
          <w:tcPr>
            <w:tcW w:w="2254" w:type="dxa"/>
          </w:tcPr>
          <w:p w14:paraId="7D02168E" w14:textId="6ACF19BB" w:rsidR="00190ECA" w:rsidRPr="00143F3B" w:rsidRDefault="002D22A7" w:rsidP="002D22A7">
            <w:pPr>
              <w:ind w:left="0" w:firstLine="0"/>
              <w:jc w:val="center"/>
              <w:rPr>
                <w:rFonts w:asciiTheme="majorBidi" w:hAnsiTheme="majorBidi" w:cstheme="majorBidi"/>
                <w:sz w:val="20"/>
                <w:szCs w:val="20"/>
              </w:rPr>
            </w:pPr>
            <w:r w:rsidRPr="00143F3B">
              <w:rPr>
                <w:rFonts w:asciiTheme="majorBidi" w:hAnsiTheme="majorBidi" w:cstheme="majorBidi"/>
                <w:sz w:val="20"/>
                <w:szCs w:val="20"/>
              </w:rPr>
              <w:t>P</w:t>
            </w:r>
            <w:r w:rsidRPr="00143F3B">
              <w:rPr>
                <w:rFonts w:asciiTheme="majorBidi" w:hAnsiTheme="majorBidi" w:cstheme="majorBidi"/>
                <w:sz w:val="20"/>
                <w:szCs w:val="20"/>
              </w:rPr>
              <w:t>ositive BIOFIRE JI panel only</w:t>
            </w:r>
          </w:p>
        </w:tc>
        <w:tc>
          <w:tcPr>
            <w:tcW w:w="2254" w:type="dxa"/>
          </w:tcPr>
          <w:p w14:paraId="542840B1" w14:textId="4C3A7ED0" w:rsidR="00190ECA" w:rsidRPr="00143F3B" w:rsidRDefault="002D22A7" w:rsidP="002D22A7">
            <w:pPr>
              <w:ind w:left="0" w:firstLine="0"/>
              <w:jc w:val="center"/>
              <w:rPr>
                <w:rFonts w:asciiTheme="majorBidi" w:hAnsiTheme="majorBidi" w:cstheme="majorBidi"/>
                <w:sz w:val="20"/>
                <w:szCs w:val="20"/>
              </w:rPr>
            </w:pPr>
            <w:r w:rsidRPr="00143F3B">
              <w:rPr>
                <w:rFonts w:asciiTheme="majorBidi" w:hAnsiTheme="majorBidi" w:cstheme="majorBidi"/>
                <w:sz w:val="20"/>
                <w:szCs w:val="20"/>
              </w:rPr>
              <w:t>P</w:t>
            </w:r>
            <w:r w:rsidRPr="00143F3B">
              <w:rPr>
                <w:rFonts w:asciiTheme="majorBidi" w:hAnsiTheme="majorBidi" w:cstheme="majorBidi"/>
                <w:sz w:val="20"/>
                <w:szCs w:val="20"/>
              </w:rPr>
              <w:t>ositive routine culture only</w:t>
            </w:r>
          </w:p>
        </w:tc>
      </w:tr>
      <w:tr w:rsidR="00190ECA" w:rsidRPr="00143F3B" w14:paraId="6D4B315F" w14:textId="77777777" w:rsidTr="00C94A88">
        <w:trPr>
          <w:jc w:val="center"/>
        </w:trPr>
        <w:tc>
          <w:tcPr>
            <w:tcW w:w="2254" w:type="dxa"/>
          </w:tcPr>
          <w:p w14:paraId="5DFE39C8" w14:textId="6761B60D" w:rsidR="00190ECA" w:rsidRPr="00143F3B" w:rsidRDefault="00DB2EC9"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147 samples</w:t>
            </w:r>
          </w:p>
        </w:tc>
        <w:tc>
          <w:tcPr>
            <w:tcW w:w="2254" w:type="dxa"/>
          </w:tcPr>
          <w:p w14:paraId="7CFB84A5" w14:textId="36A2CA03" w:rsidR="00190ECA" w:rsidRPr="00143F3B" w:rsidRDefault="00DB2EC9"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641 samples</w:t>
            </w:r>
          </w:p>
        </w:tc>
        <w:tc>
          <w:tcPr>
            <w:tcW w:w="2254" w:type="dxa"/>
          </w:tcPr>
          <w:p w14:paraId="581CA9B9" w14:textId="184309B3" w:rsidR="00190ECA" w:rsidRPr="00143F3B" w:rsidRDefault="00DB2EC9"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73 samples</w:t>
            </w:r>
          </w:p>
        </w:tc>
        <w:tc>
          <w:tcPr>
            <w:tcW w:w="2254" w:type="dxa"/>
          </w:tcPr>
          <w:p w14:paraId="5EA7FABE" w14:textId="086DF307" w:rsidR="00190ECA" w:rsidRPr="00143F3B" w:rsidRDefault="00DB2EC9"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12 samples</w:t>
            </w:r>
          </w:p>
        </w:tc>
      </w:tr>
      <w:tr w:rsidR="0089277D" w:rsidRPr="00143F3B" w14:paraId="3F5CC2E1" w14:textId="77777777" w:rsidTr="00C94A88">
        <w:trPr>
          <w:jc w:val="center"/>
        </w:trPr>
        <w:tc>
          <w:tcPr>
            <w:tcW w:w="9016" w:type="dxa"/>
            <w:gridSpan w:val="4"/>
          </w:tcPr>
          <w:p w14:paraId="62F3D5C5" w14:textId="2F1951A0" w:rsidR="0089277D" w:rsidRPr="00143F3B" w:rsidRDefault="0089277D"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In prosthetic joint infection</w:t>
            </w:r>
          </w:p>
        </w:tc>
      </w:tr>
      <w:tr w:rsidR="0089277D" w:rsidRPr="00143F3B" w14:paraId="27651533" w14:textId="77777777" w:rsidTr="00C94A88">
        <w:trPr>
          <w:jc w:val="center"/>
        </w:trPr>
        <w:tc>
          <w:tcPr>
            <w:tcW w:w="9016" w:type="dxa"/>
            <w:gridSpan w:val="4"/>
          </w:tcPr>
          <w:p w14:paraId="0832FEC9" w14:textId="39933760" w:rsidR="0089277D" w:rsidRPr="00143F3B" w:rsidRDefault="0089277D" w:rsidP="00C85568">
            <w:pPr>
              <w:ind w:left="0" w:firstLine="0"/>
              <w:rPr>
                <w:rFonts w:asciiTheme="majorBidi" w:hAnsiTheme="majorBidi" w:cstheme="majorBidi"/>
                <w:sz w:val="20"/>
                <w:szCs w:val="20"/>
              </w:rPr>
            </w:pPr>
            <w:r w:rsidRPr="00143F3B">
              <w:rPr>
                <w:rFonts w:asciiTheme="majorBidi" w:hAnsiTheme="majorBidi" w:cstheme="majorBidi"/>
                <w:sz w:val="20"/>
                <w:szCs w:val="20"/>
              </w:rPr>
              <w:t xml:space="preserve">Overall agreement between BIOFIRE JI panel, and routine culture is </w:t>
            </w:r>
            <w:r w:rsidRPr="00143F3B">
              <w:rPr>
                <w:rFonts w:asciiTheme="majorBidi" w:hAnsiTheme="majorBidi" w:cstheme="majorBidi"/>
                <w:b/>
                <w:bCs/>
                <w:sz w:val="20"/>
                <w:szCs w:val="20"/>
              </w:rPr>
              <w:t>85.7 %</w:t>
            </w:r>
          </w:p>
        </w:tc>
      </w:tr>
      <w:tr w:rsidR="0089277D" w:rsidRPr="00143F3B" w14:paraId="75F5D095" w14:textId="77777777" w:rsidTr="00C94A88">
        <w:trPr>
          <w:jc w:val="center"/>
        </w:trPr>
        <w:tc>
          <w:tcPr>
            <w:tcW w:w="2254" w:type="dxa"/>
          </w:tcPr>
          <w:p w14:paraId="6BEB177F" w14:textId="77B91A01" w:rsidR="0089277D" w:rsidRPr="00143F3B" w:rsidRDefault="0089277D"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Both positive</w:t>
            </w:r>
          </w:p>
        </w:tc>
        <w:tc>
          <w:tcPr>
            <w:tcW w:w="2254" w:type="dxa"/>
          </w:tcPr>
          <w:p w14:paraId="34F15867" w14:textId="13279CFD" w:rsidR="0089277D" w:rsidRPr="00143F3B" w:rsidRDefault="0089277D"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Both negative</w:t>
            </w:r>
          </w:p>
        </w:tc>
        <w:tc>
          <w:tcPr>
            <w:tcW w:w="2254" w:type="dxa"/>
          </w:tcPr>
          <w:p w14:paraId="29D9253C" w14:textId="0D1FDB0A" w:rsidR="0089277D" w:rsidRPr="00143F3B" w:rsidRDefault="002D22A7"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Positive BIOFIRE JI panel only</w:t>
            </w:r>
          </w:p>
        </w:tc>
        <w:tc>
          <w:tcPr>
            <w:tcW w:w="2254" w:type="dxa"/>
          </w:tcPr>
          <w:p w14:paraId="0A764305" w14:textId="29FD6722" w:rsidR="0089277D" w:rsidRPr="00143F3B" w:rsidRDefault="002D22A7"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Positive routine culture only</w:t>
            </w:r>
          </w:p>
        </w:tc>
      </w:tr>
      <w:tr w:rsidR="0089277D" w:rsidRPr="00143F3B" w14:paraId="52E12ED2" w14:textId="77777777" w:rsidTr="00C94A88">
        <w:trPr>
          <w:jc w:val="center"/>
        </w:trPr>
        <w:tc>
          <w:tcPr>
            <w:tcW w:w="2254" w:type="dxa"/>
          </w:tcPr>
          <w:p w14:paraId="724FE60D" w14:textId="4659EEAC" w:rsidR="0089277D" w:rsidRPr="00143F3B" w:rsidRDefault="0089277D"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138</w:t>
            </w:r>
          </w:p>
        </w:tc>
        <w:tc>
          <w:tcPr>
            <w:tcW w:w="2254" w:type="dxa"/>
          </w:tcPr>
          <w:p w14:paraId="7E397FB9" w14:textId="6B571E8A" w:rsidR="0089277D" w:rsidRPr="00143F3B" w:rsidRDefault="0089277D"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210</w:t>
            </w:r>
          </w:p>
        </w:tc>
        <w:tc>
          <w:tcPr>
            <w:tcW w:w="2254" w:type="dxa"/>
          </w:tcPr>
          <w:p w14:paraId="7EE5D7E9" w14:textId="709F7A05" w:rsidR="0089277D" w:rsidRPr="00143F3B" w:rsidRDefault="0089277D"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38</w:t>
            </w:r>
          </w:p>
        </w:tc>
        <w:tc>
          <w:tcPr>
            <w:tcW w:w="2254" w:type="dxa"/>
          </w:tcPr>
          <w:p w14:paraId="529901A6" w14:textId="2A0039B3" w:rsidR="0089277D" w:rsidRPr="00143F3B" w:rsidRDefault="0089277D"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12</w:t>
            </w:r>
          </w:p>
        </w:tc>
      </w:tr>
    </w:tbl>
    <w:p w14:paraId="257CAA6E" w14:textId="77777777" w:rsidR="00FA037B" w:rsidRPr="00143F3B" w:rsidRDefault="00FA037B" w:rsidP="00447686">
      <w:pPr>
        <w:rPr>
          <w:rFonts w:asciiTheme="majorBidi" w:hAnsiTheme="majorBidi" w:cstheme="majorBidi"/>
          <w:sz w:val="20"/>
          <w:szCs w:val="20"/>
        </w:rPr>
      </w:pPr>
    </w:p>
    <w:p w14:paraId="67386F4C" w14:textId="3083398E" w:rsidR="000E0C79" w:rsidRPr="00143F3B" w:rsidRDefault="001E6DA8" w:rsidP="00D02DF3">
      <w:pPr>
        <w:ind w:left="0"/>
        <w:rPr>
          <w:rFonts w:asciiTheme="majorBidi" w:hAnsiTheme="majorBidi" w:cstheme="majorBidi"/>
          <w:sz w:val="20"/>
          <w:szCs w:val="20"/>
        </w:rPr>
      </w:pPr>
      <w:r w:rsidRPr="00143F3B">
        <w:rPr>
          <w:rFonts w:asciiTheme="majorBidi" w:hAnsiTheme="majorBidi" w:cstheme="majorBidi"/>
          <w:sz w:val="20"/>
          <w:szCs w:val="20"/>
        </w:rPr>
        <w:t xml:space="preserve">These results </w:t>
      </w:r>
      <w:r w:rsidR="00BB4B60" w:rsidRPr="00143F3B">
        <w:rPr>
          <w:rFonts w:asciiTheme="majorBidi" w:hAnsiTheme="majorBidi" w:cstheme="majorBidi"/>
          <w:sz w:val="20"/>
          <w:szCs w:val="20"/>
        </w:rPr>
        <w:t xml:space="preserve">in </w:t>
      </w:r>
      <w:r w:rsidR="00BB4B60" w:rsidRPr="00143F3B">
        <w:rPr>
          <w:rFonts w:asciiTheme="majorBidi" w:hAnsiTheme="majorBidi" w:cstheme="majorBidi"/>
          <w:b/>
          <w:bCs/>
          <w:sz w:val="20"/>
          <w:szCs w:val="20"/>
        </w:rPr>
        <w:t>table (2)</w:t>
      </w:r>
      <w:r w:rsidR="00BB4B60" w:rsidRPr="00143F3B">
        <w:rPr>
          <w:rFonts w:asciiTheme="majorBidi" w:hAnsiTheme="majorBidi" w:cstheme="majorBidi"/>
          <w:b/>
          <w:bCs/>
          <w:sz w:val="20"/>
          <w:szCs w:val="20"/>
        </w:rPr>
        <w:t xml:space="preserve"> </w:t>
      </w:r>
      <w:r w:rsidRPr="00143F3B">
        <w:rPr>
          <w:rFonts w:asciiTheme="majorBidi" w:hAnsiTheme="majorBidi" w:cstheme="majorBidi"/>
          <w:sz w:val="20"/>
          <w:szCs w:val="20"/>
        </w:rPr>
        <w:t xml:space="preserve">mean that the positivity rate </w:t>
      </w:r>
      <w:r w:rsidR="00814428" w:rsidRPr="00143F3B">
        <w:rPr>
          <w:rFonts w:asciiTheme="majorBidi" w:hAnsiTheme="majorBidi" w:cstheme="majorBidi"/>
          <w:sz w:val="20"/>
          <w:szCs w:val="20"/>
        </w:rPr>
        <w:t>results</w:t>
      </w:r>
      <w:r w:rsidR="00814428" w:rsidRPr="00143F3B">
        <w:rPr>
          <w:rFonts w:asciiTheme="majorBidi" w:hAnsiTheme="majorBidi" w:cstheme="majorBidi"/>
          <w:sz w:val="20"/>
          <w:szCs w:val="20"/>
        </w:rPr>
        <w:t xml:space="preserve"> </w:t>
      </w:r>
      <w:r w:rsidRPr="00143F3B">
        <w:rPr>
          <w:rFonts w:asciiTheme="majorBidi" w:hAnsiTheme="majorBidi" w:cstheme="majorBidi"/>
          <w:sz w:val="20"/>
          <w:szCs w:val="20"/>
        </w:rPr>
        <w:t xml:space="preserve">gained by </w:t>
      </w:r>
      <w:r w:rsidR="00D6734A" w:rsidRPr="00143F3B">
        <w:rPr>
          <w:rFonts w:asciiTheme="majorBidi" w:hAnsiTheme="majorBidi" w:cstheme="majorBidi"/>
          <w:sz w:val="20"/>
          <w:szCs w:val="20"/>
        </w:rPr>
        <w:t>(</w:t>
      </w:r>
      <w:r w:rsidR="008242C4" w:rsidRPr="00143F3B">
        <w:rPr>
          <w:rFonts w:asciiTheme="majorBidi" w:hAnsiTheme="majorBidi" w:cstheme="majorBidi"/>
          <w:sz w:val="20"/>
          <w:szCs w:val="20"/>
        </w:rPr>
        <w:t xml:space="preserve">positive </w:t>
      </w:r>
      <w:r w:rsidRPr="00143F3B">
        <w:rPr>
          <w:rFonts w:asciiTheme="majorBidi" w:hAnsiTheme="majorBidi" w:cstheme="majorBidi"/>
          <w:sz w:val="20"/>
          <w:szCs w:val="20"/>
        </w:rPr>
        <w:t xml:space="preserve">routine culture </w:t>
      </w:r>
      <w:r w:rsidR="008242C4" w:rsidRPr="00143F3B">
        <w:rPr>
          <w:rFonts w:asciiTheme="majorBidi" w:hAnsiTheme="majorBidi" w:cstheme="majorBidi"/>
          <w:sz w:val="20"/>
          <w:szCs w:val="20"/>
        </w:rPr>
        <w:t>only</w:t>
      </w:r>
      <w:r w:rsidR="00D6734A" w:rsidRPr="00143F3B">
        <w:rPr>
          <w:rFonts w:asciiTheme="majorBidi" w:hAnsiTheme="majorBidi" w:cstheme="majorBidi"/>
          <w:sz w:val="20"/>
          <w:szCs w:val="20"/>
        </w:rPr>
        <w:t>)</w:t>
      </w:r>
      <w:r w:rsidR="008242C4" w:rsidRPr="00143F3B">
        <w:rPr>
          <w:rFonts w:asciiTheme="majorBidi" w:hAnsiTheme="majorBidi" w:cstheme="majorBidi"/>
          <w:sz w:val="20"/>
          <w:szCs w:val="20"/>
        </w:rPr>
        <w:t xml:space="preserve"> is much lower than that obtained by the</w:t>
      </w:r>
      <w:r w:rsidR="00D6734A" w:rsidRPr="00143F3B">
        <w:rPr>
          <w:rFonts w:asciiTheme="majorBidi" w:hAnsiTheme="majorBidi" w:cstheme="majorBidi"/>
          <w:sz w:val="20"/>
          <w:szCs w:val="20"/>
        </w:rPr>
        <w:t xml:space="preserve"> (</w:t>
      </w:r>
      <w:r w:rsidR="00467DDB" w:rsidRPr="00143F3B">
        <w:rPr>
          <w:rFonts w:asciiTheme="majorBidi" w:hAnsiTheme="majorBidi" w:cstheme="majorBidi"/>
          <w:sz w:val="20"/>
          <w:szCs w:val="20"/>
        </w:rPr>
        <w:t xml:space="preserve">positive </w:t>
      </w:r>
      <w:r w:rsidR="008242C4" w:rsidRPr="00143F3B">
        <w:rPr>
          <w:rFonts w:asciiTheme="majorBidi" w:hAnsiTheme="majorBidi" w:cstheme="majorBidi"/>
          <w:sz w:val="20"/>
          <w:szCs w:val="20"/>
        </w:rPr>
        <w:t>BIOFIRE JI panel</w:t>
      </w:r>
      <w:r w:rsidR="00D6734A" w:rsidRPr="00143F3B">
        <w:rPr>
          <w:rFonts w:asciiTheme="majorBidi" w:hAnsiTheme="majorBidi" w:cstheme="majorBidi"/>
          <w:sz w:val="20"/>
          <w:szCs w:val="20"/>
        </w:rPr>
        <w:t xml:space="preserve"> only)</w:t>
      </w:r>
      <w:r w:rsidR="008242C4" w:rsidRPr="00143F3B">
        <w:rPr>
          <w:rFonts w:asciiTheme="majorBidi" w:hAnsiTheme="majorBidi" w:cstheme="majorBidi"/>
          <w:sz w:val="20"/>
          <w:szCs w:val="20"/>
        </w:rPr>
        <w:t>.</w:t>
      </w:r>
      <w:r w:rsidR="006D19C5" w:rsidRPr="00143F3B">
        <w:rPr>
          <w:rFonts w:asciiTheme="majorBidi" w:hAnsiTheme="majorBidi" w:cstheme="majorBidi"/>
          <w:sz w:val="20"/>
          <w:szCs w:val="20"/>
        </w:rPr>
        <w:t xml:space="preserve"> </w:t>
      </w:r>
      <w:r w:rsidR="00D02DF3" w:rsidRPr="00143F3B">
        <w:rPr>
          <w:rFonts w:asciiTheme="majorBidi" w:hAnsiTheme="majorBidi" w:cstheme="majorBidi"/>
          <w:sz w:val="20"/>
          <w:szCs w:val="20"/>
        </w:rPr>
        <w:fldChar w:fldCharType="begin"/>
      </w:r>
      <w:r w:rsidR="00D02DF3" w:rsidRPr="00143F3B">
        <w:rPr>
          <w:rFonts w:asciiTheme="majorBidi" w:hAnsiTheme="majorBidi" w:cstheme="majorBidi"/>
          <w:sz w:val="20"/>
          <w:szCs w:val="20"/>
        </w:rPr>
        <w:instrText xml:space="preserve"> ADDIN ZOTERO_ITEM CSL_CITATION {"citationID":"occDODK8","properties":{"formattedCitation":"(13)","plainCitation":"(13)","noteIndex":0},"citationItems":[{"id":2256,"uris":["http://zotero.org/users/local/5UWbIU8o/items/NX7JYPRW"],"itemData":{"id":2256,"type":"article-journal","abstract":"Introduction: The BIOFIRE Joint Infection (JI) Panel is a diagnostic tool that uses multiplex-PCR testing to detect microorganisms in synovial fluid specimens from patients suspected of having septic arthritis (SA) on native joints or prosthetic joint infections (PJIs). Methods: A study was conducted across 34 clinical sites in 19 European and Middle Eastern countries from March 2021 to June 2022 to assess the effectiveness of the BIOFIRE JI Panel. Results: A total of 1527 samples were collected from patients suspected of SA or PJI, with an overall agreement of 88.4 % and 85 % respectively between the JI Panel and synovial fluid cultures (SFCs). The JI Panel detected more positive samples and microorganisms than SFC, with a notable difference on Staphylococcus aureus, Streptococcus species, Enterococcus faecalis, Kingella kingae, Neisseria gonorrhoeae, and anaerobic bacteria. The study found that the BIOFIRE JI Panel has a high utility in the real-world clinical setting for suspected SA and PJI, providing diagnostic results in approximately 1 h. The user experience was positive, implying a potential benefit of rapidity of results' turnover in optimising patient management strategies. Conclusion: The study suggests that the BIOFIRE JI Panel could potentially optimise patient management and antimicrobial therapy, thus highlighting its importance in the clinical setting.","container-title":"Journal of Bone and Joint Infection","DOI":"10.5194/jbji-9-87-2024","ISSN":"2206-3552","issue":"1","journalAbbreviation":"J Bone Jt Infect","language":"eng","note":"PMID: 38601005\nPMCID: PMC11002912","page":"87-97","source":"PubMed","title":"Potential value of a rapid syndromic multiplex PCR for the diagnosis of native and prosthetic joint infections: a real-world evidence study","title-short":"Potential value of a rapid syndromic multiplex PCR for the diagnosis of native and prosthetic joint infections","volume":"9","author":[{"family":"Pascual","given":"Stéphanie"},{"family":"Noble","given":"Brooklyn"},{"family":"Ahmad-Saeed","given":"Nusreen"},{"family":"Aldridge","given":"Catherine"},{"family":"Ambretti","given":"Simone"},{"family":"Amit","given":"Sharon"},{"family":"Annett","given":"Rachel"},{"family":"O'Shea","given":"Shaan Ashk"},{"family":"Barbui","given":"Anna Maria"},{"family":"Barlow","given":"Gavin"},{"family":"Barrett","given":"Lucinda"},{"family":"Berth","given":"Mario"},{"family":"Bondi","given":"Alessandro"},{"family":"Boran","given":"Nicola"},{"family":"Boyd","given":"Sara E."},{"family":"Chaves","given":"Catarina"},{"family":"Clauss","given":"Martin"},{"family":"Davies","given":"Peter"},{"family":"Dianzo-Delgado","given":"Ileana T."},{"family":"Esteban","given":"Jaime"},{"family":"Fuchs","given":"Stefan"},{"family":"Friis-Hansen","given":"Lennart"},{"family":"Goldenberger","given":"Daniel"},{"family":"Golle","given":"Andrej"},{"family":"Groonroos","given":"Juha O."},{"family":"Hoffmann","given":"Ines"},{"family":"Hoffmann","given":"Tomer"},{"family":"Hughes","given":"Harriet"},{"family":"Ivanova","given":"Marina"},{"family":"Jezek","given":"Peter"},{"family":"Jones","given":"Gwennan"},{"family":"Ceren Karahan","given":"Zeynep"},{"family":"Lass-Flörl","given":"Cornelia"},{"family":"Laurent","given":"Frédéric"},{"family":"Leach","given":"Laura"},{"family":"Horsbøll Pedersen","given":"Matilde Lee"},{"family":"Loiez","given":"Caroline"},{"family":"Lynch","given":"Maureen"},{"family":"Maloney","given":"Robert J."},{"family":"Marsh","given":"Martin"},{"family":"Milburn","given":"Olivia"},{"family":"Mitchell","given":"Shanine"},{"family":"Moore","given":"Luke S. P."},{"family":"Moffat","given":"Lynn"},{"family":"Murdjeva","given":"Marianna"},{"family":"Murphy","given":"Michael E."},{"family":"Nayar","given":"Deepa"},{"family":"Nigrisoli","given":"Giacomo"},{"family":"O'Sullivan","given":"Fionnuala"},{"family":"Öz","given":"Büşra"},{"family":"Peach","given":"Teresa"},{"family":"Petridou","given":"Christina"},{"family":"Prinz","given":"Mojgan"},{"family":"Rak","given":"Mitja"},{"family":"Reidy","given":"Niamh"},{"family":"Rossolini","given":"Gian Maria"},{"family":"Roux","given":"Anne-Laure"},{"family":"Ruiz-Garbajosa","given":"Patricia"},{"family":"Saeed","given":"Kordo"},{"family":"Salar-Vidal","given":"Llanos"},{"family":"Salas Venero","given":"Carlos"},{"family":"Selvaratnam","given":"Mathyruban"},{"family":"Senneville","given":"Eric"},{"family":"Starzengruber","given":"Peter"},{"family":"Talbot","given":"Ben"},{"family":"Taylor","given":"Vanessa"},{"family":"Trebše","given":"Rihard"},{"family":"Wearmouth","given":"Deborah"},{"family":"Willinger","given":"Birgit"},{"family":"Wouthuyzen-Bakker","given":"Marjan"},{"family":"Couturier","given":"Brianne"},{"family":"Allantaz","given":"Florence"}],"issued":{"date-parts":[["2024"]]}}}],"schema":"https://github.com/citation-style-language/schema/raw/master/csl-citation.json"} </w:instrText>
      </w:r>
      <w:r w:rsidR="00D02DF3" w:rsidRPr="00143F3B">
        <w:rPr>
          <w:rFonts w:asciiTheme="majorBidi" w:hAnsiTheme="majorBidi" w:cstheme="majorBidi"/>
          <w:sz w:val="20"/>
          <w:szCs w:val="20"/>
        </w:rPr>
        <w:fldChar w:fldCharType="separate"/>
      </w:r>
      <w:r w:rsidR="00D02DF3" w:rsidRPr="00143F3B">
        <w:rPr>
          <w:rFonts w:ascii="Times New Roman" w:hAnsi="Times New Roman" w:cs="Times New Roman"/>
          <w:sz w:val="20"/>
        </w:rPr>
        <w:t>(13)</w:t>
      </w:r>
      <w:r w:rsidR="00D02DF3" w:rsidRPr="00143F3B">
        <w:rPr>
          <w:rFonts w:asciiTheme="majorBidi" w:hAnsiTheme="majorBidi" w:cstheme="majorBidi"/>
          <w:sz w:val="20"/>
          <w:szCs w:val="20"/>
        </w:rPr>
        <w:fldChar w:fldCharType="end"/>
      </w:r>
      <w:r w:rsidR="00D02DF3" w:rsidRPr="00143F3B">
        <w:rPr>
          <w:rFonts w:asciiTheme="majorBidi" w:hAnsiTheme="majorBidi" w:cstheme="majorBidi"/>
          <w:sz w:val="20"/>
          <w:szCs w:val="20"/>
        </w:rPr>
        <w:t xml:space="preserve"> </w:t>
      </w:r>
      <w:r w:rsidR="006D19C5" w:rsidRPr="00143F3B">
        <w:rPr>
          <w:rFonts w:asciiTheme="majorBidi" w:hAnsiTheme="majorBidi" w:cstheme="majorBidi"/>
          <w:sz w:val="20"/>
          <w:szCs w:val="20"/>
        </w:rPr>
        <w:t xml:space="preserve">This was attributed to </w:t>
      </w:r>
      <w:r w:rsidR="00DF2BCA" w:rsidRPr="00143F3B">
        <w:rPr>
          <w:rFonts w:asciiTheme="majorBidi" w:hAnsiTheme="majorBidi" w:cstheme="majorBidi"/>
          <w:sz w:val="20"/>
          <w:szCs w:val="20"/>
        </w:rPr>
        <w:t>the organisms of the JI</w:t>
      </w:r>
      <w:r w:rsidR="006D19C5" w:rsidRPr="00143F3B">
        <w:rPr>
          <w:rFonts w:asciiTheme="majorBidi" w:hAnsiTheme="majorBidi" w:cstheme="majorBidi"/>
          <w:sz w:val="20"/>
          <w:szCs w:val="20"/>
        </w:rPr>
        <w:t xml:space="preserve"> panel such as </w:t>
      </w:r>
      <w:r w:rsidR="006D19C5" w:rsidRPr="00143F3B">
        <w:rPr>
          <w:rFonts w:asciiTheme="majorBidi" w:hAnsiTheme="majorBidi" w:cstheme="majorBidi"/>
          <w:i/>
          <w:iCs/>
          <w:sz w:val="20"/>
          <w:szCs w:val="20"/>
        </w:rPr>
        <w:t>Finegoldia magna</w:t>
      </w:r>
      <w:r w:rsidR="00DD4615" w:rsidRPr="00143F3B">
        <w:rPr>
          <w:rFonts w:asciiTheme="majorBidi" w:hAnsiTheme="majorBidi" w:cstheme="majorBidi"/>
          <w:i/>
          <w:iCs/>
          <w:sz w:val="20"/>
          <w:szCs w:val="20"/>
        </w:rPr>
        <w:t xml:space="preserve">, </w:t>
      </w:r>
      <w:r w:rsidR="006D19C5" w:rsidRPr="00143F3B">
        <w:rPr>
          <w:rFonts w:asciiTheme="majorBidi" w:hAnsiTheme="majorBidi" w:cstheme="majorBidi"/>
          <w:i/>
          <w:iCs/>
          <w:sz w:val="20"/>
          <w:szCs w:val="20"/>
        </w:rPr>
        <w:t>Peptoniphilus</w:t>
      </w:r>
      <w:r w:rsidR="00DD4615" w:rsidRPr="00143F3B">
        <w:rPr>
          <w:rFonts w:asciiTheme="majorBidi" w:hAnsiTheme="majorBidi" w:cstheme="majorBidi"/>
          <w:i/>
          <w:iCs/>
          <w:sz w:val="20"/>
          <w:szCs w:val="20"/>
        </w:rPr>
        <w:t xml:space="preserve">, </w:t>
      </w:r>
      <w:r w:rsidR="00DD4615" w:rsidRPr="00143F3B">
        <w:rPr>
          <w:rFonts w:asciiTheme="majorBidi" w:hAnsiTheme="majorBidi" w:cstheme="majorBidi"/>
          <w:sz w:val="20"/>
          <w:szCs w:val="20"/>
        </w:rPr>
        <w:t xml:space="preserve">and other anaerobic organisms which were only identified by BIOFIRE JI panel but not by the routine culture. </w:t>
      </w:r>
      <w:r w:rsidR="00F209B5" w:rsidRPr="00143F3B">
        <w:rPr>
          <w:rFonts w:asciiTheme="majorBidi" w:hAnsiTheme="majorBidi" w:cstheme="majorBidi"/>
          <w:sz w:val="20"/>
          <w:szCs w:val="20"/>
        </w:rPr>
        <w:t>This has</w:t>
      </w:r>
      <w:r w:rsidR="00C3153A" w:rsidRPr="00143F3B">
        <w:rPr>
          <w:rFonts w:asciiTheme="majorBidi" w:hAnsiTheme="majorBidi" w:cstheme="majorBidi"/>
          <w:sz w:val="20"/>
          <w:szCs w:val="20"/>
        </w:rPr>
        <w:t xml:space="preserve"> a big role in modifying the epidemiology of anaerob</w:t>
      </w:r>
      <w:r w:rsidR="00E577EF" w:rsidRPr="00143F3B">
        <w:rPr>
          <w:rFonts w:asciiTheme="majorBidi" w:hAnsiTheme="majorBidi" w:cstheme="majorBidi"/>
          <w:sz w:val="20"/>
          <w:szCs w:val="20"/>
        </w:rPr>
        <w:t>ic</w:t>
      </w:r>
      <w:r w:rsidR="00C3153A" w:rsidRPr="00143F3B">
        <w:rPr>
          <w:rFonts w:asciiTheme="majorBidi" w:hAnsiTheme="majorBidi" w:cstheme="majorBidi"/>
          <w:sz w:val="20"/>
          <w:szCs w:val="20"/>
        </w:rPr>
        <w:t xml:space="preserve"> organisms as </w:t>
      </w:r>
      <w:r w:rsidR="00DF2BCA" w:rsidRPr="00143F3B">
        <w:rPr>
          <w:rFonts w:asciiTheme="majorBidi" w:hAnsiTheme="majorBidi" w:cstheme="majorBidi"/>
          <w:sz w:val="20"/>
          <w:szCs w:val="20"/>
        </w:rPr>
        <w:t>a cause of</w:t>
      </w:r>
      <w:r w:rsidR="00C3153A" w:rsidRPr="00143F3B">
        <w:rPr>
          <w:rFonts w:asciiTheme="majorBidi" w:hAnsiTheme="majorBidi" w:cstheme="majorBidi"/>
          <w:sz w:val="20"/>
          <w:szCs w:val="20"/>
        </w:rPr>
        <w:t xml:space="preserve"> bone infection</w:t>
      </w:r>
      <w:r w:rsidR="000C00BC" w:rsidRPr="00143F3B">
        <w:rPr>
          <w:rFonts w:asciiTheme="majorBidi" w:hAnsiTheme="majorBidi" w:cstheme="majorBidi"/>
          <w:sz w:val="20"/>
          <w:szCs w:val="20"/>
        </w:rPr>
        <w:t>. C</w:t>
      </w:r>
      <w:r w:rsidR="00DF2BCA" w:rsidRPr="00143F3B">
        <w:rPr>
          <w:rFonts w:asciiTheme="majorBidi" w:hAnsiTheme="majorBidi" w:cstheme="majorBidi"/>
          <w:sz w:val="20"/>
          <w:szCs w:val="20"/>
        </w:rPr>
        <w:t>onsequently</w:t>
      </w:r>
      <w:r w:rsidR="000C00BC" w:rsidRPr="00143F3B">
        <w:rPr>
          <w:rFonts w:asciiTheme="majorBidi" w:hAnsiTheme="majorBidi" w:cstheme="majorBidi"/>
          <w:sz w:val="20"/>
          <w:szCs w:val="20"/>
        </w:rPr>
        <w:t>, this identification should modify the empirical and targeted antibiotics, which is considered a big role to play by the BIOFIRE JI panel.</w:t>
      </w:r>
    </w:p>
    <w:p w14:paraId="4C9C4F5C" w14:textId="72AA0944" w:rsidR="00A705AF" w:rsidRPr="00143F3B" w:rsidRDefault="002F2A07" w:rsidP="0068385A">
      <w:pPr>
        <w:ind w:left="0"/>
        <w:rPr>
          <w:rFonts w:asciiTheme="majorBidi" w:hAnsiTheme="majorBidi" w:cstheme="majorBidi"/>
          <w:sz w:val="20"/>
          <w:szCs w:val="20"/>
        </w:rPr>
      </w:pPr>
      <w:r w:rsidRPr="00143F3B">
        <w:rPr>
          <w:rFonts w:asciiTheme="majorBidi" w:hAnsiTheme="majorBidi" w:cstheme="majorBidi"/>
          <w:sz w:val="20"/>
          <w:szCs w:val="20"/>
        </w:rPr>
        <w:t xml:space="preserve">On the other hand, most of the organisms which were detected by </w:t>
      </w:r>
      <w:r w:rsidR="008D0CEE" w:rsidRPr="00143F3B">
        <w:rPr>
          <w:rFonts w:asciiTheme="majorBidi" w:hAnsiTheme="majorBidi" w:cstheme="majorBidi"/>
          <w:sz w:val="20"/>
          <w:szCs w:val="20"/>
        </w:rPr>
        <w:t>(</w:t>
      </w:r>
      <w:r w:rsidRPr="00143F3B">
        <w:rPr>
          <w:rFonts w:asciiTheme="majorBidi" w:hAnsiTheme="majorBidi" w:cstheme="majorBidi"/>
          <w:sz w:val="20"/>
          <w:szCs w:val="20"/>
        </w:rPr>
        <w:t>routine culture only</w:t>
      </w:r>
      <w:r w:rsidR="008D0CEE" w:rsidRPr="00143F3B">
        <w:rPr>
          <w:rFonts w:asciiTheme="majorBidi" w:hAnsiTheme="majorBidi" w:cstheme="majorBidi"/>
          <w:sz w:val="20"/>
          <w:szCs w:val="20"/>
        </w:rPr>
        <w:t>)</w:t>
      </w:r>
      <w:r w:rsidRPr="00143F3B">
        <w:rPr>
          <w:rFonts w:asciiTheme="majorBidi" w:hAnsiTheme="majorBidi" w:cstheme="majorBidi"/>
          <w:sz w:val="20"/>
          <w:szCs w:val="20"/>
        </w:rPr>
        <w:t xml:space="preserve"> but not by </w:t>
      </w:r>
      <w:r w:rsidR="008D0CEE" w:rsidRPr="00143F3B">
        <w:rPr>
          <w:rFonts w:asciiTheme="majorBidi" w:hAnsiTheme="majorBidi" w:cstheme="majorBidi"/>
          <w:sz w:val="20"/>
          <w:szCs w:val="20"/>
        </w:rPr>
        <w:t xml:space="preserve">BIOFIRE </w:t>
      </w:r>
      <w:r w:rsidRPr="00143F3B">
        <w:rPr>
          <w:rFonts w:asciiTheme="majorBidi" w:hAnsiTheme="majorBidi" w:cstheme="majorBidi"/>
          <w:sz w:val="20"/>
          <w:szCs w:val="20"/>
        </w:rPr>
        <w:t xml:space="preserve">JI panel, </w:t>
      </w:r>
      <w:r w:rsidR="00635CED" w:rsidRPr="00143F3B">
        <w:rPr>
          <w:rFonts w:asciiTheme="majorBidi" w:hAnsiTheme="majorBidi" w:cstheme="majorBidi"/>
          <w:sz w:val="20"/>
          <w:szCs w:val="20"/>
        </w:rPr>
        <w:t xml:space="preserve">are not included in the </w:t>
      </w:r>
      <w:r w:rsidR="003C1CB4" w:rsidRPr="00143F3B">
        <w:rPr>
          <w:rFonts w:asciiTheme="majorBidi" w:hAnsiTheme="majorBidi" w:cstheme="majorBidi"/>
          <w:sz w:val="20"/>
          <w:szCs w:val="20"/>
        </w:rPr>
        <w:t xml:space="preserve">BIOFIRE </w:t>
      </w:r>
      <w:r w:rsidR="00635CED" w:rsidRPr="00143F3B">
        <w:rPr>
          <w:rFonts w:asciiTheme="majorBidi" w:hAnsiTheme="majorBidi" w:cstheme="majorBidi"/>
          <w:sz w:val="20"/>
          <w:szCs w:val="20"/>
        </w:rPr>
        <w:t>JI panel which means</w:t>
      </w:r>
      <w:r w:rsidR="003C1CB4" w:rsidRPr="00143F3B">
        <w:rPr>
          <w:rFonts w:asciiTheme="majorBidi" w:hAnsiTheme="majorBidi" w:cstheme="majorBidi"/>
          <w:sz w:val="20"/>
          <w:szCs w:val="20"/>
        </w:rPr>
        <w:t>;</w:t>
      </w:r>
      <w:r w:rsidR="00635CED" w:rsidRPr="00143F3B">
        <w:rPr>
          <w:rFonts w:asciiTheme="majorBidi" w:hAnsiTheme="majorBidi" w:cstheme="majorBidi"/>
          <w:sz w:val="20"/>
          <w:szCs w:val="20"/>
        </w:rPr>
        <w:t xml:space="preserve"> it is not due to a limitation in the technology, these organisms such as </w:t>
      </w:r>
      <w:r w:rsidR="0028338D" w:rsidRPr="00143F3B">
        <w:rPr>
          <w:rFonts w:asciiTheme="majorBidi" w:hAnsiTheme="majorBidi" w:cstheme="majorBidi"/>
          <w:i/>
          <w:iCs/>
          <w:sz w:val="20"/>
          <w:szCs w:val="20"/>
        </w:rPr>
        <w:t xml:space="preserve">coagulase negative </w:t>
      </w:r>
      <w:r w:rsidR="00635CED" w:rsidRPr="00143F3B">
        <w:rPr>
          <w:rFonts w:asciiTheme="majorBidi" w:hAnsiTheme="majorBidi" w:cstheme="majorBidi"/>
          <w:i/>
          <w:iCs/>
          <w:sz w:val="20"/>
          <w:szCs w:val="20"/>
        </w:rPr>
        <w:t>Staphylococc</w:t>
      </w:r>
      <w:r w:rsidR="0028338D" w:rsidRPr="00143F3B">
        <w:rPr>
          <w:rFonts w:asciiTheme="majorBidi" w:hAnsiTheme="majorBidi" w:cstheme="majorBidi"/>
          <w:i/>
          <w:iCs/>
          <w:sz w:val="20"/>
          <w:szCs w:val="20"/>
        </w:rPr>
        <w:t>i (</w:t>
      </w:r>
      <w:r w:rsidR="0028338D" w:rsidRPr="00143F3B">
        <w:rPr>
          <w:rFonts w:asciiTheme="majorBidi" w:hAnsiTheme="majorBidi" w:cstheme="majorBidi"/>
          <w:sz w:val="20"/>
          <w:szCs w:val="20"/>
        </w:rPr>
        <w:t>except</w:t>
      </w:r>
      <w:r w:rsidR="0028338D" w:rsidRPr="00143F3B">
        <w:rPr>
          <w:rFonts w:asciiTheme="majorBidi" w:hAnsiTheme="majorBidi" w:cstheme="majorBidi"/>
          <w:i/>
          <w:iCs/>
          <w:sz w:val="20"/>
          <w:szCs w:val="20"/>
        </w:rPr>
        <w:t xml:space="preserve"> staphylococcus lugdunensis)</w:t>
      </w:r>
      <w:r w:rsidR="00635CED" w:rsidRPr="00143F3B">
        <w:rPr>
          <w:rFonts w:asciiTheme="majorBidi" w:hAnsiTheme="majorBidi" w:cstheme="majorBidi"/>
          <w:i/>
          <w:iCs/>
          <w:sz w:val="20"/>
          <w:szCs w:val="20"/>
        </w:rPr>
        <w:t xml:space="preserve"> </w:t>
      </w:r>
      <w:r w:rsidR="00635CED" w:rsidRPr="00143F3B">
        <w:rPr>
          <w:rFonts w:asciiTheme="majorBidi" w:hAnsiTheme="majorBidi" w:cstheme="majorBidi"/>
          <w:sz w:val="20"/>
          <w:szCs w:val="20"/>
        </w:rPr>
        <w:t xml:space="preserve">and </w:t>
      </w:r>
      <w:r w:rsidR="007A39B6" w:rsidRPr="00143F3B">
        <w:rPr>
          <w:rFonts w:asciiTheme="majorBidi" w:hAnsiTheme="majorBidi" w:cstheme="majorBidi"/>
          <w:i/>
          <w:iCs/>
          <w:sz w:val="20"/>
          <w:szCs w:val="20"/>
        </w:rPr>
        <w:t>Cutibacterium</w:t>
      </w:r>
      <w:r w:rsidR="00635CED" w:rsidRPr="00143F3B">
        <w:rPr>
          <w:rFonts w:asciiTheme="majorBidi" w:hAnsiTheme="majorBidi" w:cstheme="majorBidi"/>
          <w:i/>
          <w:iCs/>
          <w:sz w:val="20"/>
          <w:szCs w:val="20"/>
        </w:rPr>
        <w:t xml:space="preserve"> </w:t>
      </w:r>
      <w:r w:rsidR="0028338D" w:rsidRPr="00143F3B">
        <w:rPr>
          <w:rFonts w:asciiTheme="majorBidi" w:hAnsiTheme="majorBidi" w:cstheme="majorBidi"/>
          <w:i/>
          <w:iCs/>
          <w:sz w:val="20"/>
          <w:szCs w:val="20"/>
        </w:rPr>
        <w:t>acenes</w:t>
      </w:r>
      <w:r w:rsidR="00247A9B" w:rsidRPr="00143F3B">
        <w:rPr>
          <w:rFonts w:asciiTheme="majorBidi" w:hAnsiTheme="majorBidi" w:cstheme="majorBidi"/>
          <w:i/>
          <w:iCs/>
          <w:sz w:val="20"/>
          <w:szCs w:val="20"/>
        </w:rPr>
        <w:t>.</w:t>
      </w:r>
      <w:r w:rsidR="005F5A8D" w:rsidRPr="00143F3B">
        <w:rPr>
          <w:rFonts w:asciiTheme="majorBidi" w:hAnsiTheme="majorBidi" w:cstheme="majorBidi"/>
          <w:i/>
          <w:iCs/>
          <w:sz w:val="20"/>
          <w:szCs w:val="20"/>
        </w:rPr>
        <w:t xml:space="preserve"> </w:t>
      </w:r>
      <w:r w:rsidR="001F04E5" w:rsidRPr="00143F3B">
        <w:rPr>
          <w:rFonts w:asciiTheme="majorBidi" w:hAnsiTheme="majorBidi" w:cstheme="majorBidi"/>
          <w:sz w:val="20"/>
          <w:szCs w:val="20"/>
        </w:rPr>
        <w:t xml:space="preserve">Many studies have assessed the </w:t>
      </w:r>
      <w:r w:rsidR="00AB28DB" w:rsidRPr="00143F3B">
        <w:rPr>
          <w:rFonts w:asciiTheme="majorBidi" w:hAnsiTheme="majorBidi" w:cstheme="majorBidi"/>
          <w:sz w:val="20"/>
          <w:szCs w:val="20"/>
        </w:rPr>
        <w:t xml:space="preserve">sensitivity and specificity </w:t>
      </w:r>
      <w:r w:rsidR="00EF0189" w:rsidRPr="00143F3B">
        <w:rPr>
          <w:rFonts w:asciiTheme="majorBidi" w:hAnsiTheme="majorBidi" w:cstheme="majorBidi"/>
          <w:sz w:val="20"/>
          <w:szCs w:val="20"/>
        </w:rPr>
        <w:t xml:space="preserve">of BIOFIRE JI panel </w:t>
      </w:r>
      <w:r w:rsidR="0053010F" w:rsidRPr="00143F3B">
        <w:rPr>
          <w:rFonts w:asciiTheme="majorBidi" w:hAnsiTheme="majorBidi" w:cstheme="majorBidi"/>
          <w:b/>
          <w:bCs/>
          <w:sz w:val="20"/>
          <w:szCs w:val="20"/>
        </w:rPr>
        <w:t>table (3)</w:t>
      </w:r>
      <w:r w:rsidR="006C7BCD" w:rsidRPr="00143F3B">
        <w:rPr>
          <w:rFonts w:asciiTheme="majorBidi" w:hAnsiTheme="majorBidi" w:cstheme="majorBidi"/>
          <w:sz w:val="20"/>
          <w:szCs w:val="20"/>
        </w:rPr>
        <w:t>.</w:t>
      </w:r>
    </w:p>
    <w:p w14:paraId="30F1F769" w14:textId="77777777" w:rsidR="00E644F8" w:rsidRPr="00143F3B" w:rsidRDefault="00E644F8" w:rsidP="00275606">
      <w:pPr>
        <w:rPr>
          <w:rFonts w:asciiTheme="majorBidi" w:hAnsiTheme="majorBidi" w:cstheme="majorBidi"/>
          <w:i/>
          <w:iCs/>
          <w:sz w:val="20"/>
          <w:szCs w:val="20"/>
        </w:rPr>
      </w:pPr>
    </w:p>
    <w:p w14:paraId="3B4777A7" w14:textId="1EB9A5F8" w:rsidR="00D41959" w:rsidRPr="00143F3B" w:rsidRDefault="00D41959" w:rsidP="00C94A88">
      <w:pPr>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 xml:space="preserve">Table (3): </w:t>
      </w:r>
      <w:r w:rsidR="002808AB" w:rsidRPr="00143F3B">
        <w:rPr>
          <w:rFonts w:asciiTheme="majorBidi" w:hAnsiTheme="majorBidi" w:cstheme="majorBidi"/>
          <w:b/>
          <w:bCs/>
          <w:sz w:val="20"/>
          <w:szCs w:val="20"/>
        </w:rPr>
        <w:t>BIOFIRE JI panel, sensitivity and specificity assessment.</w:t>
      </w:r>
    </w:p>
    <w:p w14:paraId="75A7AF1A" w14:textId="77777777" w:rsidR="002066BA" w:rsidRPr="00143F3B" w:rsidRDefault="002066BA" w:rsidP="00C94A88">
      <w:pPr>
        <w:ind w:left="0" w:firstLine="0"/>
        <w:jc w:val="center"/>
        <w:rPr>
          <w:rFonts w:asciiTheme="majorBidi" w:hAnsiTheme="majorBidi" w:cstheme="majorBidi"/>
          <w:b/>
          <w:bCs/>
          <w:sz w:val="20"/>
          <w:szCs w:val="20"/>
        </w:rPr>
      </w:pPr>
    </w:p>
    <w:tbl>
      <w:tblPr>
        <w:tblStyle w:val="TableGrid"/>
        <w:tblW w:w="0" w:type="auto"/>
        <w:jc w:val="center"/>
        <w:tblLook w:val="04A0" w:firstRow="1" w:lastRow="0" w:firstColumn="1" w:lastColumn="0" w:noHBand="0" w:noVBand="1"/>
      </w:tblPr>
      <w:tblGrid>
        <w:gridCol w:w="3005"/>
        <w:gridCol w:w="3005"/>
        <w:gridCol w:w="3006"/>
      </w:tblGrid>
      <w:tr w:rsidR="00AB28DB" w:rsidRPr="00143F3B" w14:paraId="7A71DBBC" w14:textId="77777777" w:rsidTr="00C94A88">
        <w:trPr>
          <w:jc w:val="center"/>
        </w:trPr>
        <w:tc>
          <w:tcPr>
            <w:tcW w:w="3005" w:type="dxa"/>
          </w:tcPr>
          <w:p w14:paraId="4CAA1BF4" w14:textId="77777777" w:rsidR="00AB28DB" w:rsidRPr="00143F3B" w:rsidRDefault="00AB28DB" w:rsidP="00C85568">
            <w:pPr>
              <w:ind w:left="0" w:firstLine="0"/>
              <w:rPr>
                <w:rFonts w:asciiTheme="majorBidi" w:hAnsiTheme="majorBidi" w:cstheme="majorBidi"/>
                <w:sz w:val="20"/>
                <w:szCs w:val="20"/>
              </w:rPr>
            </w:pPr>
          </w:p>
        </w:tc>
        <w:tc>
          <w:tcPr>
            <w:tcW w:w="3005" w:type="dxa"/>
          </w:tcPr>
          <w:p w14:paraId="34FF2E51" w14:textId="1FCD4549" w:rsidR="00AB28DB" w:rsidRPr="00143F3B" w:rsidRDefault="00AB28DB"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Sensitivity</w:t>
            </w:r>
          </w:p>
        </w:tc>
        <w:tc>
          <w:tcPr>
            <w:tcW w:w="3006" w:type="dxa"/>
          </w:tcPr>
          <w:p w14:paraId="3CA0A8A0" w14:textId="3CD2AFAB" w:rsidR="00AB28DB" w:rsidRPr="00143F3B" w:rsidRDefault="00AB28DB"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Specificity</w:t>
            </w:r>
          </w:p>
        </w:tc>
      </w:tr>
      <w:tr w:rsidR="00AB28DB" w:rsidRPr="00143F3B" w14:paraId="63900801" w14:textId="77777777" w:rsidTr="00C94A88">
        <w:trPr>
          <w:jc w:val="center"/>
        </w:trPr>
        <w:tc>
          <w:tcPr>
            <w:tcW w:w="3005" w:type="dxa"/>
          </w:tcPr>
          <w:p w14:paraId="7D07C4C9" w14:textId="569522F8" w:rsidR="00AB28DB" w:rsidRPr="00143F3B" w:rsidRDefault="00AB28DB" w:rsidP="00C85568">
            <w:pPr>
              <w:ind w:left="0" w:firstLine="0"/>
              <w:rPr>
                <w:rFonts w:asciiTheme="majorBidi" w:hAnsiTheme="majorBidi" w:cstheme="majorBidi"/>
                <w:sz w:val="20"/>
                <w:szCs w:val="20"/>
              </w:rPr>
            </w:pPr>
            <w:proofErr w:type="spellStart"/>
            <w:r w:rsidRPr="00143F3B">
              <w:rPr>
                <w:rFonts w:asciiTheme="majorBidi" w:hAnsiTheme="majorBidi" w:cstheme="majorBidi"/>
                <w:sz w:val="20"/>
                <w:szCs w:val="20"/>
              </w:rPr>
              <w:t>Biomerieux</w:t>
            </w:r>
            <w:proofErr w:type="spellEnd"/>
            <w:r w:rsidR="00F873DE" w:rsidRPr="00143F3B">
              <w:rPr>
                <w:rFonts w:asciiTheme="majorBidi" w:hAnsiTheme="majorBidi" w:cstheme="majorBidi"/>
                <w:sz w:val="20"/>
                <w:szCs w:val="20"/>
              </w:rPr>
              <w:t xml:space="preserve"> </w:t>
            </w:r>
            <w:r w:rsidR="00F873DE" w:rsidRPr="00143F3B">
              <w:rPr>
                <w:rFonts w:asciiTheme="majorBidi" w:hAnsiTheme="majorBidi" w:cstheme="majorBidi"/>
                <w:sz w:val="20"/>
                <w:szCs w:val="20"/>
              </w:rPr>
              <w:fldChar w:fldCharType="begin"/>
            </w:r>
            <w:r w:rsidR="00E93D18" w:rsidRPr="00143F3B">
              <w:rPr>
                <w:rFonts w:asciiTheme="majorBidi" w:hAnsiTheme="majorBidi" w:cstheme="majorBidi"/>
                <w:sz w:val="20"/>
                <w:szCs w:val="20"/>
              </w:rPr>
              <w:instrText xml:space="preserve"> ADDIN ZOTERO_ITEM CSL_CITATION {"citationID":"jLkOni4F","properties":{"formattedCitation":"(14)","plainCitation":"(14)","noteIndex":0},"citationItems":[{"id":2282,"uris":["http://zotero.org/users/local/5UWbIU8o/items/FWS9HCAT"],"itemData":{"id":2282,"type":"webpage","abstract":"Using PCR technology, the BIOFIRE JI Panel is a syndromic test that delivers comprehensive results in one easy-to-read report.","container-title":"bioMérieux Website","language":"en-US","title":"BIOFIRE® Joint Infection (JI) Panel","URL":"https://www.biomerieux.com/us/en/our-offer/clinical-products/biofire-joint-infection-panel.html","accessed":{"date-parts":[["2025",1,4]]}}}],"schema":"https://github.com/citation-style-language/schema/raw/master/csl-citation.json"} </w:instrText>
            </w:r>
            <w:r w:rsidR="00F873DE" w:rsidRPr="00143F3B">
              <w:rPr>
                <w:rFonts w:asciiTheme="majorBidi" w:hAnsiTheme="majorBidi" w:cstheme="majorBidi"/>
                <w:sz w:val="20"/>
                <w:szCs w:val="20"/>
              </w:rPr>
              <w:fldChar w:fldCharType="separate"/>
            </w:r>
            <w:r w:rsidR="00E93D18" w:rsidRPr="00143F3B">
              <w:rPr>
                <w:rFonts w:asciiTheme="majorBidi" w:hAnsiTheme="majorBidi" w:cstheme="majorBidi"/>
                <w:sz w:val="20"/>
                <w:szCs w:val="20"/>
              </w:rPr>
              <w:t>(14)</w:t>
            </w:r>
            <w:r w:rsidR="00F873DE" w:rsidRPr="00143F3B">
              <w:rPr>
                <w:rFonts w:asciiTheme="majorBidi" w:hAnsiTheme="majorBidi" w:cstheme="majorBidi"/>
                <w:sz w:val="20"/>
                <w:szCs w:val="20"/>
              </w:rPr>
              <w:fldChar w:fldCharType="end"/>
            </w:r>
          </w:p>
        </w:tc>
        <w:tc>
          <w:tcPr>
            <w:tcW w:w="3005" w:type="dxa"/>
          </w:tcPr>
          <w:p w14:paraId="2E155F36" w14:textId="1B4AB1EC" w:rsidR="00AB28DB" w:rsidRPr="00143F3B" w:rsidRDefault="00EF0189"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91.7%</w:t>
            </w:r>
          </w:p>
        </w:tc>
        <w:tc>
          <w:tcPr>
            <w:tcW w:w="3006" w:type="dxa"/>
          </w:tcPr>
          <w:p w14:paraId="04F26EC4" w14:textId="2CBEEC4A" w:rsidR="00AB28DB" w:rsidRPr="00143F3B" w:rsidRDefault="00EF0189"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99.8%</w:t>
            </w:r>
          </w:p>
        </w:tc>
      </w:tr>
      <w:tr w:rsidR="007D75CE" w:rsidRPr="00143F3B" w14:paraId="6504A399" w14:textId="77777777" w:rsidTr="00C94A88">
        <w:trPr>
          <w:jc w:val="center"/>
        </w:trPr>
        <w:tc>
          <w:tcPr>
            <w:tcW w:w="3005" w:type="dxa"/>
          </w:tcPr>
          <w:p w14:paraId="4D2D0367" w14:textId="343E4DDC" w:rsidR="007D75CE" w:rsidRPr="00143F3B" w:rsidRDefault="007D75CE" w:rsidP="006067F8">
            <w:pPr>
              <w:ind w:left="0" w:firstLine="0"/>
              <w:rPr>
                <w:rFonts w:asciiTheme="majorBidi" w:hAnsiTheme="majorBidi" w:cstheme="majorBidi"/>
                <w:sz w:val="20"/>
                <w:szCs w:val="20"/>
              </w:rPr>
            </w:pPr>
            <w:proofErr w:type="spellStart"/>
            <w:r w:rsidRPr="00143F3B">
              <w:rPr>
                <w:rFonts w:asciiTheme="majorBidi" w:hAnsiTheme="majorBidi" w:cstheme="majorBidi"/>
                <w:sz w:val="20"/>
                <w:szCs w:val="20"/>
              </w:rPr>
              <w:t>Berinson</w:t>
            </w:r>
            <w:proofErr w:type="spellEnd"/>
            <w:r w:rsidRPr="00143F3B">
              <w:rPr>
                <w:rFonts w:asciiTheme="majorBidi" w:hAnsiTheme="majorBidi" w:cstheme="majorBidi"/>
                <w:sz w:val="20"/>
                <w:szCs w:val="20"/>
              </w:rPr>
              <w:t xml:space="preserve"> B st al. </w:t>
            </w:r>
            <w:r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{"citationID":"41CE8JxT","properties":{"formattedCitation":"(15)","plainCitation":"(15)","noteIndex":0},"citationItems":[{"id":2269,"uris":["http://zotero.org/users/local/5UWbIU8o/items/CK82MRJ5"],"itemData":{"id":2269,"type":"article-journal","abstract":"Pathogen identification is key in septic arthritis. Culture-based techniques are challenging, especially when patients have been pretreated with antibiotics or when difficult-to-culture bacteria are encountered. The BioFire joint infection assay (BJA) is a multiplex PCR panel which detects 31 of the most prevalent bacterial and fungal pathogens causing septic arthritis. Here, 123 cryoconserved contemporary synovial fluid samples from 120 patients underwent BJA analysis. Results were compared to those of culture-based diagnostics (standard of care [SOC]). Clinical data were collected, and the possible impact of the molecular diagnostic application on patient management was evaluated. Fifteen of 123 synovial fluid cultures grew bacterial pathogens. All on-panel pathogens (9/15) were correctly identified by the BJA. The BJA identified four additional bacterial pathogens in four SOC-negative cases. BJA sensitivity and specificity were 100% (95% confidence interval [CI], 69.2% to 100%) and 100% (95% CI, 96.8% to 100%), respectively. Compared to the SOC, the BJA would have resulted in faster provision of species identification and molecular susceptibility data by 49 h and 99 h, respectively. Clinical data analysis indicates that in BJA-positive cases, faster species ID could have led to timelier optimization of antibiotic therapy. This retrospective study demonstrates high sensitivity and specificity of the BJA to detect on-panel organisms in bacterial arthritis. The usefulness of the BJA in prosthetic-joint infections is limited, as important pathogens (i.e., coagulase negative staphylococci and Cutibacterium acnes) are not covered. Evidence from patient data analysis suggests that the assay might prove valuable for optimizing patient management in acute arthritis related to fastidious organisms or for patients who received antibiotics prior to specimen collection.","container-title":"Journal of Clinical Microbiology","DOI":"10.1128/jcm.00592-23","ISSN":"0095-1137","issue":"8","journalAbbreviation":"J Clin Microbiol","note":"PMID: 37439678\nPMCID: PMC10446873","page":"e00592-23","source":"PubMed Central","title":"Performance and Hypothetical Impact on Joint Infection Management of the BioFire Joint Infection Panel: a Retrospective Analysis","title-short":"Performance and Hypothetical Impact on Joint Infection Management of the BioFire Joint Infection Panel","URL":"https://www.ncbi.nlm.nih.gov/pmc/articles/PMC10446873/","volume":"61","author":[{"family":"Berinson","given":"Benjamin"},{"family":"Spenke","given":"Laura"},{"family":"Krivec","given":"Lukas"},{"family":"Tanida","given":"Konstantin"},{"family":"Both","given":"Anna"},{"family":"Keller","given":"Johannes"},{"family":"Rolvien","given":"Tim"},{"family":"Christner","given":"Martin"},{"family":"Lütgehetmann","given":"Marc"},{"family":"Aepfelbacher","given":"Martin"},{"family":"Klatte","given":"Till Orla"},{"family":"Rohde","given":"Holger"}],"accessed":{"date-parts":[["2025",1,4]]}}}],"schema":"https://github.com/citation-style-language/schema/raw/master/csl-citation.json"} </w:instrText>
            </w:r>
            <w:r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(15)</w:t>
            </w:r>
            <w:r w:rsidRPr="00143F3B">
              <w:rPr>
                <w:rFonts w:asciiTheme="majorBidi" w:hAnsiTheme="majorBidi" w:cstheme="majorBidi"/>
                <w:sz w:val="20"/>
                <w:szCs w:val="20"/>
              </w:rPr>
              <w:fldChar w:fldCharType="end"/>
            </w:r>
          </w:p>
        </w:tc>
        <w:tc>
          <w:tcPr>
            <w:tcW w:w="3005" w:type="dxa"/>
          </w:tcPr>
          <w:p w14:paraId="52E86F5B" w14:textId="6E15A602" w:rsidR="007D75CE" w:rsidRPr="00143F3B" w:rsidRDefault="007D75CE"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100%</w:t>
            </w:r>
          </w:p>
        </w:tc>
        <w:tc>
          <w:tcPr>
            <w:tcW w:w="3006" w:type="dxa"/>
          </w:tcPr>
          <w:p w14:paraId="3A04CBA1" w14:textId="4F8E87D2" w:rsidR="007D75CE" w:rsidRPr="00143F3B" w:rsidRDefault="007D75CE"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100%</w:t>
            </w:r>
          </w:p>
        </w:tc>
      </w:tr>
      <w:tr w:rsidR="007D75CE" w:rsidRPr="00143F3B" w14:paraId="320F4F24" w14:textId="77777777" w:rsidTr="00C94A88">
        <w:trPr>
          <w:jc w:val="center"/>
        </w:trPr>
        <w:tc>
          <w:tcPr>
            <w:tcW w:w="3005" w:type="dxa"/>
          </w:tcPr>
          <w:p w14:paraId="7E0502B0" w14:textId="2654AEEA" w:rsidR="007D75CE" w:rsidRPr="00143F3B" w:rsidRDefault="007D75CE" w:rsidP="006067F8">
            <w:pPr>
              <w:ind w:left="0" w:firstLine="0"/>
              <w:rPr>
                <w:rFonts w:asciiTheme="majorBidi" w:hAnsiTheme="majorBidi" w:cstheme="majorBidi"/>
                <w:sz w:val="20"/>
                <w:szCs w:val="20"/>
              </w:rPr>
            </w:pPr>
            <w:r w:rsidRPr="00143F3B">
              <w:rPr>
                <w:rFonts w:asciiTheme="majorBidi" w:hAnsiTheme="majorBidi" w:cstheme="majorBidi"/>
                <w:sz w:val="20"/>
                <w:szCs w:val="20"/>
              </w:rPr>
              <w:t xml:space="preserve">Hoffman et al. </w:t>
            </w:r>
            <w:r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{"citationID":"l0F5NIUr","properties":{"formattedCitation":"(16)","plainCitation":"(16)","noteIndex":0},"citationItems":[{"id":2234,"uris":["http://zotero.org/users/local/5UWbIU8o/items/UKKUHYLE"],"itemData":{"id":2234,"type":"webpage","title":"Real-Life Experience and Diagnostic Utility of the BioFire Joint Infection PCR Panel in Bone and Joint Infections: Analysis of a Prospective Validation Study - PubMed","URL":"https://pubmed.ncbi.nlm.nih.gov/37129850/","accessed":{"date-parts":[["2024",12,24]]}}}],"schema":"https://github.com/citation-style-language/schema/raw/master/csl-citation.json"} </w:instrText>
            </w:r>
            <w:r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(16)</w:t>
            </w:r>
            <w:r w:rsidRPr="00143F3B">
              <w:rPr>
                <w:rFonts w:asciiTheme="majorBidi" w:hAnsiTheme="majorBidi" w:cstheme="majorBidi"/>
                <w:sz w:val="20"/>
                <w:szCs w:val="20"/>
              </w:rPr>
              <w:fldChar w:fldCharType="end"/>
            </w:r>
          </w:p>
        </w:tc>
        <w:tc>
          <w:tcPr>
            <w:tcW w:w="3005" w:type="dxa"/>
          </w:tcPr>
          <w:p w14:paraId="21451F89" w14:textId="26805C86" w:rsidR="007D75CE" w:rsidRPr="00143F3B" w:rsidRDefault="007D75CE"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92%</w:t>
            </w:r>
          </w:p>
        </w:tc>
        <w:tc>
          <w:tcPr>
            <w:tcW w:w="3006" w:type="dxa"/>
          </w:tcPr>
          <w:p w14:paraId="73D79F83" w14:textId="256A37E7" w:rsidR="007D75CE" w:rsidRPr="00143F3B" w:rsidRDefault="007D75CE"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100%</w:t>
            </w:r>
          </w:p>
        </w:tc>
      </w:tr>
      <w:tr w:rsidR="008B15E3" w:rsidRPr="00143F3B" w14:paraId="4258C432" w14:textId="77777777" w:rsidTr="00C94A88">
        <w:trPr>
          <w:jc w:val="center"/>
        </w:trPr>
        <w:tc>
          <w:tcPr>
            <w:tcW w:w="3005" w:type="dxa"/>
          </w:tcPr>
          <w:p w14:paraId="105BD6F2" w14:textId="03B356D4" w:rsidR="008B15E3" w:rsidRPr="00143F3B" w:rsidRDefault="008B15E3" w:rsidP="006067F8">
            <w:pPr>
              <w:ind w:left="0" w:firstLine="0"/>
              <w:rPr>
                <w:rFonts w:asciiTheme="majorBidi" w:hAnsiTheme="majorBidi" w:cstheme="majorBidi"/>
                <w:sz w:val="20"/>
                <w:szCs w:val="20"/>
              </w:rPr>
            </w:pPr>
            <w:r w:rsidRPr="00143F3B">
              <w:rPr>
                <w:rFonts w:asciiTheme="majorBidi" w:hAnsiTheme="majorBidi" w:cstheme="majorBidi"/>
                <w:sz w:val="20"/>
                <w:szCs w:val="20"/>
              </w:rPr>
              <w:t xml:space="preserve">Saeed et al. </w:t>
            </w:r>
            <w:r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{"citationID":"8N2oZKYm","properties":{"formattedCitation":"(17)","plainCitation":"(17)","noteIndex":0},"citationItems":[{"id":2280,"uris":["http://zotero.org/users/local/5UWbIU8o/items/U7CHHTIN"],"itemData":{"id":2280,"type":"article-journal","abstract":"Septic arthritis is a serious condition with significant morbidity and mortality, routinely diagnosed using culture. The FDA has recently approved the rapid molecular BioFire® Joint Infection Panel (BJIP) for synovial fluid. We aimed to evaluate the BJIP compared to culture and its potential use in patient management. A multicentre retrospective evaluation of BJIP was conducted in the UK and Ireland. Positive percent agreement (PPA) and negative percent agreement (NPA) were calculated between the BJIP and routine culture. A multidisciplinary team (MDT) discussion addressing the optimal or potential case use of the assay practice was facilitated. Three hundred ninety-nine surplus synovial fluid samples (~ 70% from native joints) from eight centres were processed using BJIP in addition to routine culture. An increased yield of positive results was detected using BJIP compared to routine culture (98 vs 83), giving an overall PPA of 91.6% and overall NPA of 93% for the BJIP compared to culture results. The BJIP detected resistant markers and additional organisms that could influence antibiotic choices including Neisseria gonorrhoeae and Kingella kingae. The MDT agreed that the assay could be used, in addition to standard methods, in adult and children patients with specialist advice use based on local needs. Rapid results from BJIP were assessed as having potential clinical impact on patient management. Organisms not included in the panel may be clinically significant and may limit the value of this test for PJI.","container-title":"European Journal of Clinical Microbiology &amp; Infectious Diseases","DOI":"10.1007/s10096-022-04538-w","ISSN":"1435-4373","issue":"2","journalAbbreviation":"Eur J Clin Microbiol Infect Dis","language":"en","page":"169-176","source":"Springer Link","title":"A multicentre evaluation and expert recommendations of use of the newly developed BioFire Joint Infection polymerase chain reaction panel","URL":"https://doi.org/10.1007/s10096-022-04538-w","volume":"42","author":[{"family":"Saeed","given":"Kordo"},{"family":"Ahmad-Saeed","given":"Nusreen"},{"family":"Annett","given":"Rachel"},{"family":"Barlow","given":"Gavin"},{"family":"Barrett","given":"Lucinda"},{"family":"Boyd","given":"Sara E."},{"family":"Boran","given":"Nicola"},{"family":"Davies","given":"Peter"},{"family":"Hughes","given":"Harriet"},{"family":"Jones","given":"Gwennan"},{"family":"Leach","given":"Laura"},{"family":"Lynch","given":"Maureen"},{"family":"Nayar","given":"Deepa"},{"family":"Maloney","given":"Robert J."},{"family":"Marsh","given":"Martin"},{"family":"Milburn","given":"Olivia"},{"family":"Mitchell","given":"Shanine"},{"family":"Moffat","given":"Lynn"},{"family":"Moore","given":"Luke S. P."},{"family":"Murphy","given":"Michael E."},{"family":"O’Shea","given":"Shaan Ashk"},{"family":"O’Sullivan","given":"Fionnuala"},{"family":"Peach","given":"Teresa"},{"family":"Petridou","given":"Christina"},{"family":"Reidy","given":"Niamh"},{"family":"Selvaratnam","given":"Mathyruban"},{"family":"Talbot","given":"Ben"},{"family":"Taylor","given":"Vanessa"},{"family":"Wearmouth","given":"Deborah"},{"family":"Aldridge","given":"Catherine"}],"accessed":{"date-parts":[["2025",1,4]]},"issued":{"date-parts":[["2023",2,1]]}}}],"schema":"https://github.com/citation-style-language/schema/raw/master/csl-citation.json"} </w:instrText>
            </w:r>
            <w:r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(17)</w:t>
            </w:r>
            <w:r w:rsidRPr="00143F3B">
              <w:rPr>
                <w:rFonts w:asciiTheme="majorBidi" w:hAnsiTheme="majorBidi" w:cstheme="majorBidi"/>
                <w:sz w:val="20"/>
                <w:szCs w:val="20"/>
              </w:rPr>
              <w:fldChar w:fldCharType="end"/>
            </w:r>
          </w:p>
        </w:tc>
        <w:tc>
          <w:tcPr>
            <w:tcW w:w="3005" w:type="dxa"/>
          </w:tcPr>
          <w:p w14:paraId="2E51C49A" w14:textId="5643EDF8"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91.6%</w:t>
            </w:r>
          </w:p>
        </w:tc>
        <w:tc>
          <w:tcPr>
            <w:tcW w:w="3006" w:type="dxa"/>
          </w:tcPr>
          <w:p w14:paraId="11F014C0" w14:textId="070D31C4"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93%</w:t>
            </w:r>
          </w:p>
        </w:tc>
      </w:tr>
      <w:tr w:rsidR="008B15E3" w:rsidRPr="00143F3B" w14:paraId="1B975E5E" w14:textId="77777777" w:rsidTr="00C94A88">
        <w:trPr>
          <w:jc w:val="center"/>
        </w:trPr>
        <w:tc>
          <w:tcPr>
            <w:tcW w:w="3005" w:type="dxa"/>
          </w:tcPr>
          <w:p w14:paraId="626B7FB7" w14:textId="7BA939FF" w:rsidR="008B15E3" w:rsidRPr="00143F3B" w:rsidRDefault="008B15E3" w:rsidP="006067F8">
            <w:pPr>
              <w:ind w:left="0" w:firstLine="0"/>
              <w:rPr>
                <w:rFonts w:asciiTheme="majorBidi" w:hAnsiTheme="majorBidi" w:cstheme="majorBidi"/>
                <w:sz w:val="20"/>
                <w:szCs w:val="20"/>
              </w:rPr>
            </w:pPr>
            <w:r w:rsidRPr="00143F3B">
              <w:rPr>
                <w:rFonts w:asciiTheme="majorBidi" w:hAnsiTheme="majorBidi" w:cstheme="majorBidi"/>
                <w:sz w:val="20"/>
                <w:szCs w:val="20"/>
              </w:rPr>
              <w:t xml:space="preserve">Esteban J et al. </w:t>
            </w:r>
            <w:r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{"citationID":"4fmtZHtQ","properties":{"formattedCitation":"(18)","plainCitation":"(18)","noteIndex":0},"citationItems":[{"id":2266,"uris":["http://zotero.org/users/local/5UWbIU8o/items/QBI7SJHS"],"itemData":{"id":2266,"type":"article-journal","abstract":"The bioMérieux BIOFIRE Joint Infection (JI) Panel is a multiplex in vitro diagnostic test for the simultaneous and rapid (~1 h) detection of 39 potential pathogens and antimicrobial resistance (AMR) genes directly from synovial fluid (SF) samples. Thirty-one species or groups of microorganisms are included in the kit, as well as several AMR genes. This study, performed to evaluate the BIOFIRE JI Panel for regulatory clearance, provides data from a multicenter evaluation of 1,544 prospectively collected residual SF samples with performance compared to standard-of-care (SOC) culture for organisms or polymerase chain reaction (PCR) and sequencing for AMR genes. The BIOFIRE JI Panel demonstrated a sensitivity of 90.9% or greater for all but six organisms and a positive percent agreement (PPA) of 100% for all AMR genes. The BIOFIRE JI Panel demonstrated a specificity of 98.5% or greater for detection of all organisms and a negative percent agreement (NPA) of 95.7% or greater for all AMR genes. The BIOFIRE JI Panel provides an improvement over SOC culture, with a substantially shorter time to result for both organisms and AMR genes with excellent sensitivity/PPA and specificity/NPA, and is anticipated to provide timely and actionable diagnostic information for joint infections in a variety of clinical scenarios.","container-title":"Journal of Clinical Microbiology","DOI":"10.1128/jcm.00357-23","ISSN":"0095-1137","issue":"11","journalAbbreviation":"J Clin Microbiol","note":"PMID: 37877730\nPMCID: PMC10662359","page":"e00357-23","source":"PubMed Central","title":"Multicenter evaluation of the BIOFIRE Joint Infection Panel for the detection of bacteria, yeast, and AMR genes in synovial fluid samples","URL":"https://www.ncbi.nlm.nih.gov/pmc/articles/PMC10662359/","volume":"61","author":[{"family":"Esteban","given":"Jaime"},{"family":"Salar-Vidal","given":"Llanos"},{"family":"Schmitt","given":"Bryan H."},{"family":"Waggoner","given":"Amy"},{"family":"Laurent","given":"Frédéric"},{"family":"Abad","given":"Lelia"},{"family":"Bauer","given":"Thomas W."},{"family":"Mazariegos","given":"Irving"},{"family":"Balada-Llasat","given":"Joan-Miquel"},{"family":"Horn","given":"Jared"},{"family":"Wolk","given":"Donna M."},{"family":"Jefferis","given":"Alexa"},{"family":"Hermans","given":"Mirjam"},{"family":"Verhoofstad","given":"Irma"},{"family":"Butler-Wu","given":"Susan M."},{"family":"Umali-Wilcox","given":"Minette"},{"family":"Murphy","given":"Caitlin"},{"family":"Cabrera","given":"Barbara"},{"family":"Craft","given":"David"},{"family":"Bredow","given":"Benjamin","non-dropping-particle":"von"},{"family":"Leber","given":"Amy"},{"family":"Everhart","given":"Kathy"},{"family":"Dien Bard","given":"Jennifer"},{"family":"Flores","given":"Irvin Ibarra"},{"family":"Daly","given":"Judy"},{"family":"Barr","given":"Rebecca"},{"family":"Holmberg","given":"Kristen"},{"family":"Graue","given":"Corrin"},{"family":"Kensinger","given":"Bart"}],"accessed":{"date-parts":[["2025",1,4]]}}}],"schema":"https://github.com/citation-style-language/schema/raw/master/csl-citation.json"} </w:instrText>
            </w:r>
            <w:r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(18)</w:t>
            </w:r>
            <w:r w:rsidRPr="00143F3B">
              <w:rPr>
                <w:rFonts w:asciiTheme="majorBidi" w:hAnsiTheme="majorBidi" w:cstheme="majorBidi"/>
                <w:sz w:val="20"/>
                <w:szCs w:val="20"/>
              </w:rPr>
              <w:fldChar w:fldCharType="end"/>
            </w:r>
          </w:p>
        </w:tc>
        <w:tc>
          <w:tcPr>
            <w:tcW w:w="3005" w:type="dxa"/>
          </w:tcPr>
          <w:p w14:paraId="510F693E" w14:textId="1736C34A"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90.5%</w:t>
            </w:r>
          </w:p>
        </w:tc>
        <w:tc>
          <w:tcPr>
            <w:tcW w:w="3006" w:type="dxa"/>
          </w:tcPr>
          <w:p w14:paraId="57456097" w14:textId="2AEEB67D"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99.6%</w:t>
            </w:r>
          </w:p>
        </w:tc>
      </w:tr>
      <w:tr w:rsidR="008B15E3" w:rsidRPr="00143F3B" w14:paraId="306C312D" w14:textId="77777777" w:rsidTr="00C94A88">
        <w:trPr>
          <w:jc w:val="center"/>
        </w:trPr>
        <w:tc>
          <w:tcPr>
            <w:tcW w:w="3005" w:type="dxa"/>
          </w:tcPr>
          <w:p w14:paraId="190C0A00" w14:textId="75F9C73C" w:rsidR="008B15E3" w:rsidRPr="00143F3B" w:rsidRDefault="008B15E3" w:rsidP="008B15E3">
            <w:pPr>
              <w:ind w:left="0" w:firstLine="0"/>
              <w:rPr>
                <w:rFonts w:asciiTheme="majorBidi" w:hAnsiTheme="majorBidi" w:cstheme="majorBidi"/>
                <w:sz w:val="20"/>
                <w:szCs w:val="20"/>
              </w:rPr>
            </w:pPr>
            <w:r w:rsidRPr="00143F3B">
              <w:rPr>
                <w:rFonts w:asciiTheme="majorBidi" w:hAnsiTheme="majorBidi" w:cstheme="majorBidi"/>
                <w:sz w:val="20"/>
                <w:szCs w:val="20"/>
              </w:rPr>
              <w:t xml:space="preserve">Gaillard et al. </w:t>
            </w:r>
            <w:r w:rsidRPr="00143F3B">
              <w:rPr>
                <w:rFonts w:asciiTheme="majorBidi" w:hAnsiTheme="majorBidi" w:cstheme="majorBidi"/>
                <w:sz w:val="20"/>
                <w:szCs w:val="20"/>
              </w:rPr>
              <w:fldChar w:fldCharType="begin"/>
            </w:r>
            <w:r w:rsidRPr="00143F3B">
              <w:rPr>
                <w:rFonts w:asciiTheme="majorBidi" w:hAnsiTheme="majorBidi" w:cstheme="majorBidi"/>
                <w:sz w:val="20"/>
                <w:szCs w:val="20"/>
              </w:rPr>
              <w:instrText xml:space="preserve"> ADDIN ZOTERO_ITEM CSL_CITATION {"citationID":"NZvWAJsF","properties":{"formattedCitation":"(19)","plainCitation":"(19)","noteIndex":0},"citationItems":[{"id":2274,"uris":["http://zotero.org/users/local/5UWbIU8o/items/GNCHMDZ3"],"itemData":{"id":2274,"type":"article-journal","abstract":"Objectives\nTo assess the performance of the rapid syndromic BioFire® Joint Infection Panel (BF-JIP) to detect bacterial and fungal pathogens, as well as antibiotic resistance genes, directly in synovial fluid specimens collected from patients with acute arthritis.\nMethods\nThe study was conducted in six French bacteriological laboratories. To assess the performances of BF-JIP, results were compared with those of synovial fluid 14-day culture and, in case of discrepancy, with those of complementary molecular methods and intraoperative samples. A total of 308 synovial fluid specimens were tested after collection from 308 adults and children presenting with clinical and biological suspicion of acute arthritis; patients presenting with acute periprosthetic joint infection were included according to the European Bone and Joint Infection Society 2021 criteria.\nResults\nOnly one specimen failed (no result). On the basis of the consolidated data, the BF-JIP was concordant with the 14-day culture in 280 (91.2%) of the 307 specimens finally included in the study. The positive percentage agreement was 84.9% (95% CI, 78.8–89.8%) and the negative percentage agreement was 100% (95% CI, 97.2–100%). The positive predictive value was extremely high (100%; 95% CI, 97.6–100%), whereas the negative predictive value was lower (82.6%; 95% CI, 75.7–88.2%), partially explained by the missing target species in the panel.\nDiscussion\nThe BF-JIP showed high performances to detect pathogens involved in acute arthritis.","container-title":"Clinical Microbiology and Infection","DOI":"10.1016/j.cmi.2024.03.022","ISSN":"1198-743X","issue":"7","journalAbbreviation":"Clinical Microbiology and Infection","page":"905-910","source":"ScienceDirect","title":"A prospective multicentre evaluation of BioFire® Joint Infection Panel for the rapid microbiological documentation of acute arthritis","URL":"https://www.sciencedirect.com/science/article/pii/S1198743X24001538","volume":"30","author":[{"family":"Gaillard","given":"Tiphaine"},{"family":"Dupieux-Chabert","given":"Céline"},{"family":"Roux","given":"Anne-Laure"},{"family":"Tessier","given":"Eve"},{"family":"Boutet-Dubois","given":"Adeline"},{"family":"Courboulès","given":"Camille"},{"family":"Corvec","given":"Stéphane"},{"family":"Bémer","given":"Pascale"},{"family":"Lavigne","given":"Jean-Philippe"},{"family":"El Sayed","given":"Faten"},{"family":"Marchandin","given":"Hélène"},{"family":"Munier","given":"Clément"},{"family":"Chanard","given":"Emmanuel"},{"family":"Gazzano","given":"Vincent"},{"family":"Loiez","given":"Caroline"},{"family":"Laurent","given":"Frédéric"}],"accessed":{"date-parts":[["2025",1,4]]},"issued":{"date-parts":[["2024",7,1]]}}}],"schema":"https://github.com/citation-style-language/schema/raw/master/csl-citation.json"} </w:instrText>
            </w:r>
            <w:r w:rsidRPr="00143F3B">
              <w:rPr>
                <w:rFonts w:asciiTheme="majorBidi" w:hAnsiTheme="majorBidi" w:cstheme="majorBidi"/>
                <w:sz w:val="20"/>
                <w:szCs w:val="20"/>
              </w:rPr>
              <w:fldChar w:fldCharType="separate"/>
            </w:r>
            <w:r w:rsidRPr="00143F3B">
              <w:rPr>
                <w:rFonts w:asciiTheme="majorBidi" w:hAnsiTheme="majorBidi" w:cstheme="majorBidi"/>
                <w:sz w:val="20"/>
                <w:szCs w:val="20"/>
              </w:rPr>
              <w:t>(19)</w:t>
            </w:r>
            <w:r w:rsidRPr="00143F3B">
              <w:rPr>
                <w:rFonts w:asciiTheme="majorBidi" w:hAnsiTheme="majorBidi" w:cstheme="majorBidi"/>
                <w:sz w:val="20"/>
                <w:szCs w:val="20"/>
              </w:rPr>
              <w:fldChar w:fldCharType="end"/>
            </w:r>
          </w:p>
        </w:tc>
        <w:tc>
          <w:tcPr>
            <w:tcW w:w="3005" w:type="dxa"/>
          </w:tcPr>
          <w:p w14:paraId="7DE87145" w14:textId="0A5D3705"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84.9%</w:t>
            </w:r>
          </w:p>
        </w:tc>
        <w:tc>
          <w:tcPr>
            <w:tcW w:w="3006" w:type="dxa"/>
          </w:tcPr>
          <w:p w14:paraId="594E6B03" w14:textId="351475C9"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100%</w:t>
            </w:r>
          </w:p>
        </w:tc>
      </w:tr>
      <w:tr w:rsidR="008B15E3" w:rsidRPr="00143F3B" w14:paraId="430BD1D5" w14:textId="77777777" w:rsidTr="00C94A88">
        <w:trPr>
          <w:jc w:val="center"/>
        </w:trPr>
        <w:tc>
          <w:tcPr>
            <w:tcW w:w="3005" w:type="dxa"/>
          </w:tcPr>
          <w:p w14:paraId="41A75215" w14:textId="06C09763" w:rsidR="008B15E3" w:rsidRPr="00143F3B" w:rsidRDefault="008B15E3" w:rsidP="006067F8">
            <w:pPr>
              <w:ind w:left="0" w:firstLine="0"/>
              <w:rPr>
                <w:rFonts w:asciiTheme="majorBidi" w:hAnsiTheme="majorBidi" w:cstheme="majorBidi"/>
                <w:sz w:val="20"/>
                <w:szCs w:val="20"/>
              </w:rPr>
            </w:pPr>
            <w:proofErr w:type="spellStart"/>
            <w:r w:rsidRPr="00143F3B">
              <w:rPr>
                <w:rFonts w:asciiTheme="majorBidi" w:hAnsiTheme="majorBidi" w:cstheme="majorBidi"/>
                <w:sz w:val="20"/>
                <w:szCs w:val="20"/>
              </w:rPr>
              <w:t>Schaenmakers</w:t>
            </w:r>
            <w:proofErr w:type="spellEnd"/>
            <w:r w:rsidRPr="00143F3B">
              <w:rPr>
                <w:rFonts w:asciiTheme="majorBidi" w:hAnsiTheme="majorBidi" w:cstheme="majorBidi"/>
                <w:sz w:val="20"/>
                <w:szCs w:val="20"/>
              </w:rPr>
              <w:t xml:space="preserve"> et. al. </w:t>
            </w:r>
            <w:r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{"citationID":"mXo2w2mJ","properties":{"formattedCitation":"(20)","plainCitation":"(20)","noteIndex":0},"citationItems":[{"id":2263,"uris":["http://zotero.org/users/local/5UWbIU8o/items/DNMAJHFI"],"itemData":{"id":2263,"type":"article-journal","abstract":"Background: prompt recognition and identification of the causative microorganism in acute septic arthritis of native and prosthetic joints is vital to increase the chances of successful treatment. The aim of this study was to independently assess the diagnostic accuracy of the multiplex BIOFIRE® Joint Infection (JI) Panel (investigational use only) in synovial fluid for rapid diagnosis. Methods: synovial fluid samples were collected at the University Medical Center Groningen from patients who had a clinical suspicion of a native septic arthritis, early acute (post-operative, within 3 months after arthroplasty) periprosthetic joint infection (PJI) or late acute (hematogenous, ≥ 3  months after arthroplasty) PJI. JI Panel results were compared to infection according to Musculoskeletal Infection Society criteria and culture-based methods as reference standard. Results: a total of 45 samples were analysed. The BIOFIRE JI Panel showed a high specificity (100 %, 95 % confidence interval (CI): 78-100) in all patient categories. Sensitivity was 83 % (95 % CI: 44-97) for patients with a clinical suspicion of native septic arthritis ( n = 12  ), 73 % (95 % CI: 48-89) for patients with a clinical suspicion of a late acute PJI ( n = 14  ), and 30 % (95 % CI: 11-60) for patients with a clinical suspicion of an early acute PJI ( n = 19  ). Conclusion: the results of this study indicate a clear clinical benefit of the BIOFIRE JI Panel in patients with a suspected native septic arthritis and late acute (hematogenous) PJI, but a low clinical benefit in patients with an early acute (post-operative) PJI due to the absence of certain relevant microorganisms, such as Staphylococcus epidermidis, from the panel.","container-title":"Journal of Bone and Joint Infection","DOI":"10.5194/jbji-8-45-2023","ISSN":"2206-3552","issue":"1","journalAbbreviation":"J Bone Jt Infect","language":"eng","note":"PMID: 36756306\nPMCID: PMC9901515","page":"45-50","source":"PubMed","title":"First evaluation of a commercial multiplex PCR panel for rapid detection of pathogens associated with acute joint infections","volume":"8","author":[{"family":"Schoenmakers","given":"Jorrit Willem Adriaan"},{"family":"Boer","given":"Rosanne","non-dropping-particle":"de"},{"family":"Gard","given":"Lilli"},{"family":"Kampinga","given":"Greetje Anna"},{"family":"Oosten","given":"Marleen","non-dropping-particle":"van"},{"family":"Dijl","given":"Jan Maarten","non-dropping-particle":"van"},{"family":"Jutte","given":"Paulus Christiaan"},{"family":"Wouthuyzen-Bakker","given":"Marjan"}],"issued":{"date-parts":[["2023"]]}}}],"schema":"https://github.com/citation-style-language/schema/raw/master/csl-citation.json"} </w:instrText>
            </w:r>
            <w:r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(20)</w:t>
            </w:r>
            <w:r w:rsidRPr="00143F3B">
              <w:rPr>
                <w:rFonts w:asciiTheme="majorBidi" w:hAnsiTheme="majorBidi" w:cstheme="majorBidi"/>
                <w:sz w:val="20"/>
                <w:szCs w:val="20"/>
              </w:rPr>
              <w:fldChar w:fldCharType="end"/>
            </w:r>
          </w:p>
        </w:tc>
        <w:tc>
          <w:tcPr>
            <w:tcW w:w="3005" w:type="dxa"/>
          </w:tcPr>
          <w:p w14:paraId="4B04B516" w14:textId="0803050E"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80.6%</w:t>
            </w:r>
          </w:p>
        </w:tc>
        <w:tc>
          <w:tcPr>
            <w:tcW w:w="3006" w:type="dxa"/>
          </w:tcPr>
          <w:p w14:paraId="0EA3F572" w14:textId="76E59F48"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100%</w:t>
            </w:r>
          </w:p>
        </w:tc>
      </w:tr>
      <w:tr w:rsidR="008B15E3" w:rsidRPr="00143F3B" w14:paraId="68480B1A" w14:textId="77777777" w:rsidTr="00C94A88">
        <w:trPr>
          <w:jc w:val="center"/>
        </w:trPr>
        <w:tc>
          <w:tcPr>
            <w:tcW w:w="3005" w:type="dxa"/>
          </w:tcPr>
          <w:p w14:paraId="377DB3CB" w14:textId="3366CED0" w:rsidR="008B15E3" w:rsidRPr="00143F3B" w:rsidRDefault="008B15E3" w:rsidP="006067F8">
            <w:pPr>
              <w:ind w:left="0" w:firstLine="0"/>
              <w:rPr>
                <w:rFonts w:asciiTheme="majorBidi" w:hAnsiTheme="majorBidi" w:cstheme="majorBidi"/>
                <w:sz w:val="20"/>
                <w:szCs w:val="20"/>
              </w:rPr>
            </w:pPr>
            <w:r w:rsidRPr="00143F3B">
              <w:rPr>
                <w:rFonts w:asciiTheme="majorBidi" w:hAnsiTheme="majorBidi" w:cstheme="majorBidi"/>
                <w:sz w:val="20"/>
                <w:szCs w:val="20"/>
              </w:rPr>
              <w:t xml:space="preserve">Salar-Vidal et al. </w:t>
            </w:r>
            <w:r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{"citationID":"37JqDcpm","properties":{"formattedCitation":"(21)","plainCitation":"(21)","noteIndex":0},"citationItems":[{"id":2276,"uris":["http://zotero.org/users/local/5UWbIU8o/items/RR29H6RN"],"itemData":{"id":2276,"type":"article-journal","abstract":"Microbiological diagnosis of osteoarticular infections (OI) is crucial for a successful treatment. A prospective multicenter study including 262 synovial fluids with suspicion of acute OI was performed between July 2021 and October of 2022. BioFire Joint Infection Panel multiplex-PCR test was performed and results were compared with conventional cultures of synovial fluid specimens. In total, 136 microorganisms were detected, and fourteen samples were positive for more than one microorganism. In monomicrobial infections (n = 87) agreement with culture was 69%. In 26 samples, the multiplex PCR yield an additional positive result when culture result was negative. It helped in the detection of fastidious microorganisms as K. kingae and N. gonorrhoeae. This multiplex PCR has proven to be a useful technique that can be used for patients with high suspicion of acute OI in a rapid and automated manner.","container-title":"International Journal of Medical Microbiology","DOI":"10.1016/j.ijmm.2023.151588","ISSN":"1438-4221","issue":"6","journalAbbreviation":"International Journal of Medical Microbiology","page":"151588","source":"ScienceDirect","title":"Multicenter evaluation of BioFire JI panel related to improved microbiological diagnostics on acute osteoarticular infections","URL":"https://www.sciencedirect.com/science/article/pii/S1438422123000164","volume":"313","author":[{"family":"Salar-Vidal","given":"Llanos"},{"family":"Chaves","given":"Catarina"},{"family":"Dianzo-Delgado","given":"Ileana T."},{"family":"Favier","given":"Patricio"},{"family":"Giner-Almaraz","given":"Salvador"},{"family":"Gómez-Gómez","given":"María José"},{"family":"Martín-Gutiérrez","given":"Guillermo"},{"family":"Pereira","given":"Isabel"},{"family":"Rodríguez-Fernández","given":"Ana"},{"family":"Ruiz-Garbajosa","given":"Patricia"},{"family":"Salas-Venero","given":"Carlos"},{"family":"Esteban","given":"Jaime"}],"accessed":{"date-parts":[["2025",1,4]]},"issued":{"date-parts":[["2023",11,1]]}}}],"schema":"https://github.com/citation-style-language/schema/raw/master/csl-citation.json"} </w:instrText>
            </w:r>
            <w:r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(21)</w:t>
            </w:r>
            <w:r w:rsidRPr="00143F3B">
              <w:rPr>
                <w:rFonts w:asciiTheme="majorBidi" w:hAnsiTheme="majorBidi" w:cstheme="majorBidi"/>
                <w:sz w:val="20"/>
                <w:szCs w:val="20"/>
              </w:rPr>
              <w:fldChar w:fldCharType="end"/>
            </w:r>
          </w:p>
        </w:tc>
        <w:tc>
          <w:tcPr>
            <w:tcW w:w="3005" w:type="dxa"/>
          </w:tcPr>
          <w:p w14:paraId="6C673D4C" w14:textId="1E4431B0"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69%</w:t>
            </w:r>
          </w:p>
        </w:tc>
        <w:tc>
          <w:tcPr>
            <w:tcW w:w="3006" w:type="dxa"/>
          </w:tcPr>
          <w:p w14:paraId="4FA7828C" w14:textId="3932DD7E"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91.9%</w:t>
            </w:r>
          </w:p>
        </w:tc>
      </w:tr>
      <w:tr w:rsidR="008B15E3" w:rsidRPr="00143F3B" w14:paraId="7AC9F21F" w14:textId="77777777" w:rsidTr="00C94A88">
        <w:trPr>
          <w:jc w:val="center"/>
        </w:trPr>
        <w:tc>
          <w:tcPr>
            <w:tcW w:w="3005" w:type="dxa"/>
          </w:tcPr>
          <w:p w14:paraId="2EDEC0E8" w14:textId="4CFDBB84" w:rsidR="008B15E3" w:rsidRPr="00143F3B" w:rsidRDefault="008B15E3" w:rsidP="008B15E3">
            <w:pPr>
              <w:ind w:left="0" w:firstLine="0"/>
              <w:rPr>
                <w:rFonts w:asciiTheme="majorBidi" w:hAnsiTheme="majorBidi" w:cstheme="majorBidi"/>
                <w:sz w:val="20"/>
                <w:szCs w:val="20"/>
              </w:rPr>
            </w:pPr>
            <w:r w:rsidRPr="00143F3B">
              <w:rPr>
                <w:rFonts w:asciiTheme="majorBidi" w:hAnsiTheme="majorBidi" w:cstheme="majorBidi"/>
                <w:sz w:val="20"/>
                <w:szCs w:val="20"/>
              </w:rPr>
              <w:t xml:space="preserve">Gardete-Hartmann et al. </w:t>
            </w:r>
            <w:r w:rsidRPr="00143F3B">
              <w:rPr>
                <w:rFonts w:asciiTheme="majorBidi" w:hAnsiTheme="majorBidi" w:cstheme="majorBidi"/>
                <w:sz w:val="20"/>
                <w:szCs w:val="20"/>
              </w:rPr>
              <w:fldChar w:fldCharType="begin"/>
            </w:r>
            <w:r w:rsidRPr="00143F3B">
              <w:rPr>
                <w:rFonts w:asciiTheme="majorBidi" w:hAnsiTheme="majorBidi" w:cstheme="majorBidi"/>
                <w:sz w:val="20"/>
                <w:szCs w:val="20"/>
              </w:rPr>
              <w:instrText xml:space="preserve"> ADDIN ZOTERO_ITEM CSL_CITATION {"citationID":"mU82Xt8R","properties":{"formattedCitation":"(11)","plainCitation":"(11)","noteIndex":0},"citationItems":[{"id":2229,"uris":["http://zotero.org/users/local/5UWbIU8o/items/GINQDEHK"],"itemData":{"id":2229,"type":"article-journal","abstract":"AIMS: This study aimed to evaluate the BioFire Joint Infection (JI) Panel in cases of hip and knee periprosthetic joint infection (PJI) where conventional microbiology is unclear, and to assess its role as a complementary intraoperative diagnostic tool.\nMETHODS: Five groups representing common microbiological scenarios in hip and knee revision arthroplasty were selected from our arthroplasty registry, prospectively maintained PJI databases, and biobank: 1) unexpected-negative cultures (UNCs), 2) unexpected-positive cultures (UPCs), 3) single-positive intraoperative cultures (SPCs), and 4) clearly septic and 5) aseptic cases. In total, 268 archived synovial fluid samples from 195 patients who underwent acute/chronic revision total hip or knee arthroplasty were included. Cases were classified according to the International Consensus Meeting 2018 criteria. JI panel evaluation of synovial fluid was performed, and the results were compared with cultures.\nRESULTS: The JI panel detected microorganisms in 7/48 (14.5%) and 15/67 (22.4%) cases related to UNCs and SPCs, respectively, but not in cases of UPCs. The correlation between JI panel detection and infection classification criteria for early/late acute and chronic PJI was 46.6%, 73%, and 40%, respectively. Overall, the JI panel identified 12.6% additional microorganisms and three new species. The JI panel pathogen identification showed a sensitivity and specificity of 41.4% (95% confidence interval (CI) 33.7 to 49.5) and 91.1% (95% CI 84.7 to 94.9), respectively. In total, 19/195 (9.7%) could have been managed differently and more accurately upon JI panel evaluation.\nCONCLUSION: Despite its microbial limitation, JI panel demonstrated clinical usefulness by complementing the traditional methods based on multiple cultures, particularly in PJI with unclear microbiological results.","container-title":"Bone &amp; Joint Research","DOI":"10.1302/2046-3758.137.BJR-2023-0321.R2","ISSN":"2046-3758","issue":"7","journalAbbreviation":"Bone Joint Res","language":"eng","note":"PMID: 38981611\nPMCID: PMC11233181","page":"353-361","source":"PubMed","title":"The role of BioFire Joint Infection Panel in diagnosing periprosthetic hip and knee joint infections in patients with unclear conventional microbiological results","volume":"13","author":[{"family":"Gardete-Hartmann","given":"Susana"},{"family":"Mitterer","given":"Jennyfer A."},{"family":"Sebastian","given":"Sujeesh"},{"family":"Frank","given":"Bernhard J. H."},{"family":"Simon","given":"Sebastian"},{"family":"Huber","given":"Stephanie"},{"family":"Löw","given":"Marcellino"},{"family":"Sommer","given":"Ian"},{"family":"Prinz","given":"Morjan"},{"family":"Halabi","given":"Milo"},{"family":"Hofstaetter","given":"Jochen G."}],"issued":{"date-parts":[["2024",7,10]]}}}],"schema":"https://github.com/citation-style-language/schema/raw/master/csl-citation.json"} </w:instrText>
            </w:r>
            <w:r w:rsidRPr="00143F3B">
              <w:rPr>
                <w:rFonts w:asciiTheme="majorBidi" w:hAnsiTheme="majorBidi" w:cstheme="majorBidi"/>
                <w:sz w:val="20"/>
                <w:szCs w:val="20"/>
              </w:rPr>
              <w:fldChar w:fldCharType="separate"/>
            </w:r>
            <w:r w:rsidRPr="00143F3B">
              <w:rPr>
                <w:rFonts w:asciiTheme="majorBidi" w:hAnsiTheme="majorBidi" w:cstheme="majorBidi"/>
                <w:sz w:val="20"/>
                <w:szCs w:val="20"/>
              </w:rPr>
              <w:t>(11)</w:t>
            </w:r>
            <w:r w:rsidRPr="00143F3B">
              <w:rPr>
                <w:rFonts w:asciiTheme="majorBidi" w:hAnsiTheme="majorBidi" w:cstheme="majorBidi"/>
                <w:sz w:val="20"/>
                <w:szCs w:val="20"/>
              </w:rPr>
              <w:fldChar w:fldCharType="end"/>
            </w:r>
          </w:p>
        </w:tc>
        <w:tc>
          <w:tcPr>
            <w:tcW w:w="3005" w:type="dxa"/>
          </w:tcPr>
          <w:p w14:paraId="329B63AB" w14:textId="3D0FA0E5"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41.4%</w:t>
            </w:r>
          </w:p>
        </w:tc>
        <w:tc>
          <w:tcPr>
            <w:tcW w:w="3006" w:type="dxa"/>
          </w:tcPr>
          <w:p w14:paraId="0E4B535E" w14:textId="1B9C359A" w:rsidR="008B15E3" w:rsidRPr="00143F3B" w:rsidRDefault="008B15E3" w:rsidP="009D74F3">
            <w:pPr>
              <w:ind w:left="0" w:firstLine="0"/>
              <w:jc w:val="center"/>
              <w:rPr>
                <w:rFonts w:asciiTheme="majorBidi" w:hAnsiTheme="majorBidi" w:cstheme="majorBidi"/>
                <w:sz w:val="20"/>
                <w:szCs w:val="20"/>
              </w:rPr>
            </w:pPr>
            <w:r w:rsidRPr="00143F3B">
              <w:rPr>
                <w:rFonts w:asciiTheme="majorBidi" w:hAnsiTheme="majorBidi" w:cstheme="majorBidi"/>
                <w:sz w:val="20"/>
                <w:szCs w:val="20"/>
              </w:rPr>
              <w:t>91.1%</w:t>
            </w:r>
          </w:p>
        </w:tc>
      </w:tr>
    </w:tbl>
    <w:p w14:paraId="6B729133" w14:textId="77777777" w:rsidR="003B45E2" w:rsidRPr="00143F3B" w:rsidRDefault="003B45E2" w:rsidP="003B45E2">
      <w:pPr>
        <w:ind w:left="0" w:firstLine="0"/>
        <w:rPr>
          <w:rFonts w:asciiTheme="majorBidi" w:hAnsiTheme="majorBidi" w:cstheme="majorBidi"/>
          <w:b/>
          <w:bCs/>
          <w:sz w:val="20"/>
          <w:szCs w:val="20"/>
        </w:rPr>
      </w:pPr>
    </w:p>
    <w:p w14:paraId="6CA8B425" w14:textId="60096CC8" w:rsidR="005E3D5C" w:rsidRPr="00143F3B" w:rsidRDefault="005E3D5C" w:rsidP="00AE7906">
      <w:pPr>
        <w:pStyle w:val="ListParagraph"/>
        <w:numPr>
          <w:ilvl w:val="0"/>
          <w:numId w:val="16"/>
        </w:numPr>
        <w:ind w:left="284" w:hanging="284"/>
        <w:rPr>
          <w:rFonts w:asciiTheme="majorBidi" w:hAnsiTheme="majorBidi" w:cstheme="majorBidi"/>
          <w:sz w:val="20"/>
          <w:szCs w:val="20"/>
          <w:lang w:bidi="ar-EG"/>
        </w:rPr>
      </w:pPr>
      <w:r w:rsidRPr="00143F3B">
        <w:rPr>
          <w:rFonts w:asciiTheme="majorBidi" w:hAnsiTheme="majorBidi" w:cstheme="majorBidi"/>
          <w:b/>
          <w:bCs/>
          <w:sz w:val="20"/>
          <w:szCs w:val="20"/>
        </w:rPr>
        <w:t>What is the role of Biofire in treatment of bone infection?</w:t>
      </w:r>
    </w:p>
    <w:p w14:paraId="5EE2B58C" w14:textId="77777777" w:rsidR="00831FA2" w:rsidRPr="00143F3B" w:rsidRDefault="00831FA2" w:rsidP="00831FA2">
      <w:pPr>
        <w:pStyle w:val="ListParagraph"/>
        <w:ind w:firstLine="0"/>
        <w:rPr>
          <w:rFonts w:asciiTheme="majorBidi" w:hAnsiTheme="majorBidi" w:cstheme="majorBidi"/>
          <w:sz w:val="20"/>
          <w:szCs w:val="20"/>
          <w:lang w:bidi="ar-EG"/>
        </w:rPr>
      </w:pPr>
    </w:p>
    <w:p w14:paraId="049B64C9" w14:textId="69F40FDC" w:rsidR="00516306" w:rsidRPr="00143F3B" w:rsidRDefault="003B0024" w:rsidP="006067F8">
      <w:pPr>
        <w:ind w:left="0"/>
        <w:rPr>
          <w:rFonts w:asciiTheme="majorBidi" w:hAnsiTheme="majorBidi" w:cstheme="majorBidi"/>
          <w:sz w:val="20"/>
          <w:szCs w:val="20"/>
        </w:rPr>
      </w:pPr>
      <w:r w:rsidRPr="00143F3B">
        <w:rPr>
          <w:rFonts w:asciiTheme="majorBidi" w:hAnsiTheme="majorBidi" w:cstheme="majorBidi"/>
          <w:sz w:val="20"/>
          <w:szCs w:val="20"/>
        </w:rPr>
        <w:t xml:space="preserve">BIOFIRE technology has a crucial antimicrobial stewardship role </w:t>
      </w:r>
      <w:r w:rsidR="001B01B1" w:rsidRPr="00143F3B">
        <w:rPr>
          <w:rFonts w:asciiTheme="majorBidi" w:hAnsiTheme="majorBidi" w:cstheme="majorBidi"/>
          <w:sz w:val="20"/>
          <w:szCs w:val="20"/>
        </w:rPr>
        <w:t>in</w:t>
      </w:r>
      <w:r w:rsidR="006A6D27" w:rsidRPr="00143F3B">
        <w:rPr>
          <w:rFonts w:asciiTheme="majorBidi" w:hAnsiTheme="majorBidi" w:cstheme="majorBidi"/>
          <w:sz w:val="20"/>
          <w:szCs w:val="20"/>
        </w:rPr>
        <w:t xml:space="preserve"> </w:t>
      </w:r>
      <w:r w:rsidR="001B01B1" w:rsidRPr="00143F3B">
        <w:rPr>
          <w:rFonts w:asciiTheme="majorBidi" w:hAnsiTheme="majorBidi" w:cstheme="majorBidi"/>
          <w:sz w:val="20"/>
          <w:szCs w:val="20"/>
        </w:rPr>
        <w:t xml:space="preserve">the </w:t>
      </w:r>
      <w:r w:rsidR="006A6D27" w:rsidRPr="00143F3B">
        <w:rPr>
          <w:rFonts w:asciiTheme="majorBidi" w:hAnsiTheme="majorBidi" w:cstheme="majorBidi"/>
          <w:sz w:val="20"/>
          <w:szCs w:val="20"/>
        </w:rPr>
        <w:t>initiation of empirical anti</w:t>
      </w:r>
      <w:r w:rsidR="001B01B1" w:rsidRPr="00143F3B">
        <w:rPr>
          <w:rFonts w:asciiTheme="majorBidi" w:hAnsiTheme="majorBidi" w:cstheme="majorBidi"/>
          <w:sz w:val="20"/>
          <w:szCs w:val="20"/>
        </w:rPr>
        <w:t xml:space="preserve">microbials. </w:t>
      </w:r>
      <w:r w:rsidR="00927C47" w:rsidRPr="00143F3B">
        <w:rPr>
          <w:rFonts w:asciiTheme="majorBidi" w:hAnsiTheme="majorBidi" w:cstheme="majorBidi"/>
          <w:sz w:val="20"/>
          <w:szCs w:val="20"/>
        </w:rPr>
        <w:t>This role is achieved through de-escalation of the usual</w:t>
      </w:r>
      <w:r w:rsidR="00E80A5E" w:rsidRPr="00143F3B">
        <w:rPr>
          <w:rFonts w:asciiTheme="majorBidi" w:hAnsiTheme="majorBidi" w:cstheme="majorBidi"/>
          <w:sz w:val="20"/>
          <w:szCs w:val="20"/>
        </w:rPr>
        <w:t>ly used</w:t>
      </w:r>
      <w:r w:rsidR="00927C47" w:rsidRPr="00143F3B">
        <w:rPr>
          <w:rFonts w:asciiTheme="majorBidi" w:hAnsiTheme="majorBidi" w:cstheme="majorBidi"/>
          <w:sz w:val="20"/>
          <w:szCs w:val="20"/>
        </w:rPr>
        <w:t xml:space="preserve"> empirical </w:t>
      </w:r>
      <w:r w:rsidR="006067F8" w:rsidRPr="00143F3B">
        <w:rPr>
          <w:rFonts w:asciiTheme="majorBidi" w:hAnsiTheme="majorBidi" w:cstheme="majorBidi"/>
          <w:sz w:val="20"/>
          <w:szCs w:val="20"/>
        </w:rPr>
        <w:t>broad-spectrum</w:t>
      </w:r>
      <w:r w:rsidR="00927C47" w:rsidRPr="00143F3B">
        <w:rPr>
          <w:rFonts w:asciiTheme="majorBidi" w:hAnsiTheme="majorBidi" w:cstheme="majorBidi"/>
          <w:sz w:val="20"/>
          <w:szCs w:val="20"/>
        </w:rPr>
        <w:t xml:space="preserve"> antimicrobials</w:t>
      </w:r>
      <w:r w:rsidR="00A910B6" w:rsidRPr="00143F3B">
        <w:rPr>
          <w:rFonts w:asciiTheme="majorBidi" w:hAnsiTheme="majorBidi" w:cstheme="majorBidi"/>
          <w:sz w:val="20"/>
          <w:szCs w:val="20"/>
        </w:rPr>
        <w:t xml:space="preserve">, to </w:t>
      </w:r>
      <w:r w:rsidR="002978B5" w:rsidRPr="00143F3B">
        <w:rPr>
          <w:rFonts w:asciiTheme="majorBidi" w:hAnsiTheme="majorBidi" w:cstheme="majorBidi"/>
          <w:sz w:val="20"/>
          <w:szCs w:val="20"/>
        </w:rPr>
        <w:t xml:space="preserve">a </w:t>
      </w:r>
      <w:r w:rsidR="00A910B6" w:rsidRPr="00143F3B">
        <w:rPr>
          <w:rFonts w:asciiTheme="majorBidi" w:hAnsiTheme="majorBidi" w:cstheme="majorBidi"/>
          <w:sz w:val="20"/>
          <w:szCs w:val="20"/>
        </w:rPr>
        <w:t>narrower spectrum covering only the isolated organism and</w:t>
      </w:r>
      <w:r w:rsidR="002978B5" w:rsidRPr="00143F3B">
        <w:rPr>
          <w:rFonts w:asciiTheme="majorBidi" w:hAnsiTheme="majorBidi" w:cstheme="majorBidi"/>
          <w:sz w:val="20"/>
          <w:szCs w:val="20"/>
        </w:rPr>
        <w:t xml:space="preserve"> </w:t>
      </w:r>
      <w:r w:rsidR="00B5006E" w:rsidRPr="00143F3B">
        <w:rPr>
          <w:rFonts w:asciiTheme="majorBidi" w:hAnsiTheme="majorBidi" w:cstheme="majorBidi"/>
          <w:sz w:val="20"/>
          <w:szCs w:val="20"/>
        </w:rPr>
        <w:t>at</w:t>
      </w:r>
      <w:r w:rsidR="002978B5" w:rsidRPr="00143F3B">
        <w:rPr>
          <w:rFonts w:asciiTheme="majorBidi" w:hAnsiTheme="majorBidi" w:cstheme="majorBidi"/>
          <w:sz w:val="20"/>
          <w:szCs w:val="20"/>
        </w:rPr>
        <w:t xml:space="preserve"> the same time</w:t>
      </w:r>
      <w:r w:rsidR="00B5006E" w:rsidRPr="00143F3B">
        <w:rPr>
          <w:rFonts w:asciiTheme="majorBidi" w:hAnsiTheme="majorBidi" w:cstheme="majorBidi"/>
          <w:sz w:val="20"/>
          <w:szCs w:val="20"/>
        </w:rPr>
        <w:t xml:space="preserve"> to be</w:t>
      </w:r>
      <w:r w:rsidR="00A910B6" w:rsidRPr="00143F3B">
        <w:rPr>
          <w:rFonts w:asciiTheme="majorBidi" w:hAnsiTheme="majorBidi" w:cstheme="majorBidi"/>
          <w:sz w:val="20"/>
          <w:szCs w:val="20"/>
        </w:rPr>
        <w:t xml:space="preserve"> effective against the</w:t>
      </w:r>
      <w:r w:rsidR="002978B5" w:rsidRPr="00143F3B">
        <w:rPr>
          <w:rFonts w:asciiTheme="majorBidi" w:hAnsiTheme="majorBidi" w:cstheme="majorBidi"/>
          <w:sz w:val="20"/>
          <w:szCs w:val="20"/>
        </w:rPr>
        <w:t xml:space="preserve"> detected</w:t>
      </w:r>
      <w:r w:rsidR="00A910B6" w:rsidRPr="00143F3B">
        <w:rPr>
          <w:rFonts w:asciiTheme="majorBidi" w:hAnsiTheme="majorBidi" w:cstheme="majorBidi"/>
          <w:sz w:val="20"/>
          <w:szCs w:val="20"/>
        </w:rPr>
        <w:t xml:space="preserve"> </w:t>
      </w:r>
      <w:r w:rsidR="002978B5" w:rsidRPr="00143F3B">
        <w:rPr>
          <w:rFonts w:asciiTheme="majorBidi" w:hAnsiTheme="majorBidi" w:cstheme="majorBidi"/>
          <w:sz w:val="20"/>
          <w:szCs w:val="20"/>
        </w:rPr>
        <w:t>antimicrobial resistance gene.</w:t>
      </w:r>
      <w:r w:rsidR="00927C47" w:rsidRPr="00143F3B">
        <w:rPr>
          <w:rFonts w:asciiTheme="majorBidi" w:hAnsiTheme="majorBidi" w:cstheme="majorBidi"/>
          <w:sz w:val="20"/>
          <w:szCs w:val="20"/>
        </w:rPr>
        <w:t xml:space="preserve"> </w:t>
      </w:r>
      <w:r w:rsidR="00B5006E" w:rsidRPr="00143F3B">
        <w:rPr>
          <w:rFonts w:asciiTheme="majorBidi" w:hAnsiTheme="majorBidi" w:cstheme="majorBidi"/>
          <w:sz w:val="20"/>
          <w:szCs w:val="20"/>
        </w:rPr>
        <w:t>This can be an excellent tool for applying regulations of antimicrobial stewardship.</w:t>
      </w:r>
      <w:r w:rsidR="006067F8" w:rsidRPr="00143F3B">
        <w:rPr>
          <w:rFonts w:asciiTheme="majorBidi" w:hAnsiTheme="majorBidi" w:cstheme="majorBidi"/>
          <w:sz w:val="20"/>
          <w:szCs w:val="20"/>
        </w:rPr>
        <w:t xml:space="preserve"> </w:t>
      </w:r>
      <w:r w:rsidR="00C972E5"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{"citationID":"iBYMq039","properties":{"formattedCitation":"(16)","plainCitation":"(16)","noteIndex":0},"citationItems":[{"id":2234,"uris":["http://zotero.org/users/local/5UWbIU8o/items/UKKUHYLE"],"itemData":{"id":2234,"type":"webpage","title":"Real-Life Experience and Diagnostic Utility of the BioFire Joint Infection PCR Panel in Bone and Joint Infections: Analysis of a Prospective Validation Study - PubMed","URL":"https://pubmed.ncbi.nlm.nih.gov/37129850/","accessed":{"date-parts":[["2024",12,24]]}}}],"schema":"https://github.com/citation-style-language/schema/raw/master/csl-citation.json"} </w:instrText>
      </w:r>
      <w:r w:rsidR="00C972E5"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(16)</w:t>
      </w:r>
      <w:r w:rsidR="00C972E5" w:rsidRPr="00143F3B">
        <w:rPr>
          <w:rFonts w:asciiTheme="majorBidi" w:hAnsiTheme="majorBidi" w:cstheme="majorBidi"/>
          <w:sz w:val="20"/>
          <w:szCs w:val="20"/>
        </w:rPr>
        <w:fldChar w:fldCharType="end"/>
      </w:r>
      <w:r w:rsidR="00F54D13" w:rsidRPr="00143F3B">
        <w:rPr>
          <w:rFonts w:asciiTheme="majorBidi" w:hAnsiTheme="majorBidi" w:cstheme="majorBidi"/>
          <w:sz w:val="20"/>
          <w:szCs w:val="20"/>
        </w:rPr>
        <w:t xml:space="preserve"> </w:t>
      </w:r>
    </w:p>
    <w:p w14:paraId="0DFA1A5C" w14:textId="77777777" w:rsidR="00E644F8" w:rsidRPr="00143F3B" w:rsidRDefault="00E644F8" w:rsidP="00C94A88">
      <w:pPr>
        <w:ind w:left="0" w:firstLine="0"/>
        <w:jc w:val="center"/>
        <w:rPr>
          <w:rFonts w:asciiTheme="majorBidi" w:hAnsiTheme="majorBidi" w:cstheme="majorBidi"/>
          <w:b/>
          <w:bCs/>
          <w:sz w:val="20"/>
          <w:szCs w:val="20"/>
        </w:rPr>
      </w:pPr>
    </w:p>
    <w:p w14:paraId="655BE146" w14:textId="77777777" w:rsidR="00D22382" w:rsidRPr="00143F3B" w:rsidRDefault="00D22382" w:rsidP="00C94A88">
      <w:pPr>
        <w:ind w:left="0" w:firstLine="0"/>
        <w:jc w:val="center"/>
        <w:rPr>
          <w:rFonts w:asciiTheme="majorBidi" w:hAnsiTheme="majorBidi" w:cstheme="majorBidi"/>
          <w:b/>
          <w:bCs/>
          <w:sz w:val="20"/>
          <w:szCs w:val="20"/>
        </w:rPr>
      </w:pPr>
    </w:p>
    <w:p w14:paraId="3648C3DF" w14:textId="77777777" w:rsidR="00D22382" w:rsidRPr="00143F3B" w:rsidRDefault="00D22382" w:rsidP="00C94A88">
      <w:pPr>
        <w:ind w:left="0" w:firstLine="0"/>
        <w:jc w:val="center"/>
        <w:rPr>
          <w:rFonts w:asciiTheme="majorBidi" w:hAnsiTheme="majorBidi" w:cstheme="majorBidi"/>
          <w:b/>
          <w:bCs/>
          <w:sz w:val="20"/>
          <w:szCs w:val="20"/>
        </w:rPr>
      </w:pPr>
    </w:p>
    <w:p w14:paraId="2D6B8906" w14:textId="77777777" w:rsidR="00D22382" w:rsidRPr="00143F3B" w:rsidRDefault="00D22382" w:rsidP="00C94A88">
      <w:pPr>
        <w:ind w:left="0" w:firstLine="0"/>
        <w:jc w:val="center"/>
        <w:rPr>
          <w:rFonts w:asciiTheme="majorBidi" w:hAnsiTheme="majorBidi" w:cstheme="majorBidi"/>
          <w:b/>
          <w:bCs/>
          <w:sz w:val="20"/>
          <w:szCs w:val="20"/>
        </w:rPr>
      </w:pPr>
    </w:p>
    <w:p w14:paraId="3BF7FB52" w14:textId="77777777" w:rsidR="00D22382" w:rsidRPr="00143F3B" w:rsidRDefault="00D22382" w:rsidP="00C94A88">
      <w:pPr>
        <w:ind w:left="0" w:firstLine="0"/>
        <w:jc w:val="center"/>
        <w:rPr>
          <w:rFonts w:asciiTheme="majorBidi" w:hAnsiTheme="majorBidi" w:cstheme="majorBidi"/>
          <w:b/>
          <w:bCs/>
          <w:sz w:val="20"/>
          <w:szCs w:val="20"/>
        </w:rPr>
      </w:pPr>
    </w:p>
    <w:p w14:paraId="1B4295C5" w14:textId="77777777" w:rsidR="00D22382" w:rsidRPr="00143F3B" w:rsidRDefault="00D22382" w:rsidP="00C94A88">
      <w:pPr>
        <w:ind w:left="0" w:firstLine="0"/>
        <w:jc w:val="center"/>
        <w:rPr>
          <w:rFonts w:asciiTheme="majorBidi" w:hAnsiTheme="majorBidi" w:cstheme="majorBidi"/>
          <w:b/>
          <w:bCs/>
          <w:sz w:val="20"/>
          <w:szCs w:val="20"/>
        </w:rPr>
      </w:pPr>
    </w:p>
    <w:p w14:paraId="799E9898" w14:textId="77777777" w:rsidR="00D22382" w:rsidRPr="00143F3B" w:rsidRDefault="00D22382" w:rsidP="00C94A88">
      <w:pPr>
        <w:ind w:left="0" w:firstLine="0"/>
        <w:jc w:val="center"/>
        <w:rPr>
          <w:rFonts w:asciiTheme="majorBidi" w:hAnsiTheme="majorBidi" w:cstheme="majorBidi"/>
          <w:b/>
          <w:bCs/>
          <w:sz w:val="20"/>
          <w:szCs w:val="20"/>
        </w:rPr>
      </w:pPr>
    </w:p>
    <w:p w14:paraId="4149F0A8" w14:textId="77777777" w:rsidR="00D22382" w:rsidRPr="00143F3B" w:rsidRDefault="00D22382" w:rsidP="00C94A88">
      <w:pPr>
        <w:ind w:left="0" w:firstLine="0"/>
        <w:jc w:val="center"/>
        <w:rPr>
          <w:rFonts w:asciiTheme="majorBidi" w:hAnsiTheme="majorBidi" w:cstheme="majorBidi"/>
          <w:b/>
          <w:bCs/>
          <w:sz w:val="20"/>
          <w:szCs w:val="20"/>
        </w:rPr>
      </w:pPr>
    </w:p>
    <w:p w14:paraId="6693018D" w14:textId="5450F814" w:rsidR="00E644F8" w:rsidRPr="00143F3B" w:rsidRDefault="00E55B6D" w:rsidP="00C94A88">
      <w:pPr>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Table (</w:t>
      </w:r>
      <w:r w:rsidR="00474D7A" w:rsidRPr="00143F3B">
        <w:rPr>
          <w:rFonts w:asciiTheme="majorBidi" w:hAnsiTheme="majorBidi" w:cstheme="majorBidi"/>
          <w:b/>
          <w:bCs/>
          <w:sz w:val="20"/>
          <w:szCs w:val="20"/>
        </w:rPr>
        <w:t>4</w:t>
      </w:r>
      <w:r w:rsidRPr="00143F3B">
        <w:rPr>
          <w:rFonts w:asciiTheme="majorBidi" w:hAnsiTheme="majorBidi" w:cstheme="majorBidi"/>
          <w:b/>
          <w:bCs/>
          <w:sz w:val="20"/>
          <w:szCs w:val="20"/>
        </w:rPr>
        <w:t>)</w:t>
      </w:r>
      <w:r w:rsidR="00314813" w:rsidRPr="00143F3B">
        <w:rPr>
          <w:rFonts w:asciiTheme="majorBidi" w:hAnsiTheme="majorBidi" w:cstheme="majorBidi"/>
          <w:b/>
          <w:bCs/>
          <w:sz w:val="20"/>
          <w:szCs w:val="20"/>
        </w:rPr>
        <w:t xml:space="preserve">: comparison between BIOFIRE JI panel and routine culture </w:t>
      </w:r>
    </w:p>
    <w:p w14:paraId="71638CF9" w14:textId="4ED1ED8C" w:rsidR="00E55B6D" w:rsidRPr="00143F3B" w:rsidRDefault="00314813" w:rsidP="00C94A88">
      <w:pPr>
        <w:ind w:left="0" w:firstLine="0"/>
        <w:jc w:val="center"/>
        <w:rPr>
          <w:rFonts w:asciiTheme="majorBidi" w:hAnsiTheme="majorBidi" w:cstheme="majorBidi"/>
          <w:b/>
          <w:bCs/>
          <w:sz w:val="20"/>
          <w:szCs w:val="20"/>
        </w:rPr>
      </w:pPr>
      <w:r w:rsidRPr="00143F3B">
        <w:rPr>
          <w:rFonts w:asciiTheme="majorBidi" w:hAnsiTheme="majorBidi" w:cstheme="majorBidi"/>
          <w:b/>
          <w:bCs/>
          <w:sz w:val="20"/>
          <w:szCs w:val="20"/>
        </w:rPr>
        <w:t>in detection of resistance genes.</w:t>
      </w:r>
    </w:p>
    <w:tbl>
      <w:tblPr>
        <w:tblStyle w:val="TableGrid"/>
        <w:tblW w:w="0" w:type="auto"/>
        <w:jc w:val="center"/>
        <w:tblLook w:val="04A0" w:firstRow="1" w:lastRow="0" w:firstColumn="1" w:lastColumn="0" w:noHBand="0" w:noVBand="1"/>
      </w:tblPr>
      <w:tblGrid>
        <w:gridCol w:w="1838"/>
        <w:gridCol w:w="1276"/>
        <w:gridCol w:w="1559"/>
        <w:gridCol w:w="1417"/>
        <w:gridCol w:w="1463"/>
        <w:gridCol w:w="1463"/>
      </w:tblGrid>
      <w:tr w:rsidR="005E46B1" w:rsidRPr="00143F3B" w14:paraId="6C8EE98A" w14:textId="3BAA0AF7" w:rsidTr="00C94A88">
        <w:trPr>
          <w:jc w:val="center"/>
        </w:trPr>
        <w:tc>
          <w:tcPr>
            <w:tcW w:w="9016" w:type="dxa"/>
            <w:gridSpan w:val="6"/>
          </w:tcPr>
          <w:p w14:paraId="05737CBA" w14:textId="2E85D11E" w:rsidR="005E46B1" w:rsidRPr="00143F3B" w:rsidRDefault="005E46B1"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In native joint infections</w:t>
            </w:r>
          </w:p>
        </w:tc>
      </w:tr>
      <w:tr w:rsidR="001304ED" w:rsidRPr="00143F3B" w14:paraId="27D1C1E3" w14:textId="3A849AA0" w:rsidTr="00C94A88">
        <w:trPr>
          <w:jc w:val="center"/>
        </w:trPr>
        <w:tc>
          <w:tcPr>
            <w:tcW w:w="1838" w:type="dxa"/>
          </w:tcPr>
          <w:p w14:paraId="33D96301" w14:textId="4DDEE6F3" w:rsidR="00220D3F" w:rsidRPr="00143F3B" w:rsidRDefault="00220D3F" w:rsidP="00C85568">
            <w:pPr>
              <w:ind w:left="0" w:firstLine="0"/>
              <w:rPr>
                <w:rFonts w:asciiTheme="majorBidi" w:hAnsiTheme="majorBidi" w:cstheme="majorBidi"/>
                <w:sz w:val="20"/>
                <w:szCs w:val="20"/>
              </w:rPr>
            </w:pPr>
          </w:p>
        </w:tc>
        <w:tc>
          <w:tcPr>
            <w:tcW w:w="1276" w:type="dxa"/>
          </w:tcPr>
          <w:p w14:paraId="3E6D6E3C" w14:textId="40666910" w:rsidR="005E46B1" w:rsidRPr="00143F3B" w:rsidRDefault="005E46B1"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Both positive</w:t>
            </w:r>
          </w:p>
        </w:tc>
        <w:tc>
          <w:tcPr>
            <w:tcW w:w="1559" w:type="dxa"/>
          </w:tcPr>
          <w:p w14:paraId="072AC58C" w14:textId="2A8A0D44" w:rsidR="005E46B1" w:rsidRPr="00143F3B" w:rsidRDefault="0010314C"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 xml:space="preserve">Detection only by </w:t>
            </w:r>
            <w:r w:rsidR="005E46B1" w:rsidRPr="00143F3B">
              <w:rPr>
                <w:rFonts w:asciiTheme="majorBidi" w:hAnsiTheme="majorBidi" w:cstheme="majorBidi"/>
                <w:sz w:val="20"/>
                <w:szCs w:val="20"/>
              </w:rPr>
              <w:t xml:space="preserve">BIOFIRE JI panel </w:t>
            </w:r>
          </w:p>
        </w:tc>
        <w:tc>
          <w:tcPr>
            <w:tcW w:w="1417" w:type="dxa"/>
          </w:tcPr>
          <w:p w14:paraId="0EE945DB" w14:textId="291C4F0D" w:rsidR="005E46B1" w:rsidRPr="00143F3B" w:rsidRDefault="0010314C"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 xml:space="preserve">Detection only by </w:t>
            </w:r>
            <w:r w:rsidR="005E46B1" w:rsidRPr="00143F3B">
              <w:rPr>
                <w:rFonts w:asciiTheme="majorBidi" w:hAnsiTheme="majorBidi" w:cstheme="majorBidi"/>
                <w:sz w:val="20"/>
                <w:szCs w:val="20"/>
              </w:rPr>
              <w:t xml:space="preserve">Routine culture </w:t>
            </w:r>
          </w:p>
        </w:tc>
        <w:tc>
          <w:tcPr>
            <w:tcW w:w="1463" w:type="dxa"/>
          </w:tcPr>
          <w:p w14:paraId="2629ACAA" w14:textId="37263E30" w:rsidR="005E46B1" w:rsidRPr="00143F3B" w:rsidRDefault="005E46B1"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 xml:space="preserve">Total detection by </w:t>
            </w:r>
            <w:r w:rsidR="00884041" w:rsidRPr="00143F3B">
              <w:rPr>
                <w:rFonts w:asciiTheme="majorBidi" w:hAnsiTheme="majorBidi" w:cstheme="majorBidi"/>
                <w:sz w:val="20"/>
                <w:szCs w:val="20"/>
              </w:rPr>
              <w:t xml:space="preserve">BIOFIRE </w:t>
            </w:r>
            <w:r w:rsidRPr="00143F3B">
              <w:rPr>
                <w:rFonts w:asciiTheme="majorBidi" w:hAnsiTheme="majorBidi" w:cstheme="majorBidi"/>
                <w:sz w:val="20"/>
                <w:szCs w:val="20"/>
              </w:rPr>
              <w:t>JI panel</w:t>
            </w:r>
          </w:p>
        </w:tc>
        <w:tc>
          <w:tcPr>
            <w:tcW w:w="1463" w:type="dxa"/>
          </w:tcPr>
          <w:p w14:paraId="0C2CC8AA" w14:textId="47287630" w:rsidR="005E46B1" w:rsidRPr="00143F3B" w:rsidRDefault="005E46B1"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Total detection by routine culture</w:t>
            </w:r>
          </w:p>
        </w:tc>
      </w:tr>
      <w:tr w:rsidR="001304ED" w:rsidRPr="00143F3B" w14:paraId="00F1ADC6" w14:textId="2D1AE1C0" w:rsidTr="007C14C2">
        <w:trPr>
          <w:jc w:val="center"/>
        </w:trPr>
        <w:tc>
          <w:tcPr>
            <w:tcW w:w="1838" w:type="dxa"/>
          </w:tcPr>
          <w:p w14:paraId="6C5FC566" w14:textId="7B4ED183" w:rsidR="005E46B1" w:rsidRPr="00143F3B" w:rsidRDefault="006A38C5"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Gram positive resistance genes</w:t>
            </w:r>
          </w:p>
        </w:tc>
        <w:tc>
          <w:tcPr>
            <w:tcW w:w="1276" w:type="dxa"/>
            <w:vAlign w:val="center"/>
          </w:tcPr>
          <w:p w14:paraId="3507E9EC" w14:textId="0664852D" w:rsidR="005E46B1" w:rsidRPr="00143F3B" w:rsidRDefault="006A38C5"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4</w:t>
            </w:r>
          </w:p>
        </w:tc>
        <w:tc>
          <w:tcPr>
            <w:tcW w:w="1559" w:type="dxa"/>
            <w:vAlign w:val="center"/>
          </w:tcPr>
          <w:p w14:paraId="0BA5CF04" w14:textId="2D33A788"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6</w:t>
            </w:r>
          </w:p>
        </w:tc>
        <w:tc>
          <w:tcPr>
            <w:tcW w:w="1417" w:type="dxa"/>
            <w:vAlign w:val="center"/>
          </w:tcPr>
          <w:p w14:paraId="73037C7B" w14:textId="31AECAE6"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2</w:t>
            </w:r>
          </w:p>
        </w:tc>
        <w:tc>
          <w:tcPr>
            <w:tcW w:w="1463" w:type="dxa"/>
            <w:vAlign w:val="center"/>
          </w:tcPr>
          <w:p w14:paraId="67CB6514" w14:textId="41BFDD3F"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10</w:t>
            </w:r>
          </w:p>
        </w:tc>
        <w:tc>
          <w:tcPr>
            <w:tcW w:w="1463" w:type="dxa"/>
            <w:vAlign w:val="center"/>
          </w:tcPr>
          <w:p w14:paraId="7B533ADE" w14:textId="789798D1"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6</w:t>
            </w:r>
          </w:p>
        </w:tc>
      </w:tr>
      <w:tr w:rsidR="001304ED" w:rsidRPr="00143F3B" w14:paraId="47B4BCB7" w14:textId="77777777" w:rsidTr="007C14C2">
        <w:trPr>
          <w:jc w:val="center"/>
        </w:trPr>
        <w:tc>
          <w:tcPr>
            <w:tcW w:w="1838" w:type="dxa"/>
          </w:tcPr>
          <w:p w14:paraId="06BA2BBA" w14:textId="4D851ADE" w:rsidR="006A38C5" w:rsidRPr="00143F3B" w:rsidRDefault="006A38C5"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Gram negative resistance genes</w:t>
            </w:r>
          </w:p>
        </w:tc>
        <w:tc>
          <w:tcPr>
            <w:tcW w:w="1276" w:type="dxa"/>
            <w:vAlign w:val="center"/>
          </w:tcPr>
          <w:p w14:paraId="2F2C3CD6" w14:textId="6ACE8F72" w:rsidR="006A38C5"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0</w:t>
            </w:r>
          </w:p>
        </w:tc>
        <w:tc>
          <w:tcPr>
            <w:tcW w:w="1559" w:type="dxa"/>
            <w:vAlign w:val="center"/>
          </w:tcPr>
          <w:p w14:paraId="4F26B568" w14:textId="1161FCA2" w:rsidR="006A38C5"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5</w:t>
            </w:r>
          </w:p>
        </w:tc>
        <w:tc>
          <w:tcPr>
            <w:tcW w:w="1417" w:type="dxa"/>
            <w:vAlign w:val="center"/>
          </w:tcPr>
          <w:p w14:paraId="1B0A448E" w14:textId="77257BD6" w:rsidR="006A38C5"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0</w:t>
            </w:r>
          </w:p>
        </w:tc>
        <w:tc>
          <w:tcPr>
            <w:tcW w:w="1463" w:type="dxa"/>
            <w:vAlign w:val="center"/>
          </w:tcPr>
          <w:p w14:paraId="73F4B308" w14:textId="740CA84A" w:rsidR="006A38C5"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5</w:t>
            </w:r>
          </w:p>
        </w:tc>
        <w:tc>
          <w:tcPr>
            <w:tcW w:w="1463" w:type="dxa"/>
            <w:vAlign w:val="center"/>
          </w:tcPr>
          <w:p w14:paraId="0D8523A2" w14:textId="24A12049" w:rsidR="006A38C5"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0</w:t>
            </w:r>
          </w:p>
        </w:tc>
      </w:tr>
      <w:tr w:rsidR="005E46B1" w:rsidRPr="00143F3B" w14:paraId="0281CF09" w14:textId="430658B9" w:rsidTr="00C94A88">
        <w:trPr>
          <w:jc w:val="center"/>
        </w:trPr>
        <w:tc>
          <w:tcPr>
            <w:tcW w:w="9016" w:type="dxa"/>
            <w:gridSpan w:val="6"/>
          </w:tcPr>
          <w:p w14:paraId="658697A2" w14:textId="3124C667" w:rsidR="005E46B1" w:rsidRPr="00143F3B" w:rsidRDefault="005E46B1" w:rsidP="00C85568">
            <w:pPr>
              <w:ind w:left="0" w:firstLine="0"/>
              <w:rPr>
                <w:rFonts w:asciiTheme="majorBidi" w:hAnsiTheme="majorBidi" w:cstheme="majorBidi"/>
                <w:b/>
                <w:bCs/>
                <w:sz w:val="20"/>
                <w:szCs w:val="20"/>
              </w:rPr>
            </w:pPr>
            <w:r w:rsidRPr="00143F3B">
              <w:rPr>
                <w:rFonts w:asciiTheme="majorBidi" w:hAnsiTheme="majorBidi" w:cstheme="majorBidi"/>
                <w:b/>
                <w:bCs/>
                <w:sz w:val="20"/>
                <w:szCs w:val="20"/>
              </w:rPr>
              <w:t>In prosthetic joint infection</w:t>
            </w:r>
          </w:p>
        </w:tc>
      </w:tr>
      <w:tr w:rsidR="001304ED" w:rsidRPr="00143F3B" w14:paraId="43711C12" w14:textId="7774074D" w:rsidTr="00C94A88">
        <w:trPr>
          <w:jc w:val="center"/>
        </w:trPr>
        <w:tc>
          <w:tcPr>
            <w:tcW w:w="1838" w:type="dxa"/>
          </w:tcPr>
          <w:p w14:paraId="055CDD17" w14:textId="447EBF7E" w:rsidR="005E46B1" w:rsidRPr="00143F3B" w:rsidRDefault="005E46B1" w:rsidP="00C85568">
            <w:pPr>
              <w:ind w:left="0" w:firstLine="0"/>
              <w:rPr>
                <w:rFonts w:asciiTheme="majorBidi" w:hAnsiTheme="majorBidi" w:cstheme="majorBidi"/>
                <w:sz w:val="20"/>
                <w:szCs w:val="20"/>
              </w:rPr>
            </w:pPr>
          </w:p>
        </w:tc>
        <w:tc>
          <w:tcPr>
            <w:tcW w:w="1276" w:type="dxa"/>
          </w:tcPr>
          <w:p w14:paraId="5DF86BBD" w14:textId="1B46C76A" w:rsidR="005E46B1" w:rsidRPr="00143F3B" w:rsidRDefault="005E46B1" w:rsidP="00C85568">
            <w:pPr>
              <w:ind w:left="0" w:firstLine="0"/>
              <w:rPr>
                <w:rFonts w:asciiTheme="majorBidi" w:hAnsiTheme="majorBidi" w:cstheme="majorBidi"/>
                <w:sz w:val="20"/>
                <w:szCs w:val="20"/>
              </w:rPr>
            </w:pPr>
            <w:r w:rsidRPr="00143F3B">
              <w:rPr>
                <w:rFonts w:asciiTheme="majorBidi" w:hAnsiTheme="majorBidi" w:cstheme="majorBidi"/>
                <w:sz w:val="20"/>
                <w:szCs w:val="20"/>
              </w:rPr>
              <w:t>Both positive</w:t>
            </w:r>
          </w:p>
        </w:tc>
        <w:tc>
          <w:tcPr>
            <w:tcW w:w="1559" w:type="dxa"/>
          </w:tcPr>
          <w:p w14:paraId="1E4A25BA" w14:textId="3C409E3F" w:rsidR="005E46B1" w:rsidRPr="00143F3B" w:rsidRDefault="005E46B1" w:rsidP="00C85568">
            <w:pPr>
              <w:ind w:left="0" w:firstLine="0"/>
              <w:rPr>
                <w:rFonts w:asciiTheme="majorBidi" w:hAnsiTheme="majorBidi" w:cstheme="majorBidi"/>
                <w:sz w:val="20"/>
                <w:szCs w:val="20"/>
              </w:rPr>
            </w:pPr>
            <w:r w:rsidRPr="00143F3B">
              <w:rPr>
                <w:rFonts w:asciiTheme="majorBidi" w:hAnsiTheme="majorBidi" w:cstheme="majorBidi"/>
                <w:sz w:val="20"/>
                <w:szCs w:val="20"/>
              </w:rPr>
              <w:t>BIOFIRE JI panel only is positive</w:t>
            </w:r>
          </w:p>
        </w:tc>
        <w:tc>
          <w:tcPr>
            <w:tcW w:w="1417" w:type="dxa"/>
          </w:tcPr>
          <w:p w14:paraId="1D9611E9" w14:textId="662386CE" w:rsidR="005E46B1" w:rsidRPr="00143F3B" w:rsidRDefault="005E46B1" w:rsidP="00C85568">
            <w:pPr>
              <w:ind w:left="0" w:firstLine="0"/>
              <w:rPr>
                <w:rFonts w:asciiTheme="majorBidi" w:hAnsiTheme="majorBidi" w:cstheme="majorBidi"/>
                <w:sz w:val="20"/>
                <w:szCs w:val="20"/>
              </w:rPr>
            </w:pPr>
            <w:r w:rsidRPr="00143F3B">
              <w:rPr>
                <w:rFonts w:asciiTheme="majorBidi" w:hAnsiTheme="majorBidi" w:cstheme="majorBidi"/>
                <w:sz w:val="20"/>
                <w:szCs w:val="20"/>
              </w:rPr>
              <w:t>Routine culture only is positive</w:t>
            </w:r>
          </w:p>
        </w:tc>
        <w:tc>
          <w:tcPr>
            <w:tcW w:w="1463" w:type="dxa"/>
          </w:tcPr>
          <w:p w14:paraId="2139DA1C" w14:textId="7A8CDB19" w:rsidR="005E46B1" w:rsidRPr="00143F3B" w:rsidRDefault="002E7057" w:rsidP="00C85568">
            <w:pPr>
              <w:ind w:left="0" w:firstLine="0"/>
              <w:rPr>
                <w:rFonts w:asciiTheme="majorBidi" w:hAnsiTheme="majorBidi" w:cstheme="majorBidi"/>
                <w:sz w:val="20"/>
                <w:szCs w:val="20"/>
              </w:rPr>
            </w:pPr>
            <w:r w:rsidRPr="00143F3B">
              <w:rPr>
                <w:rFonts w:asciiTheme="majorBidi" w:hAnsiTheme="majorBidi" w:cstheme="majorBidi"/>
                <w:sz w:val="20"/>
                <w:szCs w:val="20"/>
              </w:rPr>
              <w:t>Total detection by JI panel</w:t>
            </w:r>
          </w:p>
        </w:tc>
        <w:tc>
          <w:tcPr>
            <w:tcW w:w="1463" w:type="dxa"/>
          </w:tcPr>
          <w:p w14:paraId="394912EE" w14:textId="06A2402C" w:rsidR="005E46B1" w:rsidRPr="00143F3B" w:rsidRDefault="002E7057" w:rsidP="00C85568">
            <w:pPr>
              <w:ind w:left="0" w:firstLine="0"/>
              <w:rPr>
                <w:rFonts w:asciiTheme="majorBidi" w:hAnsiTheme="majorBidi" w:cstheme="majorBidi"/>
                <w:sz w:val="20"/>
                <w:szCs w:val="20"/>
              </w:rPr>
            </w:pPr>
            <w:r w:rsidRPr="00143F3B">
              <w:rPr>
                <w:rFonts w:asciiTheme="majorBidi" w:hAnsiTheme="majorBidi" w:cstheme="majorBidi"/>
                <w:sz w:val="20"/>
                <w:szCs w:val="20"/>
              </w:rPr>
              <w:t>Total detection by routine culture</w:t>
            </w:r>
          </w:p>
        </w:tc>
      </w:tr>
      <w:tr w:rsidR="001304ED" w:rsidRPr="00143F3B" w14:paraId="42D22D2A" w14:textId="4367F4F9" w:rsidTr="007C14C2">
        <w:trPr>
          <w:jc w:val="center"/>
        </w:trPr>
        <w:tc>
          <w:tcPr>
            <w:tcW w:w="1838" w:type="dxa"/>
          </w:tcPr>
          <w:p w14:paraId="7F91BC6A" w14:textId="306C3434" w:rsidR="005E46B1" w:rsidRPr="00143F3B" w:rsidRDefault="00976053"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Gram positive resistance genes</w:t>
            </w:r>
          </w:p>
        </w:tc>
        <w:tc>
          <w:tcPr>
            <w:tcW w:w="1276" w:type="dxa"/>
            <w:vAlign w:val="center"/>
          </w:tcPr>
          <w:p w14:paraId="654EA558" w14:textId="452CE617"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6</w:t>
            </w:r>
          </w:p>
        </w:tc>
        <w:tc>
          <w:tcPr>
            <w:tcW w:w="1559" w:type="dxa"/>
            <w:vAlign w:val="center"/>
          </w:tcPr>
          <w:p w14:paraId="152A13C3" w14:textId="6683E61B"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5</w:t>
            </w:r>
          </w:p>
        </w:tc>
        <w:tc>
          <w:tcPr>
            <w:tcW w:w="1417" w:type="dxa"/>
            <w:vAlign w:val="center"/>
          </w:tcPr>
          <w:p w14:paraId="0A44DDCF" w14:textId="6D1F8D45"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0</w:t>
            </w:r>
          </w:p>
        </w:tc>
        <w:tc>
          <w:tcPr>
            <w:tcW w:w="1463" w:type="dxa"/>
            <w:vAlign w:val="center"/>
          </w:tcPr>
          <w:p w14:paraId="0EFE09FF" w14:textId="14D35ED2" w:rsidR="005E46B1" w:rsidRPr="00143F3B" w:rsidRDefault="00976053"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11</w:t>
            </w:r>
          </w:p>
        </w:tc>
        <w:tc>
          <w:tcPr>
            <w:tcW w:w="1463" w:type="dxa"/>
            <w:vAlign w:val="center"/>
          </w:tcPr>
          <w:p w14:paraId="062DDD5C" w14:textId="1606B4EB" w:rsidR="005E46B1" w:rsidRPr="00143F3B" w:rsidRDefault="002E7057"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6</w:t>
            </w:r>
          </w:p>
        </w:tc>
      </w:tr>
      <w:tr w:rsidR="001304ED" w:rsidRPr="00143F3B" w14:paraId="3277F432" w14:textId="77777777" w:rsidTr="007C14C2">
        <w:trPr>
          <w:jc w:val="center"/>
        </w:trPr>
        <w:tc>
          <w:tcPr>
            <w:tcW w:w="1838" w:type="dxa"/>
          </w:tcPr>
          <w:p w14:paraId="50CF1322" w14:textId="4939AB9E" w:rsidR="00976053" w:rsidRPr="00143F3B" w:rsidRDefault="00976053" w:rsidP="00C85568">
            <w:pPr>
              <w:ind w:left="0" w:firstLine="0"/>
              <w:jc w:val="left"/>
              <w:rPr>
                <w:rFonts w:asciiTheme="majorBidi" w:hAnsiTheme="majorBidi" w:cstheme="majorBidi"/>
                <w:sz w:val="20"/>
                <w:szCs w:val="20"/>
              </w:rPr>
            </w:pPr>
            <w:r w:rsidRPr="00143F3B">
              <w:rPr>
                <w:rFonts w:asciiTheme="majorBidi" w:hAnsiTheme="majorBidi" w:cstheme="majorBidi"/>
                <w:sz w:val="20"/>
                <w:szCs w:val="20"/>
              </w:rPr>
              <w:t>Gram negative resistance genes</w:t>
            </w:r>
          </w:p>
        </w:tc>
        <w:tc>
          <w:tcPr>
            <w:tcW w:w="1276" w:type="dxa"/>
            <w:vAlign w:val="center"/>
          </w:tcPr>
          <w:p w14:paraId="331DEAF3" w14:textId="4FF358D4" w:rsidR="00976053" w:rsidRPr="00143F3B" w:rsidRDefault="002E7057"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3</w:t>
            </w:r>
          </w:p>
        </w:tc>
        <w:tc>
          <w:tcPr>
            <w:tcW w:w="1559" w:type="dxa"/>
            <w:vAlign w:val="center"/>
          </w:tcPr>
          <w:p w14:paraId="1DCB3FD3" w14:textId="2FF34054" w:rsidR="00976053" w:rsidRPr="00143F3B" w:rsidRDefault="002E7057"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13</w:t>
            </w:r>
          </w:p>
        </w:tc>
        <w:tc>
          <w:tcPr>
            <w:tcW w:w="1417" w:type="dxa"/>
            <w:vAlign w:val="center"/>
          </w:tcPr>
          <w:p w14:paraId="195C4970" w14:textId="21F7930F" w:rsidR="00976053" w:rsidRPr="00143F3B" w:rsidRDefault="002E7057"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0</w:t>
            </w:r>
          </w:p>
        </w:tc>
        <w:tc>
          <w:tcPr>
            <w:tcW w:w="1463" w:type="dxa"/>
            <w:vAlign w:val="center"/>
          </w:tcPr>
          <w:p w14:paraId="047A019E" w14:textId="4BDA7813" w:rsidR="00976053" w:rsidRPr="00143F3B" w:rsidRDefault="002E7057"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16</w:t>
            </w:r>
          </w:p>
        </w:tc>
        <w:tc>
          <w:tcPr>
            <w:tcW w:w="1463" w:type="dxa"/>
            <w:vAlign w:val="center"/>
          </w:tcPr>
          <w:p w14:paraId="579CB927" w14:textId="173D4619" w:rsidR="00976053" w:rsidRPr="00143F3B" w:rsidRDefault="002E7057" w:rsidP="00C85568">
            <w:pPr>
              <w:ind w:left="0" w:firstLine="0"/>
              <w:jc w:val="center"/>
              <w:rPr>
                <w:rFonts w:asciiTheme="majorBidi" w:hAnsiTheme="majorBidi" w:cstheme="majorBidi"/>
                <w:sz w:val="20"/>
                <w:szCs w:val="20"/>
              </w:rPr>
            </w:pPr>
            <w:r w:rsidRPr="00143F3B">
              <w:rPr>
                <w:rFonts w:asciiTheme="majorBidi" w:hAnsiTheme="majorBidi" w:cstheme="majorBidi"/>
                <w:sz w:val="20"/>
                <w:szCs w:val="20"/>
              </w:rPr>
              <w:t>3</w:t>
            </w:r>
          </w:p>
        </w:tc>
      </w:tr>
    </w:tbl>
    <w:p w14:paraId="571EF271" w14:textId="77777777" w:rsidR="00E644F8" w:rsidRPr="00143F3B" w:rsidRDefault="00E644F8" w:rsidP="00275606">
      <w:pPr>
        <w:rPr>
          <w:rFonts w:asciiTheme="majorBidi" w:hAnsiTheme="majorBidi" w:cstheme="majorBidi"/>
          <w:sz w:val="20"/>
          <w:szCs w:val="20"/>
        </w:rPr>
      </w:pPr>
    </w:p>
    <w:p w14:paraId="7C6DEF60" w14:textId="6ACFA430" w:rsidR="00F54D13" w:rsidRPr="00143F3B" w:rsidRDefault="00E55B6D" w:rsidP="006067F8">
      <w:pPr>
        <w:ind w:left="0"/>
        <w:rPr>
          <w:rFonts w:asciiTheme="majorBidi" w:hAnsiTheme="majorBidi" w:cstheme="majorBidi"/>
          <w:sz w:val="20"/>
          <w:szCs w:val="20"/>
        </w:rPr>
      </w:pPr>
      <w:r w:rsidRPr="00143F3B">
        <w:rPr>
          <w:rFonts w:asciiTheme="majorBidi" w:hAnsiTheme="majorBidi" w:cstheme="majorBidi"/>
          <w:sz w:val="20"/>
          <w:szCs w:val="20"/>
        </w:rPr>
        <w:t xml:space="preserve">Results shown in </w:t>
      </w:r>
      <w:r w:rsidRPr="00143F3B">
        <w:rPr>
          <w:rFonts w:asciiTheme="majorBidi" w:hAnsiTheme="majorBidi" w:cstheme="majorBidi"/>
          <w:b/>
          <w:bCs/>
          <w:sz w:val="20"/>
          <w:szCs w:val="20"/>
        </w:rPr>
        <w:t xml:space="preserve">table </w:t>
      </w:r>
      <w:r w:rsidR="00474D7A" w:rsidRPr="00143F3B">
        <w:rPr>
          <w:rFonts w:asciiTheme="majorBidi" w:hAnsiTheme="majorBidi" w:cstheme="majorBidi"/>
          <w:b/>
          <w:bCs/>
          <w:sz w:val="20"/>
          <w:szCs w:val="20"/>
        </w:rPr>
        <w:t>(4)</w:t>
      </w:r>
      <w:r w:rsidRPr="00143F3B">
        <w:rPr>
          <w:rFonts w:asciiTheme="majorBidi" w:hAnsiTheme="majorBidi" w:cstheme="majorBidi"/>
          <w:sz w:val="20"/>
          <w:szCs w:val="20"/>
        </w:rPr>
        <w:t xml:space="preserve">, confirms the </w:t>
      </w:r>
      <w:r w:rsidR="001241D5" w:rsidRPr="00143F3B">
        <w:rPr>
          <w:rFonts w:asciiTheme="majorBidi" w:hAnsiTheme="majorBidi" w:cstheme="majorBidi"/>
          <w:sz w:val="20"/>
          <w:szCs w:val="20"/>
        </w:rPr>
        <w:t>superiority</w:t>
      </w:r>
      <w:r w:rsidRPr="00143F3B">
        <w:rPr>
          <w:rFonts w:asciiTheme="majorBidi" w:hAnsiTheme="majorBidi" w:cstheme="majorBidi"/>
          <w:sz w:val="20"/>
          <w:szCs w:val="20"/>
        </w:rPr>
        <w:t xml:space="preserve"> of the BIOFIRE JI panel </w:t>
      </w:r>
      <w:r w:rsidR="009A06C7" w:rsidRPr="00143F3B">
        <w:rPr>
          <w:rFonts w:asciiTheme="majorBidi" w:hAnsiTheme="majorBidi" w:cstheme="majorBidi"/>
          <w:sz w:val="20"/>
          <w:szCs w:val="20"/>
        </w:rPr>
        <w:t>to the routine culture</w:t>
      </w:r>
      <w:r w:rsidR="009A06C7" w:rsidRPr="00143F3B">
        <w:rPr>
          <w:rFonts w:asciiTheme="majorBidi" w:hAnsiTheme="majorBidi" w:cstheme="majorBidi"/>
          <w:sz w:val="20"/>
          <w:szCs w:val="20"/>
        </w:rPr>
        <w:t xml:space="preserve">, </w:t>
      </w:r>
      <w:r w:rsidR="001241D5" w:rsidRPr="00143F3B">
        <w:rPr>
          <w:rFonts w:asciiTheme="majorBidi" w:hAnsiTheme="majorBidi" w:cstheme="majorBidi"/>
          <w:sz w:val="20"/>
          <w:szCs w:val="20"/>
        </w:rPr>
        <w:t>in</w:t>
      </w:r>
      <w:r w:rsidRPr="00143F3B">
        <w:rPr>
          <w:rFonts w:asciiTheme="majorBidi" w:hAnsiTheme="majorBidi" w:cstheme="majorBidi"/>
          <w:sz w:val="20"/>
          <w:szCs w:val="20"/>
        </w:rPr>
        <w:t xml:space="preserve"> detect</w:t>
      </w:r>
      <w:r w:rsidR="001241D5" w:rsidRPr="00143F3B">
        <w:rPr>
          <w:rFonts w:asciiTheme="majorBidi" w:hAnsiTheme="majorBidi" w:cstheme="majorBidi"/>
          <w:sz w:val="20"/>
          <w:szCs w:val="20"/>
        </w:rPr>
        <w:t>ion of resistanc</w:t>
      </w:r>
      <w:r w:rsidR="0083615E" w:rsidRPr="00143F3B">
        <w:rPr>
          <w:rFonts w:asciiTheme="majorBidi" w:hAnsiTheme="majorBidi" w:cstheme="majorBidi"/>
          <w:sz w:val="20"/>
          <w:szCs w:val="20"/>
        </w:rPr>
        <w:t xml:space="preserve">e </w:t>
      </w:r>
      <w:r w:rsidR="001241D5" w:rsidRPr="00143F3B">
        <w:rPr>
          <w:rFonts w:asciiTheme="majorBidi" w:hAnsiTheme="majorBidi" w:cstheme="majorBidi"/>
          <w:sz w:val="20"/>
          <w:szCs w:val="20"/>
        </w:rPr>
        <w:t>genes especially in gram negative organisms</w:t>
      </w:r>
      <w:r w:rsidR="0083615E" w:rsidRPr="00143F3B">
        <w:rPr>
          <w:rFonts w:asciiTheme="majorBidi" w:hAnsiTheme="majorBidi" w:cstheme="majorBidi"/>
          <w:sz w:val="20"/>
          <w:szCs w:val="20"/>
        </w:rPr>
        <w:t>.</w:t>
      </w:r>
      <w:r w:rsidR="006067F8" w:rsidRPr="00143F3B">
        <w:rPr>
          <w:rFonts w:asciiTheme="majorBidi" w:hAnsiTheme="majorBidi" w:cstheme="majorBidi"/>
          <w:sz w:val="20"/>
          <w:szCs w:val="20"/>
        </w:rPr>
        <w:fldChar w:fldCharType="begin"/>
      </w:r>
      <w:r w:rsidR="006067F8" w:rsidRPr="00143F3B">
        <w:rPr>
          <w:rFonts w:asciiTheme="majorBidi" w:hAnsiTheme="majorBidi" w:cstheme="majorBidi"/>
          <w:sz w:val="20"/>
          <w:szCs w:val="20"/>
        </w:rPr>
        <w:instrText xml:space="preserve"> ADDIN ZOTERO_ITEM CSL_CITATION {"citationID":"0OOmgukc","properties":{"formattedCitation":"(13)","plainCitation":"(13)","noteIndex":0},"citationItems":[{"id":2256,"uris":["http://zotero.org/users/local/5UWbIU8o/items/NX7JYPRW"],"itemData":{"id":2256,"type":"article-journal","abstract":"Introduction: The BIOFIRE Joint Infection (JI) Panel is a diagnostic tool that uses multiplex-PCR testing to detect microorganisms in synovial fluid specimens from patients suspected of having septic arthritis (SA) on native joints or prosthetic joint infections (PJIs). Methods: A study was conducted across 34 clinical sites in 19 European and Middle Eastern countries from March 2021 to June 2022 to assess the effectiveness of the BIOFIRE JI Panel. Results: A total of 1527 samples were collected from patients suspected of SA or PJI, with an overall agreement of 88.4 % and 85 % respectively between the JI Panel and synovial fluid cultures (SFCs). The JI Panel detected more positive samples and microorganisms than SFC, with a notable difference on Staphylococcus aureus, Streptococcus species, Enterococcus faecalis, Kingella kingae, Neisseria gonorrhoeae, and anaerobic bacteria. The study found that the BIOFIRE JI Panel has a high utility in the real-world clinical setting for suspected SA and PJI, providing diagnostic results in approximately 1 h. The user experience was positive, implying a potential benefit of rapidity of results' turnover in optimising patient management strategies. Conclusion: The study suggests that the BIOFIRE JI Panel could potentially optimise patient management and antimicrobial therapy, thus highlighting its importance in the clinical setting.","container-title":"Journal of Bone and Joint Infection","DOI":"10.5194/jbji-9-87-2024","ISSN":"2206-3552","issue":"1","journalAbbreviation":"J Bone Jt Infect","language":"eng","note":"PMID: 38601005\nPMCID: PMC11002912","page":"87-97","source":"PubMed","title":"Potential value of a rapid syndromic multiplex PCR for the diagnosis of native and prosthetic joint infections: a real-world evidence study","title-short":"Potential value of a rapid syndromic multiplex PCR for the diagnosis of native and prosthetic joint infections","volume":"9","author":[{"family":"Pascual","given":"Stéphanie"},{"family":"Noble","given":"Brooklyn"},{"family":"Ahmad-Saeed","given":"Nusreen"},{"family":"Aldridge","given":"Catherine"},{"family":"Ambretti","given":"Simone"},{"family":"Amit","given":"Sharon"},{"family":"Annett","given":"Rachel"},{"family":"O'Shea","given":"Shaan Ashk"},{"family":"Barbui","given":"Anna Maria"},{"family":"Barlow","given":"Gavin"},{"family":"Barrett","given":"Lucinda"},{"family":"Berth","given":"Mario"},{"family":"Bondi","given":"Alessandro"},{"family":"Boran","given":"Nicola"},{"family":"Boyd","given":"Sara E."},{"family":"Chaves","given":"Catarina"},{"family":"Clauss","given":"Martin"},{"family":"Davies","given":"Peter"},{"family":"Dianzo-Delgado","given":"Ileana T."},{"family":"Esteban","given":"Jaime"},{"family":"Fuchs","given":"Stefan"},{"family":"Friis-Hansen","given":"Lennart"},{"family":"Goldenberger","given":"Daniel"},{"family":"Golle","given":"Andrej"},{"family":"Groonroos","given":"Juha O."},{"family":"Hoffmann","given":"Ines"},{"family":"Hoffmann","given":"Tomer"},{"family":"Hughes","given":"Harriet"},{"family":"Ivanova","given":"Marina"},{"family":"Jezek","given":"Peter"},{"family":"Jones","given":"Gwennan"},{"family":"Ceren Karahan","given":"Zeynep"},{"family":"Lass-Flörl","given":"Cornelia"},{"family":"Laurent","given":"Frédéric"},{"family":"Leach","given":"Laura"},{"family":"Horsbøll Pedersen","given":"Matilde Lee"},{"family":"Loiez","given":"Caroline"},{"family":"Lynch","given":"Maureen"},{"family":"Maloney","given":"Robert J."},{"family":"Marsh","given":"Martin"},{"family":"Milburn","given":"Olivia"},{"family":"Mitchell","given":"Shanine"},{"family":"Moore","given":"Luke S. P."},{"family":"Moffat","given":"Lynn"},{"family":"Murdjeva","given":"Marianna"},{"family":"Murphy","given":"Michael E."},{"family":"Nayar","given":"Deepa"},{"family":"Nigrisoli","given":"Giacomo"},{"family":"O'Sullivan","given":"Fionnuala"},{"family":"Öz","given":"Büşra"},{"family":"Peach","given":"Teresa"},{"family":"Petridou","given":"Christina"},{"family":"Prinz","given":"Mojgan"},{"family":"Rak","given":"Mitja"},{"family":"Reidy","given":"Niamh"},{"family":"Rossolini","given":"Gian Maria"},{"family":"Roux","given":"Anne-Laure"},{"family":"Ruiz-Garbajosa","given":"Patricia"},{"family":"Saeed","given":"Kordo"},{"family":"Salar-Vidal","given":"Llanos"},{"family":"Salas Venero","given":"Carlos"},{"family":"Selvaratnam","given":"Mathyruban"},{"family":"Senneville","given":"Eric"},{"family":"Starzengruber","given":"Peter"},{"family":"Talbot","given":"Ben"},{"family":"Taylor","given":"Vanessa"},{"family":"Trebše","given":"Rihard"},{"family":"Wearmouth","given":"Deborah"},{"family":"Willinger","given":"Birgit"},{"family":"Wouthuyzen-Bakker","given":"Marjan"},{"family":"Couturier","given":"Brianne"},{"family":"Allantaz","given":"Florence"}],"issued":{"date-parts":[["2024"]]}}}],"schema":"https://github.com/citation-style-language/schema/raw/master/csl-citation.json"} </w:instrText>
      </w:r>
      <w:r w:rsidR="006067F8" w:rsidRPr="00143F3B">
        <w:rPr>
          <w:rFonts w:asciiTheme="majorBidi" w:hAnsiTheme="majorBidi" w:cstheme="majorBidi"/>
          <w:sz w:val="20"/>
          <w:szCs w:val="20"/>
        </w:rPr>
        <w:fldChar w:fldCharType="separate"/>
      </w:r>
      <w:r w:rsidR="006067F8" w:rsidRPr="00143F3B">
        <w:rPr>
          <w:rFonts w:ascii="Times New Roman" w:hAnsi="Times New Roman" w:cs="Times New Roman"/>
          <w:sz w:val="20"/>
        </w:rPr>
        <w:t>(13)</w:t>
      </w:r>
      <w:r w:rsidR="006067F8" w:rsidRPr="00143F3B">
        <w:rPr>
          <w:rFonts w:asciiTheme="majorBidi" w:hAnsiTheme="majorBidi" w:cstheme="majorBidi"/>
          <w:sz w:val="20"/>
          <w:szCs w:val="20"/>
        </w:rPr>
        <w:fldChar w:fldCharType="end"/>
      </w:r>
      <w:r w:rsidR="006067F8" w:rsidRPr="00143F3B">
        <w:rPr>
          <w:rFonts w:asciiTheme="majorBidi" w:hAnsiTheme="majorBidi" w:cstheme="majorBidi"/>
          <w:sz w:val="20"/>
          <w:szCs w:val="20"/>
        </w:rPr>
        <w:t xml:space="preserve"> </w:t>
      </w:r>
      <w:r w:rsidR="0083615E" w:rsidRPr="00143F3B">
        <w:rPr>
          <w:rFonts w:asciiTheme="majorBidi" w:hAnsiTheme="majorBidi" w:cstheme="majorBidi"/>
          <w:sz w:val="20"/>
          <w:szCs w:val="20"/>
        </w:rPr>
        <w:t>This is considered a big advantage which can modify the antimicrobial plan in the empirical phase to ensure the most effective treatment plan for the patient.</w:t>
      </w:r>
      <w:r w:rsidRPr="00143F3B">
        <w:rPr>
          <w:rFonts w:asciiTheme="majorBidi" w:hAnsiTheme="majorBidi" w:cstheme="majorBidi"/>
          <w:sz w:val="20"/>
          <w:szCs w:val="20"/>
        </w:rPr>
        <w:t xml:space="preserve"> </w:t>
      </w:r>
      <w:r w:rsidR="00F54D13" w:rsidRPr="00143F3B">
        <w:rPr>
          <w:rFonts w:asciiTheme="majorBidi" w:hAnsiTheme="majorBidi" w:cstheme="majorBidi"/>
          <w:sz w:val="20"/>
          <w:szCs w:val="20"/>
        </w:rPr>
        <w:t>BIOFIRE</w:t>
      </w:r>
      <w:r w:rsidR="009A06C7" w:rsidRPr="00143F3B">
        <w:rPr>
          <w:rFonts w:asciiTheme="majorBidi" w:hAnsiTheme="majorBidi" w:cstheme="majorBidi"/>
          <w:sz w:val="20"/>
          <w:szCs w:val="20"/>
        </w:rPr>
        <w:t xml:space="preserve"> JI panel</w:t>
      </w:r>
      <w:r w:rsidR="00F54D13" w:rsidRPr="00143F3B">
        <w:rPr>
          <w:rFonts w:asciiTheme="majorBidi" w:hAnsiTheme="majorBidi" w:cstheme="majorBidi"/>
          <w:sz w:val="20"/>
          <w:szCs w:val="20"/>
        </w:rPr>
        <w:t xml:space="preserve"> can guide antimicrobial management plan in cases of polymicrobial infection where cultures cannot detect, which is one of the top reasons behind failure of joint revision surgeries.</w:t>
      </w:r>
      <w:r w:rsidR="008332AD" w:rsidRPr="00143F3B">
        <w:rPr>
          <w:rFonts w:asciiTheme="majorBidi" w:hAnsiTheme="majorBidi" w:cstheme="majorBidi"/>
          <w:sz w:val="20"/>
          <w:szCs w:val="20"/>
        </w:rPr>
        <w:t xml:space="preserve"> </w:t>
      </w:r>
      <w:r w:rsidR="00F54D13" w:rsidRPr="00143F3B">
        <w:rPr>
          <w:rFonts w:asciiTheme="majorBidi" w:hAnsiTheme="majorBidi" w:cstheme="majorBidi"/>
          <w:sz w:val="20"/>
          <w:szCs w:val="20"/>
        </w:rPr>
        <w:fldChar w:fldCharType="begin"/>
      </w:r>
      <w:r w:rsidR="00F54D13" w:rsidRPr="00143F3B">
        <w:rPr>
          <w:rFonts w:asciiTheme="majorBidi" w:hAnsiTheme="majorBidi" w:cstheme="majorBidi"/>
          <w:sz w:val="20"/>
          <w:szCs w:val="20"/>
        </w:rPr>
        <w:instrText xml:space="preserve"> ADDIN ZOTERO_ITEM CSL_CITATION {"citationID":"WylAL9xF","properties":{"formattedCitation":"(22)","plainCitation":"(22)","noteIndex":0},"citationItems":[{"id":2227,"uris":["http://zotero.org/users/local/5UWbIU8o/items/24V3UIPN"],"itemData":{"id":2227,"type":"article-journal","abstract":"BACKGROUND: A positive microbiological result at reimplantation may lead to a failed 2-stage revision arthroplasty in the treatment of periprosthetic joint infections. Little is known about changes in microbiological spectrum and resistance pattern between culture positive first and second stage procedures in revision knee and hip arthroplasty.\nMETHODS: Between January 2011 and December 2019, we performed 327 two-stage revision arthroplasties on 312 patients. There were 37 of 312 (11.9%) patients (20 hips/17 knees) who had a positive microbiological culture during the first and second stage procedure. We analyzed the microbiological spectrum, antimicrobial resistance pattern, and clinical outcome of culture positive first and second stage procedures as well as subsequent re-revisions.\nRESULTS: Re-revision was necessary in 40.5% (15/37) of patients with culture positive first and second stage procedure at a median follow-up of 3.5 years. We found microbiological changes in 83.8% (31/37) of patients between the first and second stage and in 88.9% (8/9) between the second stage and subsequent culture positive re-revision. Polymicrobial infections were found in 21.6% (8/37) of first and in 16.2% (6/37) of second stage procedures. In 27% (10/37) of patients, microorganisms persisted between the first and second stage procedure. The antimicrobial resistance pattern changed in 60% of persistent microorganisms between the first and second stage procedure.\nCONCLUSION: Changes in microbiological spectrum and resistance pattern are common between culture positive first and second stage procedures as well as subsequent re-revisions. This has to be considered in the antimicrobial treatment of periprosthetic joint infections.","container-title":"The Journal of Arthroplasty","DOI":"10.1016/j.arth.2021.01.074","ISSN":"1532-8406","issue":"6","journalAbbreviation":"J Arthroplasty","language":"eng","note":"PMID: 33608181","page":"2158-2164","source":"PubMed","title":"Analysis of Culture Positive First and Second Stage Procedures in Periprosthetic Knee and Hip Joint Infections","volume":"36","author":[{"family":"Frank","given":"Bernhard J. H."},{"family":"Aichmair","given":"Alexander"},{"family":"Simon","given":"Sebastian"},{"family":"Schwarz","given":"Gilbert M."},{"family":"Dominkus","given":"Martin"},{"family":"Hofstaetter","given":"Jochen G."}],"issued":{"date-parts":[["2021",6]]}}}],"schema":"https://github.com/citation-style-language/schema/raw/master/csl-citation.json"} </w:instrText>
      </w:r>
      <w:r w:rsidR="00F54D13" w:rsidRPr="00143F3B">
        <w:rPr>
          <w:rFonts w:asciiTheme="majorBidi" w:hAnsiTheme="majorBidi" w:cstheme="majorBidi"/>
          <w:sz w:val="20"/>
          <w:szCs w:val="20"/>
        </w:rPr>
        <w:fldChar w:fldCharType="separate"/>
      </w:r>
      <w:r w:rsidR="00F54D13" w:rsidRPr="00143F3B">
        <w:rPr>
          <w:rFonts w:asciiTheme="majorBidi" w:hAnsiTheme="majorBidi" w:cstheme="majorBidi"/>
          <w:sz w:val="20"/>
          <w:szCs w:val="20"/>
        </w:rPr>
        <w:t>(22)</w:t>
      </w:r>
      <w:r w:rsidR="00F54D13" w:rsidRPr="00143F3B">
        <w:rPr>
          <w:rFonts w:asciiTheme="majorBidi" w:hAnsiTheme="majorBidi" w:cstheme="majorBidi"/>
          <w:sz w:val="20"/>
          <w:szCs w:val="20"/>
        </w:rPr>
        <w:fldChar w:fldCharType="end"/>
      </w:r>
    </w:p>
    <w:p w14:paraId="2B077F7E" w14:textId="77777777" w:rsidR="001D0CF5" w:rsidRPr="00143F3B" w:rsidRDefault="001D0CF5" w:rsidP="003A30DF">
      <w:pPr>
        <w:ind w:left="0" w:firstLine="720"/>
        <w:rPr>
          <w:rFonts w:asciiTheme="majorBidi" w:hAnsiTheme="majorBidi" w:cstheme="majorBidi"/>
          <w:b/>
          <w:bCs/>
          <w:sz w:val="20"/>
          <w:szCs w:val="20"/>
        </w:rPr>
      </w:pPr>
    </w:p>
    <w:p w14:paraId="03452300" w14:textId="38008901" w:rsidR="00B11633" w:rsidRPr="00143F3B" w:rsidRDefault="00B11633" w:rsidP="00AE7906">
      <w:pPr>
        <w:pStyle w:val="ListParagraph"/>
        <w:numPr>
          <w:ilvl w:val="0"/>
          <w:numId w:val="16"/>
        </w:numPr>
        <w:ind w:left="284" w:hanging="284"/>
        <w:rPr>
          <w:rFonts w:asciiTheme="majorBidi" w:hAnsiTheme="majorBidi" w:cstheme="majorBidi"/>
          <w:b/>
          <w:bCs/>
          <w:sz w:val="20"/>
          <w:szCs w:val="20"/>
        </w:rPr>
      </w:pPr>
      <w:r w:rsidRPr="00143F3B">
        <w:rPr>
          <w:rFonts w:asciiTheme="majorBidi" w:hAnsiTheme="majorBidi" w:cstheme="majorBidi"/>
          <w:b/>
          <w:bCs/>
          <w:sz w:val="20"/>
          <w:szCs w:val="20"/>
        </w:rPr>
        <w:t>Case scenarios representing the value of the BIOFIRE JI panel in diagnosis and treatment of bone infections.</w:t>
      </w:r>
    </w:p>
    <w:p w14:paraId="24D46D90" w14:textId="77777777" w:rsidR="00D22382" w:rsidRPr="00143F3B" w:rsidRDefault="00D22382" w:rsidP="00447686">
      <w:pPr>
        <w:rPr>
          <w:rFonts w:asciiTheme="majorBidi" w:hAnsiTheme="majorBidi" w:cstheme="majorBidi"/>
          <w:b/>
          <w:bCs/>
          <w:sz w:val="20"/>
          <w:szCs w:val="20"/>
        </w:rPr>
      </w:pPr>
    </w:p>
    <w:p w14:paraId="15E667F4" w14:textId="3ECEF687" w:rsidR="00B11633" w:rsidRPr="00143F3B" w:rsidRDefault="00B11633" w:rsidP="00C56181">
      <w:pPr>
        <w:ind w:left="0"/>
        <w:rPr>
          <w:rFonts w:asciiTheme="majorBidi" w:hAnsiTheme="majorBidi" w:cstheme="majorBidi"/>
          <w:b/>
          <w:bCs/>
          <w:sz w:val="20"/>
          <w:szCs w:val="20"/>
        </w:rPr>
      </w:pPr>
      <w:r w:rsidRPr="00143F3B">
        <w:rPr>
          <w:rFonts w:asciiTheme="majorBidi" w:hAnsiTheme="majorBidi" w:cstheme="majorBidi"/>
          <w:b/>
          <w:bCs/>
          <w:sz w:val="20"/>
          <w:szCs w:val="20"/>
        </w:rPr>
        <w:t xml:space="preserve">Case 1: Rapid Diagnosis in </w:t>
      </w:r>
      <w:r w:rsidR="00ED59F6" w:rsidRPr="00143F3B">
        <w:rPr>
          <w:rFonts w:asciiTheme="majorBidi" w:hAnsiTheme="majorBidi" w:cstheme="majorBidi"/>
          <w:b/>
          <w:bCs/>
          <w:sz w:val="20"/>
          <w:szCs w:val="20"/>
        </w:rPr>
        <w:t>PJI:</w:t>
      </w:r>
    </w:p>
    <w:p w14:paraId="432EC333" w14:textId="76F1D986" w:rsidR="00B11633" w:rsidRPr="00143F3B" w:rsidRDefault="00B11633" w:rsidP="00C56181">
      <w:pPr>
        <w:pStyle w:val="ListParagraph"/>
        <w:numPr>
          <w:ilvl w:val="0"/>
          <w:numId w:val="20"/>
        </w:numPr>
        <w:ind w:left="1004"/>
        <w:rPr>
          <w:rFonts w:asciiTheme="majorBidi" w:hAnsiTheme="majorBidi" w:cstheme="majorBidi"/>
          <w:sz w:val="20"/>
          <w:szCs w:val="20"/>
        </w:rPr>
      </w:pPr>
      <w:r w:rsidRPr="00143F3B">
        <w:rPr>
          <w:rFonts w:asciiTheme="majorBidi" w:hAnsiTheme="majorBidi" w:cstheme="majorBidi"/>
          <w:b/>
          <w:bCs/>
          <w:sz w:val="20"/>
          <w:szCs w:val="20"/>
        </w:rPr>
        <w:t>Scenario:</w:t>
      </w:r>
      <w:r w:rsidRPr="00143F3B">
        <w:rPr>
          <w:rFonts w:asciiTheme="majorBidi" w:hAnsiTheme="majorBidi" w:cstheme="majorBidi"/>
          <w:sz w:val="20"/>
          <w:szCs w:val="20"/>
        </w:rPr>
        <w:br/>
        <w:t xml:space="preserve">A </w:t>
      </w:r>
      <w:r w:rsidR="00ED59F6" w:rsidRPr="00143F3B">
        <w:rPr>
          <w:rFonts w:asciiTheme="majorBidi" w:hAnsiTheme="majorBidi" w:cstheme="majorBidi"/>
          <w:sz w:val="20"/>
          <w:szCs w:val="20"/>
        </w:rPr>
        <w:t>70</w:t>
      </w:r>
      <w:r w:rsidRPr="00143F3B">
        <w:rPr>
          <w:rFonts w:asciiTheme="majorBidi" w:hAnsiTheme="majorBidi" w:cstheme="majorBidi"/>
          <w:sz w:val="20"/>
          <w:szCs w:val="20"/>
        </w:rPr>
        <w:t xml:space="preserve">-year-old </w:t>
      </w:r>
      <w:r w:rsidR="00ED59F6" w:rsidRPr="00143F3B">
        <w:rPr>
          <w:rFonts w:asciiTheme="majorBidi" w:hAnsiTheme="majorBidi" w:cstheme="majorBidi"/>
          <w:sz w:val="20"/>
          <w:szCs w:val="20"/>
        </w:rPr>
        <w:t>male</w:t>
      </w:r>
      <w:r w:rsidRPr="00143F3B">
        <w:rPr>
          <w:rFonts w:asciiTheme="majorBidi" w:hAnsiTheme="majorBidi" w:cstheme="majorBidi"/>
          <w:sz w:val="20"/>
          <w:szCs w:val="20"/>
        </w:rPr>
        <w:t xml:space="preserve"> undergoes a total knee arthroplasty and presents two weeks later with swelling, warmth, and pain in the surgical area. </w:t>
      </w:r>
      <w:r w:rsidR="00ED59F6" w:rsidRPr="00143F3B">
        <w:rPr>
          <w:rFonts w:asciiTheme="majorBidi" w:hAnsiTheme="majorBidi" w:cstheme="majorBidi"/>
          <w:sz w:val="20"/>
          <w:szCs w:val="20"/>
        </w:rPr>
        <w:t>Routine</w:t>
      </w:r>
      <w:r w:rsidRPr="00143F3B">
        <w:rPr>
          <w:rFonts w:asciiTheme="majorBidi" w:hAnsiTheme="majorBidi" w:cstheme="majorBidi"/>
          <w:sz w:val="20"/>
          <w:szCs w:val="20"/>
        </w:rPr>
        <w:t xml:space="preserve"> cultures from synovial fluid yield no growth after 48 hours, and the patient's condition deteriorates.</w:t>
      </w:r>
    </w:p>
    <w:p w14:paraId="740340E8" w14:textId="77777777" w:rsidR="00B11633" w:rsidRPr="00143F3B" w:rsidRDefault="00B11633" w:rsidP="00C56181">
      <w:pPr>
        <w:pStyle w:val="ListParagraph"/>
        <w:numPr>
          <w:ilvl w:val="0"/>
          <w:numId w:val="20"/>
        </w:numPr>
        <w:ind w:left="1004"/>
        <w:rPr>
          <w:rFonts w:asciiTheme="majorBidi" w:hAnsiTheme="majorBidi" w:cstheme="majorBidi"/>
          <w:sz w:val="20"/>
          <w:szCs w:val="20"/>
        </w:rPr>
      </w:pPr>
      <w:r w:rsidRPr="00143F3B">
        <w:rPr>
          <w:rFonts w:asciiTheme="majorBidi" w:hAnsiTheme="majorBidi" w:cstheme="majorBidi"/>
          <w:b/>
          <w:bCs/>
          <w:sz w:val="20"/>
          <w:szCs w:val="20"/>
        </w:rPr>
        <w:t>How the BIOFIRE JI Panel Helps:</w:t>
      </w:r>
    </w:p>
    <w:p w14:paraId="0D721C21" w14:textId="77777777" w:rsidR="00E97E04" w:rsidRPr="00143F3B" w:rsidRDefault="00B11633" w:rsidP="00C56181">
      <w:pPr>
        <w:pStyle w:val="ListParagraph"/>
        <w:numPr>
          <w:ilvl w:val="0"/>
          <w:numId w:val="4"/>
        </w:numPr>
        <w:tabs>
          <w:tab w:val="clear" w:pos="1721"/>
          <w:tab w:val="num" w:pos="1364"/>
        </w:tabs>
        <w:ind w:left="1364"/>
        <w:rPr>
          <w:rFonts w:asciiTheme="majorBidi" w:hAnsiTheme="majorBidi" w:cstheme="majorBidi"/>
          <w:sz w:val="20"/>
          <w:szCs w:val="20"/>
        </w:rPr>
      </w:pPr>
      <w:r w:rsidRPr="00143F3B">
        <w:rPr>
          <w:rFonts w:asciiTheme="majorBidi" w:hAnsiTheme="majorBidi" w:cstheme="majorBidi"/>
          <w:sz w:val="20"/>
          <w:szCs w:val="20"/>
        </w:rPr>
        <w:t xml:space="preserve">The BIOFIRE Joint Infection (JI) Panel provides results in approximately one hour, identifying </w:t>
      </w:r>
      <w:r w:rsidRPr="00143F3B">
        <w:rPr>
          <w:rFonts w:asciiTheme="majorBidi" w:hAnsiTheme="majorBidi" w:cstheme="majorBidi"/>
          <w:i/>
          <w:iCs/>
          <w:sz w:val="20"/>
          <w:szCs w:val="20"/>
        </w:rPr>
        <w:t>Staphylococcus aureus</w:t>
      </w:r>
      <w:r w:rsidRPr="00143F3B">
        <w:rPr>
          <w:rFonts w:asciiTheme="majorBidi" w:hAnsiTheme="majorBidi" w:cstheme="majorBidi"/>
          <w:sz w:val="20"/>
          <w:szCs w:val="20"/>
        </w:rPr>
        <w:t xml:space="preserve"> with </w:t>
      </w:r>
      <w:proofErr w:type="spellStart"/>
      <w:r w:rsidRPr="00143F3B">
        <w:rPr>
          <w:rFonts w:asciiTheme="majorBidi" w:hAnsiTheme="majorBidi" w:cstheme="majorBidi"/>
          <w:sz w:val="20"/>
          <w:szCs w:val="20"/>
        </w:rPr>
        <w:t>mecA</w:t>
      </w:r>
      <w:proofErr w:type="spellEnd"/>
      <w:r w:rsidRPr="00143F3B">
        <w:rPr>
          <w:rFonts w:asciiTheme="majorBidi" w:hAnsiTheme="majorBidi" w:cstheme="majorBidi"/>
          <w:sz w:val="20"/>
          <w:szCs w:val="20"/>
        </w:rPr>
        <w:t xml:space="preserve"> resistance gene (indicating methicillin resistance).</w:t>
      </w:r>
    </w:p>
    <w:p w14:paraId="307DA9BF" w14:textId="77777777" w:rsidR="00E97E04" w:rsidRPr="00143F3B" w:rsidRDefault="00B11633" w:rsidP="00C56181">
      <w:pPr>
        <w:pStyle w:val="ListParagraph"/>
        <w:numPr>
          <w:ilvl w:val="0"/>
          <w:numId w:val="4"/>
        </w:numPr>
        <w:tabs>
          <w:tab w:val="clear" w:pos="1721"/>
          <w:tab w:val="num" w:pos="1364"/>
        </w:tabs>
        <w:ind w:left="1364"/>
        <w:rPr>
          <w:rFonts w:asciiTheme="majorBidi" w:hAnsiTheme="majorBidi" w:cstheme="majorBidi"/>
          <w:sz w:val="20"/>
          <w:szCs w:val="20"/>
        </w:rPr>
      </w:pPr>
      <w:r w:rsidRPr="00143F3B">
        <w:rPr>
          <w:rFonts w:asciiTheme="majorBidi" w:hAnsiTheme="majorBidi" w:cstheme="majorBidi"/>
          <w:sz w:val="20"/>
          <w:szCs w:val="20"/>
        </w:rPr>
        <w:t>Rapid identification allows clinicians to switch from empiric vancomycin to a targeted regimen with daptomycin, reducing the risk of antibiotic resistance and improving outcomes.</w:t>
      </w:r>
    </w:p>
    <w:p w14:paraId="750AAEF3" w14:textId="60DD9A84" w:rsidR="00B11633" w:rsidRPr="00143F3B" w:rsidRDefault="00B11633" w:rsidP="00C56181">
      <w:pPr>
        <w:pStyle w:val="ListParagraph"/>
        <w:numPr>
          <w:ilvl w:val="0"/>
          <w:numId w:val="4"/>
        </w:numPr>
        <w:tabs>
          <w:tab w:val="clear" w:pos="1721"/>
          <w:tab w:val="num" w:pos="1364"/>
        </w:tabs>
        <w:ind w:left="1364"/>
        <w:rPr>
          <w:rFonts w:asciiTheme="majorBidi" w:hAnsiTheme="majorBidi" w:cstheme="majorBidi"/>
          <w:sz w:val="20"/>
          <w:szCs w:val="20"/>
        </w:rPr>
      </w:pPr>
      <w:r w:rsidRPr="00143F3B">
        <w:rPr>
          <w:rFonts w:asciiTheme="majorBidi" w:hAnsiTheme="majorBidi" w:cstheme="majorBidi"/>
          <w:sz w:val="20"/>
          <w:szCs w:val="20"/>
        </w:rPr>
        <w:t>Early, targeted treatment prevents prosthetic failure and reduces the need for revision surgery.</w:t>
      </w:r>
    </w:p>
    <w:p w14:paraId="1096A83A" w14:textId="77777777" w:rsidR="00E97E04" w:rsidRPr="00143F3B" w:rsidRDefault="00E97E04" w:rsidP="00C56181">
      <w:pPr>
        <w:pStyle w:val="ListParagraph"/>
        <w:ind w:left="1364" w:firstLine="0"/>
        <w:rPr>
          <w:rFonts w:asciiTheme="majorBidi" w:hAnsiTheme="majorBidi" w:cstheme="majorBidi"/>
          <w:sz w:val="20"/>
          <w:szCs w:val="20"/>
        </w:rPr>
      </w:pPr>
    </w:p>
    <w:p w14:paraId="1D06C53C" w14:textId="77777777" w:rsidR="004B283D" w:rsidRPr="00143F3B" w:rsidRDefault="004B283D" w:rsidP="00C56181">
      <w:pPr>
        <w:ind w:left="0"/>
        <w:rPr>
          <w:rFonts w:asciiTheme="majorBidi" w:hAnsiTheme="majorBidi" w:cstheme="majorBidi"/>
          <w:b/>
          <w:bCs/>
          <w:sz w:val="20"/>
          <w:szCs w:val="20"/>
        </w:rPr>
      </w:pPr>
      <w:r w:rsidRPr="00143F3B">
        <w:rPr>
          <w:rFonts w:asciiTheme="majorBidi" w:hAnsiTheme="majorBidi" w:cstheme="majorBidi"/>
          <w:b/>
          <w:bCs/>
          <w:sz w:val="20"/>
          <w:szCs w:val="20"/>
        </w:rPr>
        <w:t>Case 2: Identification of Polymicrobial Infections in Osteomyelitis</w:t>
      </w:r>
    </w:p>
    <w:p w14:paraId="27C95CCD" w14:textId="77777777" w:rsidR="004B283D" w:rsidRPr="00143F3B" w:rsidRDefault="004B283D" w:rsidP="00C56181">
      <w:pPr>
        <w:pStyle w:val="ListParagraph"/>
        <w:numPr>
          <w:ilvl w:val="0"/>
          <w:numId w:val="21"/>
        </w:numPr>
        <w:ind w:left="1004"/>
        <w:rPr>
          <w:rFonts w:asciiTheme="majorBidi" w:hAnsiTheme="majorBidi" w:cstheme="majorBidi"/>
          <w:sz w:val="20"/>
          <w:szCs w:val="20"/>
        </w:rPr>
      </w:pPr>
      <w:r w:rsidRPr="00143F3B">
        <w:rPr>
          <w:rFonts w:asciiTheme="majorBidi" w:hAnsiTheme="majorBidi" w:cstheme="majorBidi"/>
          <w:b/>
          <w:bCs/>
          <w:sz w:val="20"/>
          <w:szCs w:val="20"/>
        </w:rPr>
        <w:t>Scenario:</w:t>
      </w:r>
      <w:r w:rsidRPr="00143F3B">
        <w:rPr>
          <w:rFonts w:asciiTheme="majorBidi" w:hAnsiTheme="majorBidi" w:cstheme="majorBidi"/>
          <w:sz w:val="20"/>
          <w:szCs w:val="20"/>
        </w:rPr>
        <w:br/>
        <w:t xml:space="preserve">A 42-year-old diabetic patient presents with chronic foot ulceration and signs of osteomyelitis. Imaging confirms bone involvement, but routine cultures identify only </w:t>
      </w:r>
      <w:r w:rsidRPr="00143F3B">
        <w:rPr>
          <w:rFonts w:asciiTheme="majorBidi" w:hAnsiTheme="majorBidi" w:cstheme="majorBidi"/>
          <w:i/>
          <w:iCs/>
          <w:sz w:val="20"/>
          <w:szCs w:val="20"/>
        </w:rPr>
        <w:t>Escherichia coli</w:t>
      </w:r>
      <w:r w:rsidRPr="00143F3B">
        <w:rPr>
          <w:rFonts w:asciiTheme="majorBidi" w:hAnsiTheme="majorBidi" w:cstheme="majorBidi"/>
          <w:sz w:val="20"/>
          <w:szCs w:val="20"/>
        </w:rPr>
        <w:t>. Despite appropriate treatment, the infection persists.</w:t>
      </w:r>
    </w:p>
    <w:p w14:paraId="72F9DB51" w14:textId="77777777" w:rsidR="004B283D" w:rsidRPr="00143F3B" w:rsidRDefault="004B283D" w:rsidP="00C56181">
      <w:pPr>
        <w:pStyle w:val="ListParagraph"/>
        <w:numPr>
          <w:ilvl w:val="0"/>
          <w:numId w:val="21"/>
        </w:numPr>
        <w:ind w:left="1004"/>
        <w:rPr>
          <w:rFonts w:asciiTheme="majorBidi" w:hAnsiTheme="majorBidi" w:cstheme="majorBidi"/>
          <w:sz w:val="20"/>
          <w:szCs w:val="20"/>
        </w:rPr>
      </w:pPr>
      <w:r w:rsidRPr="00143F3B">
        <w:rPr>
          <w:rFonts w:asciiTheme="majorBidi" w:hAnsiTheme="majorBidi" w:cstheme="majorBidi"/>
          <w:b/>
          <w:bCs/>
          <w:sz w:val="20"/>
          <w:szCs w:val="20"/>
        </w:rPr>
        <w:t>How the BIOFIRE JI Panel Helps:</w:t>
      </w:r>
    </w:p>
    <w:p w14:paraId="765FB120" w14:textId="77777777" w:rsidR="004B283D" w:rsidRPr="00143F3B" w:rsidRDefault="004B283D" w:rsidP="00C56181">
      <w:pPr>
        <w:pStyle w:val="ListParagraph"/>
        <w:numPr>
          <w:ilvl w:val="0"/>
          <w:numId w:val="22"/>
        </w:numPr>
        <w:ind w:left="1364"/>
        <w:rPr>
          <w:rFonts w:asciiTheme="majorBidi" w:hAnsiTheme="majorBidi" w:cstheme="majorBidi"/>
          <w:sz w:val="20"/>
          <w:szCs w:val="20"/>
        </w:rPr>
      </w:pPr>
      <w:r w:rsidRPr="00143F3B">
        <w:rPr>
          <w:rFonts w:asciiTheme="majorBidi" w:hAnsiTheme="majorBidi" w:cstheme="majorBidi"/>
          <w:sz w:val="20"/>
          <w:szCs w:val="20"/>
        </w:rPr>
        <w:t>The panel identifies additional pathogens (</w:t>
      </w:r>
      <w:r w:rsidRPr="00143F3B">
        <w:rPr>
          <w:rFonts w:asciiTheme="majorBidi" w:hAnsiTheme="majorBidi" w:cstheme="majorBidi"/>
          <w:i/>
          <w:iCs/>
          <w:sz w:val="20"/>
          <w:szCs w:val="20"/>
        </w:rPr>
        <w:t>Pseudomonas aeruginosa</w:t>
      </w:r>
      <w:r w:rsidRPr="00143F3B">
        <w:rPr>
          <w:rFonts w:asciiTheme="majorBidi" w:hAnsiTheme="majorBidi" w:cstheme="majorBidi"/>
          <w:sz w:val="20"/>
          <w:szCs w:val="20"/>
        </w:rPr>
        <w:t xml:space="preserve"> and </w:t>
      </w:r>
      <w:r w:rsidRPr="00143F3B">
        <w:rPr>
          <w:rFonts w:asciiTheme="majorBidi" w:hAnsiTheme="majorBidi" w:cstheme="majorBidi"/>
          <w:i/>
          <w:iCs/>
          <w:sz w:val="20"/>
          <w:szCs w:val="20"/>
        </w:rPr>
        <w:t>Streptococcus agalactiae</w:t>
      </w:r>
      <w:r w:rsidRPr="00143F3B">
        <w:rPr>
          <w:rFonts w:asciiTheme="majorBidi" w:hAnsiTheme="majorBidi" w:cstheme="majorBidi"/>
          <w:sz w:val="20"/>
          <w:szCs w:val="20"/>
        </w:rPr>
        <w:t>) within an hour, which were missed in standard culture due to prior antibiotic use.</w:t>
      </w:r>
    </w:p>
    <w:p w14:paraId="501B1ED2" w14:textId="77777777" w:rsidR="004B283D" w:rsidRPr="00143F3B" w:rsidRDefault="004B283D" w:rsidP="00C56181">
      <w:pPr>
        <w:pStyle w:val="ListParagraph"/>
        <w:numPr>
          <w:ilvl w:val="0"/>
          <w:numId w:val="22"/>
        </w:numPr>
        <w:ind w:left="1364"/>
        <w:rPr>
          <w:rFonts w:asciiTheme="majorBidi" w:hAnsiTheme="majorBidi" w:cstheme="majorBidi"/>
          <w:sz w:val="20"/>
          <w:szCs w:val="20"/>
        </w:rPr>
      </w:pPr>
      <w:r w:rsidRPr="00143F3B">
        <w:rPr>
          <w:rFonts w:asciiTheme="majorBidi" w:hAnsiTheme="majorBidi" w:cstheme="majorBidi"/>
          <w:sz w:val="20"/>
          <w:szCs w:val="20"/>
        </w:rPr>
        <w:t>The broad detection enables the adjustment of antibiotics to cover all implicated organisms, resolving the infection effectively.</w:t>
      </w:r>
    </w:p>
    <w:p w14:paraId="3B7A446B" w14:textId="77777777" w:rsidR="004B283D" w:rsidRPr="00143F3B" w:rsidRDefault="004B283D" w:rsidP="00C56181">
      <w:pPr>
        <w:pStyle w:val="ListParagraph"/>
        <w:numPr>
          <w:ilvl w:val="0"/>
          <w:numId w:val="22"/>
        </w:numPr>
        <w:ind w:left="1364"/>
        <w:rPr>
          <w:rFonts w:asciiTheme="majorBidi" w:hAnsiTheme="majorBidi" w:cstheme="majorBidi"/>
          <w:sz w:val="20"/>
          <w:szCs w:val="20"/>
        </w:rPr>
      </w:pPr>
      <w:r w:rsidRPr="00143F3B">
        <w:rPr>
          <w:rFonts w:asciiTheme="majorBidi" w:hAnsiTheme="majorBidi" w:cstheme="majorBidi"/>
          <w:sz w:val="20"/>
          <w:szCs w:val="20"/>
        </w:rPr>
        <w:t>Faster diagnosis prevents unnecessary delays in initiating comprehensive therapy, lowering the risk of amputation.</w:t>
      </w:r>
    </w:p>
    <w:p w14:paraId="3619E721" w14:textId="77777777" w:rsidR="00E97E04" w:rsidRPr="00143F3B" w:rsidRDefault="00E97E04" w:rsidP="00C56181">
      <w:pPr>
        <w:ind w:left="0"/>
        <w:rPr>
          <w:rFonts w:asciiTheme="majorBidi" w:hAnsiTheme="majorBidi" w:cstheme="majorBidi"/>
          <w:b/>
          <w:bCs/>
          <w:sz w:val="20"/>
          <w:szCs w:val="20"/>
        </w:rPr>
      </w:pPr>
    </w:p>
    <w:p w14:paraId="5C9F8673" w14:textId="7C52C741" w:rsidR="004B283D" w:rsidRPr="00143F3B" w:rsidRDefault="004B283D" w:rsidP="00C56181">
      <w:pPr>
        <w:ind w:left="0"/>
        <w:rPr>
          <w:rFonts w:asciiTheme="majorBidi" w:hAnsiTheme="majorBidi" w:cstheme="majorBidi"/>
          <w:b/>
          <w:bCs/>
          <w:sz w:val="20"/>
          <w:szCs w:val="20"/>
        </w:rPr>
      </w:pPr>
      <w:r w:rsidRPr="00143F3B">
        <w:rPr>
          <w:rFonts w:asciiTheme="majorBidi" w:hAnsiTheme="majorBidi" w:cstheme="majorBidi"/>
          <w:b/>
          <w:bCs/>
          <w:sz w:val="20"/>
          <w:szCs w:val="20"/>
        </w:rPr>
        <w:t>Case 3: Differentiation Between Contaminants and True Pathogens in Joint Infection</w:t>
      </w:r>
    </w:p>
    <w:p w14:paraId="6EF5D1DA" w14:textId="77777777" w:rsidR="004B283D" w:rsidRPr="00143F3B" w:rsidRDefault="004B283D" w:rsidP="00C56181">
      <w:pPr>
        <w:pStyle w:val="ListParagraph"/>
        <w:numPr>
          <w:ilvl w:val="0"/>
          <w:numId w:val="23"/>
        </w:numPr>
        <w:ind w:left="1004"/>
        <w:rPr>
          <w:rFonts w:asciiTheme="majorBidi" w:hAnsiTheme="majorBidi" w:cstheme="majorBidi"/>
          <w:sz w:val="20"/>
          <w:szCs w:val="20"/>
        </w:rPr>
      </w:pPr>
      <w:r w:rsidRPr="00143F3B">
        <w:rPr>
          <w:rFonts w:asciiTheme="majorBidi" w:hAnsiTheme="majorBidi" w:cstheme="majorBidi"/>
          <w:b/>
          <w:bCs/>
          <w:sz w:val="20"/>
          <w:szCs w:val="20"/>
        </w:rPr>
        <w:t>Scenario:</w:t>
      </w:r>
      <w:r w:rsidRPr="00143F3B">
        <w:rPr>
          <w:rFonts w:asciiTheme="majorBidi" w:hAnsiTheme="majorBidi" w:cstheme="majorBidi"/>
          <w:sz w:val="20"/>
          <w:szCs w:val="20"/>
        </w:rPr>
        <w:br/>
        <w:t xml:space="preserve">A 30-year-old male with a history of intravenous drug use presents with septic arthritis. Initial synovial fluid culture detects </w:t>
      </w:r>
      <w:r w:rsidRPr="00143F3B">
        <w:rPr>
          <w:rFonts w:asciiTheme="majorBidi" w:hAnsiTheme="majorBidi" w:cstheme="majorBidi"/>
          <w:i/>
          <w:iCs/>
          <w:sz w:val="20"/>
          <w:szCs w:val="20"/>
        </w:rPr>
        <w:t>Corynebacterium</w:t>
      </w:r>
      <w:r w:rsidRPr="00143F3B">
        <w:rPr>
          <w:rFonts w:asciiTheme="majorBidi" w:hAnsiTheme="majorBidi" w:cstheme="majorBidi"/>
          <w:sz w:val="20"/>
          <w:szCs w:val="20"/>
        </w:rPr>
        <w:t xml:space="preserve"> species, but it is unclear if the finding represents a contaminant or a true pathogen.</w:t>
      </w:r>
    </w:p>
    <w:p w14:paraId="67807D7F" w14:textId="77777777" w:rsidR="004B283D" w:rsidRPr="00143F3B" w:rsidRDefault="004B283D" w:rsidP="00C56181">
      <w:pPr>
        <w:pStyle w:val="ListParagraph"/>
        <w:numPr>
          <w:ilvl w:val="0"/>
          <w:numId w:val="23"/>
        </w:numPr>
        <w:ind w:left="1004"/>
        <w:rPr>
          <w:rFonts w:asciiTheme="majorBidi" w:hAnsiTheme="majorBidi" w:cstheme="majorBidi"/>
          <w:sz w:val="20"/>
          <w:szCs w:val="20"/>
        </w:rPr>
      </w:pPr>
      <w:r w:rsidRPr="00143F3B">
        <w:rPr>
          <w:rFonts w:asciiTheme="majorBidi" w:hAnsiTheme="majorBidi" w:cstheme="majorBidi"/>
          <w:b/>
          <w:bCs/>
          <w:sz w:val="20"/>
          <w:szCs w:val="20"/>
        </w:rPr>
        <w:t>How the BIOFIRE JI Panel Helps:</w:t>
      </w:r>
    </w:p>
    <w:p w14:paraId="475B6128" w14:textId="77777777" w:rsidR="004B283D" w:rsidRPr="00143F3B" w:rsidRDefault="004B283D" w:rsidP="00C56181">
      <w:pPr>
        <w:pStyle w:val="ListParagraph"/>
        <w:numPr>
          <w:ilvl w:val="0"/>
          <w:numId w:val="24"/>
        </w:numPr>
        <w:ind w:left="1364"/>
        <w:rPr>
          <w:rFonts w:asciiTheme="majorBidi" w:hAnsiTheme="majorBidi" w:cstheme="majorBidi"/>
          <w:sz w:val="20"/>
          <w:szCs w:val="20"/>
        </w:rPr>
      </w:pPr>
      <w:r w:rsidRPr="00143F3B">
        <w:rPr>
          <w:rFonts w:asciiTheme="majorBidi" w:hAnsiTheme="majorBidi" w:cstheme="majorBidi"/>
          <w:sz w:val="20"/>
          <w:szCs w:val="20"/>
        </w:rPr>
        <w:t xml:space="preserve">The BIOFIRE JI Panel confirms the presence of </w:t>
      </w:r>
      <w:r w:rsidRPr="00143F3B">
        <w:rPr>
          <w:rFonts w:asciiTheme="majorBidi" w:hAnsiTheme="majorBidi" w:cstheme="majorBidi"/>
          <w:i/>
          <w:iCs/>
          <w:sz w:val="20"/>
          <w:szCs w:val="20"/>
        </w:rPr>
        <w:t>Corynebacterium striatum</w:t>
      </w:r>
      <w:r w:rsidRPr="00143F3B">
        <w:rPr>
          <w:rFonts w:asciiTheme="majorBidi" w:hAnsiTheme="majorBidi" w:cstheme="majorBidi"/>
          <w:sz w:val="20"/>
          <w:szCs w:val="20"/>
        </w:rPr>
        <w:t xml:space="preserve"> and its antimicrobial resistance profile, differentiating it as a significant pathogen.</w:t>
      </w:r>
    </w:p>
    <w:p w14:paraId="17AB0437" w14:textId="77777777" w:rsidR="004B283D" w:rsidRPr="00143F3B" w:rsidRDefault="004B283D" w:rsidP="00C56181">
      <w:pPr>
        <w:pStyle w:val="ListParagraph"/>
        <w:numPr>
          <w:ilvl w:val="0"/>
          <w:numId w:val="24"/>
        </w:numPr>
        <w:ind w:left="1364"/>
        <w:rPr>
          <w:rFonts w:asciiTheme="majorBidi" w:hAnsiTheme="majorBidi" w:cstheme="majorBidi"/>
          <w:sz w:val="20"/>
          <w:szCs w:val="20"/>
        </w:rPr>
      </w:pPr>
      <w:r w:rsidRPr="00143F3B">
        <w:rPr>
          <w:rFonts w:asciiTheme="majorBidi" w:hAnsiTheme="majorBidi" w:cstheme="majorBidi"/>
          <w:sz w:val="20"/>
          <w:szCs w:val="20"/>
        </w:rPr>
        <w:t>Targeted treatment is initiated based on susceptibility data, avoiding overuse of broad-spectrum antibiotics.</w:t>
      </w:r>
    </w:p>
    <w:p w14:paraId="16CD6CCD" w14:textId="77777777" w:rsidR="004B283D" w:rsidRPr="00143F3B" w:rsidRDefault="004B283D" w:rsidP="00C56181">
      <w:pPr>
        <w:pStyle w:val="ListParagraph"/>
        <w:numPr>
          <w:ilvl w:val="0"/>
          <w:numId w:val="24"/>
        </w:numPr>
        <w:ind w:left="1364"/>
        <w:rPr>
          <w:rFonts w:asciiTheme="majorBidi" w:hAnsiTheme="majorBidi" w:cstheme="majorBidi"/>
          <w:sz w:val="20"/>
          <w:szCs w:val="20"/>
        </w:rPr>
      </w:pPr>
      <w:r w:rsidRPr="00143F3B">
        <w:rPr>
          <w:rFonts w:asciiTheme="majorBidi" w:hAnsiTheme="majorBidi" w:cstheme="majorBidi"/>
          <w:sz w:val="20"/>
          <w:szCs w:val="20"/>
        </w:rPr>
        <w:t>Rapid results prevent delays and support better antimicrobial stewardship.</w:t>
      </w:r>
    </w:p>
    <w:p w14:paraId="231FFCE6" w14:textId="77777777" w:rsidR="00886DC8" w:rsidRPr="00143F3B" w:rsidRDefault="00886DC8" w:rsidP="00886DC8">
      <w:pPr>
        <w:rPr>
          <w:rFonts w:asciiTheme="majorBidi" w:hAnsiTheme="majorBidi" w:cstheme="majorBidi"/>
          <w:sz w:val="20"/>
          <w:szCs w:val="20"/>
        </w:rPr>
      </w:pPr>
    </w:p>
    <w:p w14:paraId="490892D4" w14:textId="77777777" w:rsidR="00886DC8" w:rsidRPr="00143F3B" w:rsidRDefault="00886DC8" w:rsidP="00886DC8">
      <w:pPr>
        <w:rPr>
          <w:rFonts w:asciiTheme="majorBidi" w:hAnsiTheme="majorBidi" w:cstheme="majorBidi"/>
          <w:sz w:val="20"/>
          <w:szCs w:val="20"/>
        </w:rPr>
      </w:pPr>
    </w:p>
    <w:p w14:paraId="187E2359" w14:textId="77777777" w:rsidR="00405A0C" w:rsidRPr="00143F3B" w:rsidRDefault="00405A0C" w:rsidP="00405A0C">
      <w:pPr>
        <w:pStyle w:val="ListParagraph"/>
        <w:ind w:left="284" w:firstLine="0"/>
        <w:rPr>
          <w:rFonts w:asciiTheme="majorBidi" w:hAnsiTheme="majorBidi" w:cstheme="majorBidi"/>
          <w:b/>
          <w:bCs/>
          <w:sz w:val="20"/>
          <w:szCs w:val="20"/>
        </w:rPr>
      </w:pPr>
    </w:p>
    <w:p w14:paraId="4BC01560" w14:textId="77777777" w:rsidR="00405A0C" w:rsidRPr="00143F3B" w:rsidRDefault="00405A0C" w:rsidP="00405A0C">
      <w:pPr>
        <w:pStyle w:val="ListParagraph"/>
        <w:ind w:left="284" w:firstLine="0"/>
        <w:rPr>
          <w:rFonts w:asciiTheme="majorBidi" w:hAnsiTheme="majorBidi" w:cstheme="majorBidi"/>
          <w:b/>
          <w:bCs/>
          <w:sz w:val="20"/>
          <w:szCs w:val="20"/>
        </w:rPr>
      </w:pPr>
    </w:p>
    <w:p w14:paraId="743ADC28" w14:textId="77777777" w:rsidR="00405A0C" w:rsidRPr="00143F3B" w:rsidRDefault="00405A0C" w:rsidP="00405A0C">
      <w:pPr>
        <w:pStyle w:val="ListParagraph"/>
        <w:ind w:left="284" w:firstLine="0"/>
        <w:rPr>
          <w:rFonts w:asciiTheme="majorBidi" w:hAnsiTheme="majorBidi" w:cstheme="majorBidi"/>
          <w:b/>
          <w:bCs/>
          <w:sz w:val="20"/>
          <w:szCs w:val="20"/>
        </w:rPr>
      </w:pPr>
    </w:p>
    <w:p w14:paraId="1C942990" w14:textId="77777777" w:rsidR="00405A0C" w:rsidRPr="00143F3B" w:rsidRDefault="00405A0C" w:rsidP="00405A0C">
      <w:pPr>
        <w:pStyle w:val="ListParagraph"/>
        <w:ind w:left="284" w:firstLine="0"/>
        <w:rPr>
          <w:rFonts w:asciiTheme="majorBidi" w:hAnsiTheme="majorBidi" w:cstheme="majorBidi"/>
          <w:b/>
          <w:bCs/>
          <w:sz w:val="20"/>
          <w:szCs w:val="20"/>
        </w:rPr>
      </w:pPr>
    </w:p>
    <w:p w14:paraId="0E474B1D" w14:textId="111CE544" w:rsidR="00144423" w:rsidRPr="00143F3B" w:rsidRDefault="00144423" w:rsidP="00AE7906">
      <w:pPr>
        <w:pStyle w:val="ListParagraph"/>
        <w:numPr>
          <w:ilvl w:val="0"/>
          <w:numId w:val="16"/>
        </w:numPr>
        <w:ind w:left="284" w:hanging="284"/>
        <w:rPr>
          <w:rFonts w:asciiTheme="majorBidi" w:hAnsiTheme="majorBidi" w:cstheme="majorBidi"/>
          <w:b/>
          <w:bCs/>
          <w:sz w:val="20"/>
          <w:szCs w:val="20"/>
        </w:rPr>
      </w:pPr>
      <w:r w:rsidRPr="00143F3B">
        <w:rPr>
          <w:rFonts w:asciiTheme="majorBidi" w:hAnsiTheme="majorBidi" w:cstheme="majorBidi"/>
          <w:b/>
          <w:bCs/>
          <w:sz w:val="20"/>
          <w:szCs w:val="20"/>
        </w:rPr>
        <w:t>Recommendations for Biofire use in bone infection management.</w:t>
      </w:r>
    </w:p>
    <w:p w14:paraId="0D785053" w14:textId="77777777" w:rsidR="00EA74A8" w:rsidRPr="00143F3B" w:rsidRDefault="00EA74A8" w:rsidP="00F43B71">
      <w:pPr>
        <w:pStyle w:val="ListParagraph"/>
        <w:ind w:left="0"/>
        <w:rPr>
          <w:rFonts w:asciiTheme="majorBidi" w:hAnsiTheme="majorBidi" w:cstheme="majorBidi"/>
          <w:b/>
          <w:bCs/>
          <w:sz w:val="20"/>
          <w:szCs w:val="20"/>
        </w:rPr>
      </w:pPr>
    </w:p>
    <w:p w14:paraId="1520F748" w14:textId="095A384C" w:rsidR="007214D0" w:rsidRPr="00143F3B" w:rsidRDefault="007214D0" w:rsidP="00F43B71">
      <w:pPr>
        <w:ind w:left="0"/>
        <w:rPr>
          <w:rFonts w:asciiTheme="majorBidi" w:hAnsiTheme="majorBidi" w:cstheme="majorBidi"/>
          <w:sz w:val="20"/>
          <w:szCs w:val="20"/>
        </w:rPr>
      </w:pPr>
      <w:r w:rsidRPr="00143F3B">
        <w:rPr>
          <w:rFonts w:asciiTheme="majorBidi" w:hAnsiTheme="majorBidi" w:cstheme="majorBidi"/>
          <w:sz w:val="20"/>
          <w:szCs w:val="20"/>
        </w:rPr>
        <w:t>The BIOFIRE</w:t>
      </w:r>
      <w:r w:rsidR="008332AD" w:rsidRPr="00143F3B">
        <w:rPr>
          <w:rFonts w:asciiTheme="majorBidi" w:hAnsiTheme="majorBidi" w:cstheme="majorBidi"/>
          <w:sz w:val="20"/>
          <w:szCs w:val="20"/>
        </w:rPr>
        <w:t xml:space="preserve"> </w:t>
      </w:r>
      <w:r w:rsidRPr="00143F3B">
        <w:rPr>
          <w:rFonts w:asciiTheme="majorBidi" w:hAnsiTheme="majorBidi" w:cstheme="majorBidi"/>
          <w:sz w:val="20"/>
          <w:szCs w:val="20"/>
        </w:rPr>
        <w:t>JI</w:t>
      </w:r>
      <w:r w:rsidR="008332AD" w:rsidRPr="00143F3B">
        <w:rPr>
          <w:rFonts w:asciiTheme="majorBidi" w:hAnsiTheme="majorBidi" w:cstheme="majorBidi"/>
          <w:sz w:val="20"/>
          <w:szCs w:val="20"/>
        </w:rPr>
        <w:t xml:space="preserve"> </w:t>
      </w:r>
      <w:r w:rsidRPr="00143F3B">
        <w:rPr>
          <w:rFonts w:asciiTheme="majorBidi" w:hAnsiTheme="majorBidi" w:cstheme="majorBidi"/>
          <w:sz w:val="20"/>
          <w:szCs w:val="20"/>
        </w:rPr>
        <w:t>Panel is a rapid multiplex PCR assay designed to detect a broad spectrum of pathogens and AMR genes associated with joint infections. Its implementation in clinical settings has been evaluated in several studies, leading to recommendations for its use in diagnosing and managing bone and joint infections.</w:t>
      </w:r>
    </w:p>
    <w:p w14:paraId="43982953" w14:textId="77777777" w:rsidR="00EA74A8" w:rsidRPr="00143F3B" w:rsidRDefault="00EA74A8" w:rsidP="00447686">
      <w:pPr>
        <w:rPr>
          <w:rFonts w:asciiTheme="majorBidi" w:hAnsiTheme="majorBidi" w:cstheme="majorBidi"/>
          <w:sz w:val="20"/>
          <w:szCs w:val="20"/>
        </w:rPr>
      </w:pPr>
    </w:p>
    <w:p w14:paraId="4AA5C98D" w14:textId="1EC5DFF4" w:rsidR="007214D0" w:rsidRPr="00143F3B" w:rsidRDefault="007214D0" w:rsidP="00EA74A8">
      <w:pPr>
        <w:pStyle w:val="ListParagraph"/>
        <w:numPr>
          <w:ilvl w:val="0"/>
          <w:numId w:val="25"/>
        </w:numPr>
        <w:jc w:val="left"/>
        <w:rPr>
          <w:rFonts w:asciiTheme="majorBidi" w:hAnsiTheme="majorBidi" w:cstheme="majorBidi"/>
          <w:b/>
          <w:bCs/>
          <w:sz w:val="20"/>
          <w:szCs w:val="20"/>
        </w:rPr>
      </w:pPr>
      <w:r w:rsidRPr="00143F3B">
        <w:rPr>
          <w:rFonts w:asciiTheme="majorBidi" w:hAnsiTheme="majorBidi" w:cstheme="majorBidi"/>
          <w:b/>
          <w:bCs/>
          <w:sz w:val="20"/>
          <w:szCs w:val="20"/>
        </w:rPr>
        <w:t>Enhanced Diagnostic Accuracy and Speed</w:t>
      </w:r>
    </w:p>
    <w:p w14:paraId="55320A2D" w14:textId="58057C89" w:rsidR="007214D0" w:rsidRPr="00143F3B" w:rsidRDefault="007214D0" w:rsidP="00C85568">
      <w:pPr>
        <w:numPr>
          <w:ilvl w:val="0"/>
          <w:numId w:val="8"/>
        </w:numPr>
        <w:jc w:val="left"/>
        <w:rPr>
          <w:rFonts w:asciiTheme="majorBidi" w:hAnsiTheme="majorBidi" w:cstheme="majorBidi"/>
          <w:sz w:val="20"/>
          <w:szCs w:val="20"/>
        </w:rPr>
      </w:pPr>
      <w:r w:rsidRPr="00143F3B">
        <w:rPr>
          <w:rFonts w:asciiTheme="majorBidi" w:hAnsiTheme="majorBidi" w:cstheme="majorBidi"/>
          <w:b/>
          <w:bCs/>
          <w:sz w:val="20"/>
          <w:szCs w:val="20"/>
        </w:rPr>
        <w:t>Improved Sensitivity and Specificity:</w:t>
      </w:r>
      <w:r w:rsidRPr="00143F3B">
        <w:rPr>
          <w:rFonts w:asciiTheme="majorBidi" w:hAnsiTheme="majorBidi" w:cstheme="majorBidi"/>
          <w:sz w:val="20"/>
          <w:szCs w:val="20"/>
        </w:rPr>
        <w:br/>
        <w:t>The BIOFIRE JI Panel has shown high sensitivity and specificity for detecting pathogens in joint infections,</w:t>
      </w:r>
      <w:r w:rsidR="00FB4021" w:rsidRPr="00143F3B">
        <w:rPr>
          <w:rFonts w:asciiTheme="majorBidi" w:hAnsiTheme="majorBidi" w:cstheme="majorBidi"/>
          <w:sz w:val="20"/>
          <w:szCs w:val="20"/>
        </w:rPr>
        <w:t xml:space="preserve"> </w:t>
      </w:r>
      <w:r w:rsidRPr="00143F3B">
        <w:rPr>
          <w:rFonts w:asciiTheme="majorBidi" w:hAnsiTheme="majorBidi" w:cstheme="majorBidi"/>
          <w:sz w:val="20"/>
          <w:szCs w:val="20"/>
        </w:rPr>
        <w:t>outperforming traditional culture methods.</w:t>
      </w:r>
      <w:r w:rsidR="002A05B6" w:rsidRPr="00143F3B">
        <w:rPr>
          <w:rFonts w:asciiTheme="majorBidi" w:hAnsiTheme="majorBidi" w:cstheme="majorBidi"/>
          <w:sz w:val="20"/>
          <w:szCs w:val="20"/>
        </w:rPr>
        <w:t xml:space="preserve"> </w:t>
      </w:r>
    </w:p>
    <w:p w14:paraId="7BBD4606" w14:textId="7FF39E85" w:rsidR="007214D0" w:rsidRPr="00143F3B" w:rsidRDefault="007214D0" w:rsidP="00C85568">
      <w:pPr>
        <w:numPr>
          <w:ilvl w:val="0"/>
          <w:numId w:val="8"/>
        </w:numPr>
        <w:jc w:val="left"/>
        <w:rPr>
          <w:rFonts w:asciiTheme="majorBidi" w:hAnsiTheme="majorBidi" w:cstheme="majorBidi"/>
          <w:sz w:val="20"/>
          <w:szCs w:val="20"/>
        </w:rPr>
      </w:pPr>
      <w:r w:rsidRPr="00143F3B">
        <w:rPr>
          <w:rFonts w:asciiTheme="majorBidi" w:hAnsiTheme="majorBidi" w:cstheme="majorBidi"/>
          <w:b/>
          <w:bCs/>
          <w:sz w:val="20"/>
          <w:szCs w:val="20"/>
        </w:rPr>
        <w:t>Rapid Turnaround Time:</w:t>
      </w:r>
      <w:r w:rsidRPr="00143F3B">
        <w:rPr>
          <w:rFonts w:asciiTheme="majorBidi" w:hAnsiTheme="majorBidi" w:cstheme="majorBidi"/>
          <w:sz w:val="20"/>
          <w:szCs w:val="20"/>
        </w:rPr>
        <w:br/>
        <w:t>Results are available in about one hour, significantly reducing diagnostic time compared to conventional culture methods, which can take days.</w:t>
      </w:r>
      <w:r w:rsidR="00F747CC" w:rsidRPr="00143F3B">
        <w:rPr>
          <w:rFonts w:asciiTheme="majorBidi" w:hAnsiTheme="majorBidi" w:cstheme="majorBidi"/>
          <w:sz w:val="20"/>
          <w:szCs w:val="20"/>
        </w:rPr>
        <w:t xml:space="preserve"> </w:t>
      </w:r>
      <w:r w:rsidRPr="00143F3B">
        <w:rPr>
          <w:rFonts w:asciiTheme="majorBidi" w:hAnsiTheme="majorBidi" w:cstheme="majorBidi"/>
          <w:sz w:val="20"/>
          <w:szCs w:val="20"/>
        </w:rPr>
        <w:br/>
      </w:r>
    </w:p>
    <w:p w14:paraId="273440AD" w14:textId="4DBBA31A" w:rsidR="007214D0" w:rsidRPr="00143F3B" w:rsidRDefault="007214D0" w:rsidP="00CA3F29">
      <w:pPr>
        <w:pStyle w:val="ListParagraph"/>
        <w:numPr>
          <w:ilvl w:val="0"/>
          <w:numId w:val="25"/>
        </w:numPr>
        <w:jc w:val="left"/>
        <w:rPr>
          <w:rFonts w:asciiTheme="majorBidi" w:hAnsiTheme="majorBidi" w:cstheme="majorBidi"/>
          <w:b/>
          <w:bCs/>
          <w:sz w:val="20"/>
          <w:szCs w:val="20"/>
        </w:rPr>
      </w:pPr>
      <w:r w:rsidRPr="00143F3B">
        <w:rPr>
          <w:rFonts w:asciiTheme="majorBidi" w:hAnsiTheme="majorBidi" w:cstheme="majorBidi"/>
          <w:b/>
          <w:bCs/>
          <w:sz w:val="20"/>
          <w:szCs w:val="20"/>
        </w:rPr>
        <w:t>Utility in Clinical Decision-Making</w:t>
      </w:r>
    </w:p>
    <w:p w14:paraId="1AA2074A" w14:textId="04E5D39B" w:rsidR="007214D0" w:rsidRPr="00143F3B" w:rsidRDefault="007214D0" w:rsidP="00C85568">
      <w:pPr>
        <w:numPr>
          <w:ilvl w:val="0"/>
          <w:numId w:val="9"/>
        </w:numPr>
        <w:jc w:val="left"/>
        <w:rPr>
          <w:rFonts w:asciiTheme="majorBidi" w:hAnsiTheme="majorBidi" w:cstheme="majorBidi"/>
          <w:sz w:val="20"/>
          <w:szCs w:val="20"/>
        </w:rPr>
      </w:pPr>
      <w:r w:rsidRPr="00143F3B">
        <w:rPr>
          <w:rFonts w:asciiTheme="majorBidi" w:hAnsiTheme="majorBidi" w:cstheme="majorBidi"/>
          <w:b/>
          <w:bCs/>
          <w:sz w:val="20"/>
          <w:szCs w:val="20"/>
        </w:rPr>
        <w:t>Timely Antimicrobial Therapy:</w:t>
      </w:r>
      <w:r w:rsidRPr="00143F3B">
        <w:rPr>
          <w:rFonts w:asciiTheme="majorBidi" w:hAnsiTheme="majorBidi" w:cstheme="majorBidi"/>
          <w:sz w:val="20"/>
          <w:szCs w:val="20"/>
        </w:rPr>
        <w:br/>
        <w:t>Rapid identification of pathogens and antimicrobial resistance genes enables early, targeted treatment, improving patient outcomes.</w:t>
      </w:r>
    </w:p>
    <w:p w14:paraId="54FE5E93" w14:textId="52C5FE23" w:rsidR="007214D0" w:rsidRPr="00143F3B" w:rsidRDefault="007214D0" w:rsidP="00C85568">
      <w:pPr>
        <w:numPr>
          <w:ilvl w:val="0"/>
          <w:numId w:val="9"/>
        </w:numPr>
        <w:jc w:val="left"/>
        <w:rPr>
          <w:rFonts w:asciiTheme="majorBidi" w:hAnsiTheme="majorBidi" w:cstheme="majorBidi"/>
          <w:sz w:val="20"/>
          <w:szCs w:val="20"/>
        </w:rPr>
      </w:pPr>
      <w:r w:rsidRPr="00143F3B">
        <w:rPr>
          <w:rFonts w:asciiTheme="majorBidi" w:hAnsiTheme="majorBidi" w:cstheme="majorBidi"/>
          <w:b/>
          <w:bCs/>
          <w:sz w:val="20"/>
          <w:szCs w:val="20"/>
        </w:rPr>
        <w:t>Detection of Polymicrobial Infections:</w:t>
      </w:r>
      <w:r w:rsidRPr="00143F3B">
        <w:rPr>
          <w:rFonts w:asciiTheme="majorBidi" w:hAnsiTheme="majorBidi" w:cstheme="majorBidi"/>
          <w:sz w:val="20"/>
          <w:szCs w:val="20"/>
        </w:rPr>
        <w:br/>
        <w:t>The panel's ability to identify multiple pathogens in a single test is beneficial for recognizing complex polymicrobial infections.</w:t>
      </w:r>
      <w:r w:rsidR="00B40F54" w:rsidRPr="00143F3B">
        <w:rPr>
          <w:rFonts w:asciiTheme="majorBidi" w:hAnsiTheme="majorBidi" w:cstheme="majorBidi"/>
          <w:sz w:val="20"/>
          <w:szCs w:val="20"/>
        </w:rPr>
        <w:t xml:space="preserve"> </w:t>
      </w:r>
    </w:p>
    <w:p w14:paraId="3D7F0C30" w14:textId="6599D038" w:rsidR="007214D0" w:rsidRPr="00143F3B" w:rsidRDefault="007214D0" w:rsidP="00CA3F29">
      <w:pPr>
        <w:pStyle w:val="ListParagraph"/>
        <w:numPr>
          <w:ilvl w:val="0"/>
          <w:numId w:val="25"/>
        </w:numPr>
        <w:jc w:val="left"/>
        <w:rPr>
          <w:rFonts w:asciiTheme="majorBidi" w:hAnsiTheme="majorBidi" w:cstheme="majorBidi"/>
          <w:b/>
          <w:bCs/>
          <w:sz w:val="20"/>
          <w:szCs w:val="20"/>
        </w:rPr>
      </w:pPr>
      <w:r w:rsidRPr="00143F3B">
        <w:rPr>
          <w:rFonts w:asciiTheme="majorBidi" w:hAnsiTheme="majorBidi" w:cstheme="majorBidi"/>
          <w:b/>
          <w:bCs/>
          <w:sz w:val="20"/>
          <w:szCs w:val="20"/>
        </w:rPr>
        <w:t>Considerations for Use</w:t>
      </w:r>
    </w:p>
    <w:p w14:paraId="2EB72D62" w14:textId="77777777" w:rsidR="00CA3F29" w:rsidRPr="00143F3B" w:rsidRDefault="007214D0" w:rsidP="00CA3F29">
      <w:pPr>
        <w:numPr>
          <w:ilvl w:val="0"/>
          <w:numId w:val="10"/>
        </w:numPr>
        <w:jc w:val="left"/>
        <w:rPr>
          <w:rFonts w:asciiTheme="majorBidi" w:hAnsiTheme="majorBidi" w:cstheme="majorBidi"/>
          <w:sz w:val="20"/>
          <w:szCs w:val="20"/>
        </w:rPr>
      </w:pPr>
      <w:r w:rsidRPr="00143F3B">
        <w:rPr>
          <w:rFonts w:asciiTheme="majorBidi" w:hAnsiTheme="majorBidi" w:cstheme="majorBidi"/>
          <w:b/>
          <w:bCs/>
          <w:sz w:val="20"/>
          <w:szCs w:val="20"/>
        </w:rPr>
        <w:t>Complementary to Traditional Methods:</w:t>
      </w:r>
      <w:r w:rsidRPr="00143F3B">
        <w:rPr>
          <w:rFonts w:asciiTheme="majorBidi" w:hAnsiTheme="majorBidi" w:cstheme="majorBidi"/>
          <w:sz w:val="20"/>
          <w:szCs w:val="20"/>
        </w:rPr>
        <w:br/>
        <w:t>The panel enhances diagnostic capabilities but should be used alongside culture methods for susceptibility testing and epidemiological purposes.</w:t>
      </w:r>
    </w:p>
    <w:p w14:paraId="32F659E9" w14:textId="7D8D3F02" w:rsidR="005968D8" w:rsidRPr="00143F3B" w:rsidRDefault="007214D0" w:rsidP="00CA3F29">
      <w:pPr>
        <w:numPr>
          <w:ilvl w:val="0"/>
          <w:numId w:val="10"/>
        </w:numPr>
        <w:jc w:val="left"/>
        <w:rPr>
          <w:rFonts w:asciiTheme="majorBidi" w:hAnsiTheme="majorBidi" w:cstheme="majorBidi"/>
          <w:sz w:val="20"/>
          <w:szCs w:val="20"/>
        </w:rPr>
      </w:pPr>
      <w:r w:rsidRPr="00143F3B">
        <w:rPr>
          <w:rFonts w:asciiTheme="majorBidi" w:hAnsiTheme="majorBidi" w:cstheme="majorBidi"/>
          <w:b/>
          <w:bCs/>
          <w:sz w:val="20"/>
          <w:szCs w:val="20"/>
        </w:rPr>
        <w:t>Specimen Selection:</w:t>
      </w:r>
      <w:r w:rsidRPr="00143F3B">
        <w:rPr>
          <w:rFonts w:asciiTheme="majorBidi" w:hAnsiTheme="majorBidi" w:cstheme="majorBidi"/>
          <w:sz w:val="20"/>
          <w:szCs w:val="20"/>
        </w:rPr>
        <w:br/>
        <w:t>The panel is validated primarily for synovial fluid. Its performance with other sample types, such as bone or periprosthetic tissue, requires further study.</w:t>
      </w:r>
      <w:r w:rsidR="000706C4" w:rsidRPr="00143F3B">
        <w:rPr>
          <w:rFonts w:asciiTheme="majorBidi" w:hAnsiTheme="majorBidi" w:cstheme="majorBidi"/>
          <w:sz w:val="20"/>
          <w:szCs w:val="20"/>
        </w:rPr>
        <w:t xml:space="preserve"> </w:t>
      </w:r>
      <w:r w:rsidRPr="00143F3B">
        <w:rPr>
          <w:rFonts w:asciiTheme="majorBidi" w:hAnsiTheme="majorBidi" w:cstheme="majorBidi"/>
          <w:sz w:val="20"/>
          <w:szCs w:val="20"/>
        </w:rPr>
        <w:br/>
      </w:r>
    </w:p>
    <w:p w14:paraId="01177D33" w14:textId="51132682" w:rsidR="007214D0" w:rsidRPr="00143F3B" w:rsidRDefault="007214D0" w:rsidP="00CA3F29">
      <w:pPr>
        <w:pStyle w:val="ListParagraph"/>
        <w:numPr>
          <w:ilvl w:val="0"/>
          <w:numId w:val="25"/>
        </w:numPr>
        <w:jc w:val="left"/>
        <w:rPr>
          <w:rFonts w:asciiTheme="majorBidi" w:hAnsiTheme="majorBidi" w:cstheme="majorBidi"/>
          <w:b/>
          <w:bCs/>
          <w:sz w:val="20"/>
          <w:szCs w:val="20"/>
        </w:rPr>
      </w:pPr>
      <w:r w:rsidRPr="00143F3B">
        <w:rPr>
          <w:rFonts w:asciiTheme="majorBidi" w:hAnsiTheme="majorBidi" w:cstheme="majorBidi"/>
          <w:b/>
          <w:bCs/>
          <w:sz w:val="20"/>
          <w:szCs w:val="20"/>
        </w:rPr>
        <w:t>Clinical Implementation Guidelines</w:t>
      </w:r>
    </w:p>
    <w:p w14:paraId="7D2AB0D1" w14:textId="62CE7AB3" w:rsidR="007214D0" w:rsidRPr="00143F3B" w:rsidRDefault="007214D0" w:rsidP="00C85568">
      <w:pPr>
        <w:numPr>
          <w:ilvl w:val="0"/>
          <w:numId w:val="11"/>
        </w:numPr>
        <w:jc w:val="left"/>
        <w:rPr>
          <w:rFonts w:asciiTheme="majorBidi" w:hAnsiTheme="majorBidi" w:cstheme="majorBidi"/>
          <w:sz w:val="20"/>
          <w:szCs w:val="20"/>
        </w:rPr>
      </w:pPr>
      <w:r w:rsidRPr="00143F3B">
        <w:rPr>
          <w:rFonts w:asciiTheme="majorBidi" w:hAnsiTheme="majorBidi" w:cstheme="majorBidi"/>
          <w:b/>
          <w:bCs/>
          <w:sz w:val="20"/>
          <w:szCs w:val="20"/>
        </w:rPr>
        <w:t>Interdisciplinary Collaboration:</w:t>
      </w:r>
      <w:r w:rsidRPr="00143F3B">
        <w:rPr>
          <w:rFonts w:asciiTheme="majorBidi" w:hAnsiTheme="majorBidi" w:cstheme="majorBidi"/>
          <w:sz w:val="20"/>
          <w:szCs w:val="20"/>
        </w:rPr>
        <w:br/>
        <w:t xml:space="preserve">Decisions to use the BIOFIRE JI Panel in prosthetic joint infections should involve input from </w:t>
      </w:r>
      <w:r w:rsidR="005968D8" w:rsidRPr="00143F3B">
        <w:rPr>
          <w:rFonts w:asciiTheme="majorBidi" w:hAnsiTheme="majorBidi" w:cstheme="majorBidi"/>
          <w:sz w:val="20"/>
          <w:szCs w:val="20"/>
        </w:rPr>
        <w:t>orthopaedic</w:t>
      </w:r>
      <w:r w:rsidRPr="00143F3B">
        <w:rPr>
          <w:rFonts w:asciiTheme="majorBidi" w:hAnsiTheme="majorBidi" w:cstheme="majorBidi"/>
          <w:sz w:val="20"/>
          <w:szCs w:val="20"/>
        </w:rPr>
        <w:t xml:space="preserve"> and infectious disease specialists.</w:t>
      </w:r>
      <w:r w:rsidR="007E7A84" w:rsidRPr="00143F3B">
        <w:rPr>
          <w:rFonts w:asciiTheme="majorBidi" w:hAnsiTheme="majorBidi" w:cstheme="majorBidi"/>
          <w:sz w:val="20"/>
          <w:szCs w:val="20"/>
        </w:rPr>
        <w:t xml:space="preserve"> </w:t>
      </w:r>
    </w:p>
    <w:p w14:paraId="69CE30F8" w14:textId="61DE16E4" w:rsidR="007214D0" w:rsidRPr="00143F3B" w:rsidRDefault="007214D0" w:rsidP="00C85568">
      <w:pPr>
        <w:numPr>
          <w:ilvl w:val="0"/>
          <w:numId w:val="11"/>
        </w:numPr>
        <w:jc w:val="left"/>
        <w:rPr>
          <w:rFonts w:asciiTheme="majorBidi" w:hAnsiTheme="majorBidi" w:cstheme="majorBidi"/>
          <w:sz w:val="20"/>
          <w:szCs w:val="20"/>
        </w:rPr>
      </w:pPr>
      <w:r w:rsidRPr="00143F3B">
        <w:rPr>
          <w:rFonts w:asciiTheme="majorBidi" w:hAnsiTheme="majorBidi" w:cstheme="majorBidi"/>
          <w:b/>
          <w:bCs/>
          <w:sz w:val="20"/>
          <w:szCs w:val="20"/>
        </w:rPr>
        <w:t>Integration into Diagnostic Algorithms:</w:t>
      </w:r>
      <w:r w:rsidRPr="00143F3B">
        <w:rPr>
          <w:rFonts w:asciiTheme="majorBidi" w:hAnsiTheme="majorBidi" w:cstheme="majorBidi"/>
          <w:sz w:val="20"/>
          <w:szCs w:val="20"/>
        </w:rPr>
        <w:br/>
        <w:t>The panel should be incorporated into diagnostic workflows while considering its limitations and the need for complementary diagnostics.</w:t>
      </w:r>
      <w:r w:rsidRPr="00143F3B">
        <w:rPr>
          <w:rFonts w:asciiTheme="majorBidi" w:hAnsiTheme="majorBidi" w:cstheme="majorBidi"/>
          <w:sz w:val="20"/>
          <w:szCs w:val="20"/>
        </w:rPr>
        <w:br/>
      </w:r>
    </w:p>
    <w:p w14:paraId="7B2942F8" w14:textId="0CD2BD41" w:rsidR="007214D0" w:rsidRPr="00143F3B" w:rsidRDefault="007214D0" w:rsidP="003A30DF">
      <w:pPr>
        <w:ind w:left="0" w:firstLine="720"/>
        <w:jc w:val="left"/>
        <w:rPr>
          <w:rFonts w:asciiTheme="majorBidi" w:hAnsiTheme="majorBidi" w:cstheme="majorBidi"/>
          <w:sz w:val="20"/>
          <w:szCs w:val="20"/>
        </w:rPr>
      </w:pPr>
      <w:r w:rsidRPr="00143F3B">
        <w:rPr>
          <w:rFonts w:asciiTheme="majorBidi" w:hAnsiTheme="majorBidi" w:cstheme="majorBidi"/>
          <w:sz w:val="20"/>
          <w:szCs w:val="20"/>
        </w:rPr>
        <w:t>.</w:t>
      </w:r>
    </w:p>
    <w:p w14:paraId="43A12493" w14:textId="77777777" w:rsidR="004B283D" w:rsidRPr="00143F3B" w:rsidRDefault="004B283D" w:rsidP="003A30DF">
      <w:pPr>
        <w:ind w:left="0" w:firstLine="720"/>
        <w:rPr>
          <w:rFonts w:asciiTheme="majorBidi" w:hAnsiTheme="majorBidi" w:cstheme="majorBidi"/>
          <w:sz w:val="20"/>
          <w:szCs w:val="20"/>
        </w:rPr>
      </w:pPr>
    </w:p>
    <w:p w14:paraId="10F380B1" w14:textId="77777777" w:rsidR="004B283D" w:rsidRPr="00143F3B" w:rsidRDefault="004B283D" w:rsidP="00C85568">
      <w:pPr>
        <w:ind w:left="0" w:firstLine="0"/>
        <w:rPr>
          <w:rFonts w:asciiTheme="majorBidi" w:hAnsiTheme="majorBidi" w:cstheme="majorBidi"/>
          <w:sz w:val="20"/>
          <w:szCs w:val="20"/>
        </w:rPr>
      </w:pPr>
    </w:p>
    <w:p w14:paraId="5EEC0056" w14:textId="77777777" w:rsidR="004B283D" w:rsidRPr="00143F3B" w:rsidRDefault="004B283D" w:rsidP="00C85568">
      <w:pPr>
        <w:ind w:left="0" w:firstLine="0"/>
        <w:rPr>
          <w:rFonts w:asciiTheme="majorBidi" w:hAnsiTheme="majorBidi" w:cstheme="majorBidi"/>
          <w:sz w:val="20"/>
          <w:szCs w:val="20"/>
        </w:rPr>
      </w:pPr>
    </w:p>
    <w:p w14:paraId="096778EF" w14:textId="77777777" w:rsidR="004B283D" w:rsidRPr="00143F3B" w:rsidRDefault="004B283D" w:rsidP="00C85568">
      <w:pPr>
        <w:ind w:left="0" w:firstLine="0"/>
        <w:rPr>
          <w:rFonts w:asciiTheme="majorBidi" w:hAnsiTheme="majorBidi" w:cstheme="majorBidi"/>
          <w:sz w:val="20"/>
          <w:szCs w:val="20"/>
        </w:rPr>
      </w:pPr>
    </w:p>
    <w:p w14:paraId="7C5F3091" w14:textId="77777777" w:rsidR="004B283D" w:rsidRPr="00143F3B" w:rsidRDefault="004B283D" w:rsidP="00C85568">
      <w:pPr>
        <w:ind w:left="0" w:firstLine="0"/>
        <w:rPr>
          <w:rFonts w:asciiTheme="majorBidi" w:hAnsiTheme="majorBidi" w:cstheme="majorBidi"/>
          <w:sz w:val="20"/>
          <w:szCs w:val="20"/>
        </w:rPr>
      </w:pPr>
    </w:p>
    <w:p w14:paraId="5822531D" w14:textId="77777777" w:rsidR="004B283D" w:rsidRPr="00143F3B" w:rsidRDefault="004B283D" w:rsidP="00C85568">
      <w:pPr>
        <w:ind w:left="0" w:firstLine="0"/>
        <w:rPr>
          <w:rFonts w:asciiTheme="majorBidi" w:hAnsiTheme="majorBidi" w:cstheme="majorBidi"/>
          <w:sz w:val="20"/>
          <w:szCs w:val="20"/>
        </w:rPr>
      </w:pPr>
    </w:p>
    <w:p w14:paraId="7E089C31" w14:textId="77777777" w:rsidR="00CE62D5" w:rsidRPr="00143F3B" w:rsidRDefault="00CE62D5" w:rsidP="00C85568">
      <w:pPr>
        <w:ind w:left="0" w:firstLine="0"/>
        <w:rPr>
          <w:rFonts w:asciiTheme="majorBidi" w:hAnsiTheme="majorBidi" w:cstheme="majorBidi"/>
          <w:b/>
          <w:bCs/>
          <w:sz w:val="20"/>
          <w:szCs w:val="20"/>
        </w:rPr>
      </w:pPr>
    </w:p>
    <w:p w14:paraId="2791A82F" w14:textId="77777777" w:rsidR="007166FF" w:rsidRPr="00143F3B" w:rsidRDefault="007166FF" w:rsidP="00C85568">
      <w:pPr>
        <w:ind w:left="0" w:firstLine="0"/>
        <w:rPr>
          <w:rFonts w:asciiTheme="majorBidi" w:hAnsiTheme="majorBidi" w:cstheme="majorBidi"/>
          <w:b/>
          <w:bCs/>
          <w:sz w:val="20"/>
          <w:szCs w:val="20"/>
        </w:rPr>
      </w:pPr>
    </w:p>
    <w:p w14:paraId="56F74691" w14:textId="77777777" w:rsidR="007166FF" w:rsidRPr="00143F3B" w:rsidRDefault="007166FF" w:rsidP="00C85568">
      <w:pPr>
        <w:ind w:left="0" w:firstLine="0"/>
        <w:rPr>
          <w:rFonts w:asciiTheme="majorBidi" w:hAnsiTheme="majorBidi" w:cstheme="majorBidi"/>
          <w:b/>
          <w:bCs/>
          <w:sz w:val="20"/>
          <w:szCs w:val="20"/>
        </w:rPr>
      </w:pPr>
    </w:p>
    <w:p w14:paraId="2C988FCE" w14:textId="77777777" w:rsidR="007166FF" w:rsidRPr="00143F3B" w:rsidRDefault="007166FF" w:rsidP="00C85568">
      <w:pPr>
        <w:ind w:left="0" w:firstLine="0"/>
        <w:rPr>
          <w:rFonts w:asciiTheme="majorBidi" w:hAnsiTheme="majorBidi" w:cstheme="majorBidi"/>
          <w:b/>
          <w:bCs/>
          <w:sz w:val="20"/>
          <w:szCs w:val="20"/>
        </w:rPr>
      </w:pPr>
    </w:p>
    <w:p w14:paraId="494A3058" w14:textId="77777777" w:rsidR="007166FF" w:rsidRPr="00143F3B" w:rsidRDefault="007166FF" w:rsidP="00C85568">
      <w:pPr>
        <w:ind w:left="0" w:firstLine="0"/>
        <w:rPr>
          <w:rFonts w:asciiTheme="majorBidi" w:hAnsiTheme="majorBidi" w:cstheme="majorBidi"/>
          <w:b/>
          <w:bCs/>
          <w:sz w:val="20"/>
          <w:szCs w:val="20"/>
        </w:rPr>
      </w:pPr>
    </w:p>
    <w:p w14:paraId="72D77E29" w14:textId="77777777" w:rsidR="007166FF" w:rsidRPr="00143F3B" w:rsidRDefault="007166FF" w:rsidP="00C85568">
      <w:pPr>
        <w:ind w:left="0" w:firstLine="0"/>
        <w:rPr>
          <w:rFonts w:asciiTheme="majorBidi" w:hAnsiTheme="majorBidi" w:cstheme="majorBidi"/>
          <w:b/>
          <w:bCs/>
          <w:sz w:val="20"/>
          <w:szCs w:val="20"/>
        </w:rPr>
      </w:pPr>
    </w:p>
    <w:p w14:paraId="0B708A37" w14:textId="77777777" w:rsidR="007166FF" w:rsidRPr="00143F3B" w:rsidRDefault="007166FF" w:rsidP="00C85568">
      <w:pPr>
        <w:ind w:left="0" w:firstLine="0"/>
        <w:rPr>
          <w:rFonts w:asciiTheme="majorBidi" w:hAnsiTheme="majorBidi" w:cstheme="majorBidi"/>
          <w:b/>
          <w:bCs/>
          <w:sz w:val="20"/>
          <w:szCs w:val="20"/>
        </w:rPr>
      </w:pPr>
    </w:p>
    <w:p w14:paraId="1539DB9E" w14:textId="77777777" w:rsidR="007166FF" w:rsidRPr="00143F3B" w:rsidRDefault="007166FF" w:rsidP="00C85568">
      <w:pPr>
        <w:ind w:left="0" w:firstLine="0"/>
        <w:rPr>
          <w:rFonts w:asciiTheme="majorBidi" w:hAnsiTheme="majorBidi" w:cstheme="majorBidi"/>
          <w:b/>
          <w:bCs/>
          <w:sz w:val="20"/>
          <w:szCs w:val="20"/>
        </w:rPr>
      </w:pPr>
    </w:p>
    <w:p w14:paraId="25E35D7A" w14:textId="77777777" w:rsidR="007166FF" w:rsidRPr="00143F3B" w:rsidRDefault="007166FF" w:rsidP="00C85568">
      <w:pPr>
        <w:ind w:left="0" w:firstLine="0"/>
        <w:rPr>
          <w:rFonts w:asciiTheme="majorBidi" w:hAnsiTheme="majorBidi" w:cstheme="majorBidi"/>
          <w:b/>
          <w:bCs/>
          <w:sz w:val="20"/>
          <w:szCs w:val="20"/>
        </w:rPr>
      </w:pPr>
    </w:p>
    <w:p w14:paraId="102E7181" w14:textId="77777777" w:rsidR="007166FF" w:rsidRPr="00143F3B" w:rsidRDefault="007166FF" w:rsidP="00C85568">
      <w:pPr>
        <w:ind w:left="0" w:firstLine="0"/>
        <w:rPr>
          <w:rFonts w:asciiTheme="majorBidi" w:hAnsiTheme="majorBidi" w:cstheme="majorBidi"/>
          <w:b/>
          <w:bCs/>
          <w:sz w:val="20"/>
          <w:szCs w:val="20"/>
        </w:rPr>
      </w:pPr>
    </w:p>
    <w:p w14:paraId="028FA79A" w14:textId="77777777" w:rsidR="00303A06" w:rsidRPr="00143F3B" w:rsidRDefault="00303A06" w:rsidP="00C85568">
      <w:pPr>
        <w:ind w:left="0" w:firstLine="0"/>
        <w:rPr>
          <w:rFonts w:asciiTheme="majorBidi" w:hAnsiTheme="majorBidi" w:cstheme="majorBidi"/>
          <w:b/>
          <w:bCs/>
          <w:sz w:val="20"/>
          <w:szCs w:val="20"/>
        </w:rPr>
      </w:pPr>
    </w:p>
    <w:p w14:paraId="04EA2F9B" w14:textId="77777777" w:rsidR="007166FF" w:rsidRPr="00143F3B" w:rsidRDefault="007166FF" w:rsidP="00C85568">
      <w:pPr>
        <w:ind w:left="0" w:firstLine="0"/>
        <w:rPr>
          <w:rFonts w:asciiTheme="majorBidi" w:hAnsiTheme="majorBidi" w:cstheme="majorBidi"/>
          <w:b/>
          <w:bCs/>
          <w:sz w:val="20"/>
          <w:szCs w:val="20"/>
        </w:rPr>
      </w:pPr>
    </w:p>
    <w:p w14:paraId="6453D08D" w14:textId="77777777" w:rsidR="008C4070" w:rsidRPr="00143F3B" w:rsidRDefault="008C4070" w:rsidP="00C85568">
      <w:pPr>
        <w:ind w:left="0" w:firstLine="0"/>
        <w:rPr>
          <w:rFonts w:asciiTheme="majorBidi" w:hAnsiTheme="majorBidi" w:cstheme="majorBidi"/>
          <w:b/>
          <w:bCs/>
          <w:sz w:val="20"/>
          <w:szCs w:val="20"/>
        </w:rPr>
      </w:pPr>
    </w:p>
    <w:p w14:paraId="209E522C" w14:textId="77777777" w:rsidR="007166FF" w:rsidRPr="00143F3B" w:rsidRDefault="007166FF" w:rsidP="00C85568">
      <w:pPr>
        <w:ind w:left="0" w:firstLine="0"/>
        <w:rPr>
          <w:rFonts w:asciiTheme="majorBidi" w:hAnsiTheme="majorBidi" w:cstheme="majorBidi"/>
          <w:b/>
          <w:bCs/>
          <w:sz w:val="20"/>
          <w:szCs w:val="20"/>
        </w:rPr>
      </w:pPr>
    </w:p>
    <w:p w14:paraId="7EC43760" w14:textId="77777777" w:rsidR="007166FF" w:rsidRPr="00143F3B" w:rsidRDefault="007166FF" w:rsidP="00C85568">
      <w:pPr>
        <w:ind w:left="0" w:firstLine="0"/>
        <w:rPr>
          <w:rFonts w:asciiTheme="majorBidi" w:hAnsiTheme="majorBidi" w:cstheme="majorBidi"/>
          <w:b/>
          <w:bCs/>
          <w:sz w:val="20"/>
          <w:szCs w:val="20"/>
        </w:rPr>
      </w:pPr>
    </w:p>
    <w:p w14:paraId="7230F914" w14:textId="77777777" w:rsidR="007166FF" w:rsidRPr="00143F3B" w:rsidRDefault="007166FF" w:rsidP="00C85568">
      <w:pPr>
        <w:ind w:left="0" w:firstLine="0"/>
        <w:rPr>
          <w:rFonts w:asciiTheme="majorBidi" w:hAnsiTheme="majorBidi" w:cstheme="majorBidi"/>
          <w:b/>
          <w:bCs/>
          <w:sz w:val="20"/>
          <w:szCs w:val="20"/>
        </w:rPr>
      </w:pPr>
    </w:p>
    <w:p w14:paraId="7569DAD5" w14:textId="77777777" w:rsidR="00AE7906" w:rsidRPr="00143F3B" w:rsidRDefault="00AE7906" w:rsidP="00C85568">
      <w:pPr>
        <w:ind w:left="0" w:firstLine="0"/>
        <w:rPr>
          <w:rFonts w:asciiTheme="majorBidi" w:hAnsiTheme="majorBidi" w:cstheme="majorBidi"/>
          <w:b/>
          <w:bCs/>
          <w:sz w:val="20"/>
          <w:szCs w:val="20"/>
        </w:rPr>
      </w:pPr>
    </w:p>
    <w:p w14:paraId="666D18C9" w14:textId="77777777" w:rsidR="007166FF" w:rsidRPr="00143F3B" w:rsidRDefault="007166FF" w:rsidP="00C85568">
      <w:pPr>
        <w:ind w:left="0" w:firstLine="0"/>
        <w:rPr>
          <w:rFonts w:asciiTheme="majorBidi" w:hAnsiTheme="majorBidi" w:cstheme="majorBidi"/>
          <w:b/>
          <w:bCs/>
          <w:sz w:val="20"/>
          <w:szCs w:val="20"/>
        </w:rPr>
      </w:pPr>
    </w:p>
    <w:p w14:paraId="78D0CB58" w14:textId="77777777" w:rsidR="007166FF" w:rsidRPr="00143F3B" w:rsidRDefault="007166FF" w:rsidP="00C85568">
      <w:pPr>
        <w:ind w:left="0" w:firstLine="0"/>
        <w:rPr>
          <w:rFonts w:asciiTheme="majorBidi" w:hAnsiTheme="majorBidi" w:cstheme="majorBidi"/>
          <w:b/>
          <w:bCs/>
          <w:sz w:val="20"/>
          <w:szCs w:val="20"/>
        </w:rPr>
      </w:pPr>
    </w:p>
    <w:p w14:paraId="29447990" w14:textId="77777777" w:rsidR="00CE62D5" w:rsidRPr="00143F3B" w:rsidRDefault="00CE62D5" w:rsidP="00C85568">
      <w:pPr>
        <w:ind w:left="0" w:firstLine="0"/>
        <w:rPr>
          <w:rFonts w:asciiTheme="majorBidi" w:hAnsiTheme="majorBidi" w:cstheme="majorBidi"/>
          <w:b/>
          <w:bCs/>
          <w:sz w:val="20"/>
          <w:szCs w:val="20"/>
        </w:rPr>
      </w:pPr>
    </w:p>
    <w:p w14:paraId="703CF099" w14:textId="72152CBB" w:rsidR="00303A06" w:rsidRPr="00143F3B" w:rsidRDefault="00303A06" w:rsidP="00FB4021">
      <w:pPr>
        <w:pStyle w:val="ListParagraph"/>
        <w:numPr>
          <w:ilvl w:val="0"/>
          <w:numId w:val="14"/>
        </w:numPr>
        <w:jc w:val="left"/>
        <w:rPr>
          <w:rFonts w:asciiTheme="majorBidi" w:hAnsiTheme="majorBidi" w:cstheme="majorBidi"/>
          <w:b/>
          <w:bCs/>
          <w:sz w:val="20"/>
          <w:szCs w:val="20"/>
        </w:rPr>
      </w:pPr>
      <w:r w:rsidRPr="00143F3B">
        <w:rPr>
          <w:rFonts w:asciiTheme="majorBidi" w:hAnsiTheme="majorBidi" w:cstheme="majorBidi"/>
          <w:b/>
          <w:bCs/>
          <w:sz w:val="20"/>
          <w:szCs w:val="20"/>
        </w:rPr>
        <w:t>REFERENCES</w:t>
      </w:r>
    </w:p>
    <w:p w14:paraId="4B987180" w14:textId="77777777" w:rsidR="00FB4021" w:rsidRPr="00143F3B" w:rsidRDefault="00FB4021" w:rsidP="00FB4021">
      <w:pPr>
        <w:pStyle w:val="ListParagraph"/>
        <w:ind w:left="836" w:firstLine="0"/>
        <w:jc w:val="left"/>
        <w:rPr>
          <w:rFonts w:asciiTheme="majorBidi" w:hAnsiTheme="majorBidi" w:cstheme="majorBidi"/>
          <w:b/>
          <w:bCs/>
          <w:sz w:val="20"/>
          <w:szCs w:val="20"/>
        </w:rPr>
      </w:pPr>
    </w:p>
    <w:p w14:paraId="2B7FFFD0" w14:textId="77777777" w:rsidR="007C14C2" w:rsidRPr="00143F3B" w:rsidRDefault="00115165" w:rsidP="007C14C2">
      <w:pPr>
        <w:pStyle w:val="Bibliography"/>
        <w:rPr>
          <w:rFonts w:ascii="Times New Roman" w:hAnsi="Times New Roman" w:cs="Times New Roman"/>
          <w:sz w:val="16"/>
        </w:rPr>
      </w:pPr>
      <w:r w:rsidRPr="00143F3B">
        <w:rPr>
          <w:rFonts w:asciiTheme="majorBidi" w:hAnsiTheme="majorBidi" w:cstheme="majorBidi"/>
          <w:sz w:val="16"/>
          <w:szCs w:val="16"/>
        </w:rPr>
        <w:fldChar w:fldCharType="begin"/>
      </w:r>
      <w:r w:rsidR="007C14C2" w:rsidRPr="00143F3B">
        <w:rPr>
          <w:rFonts w:asciiTheme="majorBidi" w:hAnsiTheme="majorBidi" w:cstheme="majorBidi"/>
          <w:sz w:val="16"/>
          <w:szCs w:val="16"/>
        </w:rPr>
        <w:instrText xml:space="preserve"> ADDIN ZOTERO_BIBL {"uncited":[],"omitted":[],"custom":[]} CSL_BIBLIOGRAPHY </w:instrText>
      </w:r>
      <w:r w:rsidRPr="00143F3B">
        <w:rPr>
          <w:rFonts w:asciiTheme="majorBidi" w:hAnsiTheme="majorBidi" w:cstheme="majorBidi"/>
          <w:sz w:val="16"/>
          <w:szCs w:val="16"/>
        </w:rPr>
        <w:fldChar w:fldCharType="separate"/>
      </w:r>
      <w:r w:rsidR="007C14C2" w:rsidRPr="00143F3B">
        <w:rPr>
          <w:rFonts w:ascii="Times New Roman" w:hAnsi="Times New Roman" w:cs="Times New Roman"/>
          <w:sz w:val="16"/>
        </w:rPr>
        <w:t>1.</w:t>
      </w:r>
      <w:r w:rsidR="007C14C2" w:rsidRPr="00143F3B">
        <w:rPr>
          <w:rFonts w:ascii="Times New Roman" w:hAnsi="Times New Roman" w:cs="Times New Roman"/>
          <w:sz w:val="16"/>
        </w:rPr>
        <w:tab/>
        <w:t xml:space="preserve">Masters EA, Ricciardi BF, Bentley KL de M, Moriarty TF, Schwarz EM, Muthukrishnan G. Skeletal infections: microbial pathogenesis, immunity and clinical management. Nat Rev </w:t>
      </w:r>
      <w:proofErr w:type="spellStart"/>
      <w:r w:rsidR="007C14C2" w:rsidRPr="00143F3B">
        <w:rPr>
          <w:rFonts w:ascii="Times New Roman" w:hAnsi="Times New Roman" w:cs="Times New Roman"/>
          <w:sz w:val="16"/>
        </w:rPr>
        <w:t>Microbiol</w:t>
      </w:r>
      <w:proofErr w:type="spellEnd"/>
      <w:r w:rsidR="007C14C2" w:rsidRPr="00143F3B">
        <w:rPr>
          <w:rFonts w:ascii="Times New Roman" w:hAnsi="Times New Roman" w:cs="Times New Roman"/>
          <w:sz w:val="16"/>
        </w:rPr>
        <w:t xml:space="preserve">. 2022 Jul;20(7):385–400. </w:t>
      </w:r>
    </w:p>
    <w:p w14:paraId="68859D63"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2.</w:t>
      </w:r>
      <w:r w:rsidRPr="00143F3B">
        <w:rPr>
          <w:rFonts w:ascii="Times New Roman" w:hAnsi="Times New Roman" w:cs="Times New Roman"/>
          <w:sz w:val="16"/>
        </w:rPr>
        <w:tab/>
        <w:t xml:space="preserve">Murillo O, Grau I, Lora-Tamayo J, Gomez-Junyent J, Ribera A, </w:t>
      </w:r>
      <w:proofErr w:type="spellStart"/>
      <w:r w:rsidRPr="00143F3B">
        <w:rPr>
          <w:rFonts w:ascii="Times New Roman" w:hAnsi="Times New Roman" w:cs="Times New Roman"/>
          <w:sz w:val="16"/>
        </w:rPr>
        <w:t>Tubau</w:t>
      </w:r>
      <w:proofErr w:type="spellEnd"/>
      <w:r w:rsidRPr="00143F3B">
        <w:rPr>
          <w:rFonts w:ascii="Times New Roman" w:hAnsi="Times New Roman" w:cs="Times New Roman"/>
          <w:sz w:val="16"/>
        </w:rPr>
        <w:t xml:space="preserve"> F, et al. The changing epidemiology of </w:t>
      </w:r>
      <w:proofErr w:type="spellStart"/>
      <w:r w:rsidRPr="00143F3B">
        <w:rPr>
          <w:rFonts w:ascii="Times New Roman" w:hAnsi="Times New Roman" w:cs="Times New Roman"/>
          <w:sz w:val="16"/>
        </w:rPr>
        <w:t>bacteraemic</w:t>
      </w:r>
      <w:proofErr w:type="spellEnd"/>
      <w:r w:rsidRPr="00143F3B">
        <w:rPr>
          <w:rFonts w:ascii="Times New Roman" w:hAnsi="Times New Roman" w:cs="Times New Roman"/>
          <w:sz w:val="16"/>
        </w:rPr>
        <w:t xml:space="preserve"> osteoarticular infections in the early 21st century. Clinical Microbiology and Infection [Internet]. 2015 Mar 1 [cited 2024 Dec 21];21(3</w:t>
      </w:r>
      <w:proofErr w:type="gramStart"/>
      <w:r w:rsidRPr="00143F3B">
        <w:rPr>
          <w:rFonts w:ascii="Times New Roman" w:hAnsi="Times New Roman" w:cs="Times New Roman"/>
          <w:sz w:val="16"/>
        </w:rPr>
        <w:t>):254.e</w:t>
      </w:r>
      <w:proofErr w:type="gramEnd"/>
      <w:r w:rsidRPr="00143F3B">
        <w:rPr>
          <w:rFonts w:ascii="Times New Roman" w:hAnsi="Times New Roman" w:cs="Times New Roman"/>
          <w:sz w:val="16"/>
        </w:rPr>
        <w:t>1-254.e8. Available from: https://www.clinicalmicrobiologyandinfection.com/article/S1198-743X(14)00038-X/fulltext</w:t>
      </w:r>
    </w:p>
    <w:p w14:paraId="68F3BC19"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3.</w:t>
      </w:r>
      <w:r w:rsidRPr="00143F3B">
        <w:rPr>
          <w:rFonts w:ascii="Times New Roman" w:hAnsi="Times New Roman" w:cs="Times New Roman"/>
          <w:sz w:val="16"/>
        </w:rPr>
        <w:tab/>
        <w:t xml:space="preserve">Geirsson AJ, </w:t>
      </w:r>
      <w:proofErr w:type="spellStart"/>
      <w:r w:rsidRPr="00143F3B">
        <w:rPr>
          <w:rFonts w:ascii="Times New Roman" w:hAnsi="Times New Roman" w:cs="Times New Roman"/>
          <w:sz w:val="16"/>
        </w:rPr>
        <w:t>Statkevicius</w:t>
      </w:r>
      <w:proofErr w:type="spellEnd"/>
      <w:r w:rsidRPr="00143F3B">
        <w:rPr>
          <w:rFonts w:ascii="Times New Roman" w:hAnsi="Times New Roman" w:cs="Times New Roman"/>
          <w:sz w:val="16"/>
        </w:rPr>
        <w:t xml:space="preserve"> S, Víkingsson A. Septic arthritis in Iceland 1990-2002: increasing incidence due to iatrogenic infections. Ann Rheum Dis. 2008 May;67(5):638–43. </w:t>
      </w:r>
    </w:p>
    <w:p w14:paraId="698402D1"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4.</w:t>
      </w:r>
      <w:r w:rsidRPr="00143F3B">
        <w:rPr>
          <w:rFonts w:ascii="Times New Roman" w:hAnsi="Times New Roman" w:cs="Times New Roman"/>
          <w:sz w:val="16"/>
        </w:rPr>
        <w:tab/>
        <w:t>Chia DT, Toms AP, Sanghrajka A, Ramanan AV, Killeen OG, Ilea C, et al. Incidence of chronic recurrent multifocal osteomyelitis in children and adolescents in the UK and Republic of Ireland. Rheumatology [Internet]. 2024 Aug 21 [cited 2025 Jan 4</w:t>
      </w:r>
      <w:proofErr w:type="gramStart"/>
      <w:r w:rsidRPr="00143F3B">
        <w:rPr>
          <w:rFonts w:ascii="Times New Roman" w:hAnsi="Times New Roman" w:cs="Times New Roman"/>
          <w:sz w:val="16"/>
        </w:rPr>
        <w:t>];keae</w:t>
      </w:r>
      <w:proofErr w:type="gramEnd"/>
      <w:r w:rsidRPr="00143F3B">
        <w:rPr>
          <w:rFonts w:ascii="Times New Roman" w:hAnsi="Times New Roman" w:cs="Times New Roman"/>
          <w:sz w:val="16"/>
        </w:rPr>
        <w:t>447. Available from: https://doi.org/10.1093/rheumatology/keae447</w:t>
      </w:r>
    </w:p>
    <w:p w14:paraId="086CEFCF"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5.</w:t>
      </w:r>
      <w:r w:rsidRPr="00143F3B">
        <w:rPr>
          <w:rFonts w:ascii="Times New Roman" w:hAnsi="Times New Roman" w:cs="Times New Roman"/>
          <w:sz w:val="16"/>
        </w:rPr>
        <w:tab/>
      </w:r>
      <w:proofErr w:type="spellStart"/>
      <w:r w:rsidRPr="00143F3B">
        <w:rPr>
          <w:rFonts w:ascii="Times New Roman" w:hAnsi="Times New Roman" w:cs="Times New Roman"/>
          <w:sz w:val="16"/>
        </w:rPr>
        <w:t>Goubran</w:t>
      </w:r>
      <w:proofErr w:type="spellEnd"/>
      <w:r w:rsidRPr="00143F3B">
        <w:rPr>
          <w:rFonts w:ascii="Times New Roman" w:hAnsi="Times New Roman" w:cs="Times New Roman"/>
          <w:sz w:val="16"/>
        </w:rPr>
        <w:t xml:space="preserve"> A, Tomlinson J. Spinal infection – an overview. </w:t>
      </w:r>
    </w:p>
    <w:p w14:paraId="5638908B"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6.</w:t>
      </w:r>
      <w:r w:rsidRPr="00143F3B">
        <w:rPr>
          <w:rFonts w:ascii="Times New Roman" w:hAnsi="Times New Roman" w:cs="Times New Roman"/>
          <w:sz w:val="16"/>
        </w:rPr>
        <w:tab/>
      </w:r>
      <w:proofErr w:type="spellStart"/>
      <w:r w:rsidRPr="00143F3B">
        <w:rPr>
          <w:rFonts w:ascii="Times New Roman" w:hAnsi="Times New Roman" w:cs="Times New Roman"/>
          <w:sz w:val="16"/>
        </w:rPr>
        <w:t>Signore</w:t>
      </w:r>
      <w:proofErr w:type="spellEnd"/>
      <w:r w:rsidRPr="00143F3B">
        <w:rPr>
          <w:rFonts w:ascii="Times New Roman" w:hAnsi="Times New Roman" w:cs="Times New Roman"/>
          <w:sz w:val="16"/>
        </w:rPr>
        <w:t xml:space="preserve"> A, </w:t>
      </w:r>
      <w:proofErr w:type="spellStart"/>
      <w:r w:rsidRPr="00143F3B">
        <w:rPr>
          <w:rFonts w:ascii="Times New Roman" w:hAnsi="Times New Roman" w:cs="Times New Roman"/>
          <w:sz w:val="16"/>
        </w:rPr>
        <w:t>Sconfienza</w:t>
      </w:r>
      <w:proofErr w:type="spellEnd"/>
      <w:r w:rsidRPr="00143F3B">
        <w:rPr>
          <w:rFonts w:ascii="Times New Roman" w:hAnsi="Times New Roman" w:cs="Times New Roman"/>
          <w:sz w:val="16"/>
        </w:rPr>
        <w:t xml:space="preserve"> LM, Borens O, </w:t>
      </w:r>
      <w:proofErr w:type="spellStart"/>
      <w:r w:rsidRPr="00143F3B">
        <w:rPr>
          <w:rFonts w:ascii="Times New Roman" w:hAnsi="Times New Roman" w:cs="Times New Roman"/>
          <w:sz w:val="16"/>
        </w:rPr>
        <w:t>Glaudemans</w:t>
      </w:r>
      <w:proofErr w:type="spellEnd"/>
      <w:r w:rsidRPr="00143F3B">
        <w:rPr>
          <w:rFonts w:ascii="Times New Roman" w:hAnsi="Times New Roman" w:cs="Times New Roman"/>
          <w:sz w:val="16"/>
        </w:rPr>
        <w:t xml:space="preserve"> AWJM, Cassar-Pullicino V, </w:t>
      </w:r>
      <w:proofErr w:type="spellStart"/>
      <w:r w:rsidRPr="00143F3B">
        <w:rPr>
          <w:rFonts w:ascii="Times New Roman" w:hAnsi="Times New Roman" w:cs="Times New Roman"/>
          <w:sz w:val="16"/>
        </w:rPr>
        <w:t>Trampuz</w:t>
      </w:r>
      <w:proofErr w:type="spellEnd"/>
      <w:r w:rsidRPr="00143F3B">
        <w:rPr>
          <w:rFonts w:ascii="Times New Roman" w:hAnsi="Times New Roman" w:cs="Times New Roman"/>
          <w:sz w:val="16"/>
        </w:rPr>
        <w:t xml:space="preserve"> A, et al. Consensus document for the diagnosis of prosthetic joint infections: a joint paper by the EANM, EBJIS, and ESR (with ESCMID endorsement). </w:t>
      </w:r>
      <w:proofErr w:type="spellStart"/>
      <w:r w:rsidRPr="00143F3B">
        <w:rPr>
          <w:rFonts w:ascii="Times New Roman" w:hAnsi="Times New Roman" w:cs="Times New Roman"/>
          <w:sz w:val="16"/>
        </w:rPr>
        <w:t>Eur</w:t>
      </w:r>
      <w:proofErr w:type="spellEnd"/>
      <w:r w:rsidRPr="00143F3B">
        <w:rPr>
          <w:rFonts w:ascii="Times New Roman" w:hAnsi="Times New Roman" w:cs="Times New Roman"/>
          <w:sz w:val="16"/>
        </w:rPr>
        <w:t xml:space="preserve"> J </w:t>
      </w:r>
      <w:proofErr w:type="spellStart"/>
      <w:r w:rsidRPr="00143F3B">
        <w:rPr>
          <w:rFonts w:ascii="Times New Roman" w:hAnsi="Times New Roman" w:cs="Times New Roman"/>
          <w:sz w:val="16"/>
        </w:rPr>
        <w:t>Nucl</w:t>
      </w:r>
      <w:proofErr w:type="spellEnd"/>
      <w:r w:rsidRPr="00143F3B">
        <w:rPr>
          <w:rFonts w:ascii="Times New Roman" w:hAnsi="Times New Roman" w:cs="Times New Roman"/>
          <w:sz w:val="16"/>
        </w:rPr>
        <w:t xml:space="preserve"> Med Mol Imaging [Internet]. 2019 [cited 2024 Dec 24];46(4):971–88. Available from: https://www.ncbi.nlm.nih.gov/pmc/articles/PMC6450843/</w:t>
      </w:r>
    </w:p>
    <w:p w14:paraId="530E151D"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7.</w:t>
      </w:r>
      <w:r w:rsidRPr="00143F3B">
        <w:rPr>
          <w:rFonts w:ascii="Times New Roman" w:hAnsi="Times New Roman" w:cs="Times New Roman"/>
          <w:sz w:val="16"/>
        </w:rPr>
        <w:tab/>
        <w:t xml:space="preserve">Hunter S, Chan H, Baker JF. Global epidemiology of childhood bone and joint infection: a systematic review. Infection. 2022 Apr;50(2):329–41. </w:t>
      </w:r>
    </w:p>
    <w:p w14:paraId="5E4CD399"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8.</w:t>
      </w:r>
      <w:r w:rsidRPr="00143F3B">
        <w:rPr>
          <w:rFonts w:ascii="Times New Roman" w:hAnsi="Times New Roman" w:cs="Times New Roman"/>
          <w:sz w:val="16"/>
        </w:rPr>
        <w:tab/>
      </w:r>
      <w:proofErr w:type="spellStart"/>
      <w:r w:rsidRPr="00143F3B">
        <w:rPr>
          <w:rFonts w:ascii="Times New Roman" w:hAnsi="Times New Roman" w:cs="Times New Roman"/>
          <w:sz w:val="16"/>
        </w:rPr>
        <w:t>Moussiegt</w:t>
      </w:r>
      <w:proofErr w:type="spellEnd"/>
      <w:r w:rsidRPr="00143F3B">
        <w:rPr>
          <w:rFonts w:ascii="Times New Roman" w:hAnsi="Times New Roman" w:cs="Times New Roman"/>
          <w:sz w:val="16"/>
        </w:rPr>
        <w:t xml:space="preserve"> A, François C, Belmonte O, Jaubert J, </w:t>
      </w:r>
      <w:proofErr w:type="spellStart"/>
      <w:r w:rsidRPr="00143F3B">
        <w:rPr>
          <w:rFonts w:ascii="Times New Roman" w:hAnsi="Times New Roman" w:cs="Times New Roman"/>
          <w:sz w:val="16"/>
        </w:rPr>
        <w:t>Traversier</w:t>
      </w:r>
      <w:proofErr w:type="spellEnd"/>
      <w:r w:rsidRPr="00143F3B">
        <w:rPr>
          <w:rFonts w:ascii="Times New Roman" w:hAnsi="Times New Roman" w:cs="Times New Roman"/>
          <w:sz w:val="16"/>
        </w:rPr>
        <w:t xml:space="preserve"> N, Picot S, et al. Gonococcal arthritis: case series of 58 hospital cases. Clin </w:t>
      </w:r>
      <w:proofErr w:type="spellStart"/>
      <w:r w:rsidRPr="00143F3B">
        <w:rPr>
          <w:rFonts w:ascii="Times New Roman" w:hAnsi="Times New Roman" w:cs="Times New Roman"/>
          <w:sz w:val="16"/>
        </w:rPr>
        <w:t>Rheumatol</w:t>
      </w:r>
      <w:proofErr w:type="spellEnd"/>
      <w:r w:rsidRPr="00143F3B">
        <w:rPr>
          <w:rFonts w:ascii="Times New Roman" w:hAnsi="Times New Roman" w:cs="Times New Roman"/>
          <w:sz w:val="16"/>
        </w:rPr>
        <w:t xml:space="preserve">. 2022 Sep;41(9):2855–62. </w:t>
      </w:r>
    </w:p>
    <w:p w14:paraId="445E7B29"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9.</w:t>
      </w:r>
      <w:r w:rsidRPr="00143F3B">
        <w:rPr>
          <w:rFonts w:ascii="Times New Roman" w:hAnsi="Times New Roman" w:cs="Times New Roman"/>
          <w:sz w:val="16"/>
        </w:rPr>
        <w:tab/>
      </w:r>
      <w:proofErr w:type="spellStart"/>
      <w:r w:rsidRPr="00143F3B">
        <w:rPr>
          <w:rFonts w:ascii="Times New Roman" w:hAnsi="Times New Roman" w:cs="Times New Roman"/>
          <w:sz w:val="16"/>
        </w:rPr>
        <w:t>Dupieux</w:t>
      </w:r>
      <w:proofErr w:type="spellEnd"/>
      <w:r w:rsidRPr="00143F3B">
        <w:rPr>
          <w:rFonts w:ascii="Times New Roman" w:hAnsi="Times New Roman" w:cs="Times New Roman"/>
          <w:sz w:val="16"/>
        </w:rPr>
        <w:t xml:space="preserve"> C, Laurent F. Diagnostic des infections </w:t>
      </w:r>
      <w:proofErr w:type="spellStart"/>
      <w:r w:rsidRPr="00143F3B">
        <w:rPr>
          <w:rFonts w:ascii="Times New Roman" w:hAnsi="Times New Roman" w:cs="Times New Roman"/>
          <w:sz w:val="16"/>
        </w:rPr>
        <w:t>ostéo-articulaires</w:t>
      </w:r>
      <w:proofErr w:type="spellEnd"/>
      <w:r w:rsidRPr="00143F3B">
        <w:rPr>
          <w:rFonts w:ascii="Times New Roman" w:hAnsi="Times New Roman" w:cs="Times New Roman"/>
          <w:sz w:val="16"/>
        </w:rPr>
        <w:t xml:space="preserve">. Revue Francophone des </w:t>
      </w:r>
      <w:proofErr w:type="spellStart"/>
      <w:r w:rsidRPr="00143F3B">
        <w:rPr>
          <w:rFonts w:ascii="Times New Roman" w:hAnsi="Times New Roman" w:cs="Times New Roman"/>
          <w:sz w:val="16"/>
        </w:rPr>
        <w:t>Laboratoires</w:t>
      </w:r>
      <w:proofErr w:type="spellEnd"/>
      <w:r w:rsidRPr="00143F3B">
        <w:rPr>
          <w:rFonts w:ascii="Times New Roman" w:hAnsi="Times New Roman" w:cs="Times New Roman"/>
          <w:sz w:val="16"/>
        </w:rPr>
        <w:t xml:space="preserve"> [Internet]. 2016 Mar 1 [cited 2024 Dec 21];2016(480):47–53. Available from: https://www.sciencedirect.com/science/article/pii/S1773035X16300879</w:t>
      </w:r>
    </w:p>
    <w:p w14:paraId="77A7A0EB"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10.</w:t>
      </w:r>
      <w:r w:rsidRPr="00143F3B">
        <w:rPr>
          <w:rFonts w:ascii="Times New Roman" w:hAnsi="Times New Roman" w:cs="Times New Roman"/>
          <w:sz w:val="16"/>
        </w:rPr>
        <w:tab/>
      </w:r>
      <w:proofErr w:type="spellStart"/>
      <w:r w:rsidRPr="00143F3B">
        <w:rPr>
          <w:rFonts w:ascii="Times New Roman" w:hAnsi="Times New Roman" w:cs="Times New Roman"/>
          <w:sz w:val="16"/>
        </w:rPr>
        <w:t>bioMérieux</w:t>
      </w:r>
      <w:proofErr w:type="spellEnd"/>
      <w:r w:rsidRPr="00143F3B">
        <w:rPr>
          <w:rFonts w:ascii="Times New Roman" w:hAnsi="Times New Roman" w:cs="Times New Roman"/>
          <w:sz w:val="16"/>
        </w:rPr>
        <w:t xml:space="preserve"> Website [Internet]. [cited 2024 Dec 22]. BIOFIRE® Joint Infection Panel. Available from: https://www.biomerieux.com/corp/en/our-offer/clinical-products/biofire-joint-infection-panel.html</w:t>
      </w:r>
    </w:p>
    <w:p w14:paraId="74D54D15"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11.</w:t>
      </w:r>
      <w:r w:rsidRPr="00143F3B">
        <w:rPr>
          <w:rFonts w:ascii="Times New Roman" w:hAnsi="Times New Roman" w:cs="Times New Roman"/>
          <w:sz w:val="16"/>
        </w:rPr>
        <w:tab/>
        <w:t xml:space="preserve">Gardete-Hartmann S, Mitterer JA, Sebastian S, Frank BJH, Simon S, Huber S, et al. The role of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xml:space="preserve"> Joint Infection Panel in diagnosing periprosthetic hip and knee joint infections in patients with unclear conventional microbiological results. Bone Joint Res. 2024 Jul 10;13(7):353–61. </w:t>
      </w:r>
    </w:p>
    <w:p w14:paraId="35FB0641"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12.</w:t>
      </w:r>
      <w:r w:rsidRPr="00143F3B">
        <w:rPr>
          <w:rFonts w:ascii="Times New Roman" w:hAnsi="Times New Roman" w:cs="Times New Roman"/>
          <w:sz w:val="16"/>
        </w:rPr>
        <w:tab/>
        <w:t xml:space="preserve">Moran A, Arellano J, Bregman K, </w:t>
      </w:r>
      <w:proofErr w:type="spellStart"/>
      <w:r w:rsidRPr="00143F3B">
        <w:rPr>
          <w:rFonts w:ascii="Times New Roman" w:hAnsi="Times New Roman" w:cs="Times New Roman"/>
          <w:sz w:val="16"/>
        </w:rPr>
        <w:t>McElvania</w:t>
      </w:r>
      <w:proofErr w:type="spellEnd"/>
      <w:r w:rsidRPr="00143F3B">
        <w:rPr>
          <w:rFonts w:ascii="Times New Roman" w:hAnsi="Times New Roman" w:cs="Times New Roman"/>
          <w:sz w:val="16"/>
        </w:rPr>
        <w:t xml:space="preserve"> E. Evaluation of a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xml:space="preserve"> multiplex PCR panel for detection of joint infections using retrospective and prospectively collected specimens. J Clin </w:t>
      </w:r>
      <w:proofErr w:type="spellStart"/>
      <w:r w:rsidRPr="00143F3B">
        <w:rPr>
          <w:rFonts w:ascii="Times New Roman" w:hAnsi="Times New Roman" w:cs="Times New Roman"/>
          <w:sz w:val="16"/>
        </w:rPr>
        <w:t>Microbiol</w:t>
      </w:r>
      <w:proofErr w:type="spellEnd"/>
      <w:r w:rsidRPr="00143F3B">
        <w:rPr>
          <w:rFonts w:ascii="Times New Roman" w:hAnsi="Times New Roman" w:cs="Times New Roman"/>
          <w:sz w:val="16"/>
        </w:rPr>
        <w:t>. 2024 Aug 14;62(8</w:t>
      </w:r>
      <w:proofErr w:type="gramStart"/>
      <w:r w:rsidRPr="00143F3B">
        <w:rPr>
          <w:rFonts w:ascii="Times New Roman" w:hAnsi="Times New Roman" w:cs="Times New Roman"/>
          <w:sz w:val="16"/>
        </w:rPr>
        <w:t>):e</w:t>
      </w:r>
      <w:proofErr w:type="gramEnd"/>
      <w:r w:rsidRPr="00143F3B">
        <w:rPr>
          <w:rFonts w:ascii="Times New Roman" w:hAnsi="Times New Roman" w:cs="Times New Roman"/>
          <w:sz w:val="16"/>
        </w:rPr>
        <w:t xml:space="preserve">0018224. </w:t>
      </w:r>
    </w:p>
    <w:p w14:paraId="7A2BCD8B"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13.</w:t>
      </w:r>
      <w:r w:rsidRPr="00143F3B">
        <w:rPr>
          <w:rFonts w:ascii="Times New Roman" w:hAnsi="Times New Roman" w:cs="Times New Roman"/>
          <w:sz w:val="16"/>
        </w:rPr>
        <w:tab/>
        <w:t xml:space="preserve">Pascual S, Noble B, Ahmad-Saeed N, Aldridge C, </w:t>
      </w:r>
      <w:proofErr w:type="spellStart"/>
      <w:r w:rsidRPr="00143F3B">
        <w:rPr>
          <w:rFonts w:ascii="Times New Roman" w:hAnsi="Times New Roman" w:cs="Times New Roman"/>
          <w:sz w:val="16"/>
        </w:rPr>
        <w:t>Ambretti</w:t>
      </w:r>
      <w:proofErr w:type="spellEnd"/>
      <w:r w:rsidRPr="00143F3B">
        <w:rPr>
          <w:rFonts w:ascii="Times New Roman" w:hAnsi="Times New Roman" w:cs="Times New Roman"/>
          <w:sz w:val="16"/>
        </w:rPr>
        <w:t xml:space="preserve"> S, Amit S, et al. Potential value of a rapid syndromic multiplex PCR for the diagnosis of native and prosthetic joint infections: a real-world evidence study. J Bone </w:t>
      </w:r>
      <w:proofErr w:type="spellStart"/>
      <w:r w:rsidRPr="00143F3B">
        <w:rPr>
          <w:rFonts w:ascii="Times New Roman" w:hAnsi="Times New Roman" w:cs="Times New Roman"/>
          <w:sz w:val="16"/>
        </w:rPr>
        <w:t>Jt</w:t>
      </w:r>
      <w:proofErr w:type="spellEnd"/>
      <w:r w:rsidRPr="00143F3B">
        <w:rPr>
          <w:rFonts w:ascii="Times New Roman" w:hAnsi="Times New Roman" w:cs="Times New Roman"/>
          <w:sz w:val="16"/>
        </w:rPr>
        <w:t xml:space="preserve"> Infect. 2024;9(1):87–97. </w:t>
      </w:r>
    </w:p>
    <w:p w14:paraId="7D7936D8"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14.</w:t>
      </w:r>
      <w:r w:rsidRPr="00143F3B">
        <w:rPr>
          <w:rFonts w:ascii="Times New Roman" w:hAnsi="Times New Roman" w:cs="Times New Roman"/>
          <w:sz w:val="16"/>
        </w:rPr>
        <w:tab/>
      </w:r>
      <w:proofErr w:type="spellStart"/>
      <w:r w:rsidRPr="00143F3B">
        <w:rPr>
          <w:rFonts w:ascii="Times New Roman" w:hAnsi="Times New Roman" w:cs="Times New Roman"/>
          <w:sz w:val="16"/>
        </w:rPr>
        <w:t>bioMérieux</w:t>
      </w:r>
      <w:proofErr w:type="spellEnd"/>
      <w:r w:rsidRPr="00143F3B">
        <w:rPr>
          <w:rFonts w:ascii="Times New Roman" w:hAnsi="Times New Roman" w:cs="Times New Roman"/>
          <w:sz w:val="16"/>
        </w:rPr>
        <w:t xml:space="preserve"> Website [Internet]. [cited 2025 Jan 4]. BIOFIRE® Joint Infection (JI) Panel. Available from: https://www.biomerieux.com/us/en/our-offer/clinical-products/biofire-joint-infection-panel.html</w:t>
      </w:r>
    </w:p>
    <w:p w14:paraId="2E39E54B"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15.</w:t>
      </w:r>
      <w:r w:rsidRPr="00143F3B">
        <w:rPr>
          <w:rFonts w:ascii="Times New Roman" w:hAnsi="Times New Roman" w:cs="Times New Roman"/>
          <w:sz w:val="16"/>
        </w:rPr>
        <w:tab/>
      </w:r>
      <w:proofErr w:type="spellStart"/>
      <w:r w:rsidRPr="00143F3B">
        <w:rPr>
          <w:rFonts w:ascii="Times New Roman" w:hAnsi="Times New Roman" w:cs="Times New Roman"/>
          <w:sz w:val="16"/>
        </w:rPr>
        <w:t>Berinson</w:t>
      </w:r>
      <w:proofErr w:type="spellEnd"/>
      <w:r w:rsidRPr="00143F3B">
        <w:rPr>
          <w:rFonts w:ascii="Times New Roman" w:hAnsi="Times New Roman" w:cs="Times New Roman"/>
          <w:sz w:val="16"/>
        </w:rPr>
        <w:t xml:space="preserve"> B, </w:t>
      </w:r>
      <w:proofErr w:type="spellStart"/>
      <w:r w:rsidRPr="00143F3B">
        <w:rPr>
          <w:rFonts w:ascii="Times New Roman" w:hAnsi="Times New Roman" w:cs="Times New Roman"/>
          <w:sz w:val="16"/>
        </w:rPr>
        <w:t>Spenke</w:t>
      </w:r>
      <w:proofErr w:type="spellEnd"/>
      <w:r w:rsidRPr="00143F3B">
        <w:rPr>
          <w:rFonts w:ascii="Times New Roman" w:hAnsi="Times New Roman" w:cs="Times New Roman"/>
          <w:sz w:val="16"/>
        </w:rPr>
        <w:t xml:space="preserve"> L, Krivec L, Tanida K, Both A, Keller J, et al. Performance and Hypothetical Impact on Joint Infection Management of the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xml:space="preserve"> Joint Infection Panel: </w:t>
      </w:r>
      <w:proofErr w:type="gramStart"/>
      <w:r w:rsidRPr="00143F3B">
        <w:rPr>
          <w:rFonts w:ascii="Times New Roman" w:hAnsi="Times New Roman" w:cs="Times New Roman"/>
          <w:sz w:val="16"/>
        </w:rPr>
        <w:t>a</w:t>
      </w:r>
      <w:proofErr w:type="gramEnd"/>
      <w:r w:rsidRPr="00143F3B">
        <w:rPr>
          <w:rFonts w:ascii="Times New Roman" w:hAnsi="Times New Roman" w:cs="Times New Roman"/>
          <w:sz w:val="16"/>
        </w:rPr>
        <w:t xml:space="preserve"> Retrospective Analysis. J Clin </w:t>
      </w:r>
      <w:proofErr w:type="spellStart"/>
      <w:r w:rsidRPr="00143F3B">
        <w:rPr>
          <w:rFonts w:ascii="Times New Roman" w:hAnsi="Times New Roman" w:cs="Times New Roman"/>
          <w:sz w:val="16"/>
        </w:rPr>
        <w:t>Microbiol</w:t>
      </w:r>
      <w:proofErr w:type="spellEnd"/>
      <w:r w:rsidRPr="00143F3B">
        <w:rPr>
          <w:rFonts w:ascii="Times New Roman" w:hAnsi="Times New Roman" w:cs="Times New Roman"/>
          <w:sz w:val="16"/>
        </w:rPr>
        <w:t xml:space="preserve"> [Internet]. [cited 2025 Jan 4];61(8</w:t>
      </w:r>
      <w:proofErr w:type="gramStart"/>
      <w:r w:rsidRPr="00143F3B">
        <w:rPr>
          <w:rFonts w:ascii="Times New Roman" w:hAnsi="Times New Roman" w:cs="Times New Roman"/>
          <w:sz w:val="16"/>
        </w:rPr>
        <w:t>):e</w:t>
      </w:r>
      <w:proofErr w:type="gramEnd"/>
      <w:r w:rsidRPr="00143F3B">
        <w:rPr>
          <w:rFonts w:ascii="Times New Roman" w:hAnsi="Times New Roman" w:cs="Times New Roman"/>
          <w:sz w:val="16"/>
        </w:rPr>
        <w:t>00592-23. Available from: https://www.ncbi.nlm.nih.gov/pmc/articles/PMC10446873/</w:t>
      </w:r>
    </w:p>
    <w:p w14:paraId="7E1E4C94"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16.</w:t>
      </w:r>
      <w:r w:rsidRPr="00143F3B">
        <w:rPr>
          <w:rFonts w:ascii="Times New Roman" w:hAnsi="Times New Roman" w:cs="Times New Roman"/>
          <w:sz w:val="16"/>
        </w:rPr>
        <w:tab/>
        <w:t xml:space="preserve">Real-Life Experience and Diagnostic Utility of the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xml:space="preserve"> Joint Infection PCR Panel in Bone and Joint Infections: Analysis of a Prospective Validation Study - PubMed [Internet]. [cited 2024 Dec 24]. Available from: https://pubmed.ncbi.nlm.nih.gov/37129850/</w:t>
      </w:r>
    </w:p>
    <w:p w14:paraId="6B6CBDE7"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17.</w:t>
      </w:r>
      <w:r w:rsidRPr="00143F3B">
        <w:rPr>
          <w:rFonts w:ascii="Times New Roman" w:hAnsi="Times New Roman" w:cs="Times New Roman"/>
          <w:sz w:val="16"/>
        </w:rPr>
        <w:tab/>
        <w:t xml:space="preserve">Saeed K, Ahmad-Saeed N, Annett R, Barlow G, Barrett L, Boyd SE, et al. A multicentre evaluation and expert recommendations of use of the newly developed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xml:space="preserve"> Joint Infection polymerase chain reaction panel. </w:t>
      </w:r>
      <w:proofErr w:type="spellStart"/>
      <w:r w:rsidRPr="00143F3B">
        <w:rPr>
          <w:rFonts w:ascii="Times New Roman" w:hAnsi="Times New Roman" w:cs="Times New Roman"/>
          <w:sz w:val="16"/>
        </w:rPr>
        <w:t>Eur</w:t>
      </w:r>
      <w:proofErr w:type="spellEnd"/>
      <w:r w:rsidRPr="00143F3B">
        <w:rPr>
          <w:rFonts w:ascii="Times New Roman" w:hAnsi="Times New Roman" w:cs="Times New Roman"/>
          <w:sz w:val="16"/>
        </w:rPr>
        <w:t xml:space="preserve"> J Clin </w:t>
      </w:r>
      <w:proofErr w:type="spellStart"/>
      <w:r w:rsidRPr="00143F3B">
        <w:rPr>
          <w:rFonts w:ascii="Times New Roman" w:hAnsi="Times New Roman" w:cs="Times New Roman"/>
          <w:sz w:val="16"/>
        </w:rPr>
        <w:t>Microbiol</w:t>
      </w:r>
      <w:proofErr w:type="spellEnd"/>
      <w:r w:rsidRPr="00143F3B">
        <w:rPr>
          <w:rFonts w:ascii="Times New Roman" w:hAnsi="Times New Roman" w:cs="Times New Roman"/>
          <w:sz w:val="16"/>
        </w:rPr>
        <w:t xml:space="preserve"> Infect Dis [Internet]. 2023 Feb 1 [cited 2025 Jan 4];42(2):169–76. Available from: https://doi.org/10.1007/s10096-022-04538-w</w:t>
      </w:r>
    </w:p>
    <w:p w14:paraId="45BE35BD"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18.</w:t>
      </w:r>
      <w:r w:rsidRPr="00143F3B">
        <w:rPr>
          <w:rFonts w:ascii="Times New Roman" w:hAnsi="Times New Roman" w:cs="Times New Roman"/>
          <w:sz w:val="16"/>
        </w:rPr>
        <w:tab/>
        <w:t xml:space="preserve">Esteban J, Salar-Vidal L, Schmitt BH, Waggoner A, Laurent F, Abad L, et al. </w:t>
      </w:r>
      <w:proofErr w:type="spellStart"/>
      <w:r w:rsidRPr="00143F3B">
        <w:rPr>
          <w:rFonts w:ascii="Times New Roman" w:hAnsi="Times New Roman" w:cs="Times New Roman"/>
          <w:sz w:val="16"/>
        </w:rPr>
        <w:t>Multicenter</w:t>
      </w:r>
      <w:proofErr w:type="spellEnd"/>
      <w:r w:rsidRPr="00143F3B">
        <w:rPr>
          <w:rFonts w:ascii="Times New Roman" w:hAnsi="Times New Roman" w:cs="Times New Roman"/>
          <w:sz w:val="16"/>
        </w:rPr>
        <w:t xml:space="preserve"> evaluation of the BIOFIRE Joint Infection Panel for the detection of bacteria, yeast, and AMR genes in synovial fluid samples. J Clin </w:t>
      </w:r>
      <w:proofErr w:type="spellStart"/>
      <w:r w:rsidRPr="00143F3B">
        <w:rPr>
          <w:rFonts w:ascii="Times New Roman" w:hAnsi="Times New Roman" w:cs="Times New Roman"/>
          <w:sz w:val="16"/>
        </w:rPr>
        <w:t>Microbiol</w:t>
      </w:r>
      <w:proofErr w:type="spellEnd"/>
      <w:r w:rsidRPr="00143F3B">
        <w:rPr>
          <w:rFonts w:ascii="Times New Roman" w:hAnsi="Times New Roman" w:cs="Times New Roman"/>
          <w:sz w:val="16"/>
        </w:rPr>
        <w:t xml:space="preserve"> [Internet]. [cited 2025 Jan 4];61(11</w:t>
      </w:r>
      <w:proofErr w:type="gramStart"/>
      <w:r w:rsidRPr="00143F3B">
        <w:rPr>
          <w:rFonts w:ascii="Times New Roman" w:hAnsi="Times New Roman" w:cs="Times New Roman"/>
          <w:sz w:val="16"/>
        </w:rPr>
        <w:t>):e</w:t>
      </w:r>
      <w:proofErr w:type="gramEnd"/>
      <w:r w:rsidRPr="00143F3B">
        <w:rPr>
          <w:rFonts w:ascii="Times New Roman" w:hAnsi="Times New Roman" w:cs="Times New Roman"/>
          <w:sz w:val="16"/>
        </w:rPr>
        <w:t>00357-23. Available from: https://www.ncbi.nlm.nih.gov/pmc/articles/PMC10662359/</w:t>
      </w:r>
    </w:p>
    <w:p w14:paraId="2D206003"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19.</w:t>
      </w:r>
      <w:r w:rsidRPr="00143F3B">
        <w:rPr>
          <w:rFonts w:ascii="Times New Roman" w:hAnsi="Times New Roman" w:cs="Times New Roman"/>
          <w:sz w:val="16"/>
        </w:rPr>
        <w:tab/>
        <w:t xml:space="preserve">Gaillard T, </w:t>
      </w:r>
      <w:proofErr w:type="spellStart"/>
      <w:r w:rsidRPr="00143F3B">
        <w:rPr>
          <w:rFonts w:ascii="Times New Roman" w:hAnsi="Times New Roman" w:cs="Times New Roman"/>
          <w:sz w:val="16"/>
        </w:rPr>
        <w:t>Dupieux</w:t>
      </w:r>
      <w:proofErr w:type="spellEnd"/>
      <w:r w:rsidRPr="00143F3B">
        <w:rPr>
          <w:rFonts w:ascii="Times New Roman" w:hAnsi="Times New Roman" w:cs="Times New Roman"/>
          <w:sz w:val="16"/>
        </w:rPr>
        <w:t xml:space="preserve">-Chabert C, Roux AL, Tessier E, Boutet-Dubois A, </w:t>
      </w:r>
      <w:proofErr w:type="spellStart"/>
      <w:r w:rsidRPr="00143F3B">
        <w:rPr>
          <w:rFonts w:ascii="Times New Roman" w:hAnsi="Times New Roman" w:cs="Times New Roman"/>
          <w:sz w:val="16"/>
        </w:rPr>
        <w:t>Courboulès</w:t>
      </w:r>
      <w:proofErr w:type="spellEnd"/>
      <w:r w:rsidRPr="00143F3B">
        <w:rPr>
          <w:rFonts w:ascii="Times New Roman" w:hAnsi="Times New Roman" w:cs="Times New Roman"/>
          <w:sz w:val="16"/>
        </w:rPr>
        <w:t xml:space="preserve"> C, et al. A prospective multicentre evaluation of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Joint Infection Panel for the rapid microbiological documentation of acute arthritis. Clinical Microbiology and Infection [Internet]. 2024 Jul 1 [cited 2025 Jan 4];30(7):905–10. Available from: https://www.sciencedirect.com/science/article/pii/S1198743X24001538</w:t>
      </w:r>
    </w:p>
    <w:p w14:paraId="4E103073"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20.</w:t>
      </w:r>
      <w:r w:rsidRPr="00143F3B">
        <w:rPr>
          <w:rFonts w:ascii="Times New Roman" w:hAnsi="Times New Roman" w:cs="Times New Roman"/>
          <w:sz w:val="16"/>
        </w:rPr>
        <w:tab/>
        <w:t xml:space="preserve">Schoenmakers JWA, de Boer R, Gard L, </w:t>
      </w:r>
      <w:proofErr w:type="spellStart"/>
      <w:r w:rsidRPr="00143F3B">
        <w:rPr>
          <w:rFonts w:ascii="Times New Roman" w:hAnsi="Times New Roman" w:cs="Times New Roman"/>
          <w:sz w:val="16"/>
        </w:rPr>
        <w:t>Kampinga</w:t>
      </w:r>
      <w:proofErr w:type="spellEnd"/>
      <w:r w:rsidRPr="00143F3B">
        <w:rPr>
          <w:rFonts w:ascii="Times New Roman" w:hAnsi="Times New Roman" w:cs="Times New Roman"/>
          <w:sz w:val="16"/>
        </w:rPr>
        <w:t xml:space="preserve"> GA, van </w:t>
      </w:r>
      <w:proofErr w:type="spellStart"/>
      <w:r w:rsidRPr="00143F3B">
        <w:rPr>
          <w:rFonts w:ascii="Times New Roman" w:hAnsi="Times New Roman" w:cs="Times New Roman"/>
          <w:sz w:val="16"/>
        </w:rPr>
        <w:t>Oosten</w:t>
      </w:r>
      <w:proofErr w:type="spellEnd"/>
      <w:r w:rsidRPr="00143F3B">
        <w:rPr>
          <w:rFonts w:ascii="Times New Roman" w:hAnsi="Times New Roman" w:cs="Times New Roman"/>
          <w:sz w:val="16"/>
        </w:rPr>
        <w:t xml:space="preserve"> M, van </w:t>
      </w:r>
      <w:proofErr w:type="spellStart"/>
      <w:r w:rsidRPr="00143F3B">
        <w:rPr>
          <w:rFonts w:ascii="Times New Roman" w:hAnsi="Times New Roman" w:cs="Times New Roman"/>
          <w:sz w:val="16"/>
        </w:rPr>
        <w:t>Dijl</w:t>
      </w:r>
      <w:proofErr w:type="spellEnd"/>
      <w:r w:rsidRPr="00143F3B">
        <w:rPr>
          <w:rFonts w:ascii="Times New Roman" w:hAnsi="Times New Roman" w:cs="Times New Roman"/>
          <w:sz w:val="16"/>
        </w:rPr>
        <w:t xml:space="preserve"> JM, et al. First evaluation of a commercial multiplex PCR panel for rapid detection of pathogens associated with acute joint infections. J Bone </w:t>
      </w:r>
      <w:proofErr w:type="spellStart"/>
      <w:r w:rsidRPr="00143F3B">
        <w:rPr>
          <w:rFonts w:ascii="Times New Roman" w:hAnsi="Times New Roman" w:cs="Times New Roman"/>
          <w:sz w:val="16"/>
        </w:rPr>
        <w:t>Jt</w:t>
      </w:r>
      <w:proofErr w:type="spellEnd"/>
      <w:r w:rsidRPr="00143F3B">
        <w:rPr>
          <w:rFonts w:ascii="Times New Roman" w:hAnsi="Times New Roman" w:cs="Times New Roman"/>
          <w:sz w:val="16"/>
        </w:rPr>
        <w:t xml:space="preserve"> Infect. 2023;8(1):45–50. </w:t>
      </w:r>
    </w:p>
    <w:p w14:paraId="5E1F920E" w14:textId="77777777" w:rsidR="007C14C2" w:rsidRPr="00143F3B" w:rsidRDefault="007C14C2" w:rsidP="007C14C2">
      <w:pPr>
        <w:pStyle w:val="Bibliography"/>
        <w:rPr>
          <w:rFonts w:ascii="Times New Roman" w:hAnsi="Times New Roman" w:cs="Times New Roman"/>
          <w:sz w:val="16"/>
        </w:rPr>
      </w:pPr>
      <w:r w:rsidRPr="00143F3B">
        <w:rPr>
          <w:rFonts w:ascii="Times New Roman" w:hAnsi="Times New Roman" w:cs="Times New Roman"/>
          <w:sz w:val="16"/>
        </w:rPr>
        <w:t>21.</w:t>
      </w:r>
      <w:r w:rsidRPr="00143F3B">
        <w:rPr>
          <w:rFonts w:ascii="Times New Roman" w:hAnsi="Times New Roman" w:cs="Times New Roman"/>
          <w:sz w:val="16"/>
        </w:rPr>
        <w:tab/>
        <w:t xml:space="preserve">Salar-Vidal L, Chaves C, </w:t>
      </w:r>
      <w:proofErr w:type="spellStart"/>
      <w:r w:rsidRPr="00143F3B">
        <w:rPr>
          <w:rFonts w:ascii="Times New Roman" w:hAnsi="Times New Roman" w:cs="Times New Roman"/>
          <w:sz w:val="16"/>
        </w:rPr>
        <w:t>Dianzo</w:t>
      </w:r>
      <w:proofErr w:type="spellEnd"/>
      <w:r w:rsidRPr="00143F3B">
        <w:rPr>
          <w:rFonts w:ascii="Times New Roman" w:hAnsi="Times New Roman" w:cs="Times New Roman"/>
          <w:sz w:val="16"/>
        </w:rPr>
        <w:t xml:space="preserve">-Delgado IT, Favier P, Giner-Almaraz S, Gómez-Gómez MJ, et al. </w:t>
      </w:r>
      <w:proofErr w:type="spellStart"/>
      <w:r w:rsidRPr="00143F3B">
        <w:rPr>
          <w:rFonts w:ascii="Times New Roman" w:hAnsi="Times New Roman" w:cs="Times New Roman"/>
          <w:sz w:val="16"/>
        </w:rPr>
        <w:t>Multicenter</w:t>
      </w:r>
      <w:proofErr w:type="spellEnd"/>
      <w:r w:rsidRPr="00143F3B">
        <w:rPr>
          <w:rFonts w:ascii="Times New Roman" w:hAnsi="Times New Roman" w:cs="Times New Roman"/>
          <w:sz w:val="16"/>
        </w:rPr>
        <w:t xml:space="preserve"> evaluation of </w:t>
      </w:r>
      <w:proofErr w:type="spellStart"/>
      <w:r w:rsidRPr="00143F3B">
        <w:rPr>
          <w:rFonts w:ascii="Times New Roman" w:hAnsi="Times New Roman" w:cs="Times New Roman"/>
          <w:sz w:val="16"/>
        </w:rPr>
        <w:t>BioFire</w:t>
      </w:r>
      <w:proofErr w:type="spellEnd"/>
      <w:r w:rsidRPr="00143F3B">
        <w:rPr>
          <w:rFonts w:ascii="Times New Roman" w:hAnsi="Times New Roman" w:cs="Times New Roman"/>
          <w:sz w:val="16"/>
        </w:rPr>
        <w:t xml:space="preserve"> JI panel related to improved microbiological diagnostics on acute osteoarticular infections. International Journal of Medical Microbiology [Internet]. 2023 Nov 1 [cited 2025 Jan 4];313(6):151588. Available from: https://www.sciencedirect.com/science/article/pii/S1438422123000164</w:t>
      </w:r>
    </w:p>
    <w:p w14:paraId="2924B38C" w14:textId="32472573" w:rsidR="00115165" w:rsidRPr="00B66255" w:rsidRDefault="007C14C2" w:rsidP="00FB4021">
      <w:pPr>
        <w:pStyle w:val="Bibliography"/>
        <w:rPr>
          <w:rFonts w:asciiTheme="majorBidi" w:hAnsiTheme="majorBidi" w:cstheme="majorBidi"/>
          <w:sz w:val="16"/>
          <w:szCs w:val="16"/>
        </w:rPr>
      </w:pPr>
      <w:r w:rsidRPr="00143F3B">
        <w:rPr>
          <w:rFonts w:ascii="Times New Roman" w:hAnsi="Times New Roman" w:cs="Times New Roman"/>
          <w:sz w:val="16"/>
        </w:rPr>
        <w:t>22.</w:t>
      </w:r>
      <w:r w:rsidRPr="00143F3B">
        <w:rPr>
          <w:rFonts w:ascii="Times New Roman" w:hAnsi="Times New Roman" w:cs="Times New Roman"/>
          <w:sz w:val="16"/>
        </w:rPr>
        <w:tab/>
        <w:t xml:space="preserve">Frank BJH, </w:t>
      </w:r>
      <w:proofErr w:type="spellStart"/>
      <w:r w:rsidRPr="00143F3B">
        <w:rPr>
          <w:rFonts w:ascii="Times New Roman" w:hAnsi="Times New Roman" w:cs="Times New Roman"/>
          <w:sz w:val="16"/>
        </w:rPr>
        <w:t>Aichmair</w:t>
      </w:r>
      <w:proofErr w:type="spellEnd"/>
      <w:r w:rsidRPr="00143F3B">
        <w:rPr>
          <w:rFonts w:ascii="Times New Roman" w:hAnsi="Times New Roman" w:cs="Times New Roman"/>
          <w:sz w:val="16"/>
        </w:rPr>
        <w:t xml:space="preserve"> A, Simon S, Schwarz GM, </w:t>
      </w:r>
      <w:proofErr w:type="spellStart"/>
      <w:r w:rsidRPr="00143F3B">
        <w:rPr>
          <w:rFonts w:ascii="Times New Roman" w:hAnsi="Times New Roman" w:cs="Times New Roman"/>
          <w:sz w:val="16"/>
        </w:rPr>
        <w:t>Dominkus</w:t>
      </w:r>
      <w:proofErr w:type="spellEnd"/>
      <w:r w:rsidRPr="00143F3B">
        <w:rPr>
          <w:rFonts w:ascii="Times New Roman" w:hAnsi="Times New Roman" w:cs="Times New Roman"/>
          <w:sz w:val="16"/>
        </w:rPr>
        <w:t xml:space="preserve"> M, </w:t>
      </w:r>
      <w:proofErr w:type="spellStart"/>
      <w:r w:rsidRPr="00143F3B">
        <w:rPr>
          <w:rFonts w:ascii="Times New Roman" w:hAnsi="Times New Roman" w:cs="Times New Roman"/>
          <w:sz w:val="16"/>
        </w:rPr>
        <w:t>Hofstaetter</w:t>
      </w:r>
      <w:proofErr w:type="spellEnd"/>
      <w:r w:rsidRPr="00143F3B">
        <w:rPr>
          <w:rFonts w:ascii="Times New Roman" w:hAnsi="Times New Roman" w:cs="Times New Roman"/>
          <w:sz w:val="16"/>
        </w:rPr>
        <w:t xml:space="preserve"> JG. Analysis of Culture Positive First and Second Stage Procedures in Periprosthetic Knee and Hip Joint Infections. J Arthroplasty. 2021 Jun;36(6):2158–64. </w:t>
      </w:r>
      <w:r w:rsidR="00115165" w:rsidRPr="00143F3B">
        <w:rPr>
          <w:rFonts w:asciiTheme="majorBidi" w:hAnsiTheme="majorBidi" w:cstheme="majorBidi"/>
          <w:sz w:val="16"/>
          <w:szCs w:val="16"/>
        </w:rPr>
        <w:fldChar w:fldCharType="end"/>
      </w:r>
    </w:p>
    <w:sectPr w:rsidR="00115165" w:rsidRPr="00B66255" w:rsidSect="00BB34CE">
      <w:footerReference w:type="defaul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B7BE" w14:textId="77777777" w:rsidR="00E870EF" w:rsidRDefault="00E870EF" w:rsidP="0010574C">
      <w:r>
        <w:separator/>
      </w:r>
    </w:p>
  </w:endnote>
  <w:endnote w:type="continuationSeparator" w:id="0">
    <w:p w14:paraId="26F2CA83" w14:textId="77777777" w:rsidR="00E870EF" w:rsidRDefault="00E870EF" w:rsidP="001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79782842"/>
      <w:docPartObj>
        <w:docPartGallery w:val="Page Numbers (Bottom of Page)"/>
        <w:docPartUnique/>
      </w:docPartObj>
    </w:sdtPr>
    <w:sdtEndPr>
      <w:rPr>
        <w:rFonts w:asciiTheme="majorBidi" w:hAnsiTheme="majorBidi" w:cstheme="majorBidi"/>
        <w:color w:val="7F7F7F" w:themeColor="background1" w:themeShade="7F"/>
        <w:spacing w:val="60"/>
      </w:rPr>
    </w:sdtEndPr>
    <w:sdtContent>
      <w:p w14:paraId="5B2E27AA" w14:textId="16B611FA" w:rsidR="008200B8" w:rsidRPr="008200B8" w:rsidRDefault="008200B8" w:rsidP="00B116BC">
        <w:pPr>
          <w:pStyle w:val="Footer"/>
          <w:pBdr>
            <w:top w:val="single" w:sz="4" w:space="1" w:color="D9D9D9" w:themeColor="background1" w:themeShade="D9"/>
          </w:pBdr>
          <w:bidi/>
          <w:ind w:left="0"/>
          <w:jc w:val="left"/>
          <w:rPr>
            <w:rFonts w:asciiTheme="majorBidi" w:hAnsiTheme="majorBidi" w:cstheme="majorBidi"/>
            <w:b/>
            <w:bCs/>
          </w:rPr>
        </w:pPr>
        <w:r w:rsidRPr="008200B8">
          <w:rPr>
            <w:rFonts w:asciiTheme="majorBidi" w:hAnsiTheme="majorBidi" w:cstheme="majorBidi"/>
          </w:rPr>
          <w:fldChar w:fldCharType="begin"/>
        </w:r>
        <w:r w:rsidRPr="008200B8">
          <w:rPr>
            <w:rFonts w:asciiTheme="majorBidi" w:hAnsiTheme="majorBidi" w:cstheme="majorBidi"/>
          </w:rPr>
          <w:instrText xml:space="preserve"> PAGE   \* MERGEFORMAT </w:instrText>
        </w:r>
        <w:r w:rsidRPr="008200B8">
          <w:rPr>
            <w:rFonts w:asciiTheme="majorBidi" w:hAnsiTheme="majorBidi" w:cstheme="majorBidi"/>
          </w:rPr>
          <w:fldChar w:fldCharType="separate"/>
        </w:r>
        <w:r w:rsidRPr="008200B8">
          <w:rPr>
            <w:rFonts w:asciiTheme="majorBidi" w:hAnsiTheme="majorBidi" w:cstheme="majorBidi"/>
            <w:b/>
            <w:bCs/>
            <w:noProof/>
          </w:rPr>
          <w:t>2</w:t>
        </w:r>
        <w:r w:rsidRPr="008200B8">
          <w:rPr>
            <w:rFonts w:asciiTheme="majorBidi" w:hAnsiTheme="majorBidi" w:cstheme="majorBidi"/>
            <w:b/>
            <w:bCs/>
            <w:noProof/>
          </w:rPr>
          <w:fldChar w:fldCharType="end"/>
        </w:r>
        <w:r w:rsidRPr="008200B8">
          <w:rPr>
            <w:rFonts w:asciiTheme="majorBidi" w:hAnsiTheme="majorBidi" w:cstheme="majorBidi"/>
            <w:b/>
            <w:bCs/>
          </w:rPr>
          <w:t xml:space="preserve"> </w:t>
        </w:r>
        <w:r w:rsidR="00B116BC" w:rsidRPr="008200B8">
          <w:rPr>
            <w:rFonts w:asciiTheme="majorBidi" w:hAnsiTheme="majorBidi" w:cstheme="majorBidi"/>
            <w:color w:val="7F7F7F" w:themeColor="background1" w:themeShade="7F"/>
            <w:spacing w:val="60"/>
          </w:rPr>
          <w:t>Page</w:t>
        </w:r>
        <w:r w:rsidR="00B116BC" w:rsidRPr="008200B8">
          <w:rPr>
            <w:rFonts w:asciiTheme="majorBidi" w:hAnsiTheme="majorBidi" w:cstheme="majorBidi"/>
            <w:b/>
            <w:bCs/>
          </w:rPr>
          <w:t xml:space="preserve"> </w:t>
        </w:r>
        <w:r w:rsidRPr="008200B8">
          <w:rPr>
            <w:rFonts w:asciiTheme="majorBidi" w:hAnsiTheme="majorBidi" w:cstheme="majorBidi"/>
            <w:b/>
            <w:bCs/>
          </w:rPr>
          <w:t xml:space="preserve">| </w:t>
        </w:r>
      </w:p>
    </w:sdtContent>
  </w:sdt>
  <w:p w14:paraId="5E4E4AEC" w14:textId="77777777" w:rsidR="0010574C" w:rsidRDefault="0010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D0F2" w14:textId="77777777" w:rsidR="00E870EF" w:rsidRDefault="00E870EF" w:rsidP="0010574C">
      <w:r>
        <w:separator/>
      </w:r>
    </w:p>
  </w:footnote>
  <w:footnote w:type="continuationSeparator" w:id="0">
    <w:p w14:paraId="014FE165" w14:textId="77777777" w:rsidR="00E870EF" w:rsidRDefault="00E870EF" w:rsidP="0010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1270"/>
    <w:multiLevelType w:val="hybridMultilevel"/>
    <w:tmpl w:val="0616EF5A"/>
    <w:lvl w:ilvl="0" w:tplc="0809000F">
      <w:start w:val="1"/>
      <w:numFmt w:val="decimal"/>
      <w:lvlText w:val="%1."/>
      <w:lvlJc w:val="left"/>
      <w:pPr>
        <w:ind w:left="1721" w:hanging="360"/>
      </w:pPr>
    </w:lvl>
    <w:lvl w:ilvl="1" w:tplc="08090019" w:tentative="1">
      <w:start w:val="1"/>
      <w:numFmt w:val="lowerLetter"/>
      <w:lvlText w:val="%2."/>
      <w:lvlJc w:val="left"/>
      <w:pPr>
        <w:ind w:left="2441" w:hanging="360"/>
      </w:pPr>
    </w:lvl>
    <w:lvl w:ilvl="2" w:tplc="0809001B" w:tentative="1">
      <w:start w:val="1"/>
      <w:numFmt w:val="lowerRoman"/>
      <w:lvlText w:val="%3."/>
      <w:lvlJc w:val="right"/>
      <w:pPr>
        <w:ind w:left="3161" w:hanging="180"/>
      </w:pPr>
    </w:lvl>
    <w:lvl w:ilvl="3" w:tplc="0809000F" w:tentative="1">
      <w:start w:val="1"/>
      <w:numFmt w:val="decimal"/>
      <w:lvlText w:val="%4."/>
      <w:lvlJc w:val="left"/>
      <w:pPr>
        <w:ind w:left="3881" w:hanging="360"/>
      </w:pPr>
    </w:lvl>
    <w:lvl w:ilvl="4" w:tplc="08090019" w:tentative="1">
      <w:start w:val="1"/>
      <w:numFmt w:val="lowerLetter"/>
      <w:lvlText w:val="%5."/>
      <w:lvlJc w:val="left"/>
      <w:pPr>
        <w:ind w:left="4601" w:hanging="360"/>
      </w:pPr>
    </w:lvl>
    <w:lvl w:ilvl="5" w:tplc="0809001B" w:tentative="1">
      <w:start w:val="1"/>
      <w:numFmt w:val="lowerRoman"/>
      <w:lvlText w:val="%6."/>
      <w:lvlJc w:val="right"/>
      <w:pPr>
        <w:ind w:left="5321" w:hanging="180"/>
      </w:pPr>
    </w:lvl>
    <w:lvl w:ilvl="6" w:tplc="0809000F" w:tentative="1">
      <w:start w:val="1"/>
      <w:numFmt w:val="decimal"/>
      <w:lvlText w:val="%7."/>
      <w:lvlJc w:val="left"/>
      <w:pPr>
        <w:ind w:left="6041" w:hanging="360"/>
      </w:pPr>
    </w:lvl>
    <w:lvl w:ilvl="7" w:tplc="08090019" w:tentative="1">
      <w:start w:val="1"/>
      <w:numFmt w:val="lowerLetter"/>
      <w:lvlText w:val="%8."/>
      <w:lvlJc w:val="left"/>
      <w:pPr>
        <w:ind w:left="6761" w:hanging="360"/>
      </w:pPr>
    </w:lvl>
    <w:lvl w:ilvl="8" w:tplc="0809001B" w:tentative="1">
      <w:start w:val="1"/>
      <w:numFmt w:val="lowerRoman"/>
      <w:lvlText w:val="%9."/>
      <w:lvlJc w:val="right"/>
      <w:pPr>
        <w:ind w:left="7481" w:hanging="180"/>
      </w:pPr>
    </w:lvl>
  </w:abstractNum>
  <w:abstractNum w:abstractNumId="1" w15:restartNumberingAfterBreak="0">
    <w:nsid w:val="05066533"/>
    <w:multiLevelType w:val="multilevel"/>
    <w:tmpl w:val="54E68D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F77550"/>
    <w:multiLevelType w:val="hybridMultilevel"/>
    <w:tmpl w:val="C8A4D924"/>
    <w:lvl w:ilvl="0" w:tplc="08090005">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3" w15:restartNumberingAfterBreak="0">
    <w:nsid w:val="116C18CF"/>
    <w:multiLevelType w:val="hybridMultilevel"/>
    <w:tmpl w:val="0A6C48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04E77"/>
    <w:multiLevelType w:val="multilevel"/>
    <w:tmpl w:val="F53ED8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3CE5A12"/>
    <w:multiLevelType w:val="hybridMultilevel"/>
    <w:tmpl w:val="4A344362"/>
    <w:lvl w:ilvl="0" w:tplc="08090013">
      <w:start w:val="1"/>
      <w:numFmt w:val="upp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28632166"/>
    <w:multiLevelType w:val="multilevel"/>
    <w:tmpl w:val="F34A07FA"/>
    <w:lvl w:ilvl="0">
      <w:start w:val="1"/>
      <w:numFmt w:val="decimal"/>
      <w:lvlText w:val="%1."/>
      <w:lvlJc w:val="left"/>
      <w:pPr>
        <w:tabs>
          <w:tab w:val="num" w:pos="1721"/>
        </w:tabs>
        <w:ind w:left="1721" w:hanging="360"/>
      </w:pPr>
      <w:rPr>
        <w:rFonts w:asciiTheme="majorBidi" w:eastAsiaTheme="minorHAnsi" w:hAnsiTheme="majorBidi" w:cstheme="majorBidi"/>
        <w:sz w:val="20"/>
      </w:rPr>
    </w:lvl>
    <w:lvl w:ilvl="1" w:tentative="1">
      <w:start w:val="1"/>
      <w:numFmt w:val="bullet"/>
      <w:lvlText w:val="o"/>
      <w:lvlJc w:val="left"/>
      <w:pPr>
        <w:tabs>
          <w:tab w:val="num" w:pos="2441"/>
        </w:tabs>
        <w:ind w:left="2441" w:hanging="360"/>
      </w:pPr>
      <w:rPr>
        <w:rFonts w:ascii="Courier New" w:hAnsi="Courier New" w:hint="default"/>
        <w:sz w:val="20"/>
      </w:rPr>
    </w:lvl>
    <w:lvl w:ilvl="2" w:tentative="1">
      <w:start w:val="1"/>
      <w:numFmt w:val="bullet"/>
      <w:lvlText w:val=""/>
      <w:lvlJc w:val="left"/>
      <w:pPr>
        <w:tabs>
          <w:tab w:val="num" w:pos="3161"/>
        </w:tabs>
        <w:ind w:left="3161" w:hanging="360"/>
      </w:pPr>
      <w:rPr>
        <w:rFonts w:ascii="Wingdings" w:hAnsi="Wingdings" w:hint="default"/>
        <w:sz w:val="20"/>
      </w:rPr>
    </w:lvl>
    <w:lvl w:ilvl="3" w:tentative="1">
      <w:start w:val="1"/>
      <w:numFmt w:val="bullet"/>
      <w:lvlText w:val=""/>
      <w:lvlJc w:val="left"/>
      <w:pPr>
        <w:tabs>
          <w:tab w:val="num" w:pos="3881"/>
        </w:tabs>
        <w:ind w:left="3881" w:hanging="360"/>
      </w:pPr>
      <w:rPr>
        <w:rFonts w:ascii="Wingdings" w:hAnsi="Wingdings" w:hint="default"/>
        <w:sz w:val="20"/>
      </w:rPr>
    </w:lvl>
    <w:lvl w:ilvl="4" w:tentative="1">
      <w:start w:val="1"/>
      <w:numFmt w:val="bullet"/>
      <w:lvlText w:val=""/>
      <w:lvlJc w:val="left"/>
      <w:pPr>
        <w:tabs>
          <w:tab w:val="num" w:pos="4601"/>
        </w:tabs>
        <w:ind w:left="4601" w:hanging="360"/>
      </w:pPr>
      <w:rPr>
        <w:rFonts w:ascii="Wingdings" w:hAnsi="Wingdings" w:hint="default"/>
        <w:sz w:val="20"/>
      </w:rPr>
    </w:lvl>
    <w:lvl w:ilvl="5" w:tentative="1">
      <w:start w:val="1"/>
      <w:numFmt w:val="bullet"/>
      <w:lvlText w:val=""/>
      <w:lvlJc w:val="left"/>
      <w:pPr>
        <w:tabs>
          <w:tab w:val="num" w:pos="5321"/>
        </w:tabs>
        <w:ind w:left="5321" w:hanging="360"/>
      </w:pPr>
      <w:rPr>
        <w:rFonts w:ascii="Wingdings" w:hAnsi="Wingdings" w:hint="default"/>
        <w:sz w:val="20"/>
      </w:rPr>
    </w:lvl>
    <w:lvl w:ilvl="6" w:tentative="1">
      <w:start w:val="1"/>
      <w:numFmt w:val="bullet"/>
      <w:lvlText w:val=""/>
      <w:lvlJc w:val="left"/>
      <w:pPr>
        <w:tabs>
          <w:tab w:val="num" w:pos="6041"/>
        </w:tabs>
        <w:ind w:left="6041" w:hanging="360"/>
      </w:pPr>
      <w:rPr>
        <w:rFonts w:ascii="Wingdings" w:hAnsi="Wingdings" w:hint="default"/>
        <w:sz w:val="20"/>
      </w:rPr>
    </w:lvl>
    <w:lvl w:ilvl="7" w:tentative="1">
      <w:start w:val="1"/>
      <w:numFmt w:val="bullet"/>
      <w:lvlText w:val=""/>
      <w:lvlJc w:val="left"/>
      <w:pPr>
        <w:tabs>
          <w:tab w:val="num" w:pos="6761"/>
        </w:tabs>
        <w:ind w:left="6761" w:hanging="360"/>
      </w:pPr>
      <w:rPr>
        <w:rFonts w:ascii="Wingdings" w:hAnsi="Wingdings" w:hint="default"/>
        <w:sz w:val="20"/>
      </w:rPr>
    </w:lvl>
    <w:lvl w:ilvl="8" w:tentative="1">
      <w:start w:val="1"/>
      <w:numFmt w:val="bullet"/>
      <w:lvlText w:val=""/>
      <w:lvlJc w:val="left"/>
      <w:pPr>
        <w:tabs>
          <w:tab w:val="num" w:pos="7481"/>
        </w:tabs>
        <w:ind w:left="7481" w:hanging="360"/>
      </w:pPr>
      <w:rPr>
        <w:rFonts w:ascii="Wingdings" w:hAnsi="Wingdings" w:hint="default"/>
        <w:sz w:val="20"/>
      </w:rPr>
    </w:lvl>
  </w:abstractNum>
  <w:abstractNum w:abstractNumId="7" w15:restartNumberingAfterBreak="0">
    <w:nsid w:val="32DB3169"/>
    <w:multiLevelType w:val="multilevel"/>
    <w:tmpl w:val="A5BA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D06C4"/>
    <w:multiLevelType w:val="hybridMultilevel"/>
    <w:tmpl w:val="86C4B3E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3361F9"/>
    <w:multiLevelType w:val="hybridMultilevel"/>
    <w:tmpl w:val="7F36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E1A2A"/>
    <w:multiLevelType w:val="hybridMultilevel"/>
    <w:tmpl w:val="EA74083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EF51DD"/>
    <w:multiLevelType w:val="hybridMultilevel"/>
    <w:tmpl w:val="4A120252"/>
    <w:lvl w:ilvl="0" w:tplc="08090005">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2" w15:restartNumberingAfterBreak="0">
    <w:nsid w:val="3D745A84"/>
    <w:multiLevelType w:val="multilevel"/>
    <w:tmpl w:val="6BD8C4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DAE77D3"/>
    <w:multiLevelType w:val="multilevel"/>
    <w:tmpl w:val="7926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D3B0D"/>
    <w:multiLevelType w:val="hybridMultilevel"/>
    <w:tmpl w:val="582299B2"/>
    <w:lvl w:ilvl="0" w:tplc="08090005">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5" w15:restartNumberingAfterBreak="0">
    <w:nsid w:val="41F63E39"/>
    <w:multiLevelType w:val="multilevel"/>
    <w:tmpl w:val="ACC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70AFC"/>
    <w:multiLevelType w:val="hybridMultilevel"/>
    <w:tmpl w:val="2DC44442"/>
    <w:lvl w:ilvl="0" w:tplc="0809000F">
      <w:start w:val="1"/>
      <w:numFmt w:val="decimal"/>
      <w:lvlText w:val="%1."/>
      <w:lvlJc w:val="left"/>
      <w:pPr>
        <w:ind w:left="1721" w:hanging="360"/>
      </w:pPr>
    </w:lvl>
    <w:lvl w:ilvl="1" w:tplc="08090019" w:tentative="1">
      <w:start w:val="1"/>
      <w:numFmt w:val="lowerLetter"/>
      <w:lvlText w:val="%2."/>
      <w:lvlJc w:val="left"/>
      <w:pPr>
        <w:ind w:left="2441" w:hanging="360"/>
      </w:pPr>
    </w:lvl>
    <w:lvl w:ilvl="2" w:tplc="0809001B" w:tentative="1">
      <w:start w:val="1"/>
      <w:numFmt w:val="lowerRoman"/>
      <w:lvlText w:val="%3."/>
      <w:lvlJc w:val="right"/>
      <w:pPr>
        <w:ind w:left="3161" w:hanging="180"/>
      </w:pPr>
    </w:lvl>
    <w:lvl w:ilvl="3" w:tplc="0809000F" w:tentative="1">
      <w:start w:val="1"/>
      <w:numFmt w:val="decimal"/>
      <w:lvlText w:val="%4."/>
      <w:lvlJc w:val="left"/>
      <w:pPr>
        <w:ind w:left="3881" w:hanging="360"/>
      </w:pPr>
    </w:lvl>
    <w:lvl w:ilvl="4" w:tplc="08090019" w:tentative="1">
      <w:start w:val="1"/>
      <w:numFmt w:val="lowerLetter"/>
      <w:lvlText w:val="%5."/>
      <w:lvlJc w:val="left"/>
      <w:pPr>
        <w:ind w:left="4601" w:hanging="360"/>
      </w:pPr>
    </w:lvl>
    <w:lvl w:ilvl="5" w:tplc="0809001B" w:tentative="1">
      <w:start w:val="1"/>
      <w:numFmt w:val="lowerRoman"/>
      <w:lvlText w:val="%6."/>
      <w:lvlJc w:val="right"/>
      <w:pPr>
        <w:ind w:left="5321" w:hanging="180"/>
      </w:pPr>
    </w:lvl>
    <w:lvl w:ilvl="6" w:tplc="0809000F" w:tentative="1">
      <w:start w:val="1"/>
      <w:numFmt w:val="decimal"/>
      <w:lvlText w:val="%7."/>
      <w:lvlJc w:val="left"/>
      <w:pPr>
        <w:ind w:left="6041" w:hanging="360"/>
      </w:pPr>
    </w:lvl>
    <w:lvl w:ilvl="7" w:tplc="08090019" w:tentative="1">
      <w:start w:val="1"/>
      <w:numFmt w:val="lowerLetter"/>
      <w:lvlText w:val="%8."/>
      <w:lvlJc w:val="left"/>
      <w:pPr>
        <w:ind w:left="6761" w:hanging="360"/>
      </w:pPr>
    </w:lvl>
    <w:lvl w:ilvl="8" w:tplc="0809001B" w:tentative="1">
      <w:start w:val="1"/>
      <w:numFmt w:val="lowerRoman"/>
      <w:lvlText w:val="%9."/>
      <w:lvlJc w:val="right"/>
      <w:pPr>
        <w:ind w:left="7481" w:hanging="180"/>
      </w:pPr>
    </w:lvl>
  </w:abstractNum>
  <w:abstractNum w:abstractNumId="17" w15:restartNumberingAfterBreak="0">
    <w:nsid w:val="4AA0F1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0D3435"/>
    <w:multiLevelType w:val="hybridMultilevel"/>
    <w:tmpl w:val="40B02EE4"/>
    <w:lvl w:ilvl="0" w:tplc="08090013">
      <w:start w:val="1"/>
      <w:numFmt w:val="upperRoman"/>
      <w:lvlText w:val="%1."/>
      <w:lvlJc w:val="righ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9" w15:restartNumberingAfterBreak="0">
    <w:nsid w:val="5DE61A41"/>
    <w:multiLevelType w:val="hybridMultilevel"/>
    <w:tmpl w:val="C45C923C"/>
    <w:lvl w:ilvl="0" w:tplc="75941DF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9114F"/>
    <w:multiLevelType w:val="multilevel"/>
    <w:tmpl w:val="60D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3063D"/>
    <w:multiLevelType w:val="hybridMultilevel"/>
    <w:tmpl w:val="1D20B8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033AF"/>
    <w:multiLevelType w:val="multilevel"/>
    <w:tmpl w:val="F5B27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3B10D2A"/>
    <w:multiLevelType w:val="multilevel"/>
    <w:tmpl w:val="07DCDA36"/>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785A0B"/>
    <w:multiLevelType w:val="hybridMultilevel"/>
    <w:tmpl w:val="B1720C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B5121"/>
    <w:multiLevelType w:val="multilevel"/>
    <w:tmpl w:val="2572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723776">
    <w:abstractNumId w:val="17"/>
  </w:num>
  <w:num w:numId="2" w16cid:durableId="2018343762">
    <w:abstractNumId w:val="13"/>
  </w:num>
  <w:num w:numId="3" w16cid:durableId="466751333">
    <w:abstractNumId w:val="20"/>
  </w:num>
  <w:num w:numId="4" w16cid:durableId="1835147755">
    <w:abstractNumId w:val="6"/>
  </w:num>
  <w:num w:numId="5" w16cid:durableId="1175342530">
    <w:abstractNumId w:val="25"/>
  </w:num>
  <w:num w:numId="6" w16cid:durableId="963003637">
    <w:abstractNumId w:val="15"/>
  </w:num>
  <w:num w:numId="7" w16cid:durableId="560096760">
    <w:abstractNumId w:val="7"/>
  </w:num>
  <w:num w:numId="8" w16cid:durableId="1906531520">
    <w:abstractNumId w:val="12"/>
  </w:num>
  <w:num w:numId="9" w16cid:durableId="1301419885">
    <w:abstractNumId w:val="1"/>
  </w:num>
  <w:num w:numId="10" w16cid:durableId="48774771">
    <w:abstractNumId w:val="22"/>
  </w:num>
  <w:num w:numId="11" w16cid:durableId="1281451086">
    <w:abstractNumId w:val="4"/>
  </w:num>
  <w:num w:numId="12" w16cid:durableId="1127354786">
    <w:abstractNumId w:val="8"/>
  </w:num>
  <w:num w:numId="13" w16cid:durableId="142240522">
    <w:abstractNumId w:val="5"/>
  </w:num>
  <w:num w:numId="14" w16cid:durableId="990642978">
    <w:abstractNumId w:val="18"/>
  </w:num>
  <w:num w:numId="15" w16cid:durableId="1940485194">
    <w:abstractNumId w:val="3"/>
  </w:num>
  <w:num w:numId="16" w16cid:durableId="1940720293">
    <w:abstractNumId w:val="19"/>
  </w:num>
  <w:num w:numId="17" w16cid:durableId="946622577">
    <w:abstractNumId w:val="23"/>
  </w:num>
  <w:num w:numId="18" w16cid:durableId="1171749345">
    <w:abstractNumId w:val="10"/>
  </w:num>
  <w:num w:numId="19" w16cid:durableId="180363434">
    <w:abstractNumId w:val="24"/>
  </w:num>
  <w:num w:numId="20" w16cid:durableId="117266969">
    <w:abstractNumId w:val="14"/>
  </w:num>
  <w:num w:numId="21" w16cid:durableId="687680549">
    <w:abstractNumId w:val="11"/>
  </w:num>
  <w:num w:numId="22" w16cid:durableId="1202481138">
    <w:abstractNumId w:val="0"/>
  </w:num>
  <w:num w:numId="23" w16cid:durableId="1400205996">
    <w:abstractNumId w:val="2"/>
  </w:num>
  <w:num w:numId="24" w16cid:durableId="1972519735">
    <w:abstractNumId w:val="16"/>
  </w:num>
  <w:num w:numId="25" w16cid:durableId="931357800">
    <w:abstractNumId w:val="9"/>
  </w:num>
  <w:num w:numId="26" w16cid:durableId="10818759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C8"/>
    <w:rsid w:val="00002654"/>
    <w:rsid w:val="00002F6B"/>
    <w:rsid w:val="000108A5"/>
    <w:rsid w:val="00014309"/>
    <w:rsid w:val="0001463F"/>
    <w:rsid w:val="0002171E"/>
    <w:rsid w:val="00021758"/>
    <w:rsid w:val="00022FB4"/>
    <w:rsid w:val="00026C07"/>
    <w:rsid w:val="00032C31"/>
    <w:rsid w:val="00033CEB"/>
    <w:rsid w:val="000341AB"/>
    <w:rsid w:val="00035917"/>
    <w:rsid w:val="00044DDA"/>
    <w:rsid w:val="00053D33"/>
    <w:rsid w:val="00064936"/>
    <w:rsid w:val="00067418"/>
    <w:rsid w:val="000706C4"/>
    <w:rsid w:val="00087453"/>
    <w:rsid w:val="00092D14"/>
    <w:rsid w:val="000A27E2"/>
    <w:rsid w:val="000A3168"/>
    <w:rsid w:val="000A427F"/>
    <w:rsid w:val="000A5F09"/>
    <w:rsid w:val="000C00BC"/>
    <w:rsid w:val="000C02EE"/>
    <w:rsid w:val="000C110D"/>
    <w:rsid w:val="000C402A"/>
    <w:rsid w:val="000C4077"/>
    <w:rsid w:val="000C5C43"/>
    <w:rsid w:val="000D4132"/>
    <w:rsid w:val="000D5F42"/>
    <w:rsid w:val="000E0C79"/>
    <w:rsid w:val="000E3CE9"/>
    <w:rsid w:val="000F167B"/>
    <w:rsid w:val="000F24B0"/>
    <w:rsid w:val="000F75C6"/>
    <w:rsid w:val="00102A4B"/>
    <w:rsid w:val="0010314C"/>
    <w:rsid w:val="001032A7"/>
    <w:rsid w:val="00103ECF"/>
    <w:rsid w:val="00104D78"/>
    <w:rsid w:val="0010574C"/>
    <w:rsid w:val="001119CE"/>
    <w:rsid w:val="00111DAD"/>
    <w:rsid w:val="00115165"/>
    <w:rsid w:val="00121D2A"/>
    <w:rsid w:val="00123A89"/>
    <w:rsid w:val="001241D5"/>
    <w:rsid w:val="001255D6"/>
    <w:rsid w:val="001304ED"/>
    <w:rsid w:val="00133607"/>
    <w:rsid w:val="0013525E"/>
    <w:rsid w:val="00142C32"/>
    <w:rsid w:val="00142CBC"/>
    <w:rsid w:val="00143F3B"/>
    <w:rsid w:val="00144423"/>
    <w:rsid w:val="00154B63"/>
    <w:rsid w:val="00157809"/>
    <w:rsid w:val="0016280F"/>
    <w:rsid w:val="0016388E"/>
    <w:rsid w:val="00180B79"/>
    <w:rsid w:val="001850B8"/>
    <w:rsid w:val="0019054D"/>
    <w:rsid w:val="00190ECA"/>
    <w:rsid w:val="00192BBD"/>
    <w:rsid w:val="00193B68"/>
    <w:rsid w:val="001B01B1"/>
    <w:rsid w:val="001B196A"/>
    <w:rsid w:val="001B4506"/>
    <w:rsid w:val="001B61E3"/>
    <w:rsid w:val="001C16F9"/>
    <w:rsid w:val="001D0CF5"/>
    <w:rsid w:val="001D1408"/>
    <w:rsid w:val="001E1E7D"/>
    <w:rsid w:val="001E5A6E"/>
    <w:rsid w:val="001E617A"/>
    <w:rsid w:val="001E6DA8"/>
    <w:rsid w:val="001F04E5"/>
    <w:rsid w:val="0020186B"/>
    <w:rsid w:val="002066BA"/>
    <w:rsid w:val="00207A81"/>
    <w:rsid w:val="00210DA7"/>
    <w:rsid w:val="00212CF2"/>
    <w:rsid w:val="002165BA"/>
    <w:rsid w:val="00220D3F"/>
    <w:rsid w:val="00236A89"/>
    <w:rsid w:val="00240118"/>
    <w:rsid w:val="00241A9D"/>
    <w:rsid w:val="00247A9B"/>
    <w:rsid w:val="00254748"/>
    <w:rsid w:val="00262277"/>
    <w:rsid w:val="002654A8"/>
    <w:rsid w:val="00275606"/>
    <w:rsid w:val="002758EF"/>
    <w:rsid w:val="002808AB"/>
    <w:rsid w:val="00280B9C"/>
    <w:rsid w:val="002812D0"/>
    <w:rsid w:val="00282C89"/>
    <w:rsid w:val="0028338D"/>
    <w:rsid w:val="002906B2"/>
    <w:rsid w:val="00293209"/>
    <w:rsid w:val="00293645"/>
    <w:rsid w:val="002969B9"/>
    <w:rsid w:val="00296A0E"/>
    <w:rsid w:val="002978B5"/>
    <w:rsid w:val="002A05B6"/>
    <w:rsid w:val="002A21DF"/>
    <w:rsid w:val="002A4A72"/>
    <w:rsid w:val="002A5E2B"/>
    <w:rsid w:val="002A6AA4"/>
    <w:rsid w:val="002B1EF7"/>
    <w:rsid w:val="002B2D27"/>
    <w:rsid w:val="002B351C"/>
    <w:rsid w:val="002B3F25"/>
    <w:rsid w:val="002C200D"/>
    <w:rsid w:val="002C3AE6"/>
    <w:rsid w:val="002C4C82"/>
    <w:rsid w:val="002D22A7"/>
    <w:rsid w:val="002D6F25"/>
    <w:rsid w:val="002E7057"/>
    <w:rsid w:val="002F2A07"/>
    <w:rsid w:val="00303133"/>
    <w:rsid w:val="00303A06"/>
    <w:rsid w:val="003044AA"/>
    <w:rsid w:val="0031317C"/>
    <w:rsid w:val="00314813"/>
    <w:rsid w:val="00327B46"/>
    <w:rsid w:val="00340B0D"/>
    <w:rsid w:val="00346314"/>
    <w:rsid w:val="00352B46"/>
    <w:rsid w:val="00360BFB"/>
    <w:rsid w:val="00361039"/>
    <w:rsid w:val="00370629"/>
    <w:rsid w:val="00370685"/>
    <w:rsid w:val="00380139"/>
    <w:rsid w:val="00382AB2"/>
    <w:rsid w:val="00393793"/>
    <w:rsid w:val="00394C65"/>
    <w:rsid w:val="00394D49"/>
    <w:rsid w:val="003A30DF"/>
    <w:rsid w:val="003A409C"/>
    <w:rsid w:val="003B0024"/>
    <w:rsid w:val="003B45E2"/>
    <w:rsid w:val="003B4870"/>
    <w:rsid w:val="003B48C3"/>
    <w:rsid w:val="003B4D19"/>
    <w:rsid w:val="003C1B25"/>
    <w:rsid w:val="003C1CB4"/>
    <w:rsid w:val="003C56DC"/>
    <w:rsid w:val="003D44FD"/>
    <w:rsid w:val="003F1F6A"/>
    <w:rsid w:val="004014B6"/>
    <w:rsid w:val="00403BC9"/>
    <w:rsid w:val="00405A0C"/>
    <w:rsid w:val="0041721B"/>
    <w:rsid w:val="00422933"/>
    <w:rsid w:val="00432861"/>
    <w:rsid w:val="0043321C"/>
    <w:rsid w:val="004441DC"/>
    <w:rsid w:val="0044523C"/>
    <w:rsid w:val="004468F6"/>
    <w:rsid w:val="00447225"/>
    <w:rsid w:val="00447686"/>
    <w:rsid w:val="00450D8C"/>
    <w:rsid w:val="00457CD2"/>
    <w:rsid w:val="0046109D"/>
    <w:rsid w:val="004618F1"/>
    <w:rsid w:val="00467DDB"/>
    <w:rsid w:val="0047196B"/>
    <w:rsid w:val="0047281F"/>
    <w:rsid w:val="00472948"/>
    <w:rsid w:val="00474D7A"/>
    <w:rsid w:val="004833EA"/>
    <w:rsid w:val="004852DD"/>
    <w:rsid w:val="00490D0F"/>
    <w:rsid w:val="00493329"/>
    <w:rsid w:val="00493A6D"/>
    <w:rsid w:val="004A307E"/>
    <w:rsid w:val="004B283D"/>
    <w:rsid w:val="004B589D"/>
    <w:rsid w:val="004C4DFA"/>
    <w:rsid w:val="004D1BDF"/>
    <w:rsid w:val="004E456B"/>
    <w:rsid w:val="004E6EB6"/>
    <w:rsid w:val="004F2A7A"/>
    <w:rsid w:val="00507480"/>
    <w:rsid w:val="0051122C"/>
    <w:rsid w:val="00516306"/>
    <w:rsid w:val="00520473"/>
    <w:rsid w:val="00520EBA"/>
    <w:rsid w:val="00525173"/>
    <w:rsid w:val="00526722"/>
    <w:rsid w:val="0053010F"/>
    <w:rsid w:val="00556616"/>
    <w:rsid w:val="00556F4C"/>
    <w:rsid w:val="00557F69"/>
    <w:rsid w:val="00562B29"/>
    <w:rsid w:val="00564A2F"/>
    <w:rsid w:val="005755F7"/>
    <w:rsid w:val="00575882"/>
    <w:rsid w:val="0058050F"/>
    <w:rsid w:val="00587E7B"/>
    <w:rsid w:val="00591036"/>
    <w:rsid w:val="005955F9"/>
    <w:rsid w:val="005968D8"/>
    <w:rsid w:val="005A01F3"/>
    <w:rsid w:val="005A0FBB"/>
    <w:rsid w:val="005B11D3"/>
    <w:rsid w:val="005C619B"/>
    <w:rsid w:val="005D4371"/>
    <w:rsid w:val="005D7BDB"/>
    <w:rsid w:val="005D7D3C"/>
    <w:rsid w:val="005E1356"/>
    <w:rsid w:val="005E3D5C"/>
    <w:rsid w:val="005E46B1"/>
    <w:rsid w:val="005E4E1E"/>
    <w:rsid w:val="005F4888"/>
    <w:rsid w:val="005F5A8D"/>
    <w:rsid w:val="00600BB2"/>
    <w:rsid w:val="006012B8"/>
    <w:rsid w:val="006067F8"/>
    <w:rsid w:val="00610049"/>
    <w:rsid w:val="00612AFF"/>
    <w:rsid w:val="00612C78"/>
    <w:rsid w:val="006142D3"/>
    <w:rsid w:val="00621247"/>
    <w:rsid w:val="0062309E"/>
    <w:rsid w:val="0062622A"/>
    <w:rsid w:val="006335A9"/>
    <w:rsid w:val="006346CC"/>
    <w:rsid w:val="00635CED"/>
    <w:rsid w:val="00637FC2"/>
    <w:rsid w:val="0065129A"/>
    <w:rsid w:val="0065269F"/>
    <w:rsid w:val="00664320"/>
    <w:rsid w:val="00671A91"/>
    <w:rsid w:val="00676CA6"/>
    <w:rsid w:val="0068385A"/>
    <w:rsid w:val="00683ECD"/>
    <w:rsid w:val="006853A0"/>
    <w:rsid w:val="00685D59"/>
    <w:rsid w:val="00686ED3"/>
    <w:rsid w:val="00687E20"/>
    <w:rsid w:val="00695455"/>
    <w:rsid w:val="006A38C5"/>
    <w:rsid w:val="006A4B81"/>
    <w:rsid w:val="006A5829"/>
    <w:rsid w:val="006A5E20"/>
    <w:rsid w:val="006A6D27"/>
    <w:rsid w:val="006B0BF6"/>
    <w:rsid w:val="006C7BCD"/>
    <w:rsid w:val="006D19C5"/>
    <w:rsid w:val="006D20F6"/>
    <w:rsid w:val="006D31F2"/>
    <w:rsid w:val="006D6009"/>
    <w:rsid w:val="006D6BB3"/>
    <w:rsid w:val="006D73F8"/>
    <w:rsid w:val="006F1B23"/>
    <w:rsid w:val="00700E87"/>
    <w:rsid w:val="00703E55"/>
    <w:rsid w:val="007068F9"/>
    <w:rsid w:val="00715327"/>
    <w:rsid w:val="007166FF"/>
    <w:rsid w:val="007214D0"/>
    <w:rsid w:val="0072602C"/>
    <w:rsid w:val="00730852"/>
    <w:rsid w:val="007352A5"/>
    <w:rsid w:val="00736E2A"/>
    <w:rsid w:val="00736FC1"/>
    <w:rsid w:val="00737B78"/>
    <w:rsid w:val="007406ED"/>
    <w:rsid w:val="00743B0F"/>
    <w:rsid w:val="00745BB5"/>
    <w:rsid w:val="0074743A"/>
    <w:rsid w:val="007507BC"/>
    <w:rsid w:val="00750F1A"/>
    <w:rsid w:val="007514F9"/>
    <w:rsid w:val="00756966"/>
    <w:rsid w:val="007668AD"/>
    <w:rsid w:val="00767381"/>
    <w:rsid w:val="00775F92"/>
    <w:rsid w:val="007911F8"/>
    <w:rsid w:val="0079642E"/>
    <w:rsid w:val="007A39B6"/>
    <w:rsid w:val="007A3CF9"/>
    <w:rsid w:val="007B03AB"/>
    <w:rsid w:val="007B6D1F"/>
    <w:rsid w:val="007B7AD4"/>
    <w:rsid w:val="007C0417"/>
    <w:rsid w:val="007C14C2"/>
    <w:rsid w:val="007C2A99"/>
    <w:rsid w:val="007C430F"/>
    <w:rsid w:val="007D6289"/>
    <w:rsid w:val="007D75CE"/>
    <w:rsid w:val="007E39C5"/>
    <w:rsid w:val="007E3FD0"/>
    <w:rsid w:val="007E459E"/>
    <w:rsid w:val="007E7A84"/>
    <w:rsid w:val="007F46A3"/>
    <w:rsid w:val="00802114"/>
    <w:rsid w:val="00810522"/>
    <w:rsid w:val="008127FD"/>
    <w:rsid w:val="00813F4C"/>
    <w:rsid w:val="00814428"/>
    <w:rsid w:val="008176EC"/>
    <w:rsid w:val="008200B8"/>
    <w:rsid w:val="00820B9B"/>
    <w:rsid w:val="008242C4"/>
    <w:rsid w:val="00825F81"/>
    <w:rsid w:val="00826E2F"/>
    <w:rsid w:val="00827600"/>
    <w:rsid w:val="00831FA2"/>
    <w:rsid w:val="008332AD"/>
    <w:rsid w:val="0083615E"/>
    <w:rsid w:val="00840568"/>
    <w:rsid w:val="008458DC"/>
    <w:rsid w:val="0085061D"/>
    <w:rsid w:val="00873776"/>
    <w:rsid w:val="0087742F"/>
    <w:rsid w:val="00881D76"/>
    <w:rsid w:val="00884041"/>
    <w:rsid w:val="00886DC8"/>
    <w:rsid w:val="008922C1"/>
    <w:rsid w:val="0089277D"/>
    <w:rsid w:val="00897246"/>
    <w:rsid w:val="008A3504"/>
    <w:rsid w:val="008A73E4"/>
    <w:rsid w:val="008B15E3"/>
    <w:rsid w:val="008B5BD5"/>
    <w:rsid w:val="008C092A"/>
    <w:rsid w:val="008C0FF5"/>
    <w:rsid w:val="008C4070"/>
    <w:rsid w:val="008C62B0"/>
    <w:rsid w:val="008C6EA2"/>
    <w:rsid w:val="008D0CEE"/>
    <w:rsid w:val="008D5A43"/>
    <w:rsid w:val="008D6530"/>
    <w:rsid w:val="008D6B75"/>
    <w:rsid w:val="008D7A84"/>
    <w:rsid w:val="008E05AA"/>
    <w:rsid w:val="008E19EC"/>
    <w:rsid w:val="008E6D83"/>
    <w:rsid w:val="008E752D"/>
    <w:rsid w:val="0090092D"/>
    <w:rsid w:val="009206A9"/>
    <w:rsid w:val="009263B5"/>
    <w:rsid w:val="00927C47"/>
    <w:rsid w:val="00931C33"/>
    <w:rsid w:val="00932BA6"/>
    <w:rsid w:val="00933295"/>
    <w:rsid w:val="00933F31"/>
    <w:rsid w:val="0093452F"/>
    <w:rsid w:val="00934AD5"/>
    <w:rsid w:val="0095351D"/>
    <w:rsid w:val="00956CB8"/>
    <w:rsid w:val="00965454"/>
    <w:rsid w:val="00976053"/>
    <w:rsid w:val="00980DD3"/>
    <w:rsid w:val="0098769C"/>
    <w:rsid w:val="009923C6"/>
    <w:rsid w:val="00997B3F"/>
    <w:rsid w:val="00997F79"/>
    <w:rsid w:val="009A0472"/>
    <w:rsid w:val="009A06C7"/>
    <w:rsid w:val="009A5128"/>
    <w:rsid w:val="009A73B7"/>
    <w:rsid w:val="009B1537"/>
    <w:rsid w:val="009B2061"/>
    <w:rsid w:val="009B69CF"/>
    <w:rsid w:val="009B6A64"/>
    <w:rsid w:val="009B7F35"/>
    <w:rsid w:val="009C1064"/>
    <w:rsid w:val="009C199F"/>
    <w:rsid w:val="009D245C"/>
    <w:rsid w:val="009D74F3"/>
    <w:rsid w:val="009E3BA6"/>
    <w:rsid w:val="009F3E8E"/>
    <w:rsid w:val="00A029AA"/>
    <w:rsid w:val="00A03B2A"/>
    <w:rsid w:val="00A11EA3"/>
    <w:rsid w:val="00A26FA9"/>
    <w:rsid w:val="00A33CB4"/>
    <w:rsid w:val="00A3597A"/>
    <w:rsid w:val="00A617B8"/>
    <w:rsid w:val="00A65E50"/>
    <w:rsid w:val="00A663C0"/>
    <w:rsid w:val="00A705A6"/>
    <w:rsid w:val="00A705AF"/>
    <w:rsid w:val="00A77096"/>
    <w:rsid w:val="00A8435D"/>
    <w:rsid w:val="00A867FE"/>
    <w:rsid w:val="00A90CB2"/>
    <w:rsid w:val="00A90FA5"/>
    <w:rsid w:val="00A910B6"/>
    <w:rsid w:val="00A92B9D"/>
    <w:rsid w:val="00A92EC3"/>
    <w:rsid w:val="00AB05ED"/>
    <w:rsid w:val="00AB0C89"/>
    <w:rsid w:val="00AB28DB"/>
    <w:rsid w:val="00AC0958"/>
    <w:rsid w:val="00AC0E7A"/>
    <w:rsid w:val="00AD10BE"/>
    <w:rsid w:val="00AE19B2"/>
    <w:rsid w:val="00AE1BF6"/>
    <w:rsid w:val="00AE2612"/>
    <w:rsid w:val="00AE2F7F"/>
    <w:rsid w:val="00AE3D8B"/>
    <w:rsid w:val="00AE76F8"/>
    <w:rsid w:val="00AE7906"/>
    <w:rsid w:val="00AF374A"/>
    <w:rsid w:val="00AF798C"/>
    <w:rsid w:val="00B02CAB"/>
    <w:rsid w:val="00B044CD"/>
    <w:rsid w:val="00B06DF5"/>
    <w:rsid w:val="00B10EB0"/>
    <w:rsid w:val="00B11633"/>
    <w:rsid w:val="00B116BC"/>
    <w:rsid w:val="00B1559A"/>
    <w:rsid w:val="00B213F7"/>
    <w:rsid w:val="00B22CE8"/>
    <w:rsid w:val="00B315BD"/>
    <w:rsid w:val="00B34106"/>
    <w:rsid w:val="00B40F54"/>
    <w:rsid w:val="00B427C8"/>
    <w:rsid w:val="00B5006E"/>
    <w:rsid w:val="00B5128E"/>
    <w:rsid w:val="00B549A4"/>
    <w:rsid w:val="00B6081A"/>
    <w:rsid w:val="00B6311A"/>
    <w:rsid w:val="00B65389"/>
    <w:rsid w:val="00B6575D"/>
    <w:rsid w:val="00B66255"/>
    <w:rsid w:val="00B72007"/>
    <w:rsid w:val="00B73557"/>
    <w:rsid w:val="00B736EE"/>
    <w:rsid w:val="00B80BBC"/>
    <w:rsid w:val="00B94940"/>
    <w:rsid w:val="00BA37A9"/>
    <w:rsid w:val="00BA5ABA"/>
    <w:rsid w:val="00BA6558"/>
    <w:rsid w:val="00BA6B61"/>
    <w:rsid w:val="00BB005F"/>
    <w:rsid w:val="00BB34CE"/>
    <w:rsid w:val="00BB4B60"/>
    <w:rsid w:val="00BD0FCF"/>
    <w:rsid w:val="00BE3EA5"/>
    <w:rsid w:val="00BE59DF"/>
    <w:rsid w:val="00BF2431"/>
    <w:rsid w:val="00BF24FF"/>
    <w:rsid w:val="00C05AD8"/>
    <w:rsid w:val="00C067DE"/>
    <w:rsid w:val="00C216B1"/>
    <w:rsid w:val="00C21C08"/>
    <w:rsid w:val="00C259F7"/>
    <w:rsid w:val="00C3153A"/>
    <w:rsid w:val="00C444E4"/>
    <w:rsid w:val="00C4479E"/>
    <w:rsid w:val="00C46C10"/>
    <w:rsid w:val="00C51F88"/>
    <w:rsid w:val="00C56181"/>
    <w:rsid w:val="00C75711"/>
    <w:rsid w:val="00C8301F"/>
    <w:rsid w:val="00C85568"/>
    <w:rsid w:val="00C90317"/>
    <w:rsid w:val="00C94A88"/>
    <w:rsid w:val="00C965DC"/>
    <w:rsid w:val="00C972E5"/>
    <w:rsid w:val="00CA114F"/>
    <w:rsid w:val="00CA3F29"/>
    <w:rsid w:val="00CA56BC"/>
    <w:rsid w:val="00CA6685"/>
    <w:rsid w:val="00CB382F"/>
    <w:rsid w:val="00CB5C3D"/>
    <w:rsid w:val="00CD45A5"/>
    <w:rsid w:val="00CE4DAE"/>
    <w:rsid w:val="00CE62D5"/>
    <w:rsid w:val="00CF641D"/>
    <w:rsid w:val="00D02DF3"/>
    <w:rsid w:val="00D03B2E"/>
    <w:rsid w:val="00D10354"/>
    <w:rsid w:val="00D14A0B"/>
    <w:rsid w:val="00D2047C"/>
    <w:rsid w:val="00D20E7B"/>
    <w:rsid w:val="00D22382"/>
    <w:rsid w:val="00D235F6"/>
    <w:rsid w:val="00D25471"/>
    <w:rsid w:val="00D32C6B"/>
    <w:rsid w:val="00D33A55"/>
    <w:rsid w:val="00D41959"/>
    <w:rsid w:val="00D41BAA"/>
    <w:rsid w:val="00D439E8"/>
    <w:rsid w:val="00D46EDB"/>
    <w:rsid w:val="00D47D47"/>
    <w:rsid w:val="00D5641B"/>
    <w:rsid w:val="00D603DB"/>
    <w:rsid w:val="00D61598"/>
    <w:rsid w:val="00D6734A"/>
    <w:rsid w:val="00D72BD5"/>
    <w:rsid w:val="00D76320"/>
    <w:rsid w:val="00D8054C"/>
    <w:rsid w:val="00D8100B"/>
    <w:rsid w:val="00DA3281"/>
    <w:rsid w:val="00DA671F"/>
    <w:rsid w:val="00DB136B"/>
    <w:rsid w:val="00DB1A1C"/>
    <w:rsid w:val="00DB2EC9"/>
    <w:rsid w:val="00DC4A47"/>
    <w:rsid w:val="00DC5C61"/>
    <w:rsid w:val="00DC7AFE"/>
    <w:rsid w:val="00DD2A0E"/>
    <w:rsid w:val="00DD2C7A"/>
    <w:rsid w:val="00DD4615"/>
    <w:rsid w:val="00DD6AF8"/>
    <w:rsid w:val="00DE52A3"/>
    <w:rsid w:val="00DE5584"/>
    <w:rsid w:val="00DF0824"/>
    <w:rsid w:val="00DF2BCA"/>
    <w:rsid w:val="00E01704"/>
    <w:rsid w:val="00E0382B"/>
    <w:rsid w:val="00E237B9"/>
    <w:rsid w:val="00E33BDE"/>
    <w:rsid w:val="00E34CC8"/>
    <w:rsid w:val="00E360A0"/>
    <w:rsid w:val="00E44B08"/>
    <w:rsid w:val="00E46686"/>
    <w:rsid w:val="00E501C1"/>
    <w:rsid w:val="00E52D4F"/>
    <w:rsid w:val="00E55B6D"/>
    <w:rsid w:val="00E577EF"/>
    <w:rsid w:val="00E61A55"/>
    <w:rsid w:val="00E62429"/>
    <w:rsid w:val="00E644F8"/>
    <w:rsid w:val="00E74740"/>
    <w:rsid w:val="00E776EB"/>
    <w:rsid w:val="00E80A5E"/>
    <w:rsid w:val="00E85C34"/>
    <w:rsid w:val="00E870EF"/>
    <w:rsid w:val="00E92771"/>
    <w:rsid w:val="00E93D18"/>
    <w:rsid w:val="00E97E04"/>
    <w:rsid w:val="00EA74A8"/>
    <w:rsid w:val="00EA7E56"/>
    <w:rsid w:val="00EB2173"/>
    <w:rsid w:val="00EB5673"/>
    <w:rsid w:val="00EC563B"/>
    <w:rsid w:val="00ED0A24"/>
    <w:rsid w:val="00ED5961"/>
    <w:rsid w:val="00ED59F6"/>
    <w:rsid w:val="00EF0189"/>
    <w:rsid w:val="00EF268C"/>
    <w:rsid w:val="00EF35AF"/>
    <w:rsid w:val="00F02FC8"/>
    <w:rsid w:val="00F03FA2"/>
    <w:rsid w:val="00F0409D"/>
    <w:rsid w:val="00F04B3A"/>
    <w:rsid w:val="00F075CA"/>
    <w:rsid w:val="00F10513"/>
    <w:rsid w:val="00F14EF1"/>
    <w:rsid w:val="00F209B5"/>
    <w:rsid w:val="00F36125"/>
    <w:rsid w:val="00F43B71"/>
    <w:rsid w:val="00F54D13"/>
    <w:rsid w:val="00F6045C"/>
    <w:rsid w:val="00F61020"/>
    <w:rsid w:val="00F61671"/>
    <w:rsid w:val="00F61852"/>
    <w:rsid w:val="00F6185C"/>
    <w:rsid w:val="00F645D1"/>
    <w:rsid w:val="00F64F18"/>
    <w:rsid w:val="00F70DE8"/>
    <w:rsid w:val="00F728A8"/>
    <w:rsid w:val="00F747CC"/>
    <w:rsid w:val="00F8446C"/>
    <w:rsid w:val="00F85924"/>
    <w:rsid w:val="00F873DE"/>
    <w:rsid w:val="00F9173A"/>
    <w:rsid w:val="00F9342B"/>
    <w:rsid w:val="00F937C7"/>
    <w:rsid w:val="00F94CC0"/>
    <w:rsid w:val="00F97238"/>
    <w:rsid w:val="00FA037B"/>
    <w:rsid w:val="00FB01CE"/>
    <w:rsid w:val="00FB4021"/>
    <w:rsid w:val="00FC11ED"/>
    <w:rsid w:val="00FC1BE2"/>
    <w:rsid w:val="00FC4E4B"/>
    <w:rsid w:val="00FC7006"/>
    <w:rsid w:val="00FD6C6C"/>
    <w:rsid w:val="00FD72EC"/>
    <w:rsid w:val="00FF03B6"/>
    <w:rsid w:val="00FF1D15"/>
    <w:rsid w:val="00FF1DB7"/>
    <w:rsid w:val="00FF3E32"/>
    <w:rsid w:val="00FF450B"/>
    <w:rsid w:val="00FF45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B7EF"/>
  <w15:chartTrackingRefBased/>
  <w15:docId w15:val="{D13B10C3-3447-4DCF-ABA7-19126D34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23"/>
  </w:style>
  <w:style w:type="paragraph" w:styleId="Heading1">
    <w:name w:val="heading 1"/>
    <w:basedOn w:val="Normal"/>
    <w:next w:val="Normal"/>
    <w:link w:val="Heading1Char"/>
    <w:uiPriority w:val="9"/>
    <w:qFormat/>
    <w:rsid w:val="00E34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4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C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C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C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C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4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CC8"/>
    <w:rPr>
      <w:rFonts w:eastAsiaTheme="majorEastAsia" w:cstheme="majorBidi"/>
      <w:color w:val="272727" w:themeColor="text1" w:themeTint="D8"/>
    </w:rPr>
  </w:style>
  <w:style w:type="paragraph" w:styleId="Title">
    <w:name w:val="Title"/>
    <w:basedOn w:val="Normal"/>
    <w:next w:val="Normal"/>
    <w:link w:val="TitleChar"/>
    <w:uiPriority w:val="10"/>
    <w:qFormat/>
    <w:rsid w:val="00E34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CC8"/>
    <w:pPr>
      <w:numPr>
        <w:ilvl w:val="1"/>
      </w:numPr>
      <w:spacing w:after="160"/>
      <w:ind w:left="448"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C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4CC8"/>
    <w:rPr>
      <w:i/>
      <w:iCs/>
      <w:color w:val="404040" w:themeColor="text1" w:themeTint="BF"/>
    </w:rPr>
  </w:style>
  <w:style w:type="paragraph" w:styleId="ListParagraph">
    <w:name w:val="List Paragraph"/>
    <w:basedOn w:val="Normal"/>
    <w:uiPriority w:val="34"/>
    <w:qFormat/>
    <w:rsid w:val="00E34CC8"/>
    <w:pPr>
      <w:ind w:left="720"/>
      <w:contextualSpacing/>
    </w:pPr>
  </w:style>
  <w:style w:type="character" w:styleId="IntenseEmphasis">
    <w:name w:val="Intense Emphasis"/>
    <w:basedOn w:val="DefaultParagraphFont"/>
    <w:uiPriority w:val="21"/>
    <w:qFormat/>
    <w:rsid w:val="00E34CC8"/>
    <w:rPr>
      <w:i/>
      <w:iCs/>
      <w:color w:val="0F4761" w:themeColor="accent1" w:themeShade="BF"/>
    </w:rPr>
  </w:style>
  <w:style w:type="paragraph" w:styleId="IntenseQuote">
    <w:name w:val="Intense Quote"/>
    <w:basedOn w:val="Normal"/>
    <w:next w:val="Normal"/>
    <w:link w:val="IntenseQuoteChar"/>
    <w:uiPriority w:val="30"/>
    <w:qFormat/>
    <w:rsid w:val="00E34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CC8"/>
    <w:rPr>
      <w:i/>
      <w:iCs/>
      <w:color w:val="0F4761" w:themeColor="accent1" w:themeShade="BF"/>
    </w:rPr>
  </w:style>
  <w:style w:type="character" w:styleId="IntenseReference">
    <w:name w:val="Intense Reference"/>
    <w:basedOn w:val="DefaultParagraphFont"/>
    <w:uiPriority w:val="32"/>
    <w:qFormat/>
    <w:rsid w:val="00E34CC8"/>
    <w:rPr>
      <w:b/>
      <w:bCs/>
      <w:smallCaps/>
      <w:color w:val="0F4761" w:themeColor="accent1" w:themeShade="BF"/>
      <w:spacing w:val="5"/>
    </w:rPr>
  </w:style>
  <w:style w:type="paragraph" w:styleId="Bibliography">
    <w:name w:val="Bibliography"/>
    <w:basedOn w:val="Normal"/>
    <w:next w:val="Normal"/>
    <w:uiPriority w:val="37"/>
    <w:unhideWhenUsed/>
    <w:rsid w:val="00115165"/>
    <w:pPr>
      <w:tabs>
        <w:tab w:val="left" w:pos="264"/>
      </w:tabs>
      <w:spacing w:after="240"/>
      <w:ind w:left="264" w:hanging="264"/>
    </w:pPr>
  </w:style>
  <w:style w:type="table" w:styleId="TableGrid">
    <w:name w:val="Table Grid"/>
    <w:basedOn w:val="TableNormal"/>
    <w:uiPriority w:val="39"/>
    <w:rsid w:val="0031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CF9"/>
    <w:pPr>
      <w:autoSpaceDE w:val="0"/>
      <w:autoSpaceDN w:val="0"/>
      <w:adjustRightInd w:val="0"/>
      <w:ind w:firstLine="0"/>
      <w:jc w:val="left"/>
    </w:pPr>
    <w:rPr>
      <w:rFonts w:ascii="Myriad Pro" w:hAnsi="Myriad Pro" w:cs="Myriad Pro"/>
      <w:color w:val="000000"/>
      <w:kern w:val="0"/>
      <w:sz w:val="24"/>
      <w:szCs w:val="24"/>
    </w:rPr>
  </w:style>
  <w:style w:type="character" w:styleId="Hyperlink">
    <w:name w:val="Hyperlink"/>
    <w:basedOn w:val="DefaultParagraphFont"/>
    <w:uiPriority w:val="99"/>
    <w:unhideWhenUsed/>
    <w:rsid w:val="007214D0"/>
    <w:rPr>
      <w:color w:val="467886" w:themeColor="hyperlink"/>
      <w:u w:val="single"/>
    </w:rPr>
  </w:style>
  <w:style w:type="character" w:styleId="UnresolvedMention">
    <w:name w:val="Unresolved Mention"/>
    <w:basedOn w:val="DefaultParagraphFont"/>
    <w:uiPriority w:val="99"/>
    <w:semiHidden/>
    <w:unhideWhenUsed/>
    <w:rsid w:val="007214D0"/>
    <w:rPr>
      <w:color w:val="605E5C"/>
      <w:shd w:val="clear" w:color="auto" w:fill="E1DFDD"/>
    </w:rPr>
  </w:style>
  <w:style w:type="character" w:styleId="FollowedHyperlink">
    <w:name w:val="FollowedHyperlink"/>
    <w:basedOn w:val="DefaultParagraphFont"/>
    <w:uiPriority w:val="99"/>
    <w:semiHidden/>
    <w:unhideWhenUsed/>
    <w:rsid w:val="002A05B6"/>
    <w:rPr>
      <w:color w:val="96607D" w:themeColor="followedHyperlink"/>
      <w:u w:val="single"/>
    </w:rPr>
  </w:style>
  <w:style w:type="paragraph" w:styleId="Header">
    <w:name w:val="header"/>
    <w:basedOn w:val="Normal"/>
    <w:link w:val="HeaderChar"/>
    <w:uiPriority w:val="99"/>
    <w:unhideWhenUsed/>
    <w:rsid w:val="0010574C"/>
    <w:pPr>
      <w:tabs>
        <w:tab w:val="center" w:pos="4513"/>
        <w:tab w:val="right" w:pos="9026"/>
      </w:tabs>
    </w:pPr>
  </w:style>
  <w:style w:type="character" w:customStyle="1" w:styleId="HeaderChar">
    <w:name w:val="Header Char"/>
    <w:basedOn w:val="DefaultParagraphFont"/>
    <w:link w:val="Header"/>
    <w:uiPriority w:val="99"/>
    <w:rsid w:val="0010574C"/>
  </w:style>
  <w:style w:type="paragraph" w:styleId="Footer">
    <w:name w:val="footer"/>
    <w:basedOn w:val="Normal"/>
    <w:link w:val="FooterChar"/>
    <w:uiPriority w:val="99"/>
    <w:unhideWhenUsed/>
    <w:rsid w:val="0010574C"/>
    <w:pPr>
      <w:tabs>
        <w:tab w:val="center" w:pos="4513"/>
        <w:tab w:val="right" w:pos="9026"/>
      </w:tabs>
    </w:pPr>
  </w:style>
  <w:style w:type="character" w:customStyle="1" w:styleId="FooterChar">
    <w:name w:val="Footer Char"/>
    <w:basedOn w:val="DefaultParagraphFont"/>
    <w:link w:val="Footer"/>
    <w:uiPriority w:val="99"/>
    <w:rsid w:val="0010574C"/>
  </w:style>
  <w:style w:type="paragraph" w:styleId="Caption">
    <w:name w:val="caption"/>
    <w:basedOn w:val="Normal"/>
    <w:next w:val="Normal"/>
    <w:uiPriority w:val="35"/>
    <w:unhideWhenUsed/>
    <w:qFormat/>
    <w:rsid w:val="00B10EB0"/>
    <w:pPr>
      <w:spacing w:after="200"/>
    </w:pPr>
    <w:rPr>
      <w:i/>
      <w:iCs/>
      <w:color w:val="0E2841" w:themeColor="text2"/>
      <w:sz w:val="18"/>
      <w:szCs w:val="18"/>
    </w:rPr>
  </w:style>
  <w:style w:type="numbering" w:customStyle="1" w:styleId="CurrentList1">
    <w:name w:val="Current List1"/>
    <w:uiPriority w:val="99"/>
    <w:rsid w:val="003B45E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166">
      <w:bodyDiv w:val="1"/>
      <w:marLeft w:val="0"/>
      <w:marRight w:val="0"/>
      <w:marTop w:val="0"/>
      <w:marBottom w:val="0"/>
      <w:divBdr>
        <w:top w:val="none" w:sz="0" w:space="0" w:color="auto"/>
        <w:left w:val="none" w:sz="0" w:space="0" w:color="auto"/>
        <w:bottom w:val="none" w:sz="0" w:space="0" w:color="auto"/>
        <w:right w:val="none" w:sz="0" w:space="0" w:color="auto"/>
      </w:divBdr>
    </w:div>
    <w:div w:id="181822415">
      <w:bodyDiv w:val="1"/>
      <w:marLeft w:val="0"/>
      <w:marRight w:val="0"/>
      <w:marTop w:val="0"/>
      <w:marBottom w:val="0"/>
      <w:divBdr>
        <w:top w:val="none" w:sz="0" w:space="0" w:color="auto"/>
        <w:left w:val="none" w:sz="0" w:space="0" w:color="auto"/>
        <w:bottom w:val="none" w:sz="0" w:space="0" w:color="auto"/>
        <w:right w:val="none" w:sz="0" w:space="0" w:color="auto"/>
      </w:divBdr>
      <w:divsChild>
        <w:div w:id="479806846">
          <w:marLeft w:val="0"/>
          <w:marRight w:val="0"/>
          <w:marTop w:val="0"/>
          <w:marBottom w:val="0"/>
          <w:divBdr>
            <w:top w:val="none" w:sz="0" w:space="0" w:color="auto"/>
            <w:left w:val="none" w:sz="0" w:space="0" w:color="auto"/>
            <w:bottom w:val="none" w:sz="0" w:space="0" w:color="auto"/>
            <w:right w:val="none" w:sz="0" w:space="0" w:color="auto"/>
          </w:divBdr>
          <w:divsChild>
            <w:div w:id="1496065441">
              <w:marLeft w:val="0"/>
              <w:marRight w:val="0"/>
              <w:marTop w:val="0"/>
              <w:marBottom w:val="0"/>
              <w:divBdr>
                <w:top w:val="none" w:sz="0" w:space="0" w:color="auto"/>
                <w:left w:val="none" w:sz="0" w:space="0" w:color="auto"/>
                <w:bottom w:val="none" w:sz="0" w:space="0" w:color="auto"/>
                <w:right w:val="none" w:sz="0" w:space="0" w:color="auto"/>
              </w:divBdr>
            </w:div>
          </w:divsChild>
        </w:div>
        <w:div w:id="1408307221">
          <w:marLeft w:val="0"/>
          <w:marRight w:val="0"/>
          <w:marTop w:val="0"/>
          <w:marBottom w:val="0"/>
          <w:divBdr>
            <w:top w:val="none" w:sz="0" w:space="0" w:color="auto"/>
            <w:left w:val="none" w:sz="0" w:space="0" w:color="auto"/>
            <w:bottom w:val="none" w:sz="0" w:space="0" w:color="auto"/>
            <w:right w:val="none" w:sz="0" w:space="0" w:color="auto"/>
          </w:divBdr>
          <w:divsChild>
            <w:div w:id="1752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932">
      <w:bodyDiv w:val="1"/>
      <w:marLeft w:val="0"/>
      <w:marRight w:val="0"/>
      <w:marTop w:val="0"/>
      <w:marBottom w:val="0"/>
      <w:divBdr>
        <w:top w:val="none" w:sz="0" w:space="0" w:color="auto"/>
        <w:left w:val="none" w:sz="0" w:space="0" w:color="auto"/>
        <w:bottom w:val="none" w:sz="0" w:space="0" w:color="auto"/>
        <w:right w:val="none" w:sz="0" w:space="0" w:color="auto"/>
      </w:divBdr>
    </w:div>
    <w:div w:id="263920678">
      <w:bodyDiv w:val="1"/>
      <w:marLeft w:val="0"/>
      <w:marRight w:val="0"/>
      <w:marTop w:val="0"/>
      <w:marBottom w:val="0"/>
      <w:divBdr>
        <w:top w:val="none" w:sz="0" w:space="0" w:color="auto"/>
        <w:left w:val="none" w:sz="0" w:space="0" w:color="auto"/>
        <w:bottom w:val="none" w:sz="0" w:space="0" w:color="auto"/>
        <w:right w:val="none" w:sz="0" w:space="0" w:color="auto"/>
      </w:divBdr>
      <w:divsChild>
        <w:div w:id="2134327902">
          <w:marLeft w:val="0"/>
          <w:marRight w:val="0"/>
          <w:marTop w:val="0"/>
          <w:marBottom w:val="0"/>
          <w:divBdr>
            <w:top w:val="none" w:sz="0" w:space="0" w:color="auto"/>
            <w:left w:val="none" w:sz="0" w:space="0" w:color="auto"/>
            <w:bottom w:val="none" w:sz="0" w:space="0" w:color="auto"/>
            <w:right w:val="none" w:sz="0" w:space="0" w:color="auto"/>
          </w:divBdr>
          <w:divsChild>
            <w:div w:id="1932664337">
              <w:marLeft w:val="0"/>
              <w:marRight w:val="0"/>
              <w:marTop w:val="0"/>
              <w:marBottom w:val="0"/>
              <w:divBdr>
                <w:top w:val="none" w:sz="0" w:space="0" w:color="auto"/>
                <w:left w:val="none" w:sz="0" w:space="0" w:color="auto"/>
                <w:bottom w:val="none" w:sz="0" w:space="0" w:color="auto"/>
                <w:right w:val="none" w:sz="0" w:space="0" w:color="auto"/>
              </w:divBdr>
            </w:div>
          </w:divsChild>
        </w:div>
        <w:div w:id="1010257279">
          <w:marLeft w:val="0"/>
          <w:marRight w:val="0"/>
          <w:marTop w:val="0"/>
          <w:marBottom w:val="0"/>
          <w:divBdr>
            <w:top w:val="none" w:sz="0" w:space="0" w:color="auto"/>
            <w:left w:val="none" w:sz="0" w:space="0" w:color="auto"/>
            <w:bottom w:val="none" w:sz="0" w:space="0" w:color="auto"/>
            <w:right w:val="none" w:sz="0" w:space="0" w:color="auto"/>
          </w:divBdr>
          <w:divsChild>
            <w:div w:id="10523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980">
      <w:bodyDiv w:val="1"/>
      <w:marLeft w:val="0"/>
      <w:marRight w:val="0"/>
      <w:marTop w:val="0"/>
      <w:marBottom w:val="0"/>
      <w:divBdr>
        <w:top w:val="none" w:sz="0" w:space="0" w:color="auto"/>
        <w:left w:val="none" w:sz="0" w:space="0" w:color="auto"/>
        <w:bottom w:val="none" w:sz="0" w:space="0" w:color="auto"/>
        <w:right w:val="none" w:sz="0" w:space="0" w:color="auto"/>
      </w:divBdr>
    </w:div>
    <w:div w:id="622150154">
      <w:bodyDiv w:val="1"/>
      <w:marLeft w:val="0"/>
      <w:marRight w:val="0"/>
      <w:marTop w:val="0"/>
      <w:marBottom w:val="0"/>
      <w:divBdr>
        <w:top w:val="none" w:sz="0" w:space="0" w:color="auto"/>
        <w:left w:val="none" w:sz="0" w:space="0" w:color="auto"/>
        <w:bottom w:val="none" w:sz="0" w:space="0" w:color="auto"/>
        <w:right w:val="none" w:sz="0" w:space="0" w:color="auto"/>
      </w:divBdr>
    </w:div>
    <w:div w:id="971861234">
      <w:bodyDiv w:val="1"/>
      <w:marLeft w:val="0"/>
      <w:marRight w:val="0"/>
      <w:marTop w:val="0"/>
      <w:marBottom w:val="0"/>
      <w:divBdr>
        <w:top w:val="none" w:sz="0" w:space="0" w:color="auto"/>
        <w:left w:val="none" w:sz="0" w:space="0" w:color="auto"/>
        <w:bottom w:val="none" w:sz="0" w:space="0" w:color="auto"/>
        <w:right w:val="none" w:sz="0" w:space="0" w:color="auto"/>
      </w:divBdr>
      <w:divsChild>
        <w:div w:id="829054374">
          <w:marLeft w:val="0"/>
          <w:marRight w:val="0"/>
          <w:marTop w:val="0"/>
          <w:marBottom w:val="0"/>
          <w:divBdr>
            <w:top w:val="none" w:sz="0" w:space="0" w:color="auto"/>
            <w:left w:val="none" w:sz="0" w:space="0" w:color="auto"/>
            <w:bottom w:val="none" w:sz="0" w:space="0" w:color="auto"/>
            <w:right w:val="none" w:sz="0" w:space="0" w:color="auto"/>
          </w:divBdr>
          <w:divsChild>
            <w:div w:id="2019186922">
              <w:marLeft w:val="0"/>
              <w:marRight w:val="0"/>
              <w:marTop w:val="0"/>
              <w:marBottom w:val="0"/>
              <w:divBdr>
                <w:top w:val="none" w:sz="0" w:space="0" w:color="auto"/>
                <w:left w:val="none" w:sz="0" w:space="0" w:color="auto"/>
                <w:bottom w:val="none" w:sz="0" w:space="0" w:color="auto"/>
                <w:right w:val="none" w:sz="0" w:space="0" w:color="auto"/>
              </w:divBdr>
            </w:div>
          </w:divsChild>
        </w:div>
        <w:div w:id="1577281158">
          <w:marLeft w:val="0"/>
          <w:marRight w:val="0"/>
          <w:marTop w:val="0"/>
          <w:marBottom w:val="0"/>
          <w:divBdr>
            <w:top w:val="none" w:sz="0" w:space="0" w:color="auto"/>
            <w:left w:val="none" w:sz="0" w:space="0" w:color="auto"/>
            <w:bottom w:val="none" w:sz="0" w:space="0" w:color="auto"/>
            <w:right w:val="none" w:sz="0" w:space="0" w:color="auto"/>
          </w:divBdr>
          <w:divsChild>
            <w:div w:id="1081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389">
      <w:bodyDiv w:val="1"/>
      <w:marLeft w:val="0"/>
      <w:marRight w:val="0"/>
      <w:marTop w:val="0"/>
      <w:marBottom w:val="0"/>
      <w:divBdr>
        <w:top w:val="none" w:sz="0" w:space="0" w:color="auto"/>
        <w:left w:val="none" w:sz="0" w:space="0" w:color="auto"/>
        <w:bottom w:val="none" w:sz="0" w:space="0" w:color="auto"/>
        <w:right w:val="none" w:sz="0" w:space="0" w:color="auto"/>
      </w:divBdr>
    </w:div>
    <w:div w:id="1214005241">
      <w:bodyDiv w:val="1"/>
      <w:marLeft w:val="0"/>
      <w:marRight w:val="0"/>
      <w:marTop w:val="0"/>
      <w:marBottom w:val="0"/>
      <w:divBdr>
        <w:top w:val="none" w:sz="0" w:space="0" w:color="auto"/>
        <w:left w:val="none" w:sz="0" w:space="0" w:color="auto"/>
        <w:bottom w:val="none" w:sz="0" w:space="0" w:color="auto"/>
        <w:right w:val="none" w:sz="0" w:space="0" w:color="auto"/>
      </w:divBdr>
    </w:div>
    <w:div w:id="1247807554">
      <w:bodyDiv w:val="1"/>
      <w:marLeft w:val="0"/>
      <w:marRight w:val="0"/>
      <w:marTop w:val="0"/>
      <w:marBottom w:val="0"/>
      <w:divBdr>
        <w:top w:val="none" w:sz="0" w:space="0" w:color="auto"/>
        <w:left w:val="none" w:sz="0" w:space="0" w:color="auto"/>
        <w:bottom w:val="none" w:sz="0" w:space="0" w:color="auto"/>
        <w:right w:val="none" w:sz="0" w:space="0" w:color="auto"/>
      </w:divBdr>
      <w:divsChild>
        <w:div w:id="283851616">
          <w:marLeft w:val="0"/>
          <w:marRight w:val="0"/>
          <w:marTop w:val="0"/>
          <w:marBottom w:val="0"/>
          <w:divBdr>
            <w:top w:val="none" w:sz="0" w:space="0" w:color="auto"/>
            <w:left w:val="none" w:sz="0" w:space="0" w:color="auto"/>
            <w:bottom w:val="none" w:sz="0" w:space="0" w:color="auto"/>
            <w:right w:val="none" w:sz="0" w:space="0" w:color="auto"/>
          </w:divBdr>
          <w:divsChild>
            <w:div w:id="660736885">
              <w:marLeft w:val="0"/>
              <w:marRight w:val="0"/>
              <w:marTop w:val="0"/>
              <w:marBottom w:val="0"/>
              <w:divBdr>
                <w:top w:val="none" w:sz="0" w:space="0" w:color="auto"/>
                <w:left w:val="none" w:sz="0" w:space="0" w:color="auto"/>
                <w:bottom w:val="none" w:sz="0" w:space="0" w:color="auto"/>
                <w:right w:val="none" w:sz="0" w:space="0" w:color="auto"/>
              </w:divBdr>
            </w:div>
          </w:divsChild>
        </w:div>
        <w:div w:id="220941910">
          <w:marLeft w:val="0"/>
          <w:marRight w:val="0"/>
          <w:marTop w:val="0"/>
          <w:marBottom w:val="0"/>
          <w:divBdr>
            <w:top w:val="none" w:sz="0" w:space="0" w:color="auto"/>
            <w:left w:val="none" w:sz="0" w:space="0" w:color="auto"/>
            <w:bottom w:val="none" w:sz="0" w:space="0" w:color="auto"/>
            <w:right w:val="none" w:sz="0" w:space="0" w:color="auto"/>
          </w:divBdr>
          <w:divsChild>
            <w:div w:id="14416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4472">
      <w:bodyDiv w:val="1"/>
      <w:marLeft w:val="0"/>
      <w:marRight w:val="0"/>
      <w:marTop w:val="0"/>
      <w:marBottom w:val="0"/>
      <w:divBdr>
        <w:top w:val="none" w:sz="0" w:space="0" w:color="auto"/>
        <w:left w:val="none" w:sz="0" w:space="0" w:color="auto"/>
        <w:bottom w:val="none" w:sz="0" w:space="0" w:color="auto"/>
        <w:right w:val="none" w:sz="0" w:space="0" w:color="auto"/>
      </w:divBdr>
    </w:div>
    <w:div w:id="1645890869">
      <w:bodyDiv w:val="1"/>
      <w:marLeft w:val="0"/>
      <w:marRight w:val="0"/>
      <w:marTop w:val="0"/>
      <w:marBottom w:val="0"/>
      <w:divBdr>
        <w:top w:val="none" w:sz="0" w:space="0" w:color="auto"/>
        <w:left w:val="none" w:sz="0" w:space="0" w:color="auto"/>
        <w:bottom w:val="none" w:sz="0" w:space="0" w:color="auto"/>
        <w:right w:val="none" w:sz="0" w:space="0" w:color="auto"/>
      </w:divBdr>
    </w:div>
    <w:div w:id="1874422570">
      <w:bodyDiv w:val="1"/>
      <w:marLeft w:val="0"/>
      <w:marRight w:val="0"/>
      <w:marTop w:val="0"/>
      <w:marBottom w:val="0"/>
      <w:divBdr>
        <w:top w:val="none" w:sz="0" w:space="0" w:color="auto"/>
        <w:left w:val="none" w:sz="0" w:space="0" w:color="auto"/>
        <w:bottom w:val="none" w:sz="0" w:space="0" w:color="auto"/>
        <w:right w:val="none" w:sz="0" w:space="0" w:color="auto"/>
      </w:divBdr>
    </w:div>
    <w:div w:id="1901596438">
      <w:bodyDiv w:val="1"/>
      <w:marLeft w:val="0"/>
      <w:marRight w:val="0"/>
      <w:marTop w:val="0"/>
      <w:marBottom w:val="0"/>
      <w:divBdr>
        <w:top w:val="none" w:sz="0" w:space="0" w:color="auto"/>
        <w:left w:val="none" w:sz="0" w:space="0" w:color="auto"/>
        <w:bottom w:val="none" w:sz="0" w:space="0" w:color="auto"/>
        <w:right w:val="none" w:sz="0" w:space="0" w:color="auto"/>
      </w:divBdr>
    </w:div>
    <w:div w:id="211617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h.e@hot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C15B-F196-45FA-944F-AEA8C562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13619</Words>
  <Characters>77629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 hassan</dc:creator>
  <cp:keywords/>
  <dc:description/>
  <cp:lastModifiedBy>reham hassan</cp:lastModifiedBy>
  <cp:revision>100</cp:revision>
  <dcterms:created xsi:type="dcterms:W3CDTF">2024-12-21T21:14:00Z</dcterms:created>
  <dcterms:modified xsi:type="dcterms:W3CDTF">2025-01-05T14:47:00Z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id="zc6HS9ro"/&gt;&lt;style id="http://www.zotero.org/styles/vancouver" locale="en-GB" hasBibliography="1" bibliographyStyleHasBeenSet="1"/&gt;&lt;prefs&gt;&lt;pref name="fieldType" value="Field"/&gt;&lt;/prefs&gt;&lt;/data&gt;</vt:lpwstr>
  </property>
</Properties>
</file>