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008DD" w:rsidRDefault="008F6ABD">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 Overview of the Indigenous Foundations of the Indian Constitution</w:t>
      </w:r>
    </w:p>
    <w:p w14:paraId="3DD7D8CF" w14:textId="66F1292B" w:rsidR="00953732" w:rsidRPr="00953732" w:rsidRDefault="00953732" w:rsidP="00953732">
      <w:pPr>
        <w:spacing w:before="240" w:after="240" w:line="360" w:lineRule="auto"/>
        <w:jc w:val="center"/>
        <w:rPr>
          <w:rFonts w:ascii="Times New Roman" w:eastAsia="Times New Roman" w:hAnsi="Times New Roman" w:cs="Times New Roman"/>
          <w:bCs/>
          <w:i/>
          <w:iCs/>
          <w:sz w:val="24"/>
          <w:szCs w:val="24"/>
        </w:rPr>
      </w:pPr>
      <w:r w:rsidRPr="00953732">
        <w:rPr>
          <w:rFonts w:ascii="Times New Roman" w:eastAsia="Times New Roman" w:hAnsi="Times New Roman" w:cs="Times New Roman"/>
          <w:bCs/>
          <w:i/>
          <w:iCs/>
          <w:sz w:val="24"/>
          <w:szCs w:val="24"/>
        </w:rPr>
        <w:t xml:space="preserve">Dr. Ashutosh Kumar Pandey </w:t>
      </w:r>
      <w:r w:rsidRPr="00491650">
        <w:rPr>
          <w:rFonts w:ascii="Times New Roman" w:eastAsia="Times New Roman" w:hAnsi="Times New Roman" w:cs="Times New Roman"/>
          <w:bCs/>
          <w:i/>
          <w:iCs/>
          <w:sz w:val="24"/>
          <w:szCs w:val="24"/>
          <w:vertAlign w:val="superscript"/>
        </w:rPr>
        <w:t>1a)</w:t>
      </w:r>
      <w:r w:rsidRPr="00953732">
        <w:rPr>
          <w:rFonts w:ascii="Times New Roman" w:eastAsia="Times New Roman" w:hAnsi="Times New Roman" w:cs="Times New Roman"/>
          <w:bCs/>
          <w:i/>
          <w:iCs/>
          <w:sz w:val="24"/>
          <w:szCs w:val="24"/>
        </w:rPr>
        <w:t xml:space="preserve">, Ankita Rituraj </w:t>
      </w:r>
      <w:r w:rsidRPr="00491650">
        <w:rPr>
          <w:rFonts w:ascii="Times New Roman" w:eastAsia="Times New Roman" w:hAnsi="Times New Roman" w:cs="Times New Roman"/>
          <w:bCs/>
          <w:i/>
          <w:iCs/>
          <w:sz w:val="24"/>
          <w:szCs w:val="24"/>
          <w:vertAlign w:val="superscript"/>
        </w:rPr>
        <w:t>1b)</w:t>
      </w:r>
    </w:p>
    <w:p w14:paraId="1417D49B" w14:textId="1429296E" w:rsidR="00953732" w:rsidRPr="00953732" w:rsidRDefault="00953732" w:rsidP="00953732">
      <w:pPr>
        <w:pStyle w:val="NoSpacing"/>
        <w:jc w:val="center"/>
        <w:rPr>
          <w:rFonts w:ascii="Times New Roman" w:hAnsi="Times New Roman" w:cs="Times New Roman"/>
          <w:sz w:val="24"/>
          <w:szCs w:val="24"/>
        </w:rPr>
      </w:pPr>
      <w:r w:rsidRPr="00953732">
        <w:rPr>
          <w:rFonts w:ascii="Times New Roman" w:hAnsi="Times New Roman" w:cs="Times New Roman"/>
          <w:sz w:val="24"/>
          <w:szCs w:val="24"/>
        </w:rPr>
        <w:t>a) Assistant Professor, Department of Political Science, St. Xavier’s College, Ranchi,</w:t>
      </w:r>
    </w:p>
    <w:p w14:paraId="25DD7782" w14:textId="5CFE3828" w:rsidR="00953732" w:rsidRPr="00953732" w:rsidRDefault="00953732" w:rsidP="00953732">
      <w:pPr>
        <w:pStyle w:val="NoSpacing"/>
        <w:jc w:val="center"/>
        <w:rPr>
          <w:rFonts w:ascii="Times New Roman" w:hAnsi="Times New Roman" w:cs="Times New Roman"/>
          <w:sz w:val="24"/>
          <w:szCs w:val="24"/>
        </w:rPr>
      </w:pPr>
      <w:r w:rsidRPr="00953732">
        <w:rPr>
          <w:rFonts w:ascii="Times New Roman" w:hAnsi="Times New Roman" w:cs="Times New Roman"/>
          <w:sz w:val="24"/>
          <w:szCs w:val="24"/>
        </w:rPr>
        <w:t>Jharkhand -834001</w:t>
      </w:r>
      <w:r w:rsidRPr="00953732">
        <w:rPr>
          <w:rFonts w:ascii="Segoe UI Emoji" w:hAnsi="Segoe UI Emoji" w:cs="Segoe UI Emoji"/>
          <w:sz w:val="24"/>
          <w:szCs w:val="24"/>
        </w:rPr>
        <w:t>✉</w:t>
      </w:r>
    </w:p>
    <w:p w14:paraId="00000003" w14:textId="112B6702" w:rsidR="00A008DD" w:rsidRPr="00953732" w:rsidRDefault="00953732" w:rsidP="00953732">
      <w:pPr>
        <w:pStyle w:val="NoSpacing"/>
        <w:jc w:val="center"/>
        <w:rPr>
          <w:rFonts w:ascii="Times New Roman" w:hAnsi="Times New Roman" w:cs="Times New Roman"/>
          <w:sz w:val="24"/>
          <w:szCs w:val="24"/>
        </w:rPr>
      </w:pPr>
      <w:r w:rsidRPr="00953732">
        <w:rPr>
          <w:rFonts w:ascii="Times New Roman" w:hAnsi="Times New Roman" w:cs="Times New Roman"/>
          <w:sz w:val="24"/>
          <w:szCs w:val="24"/>
        </w:rPr>
        <w:t xml:space="preserve">b) </w:t>
      </w:r>
      <w:r w:rsidR="008F6ABD" w:rsidRPr="00953732">
        <w:rPr>
          <w:rFonts w:ascii="Times New Roman" w:hAnsi="Times New Roman" w:cs="Times New Roman"/>
          <w:sz w:val="24"/>
          <w:szCs w:val="24"/>
        </w:rPr>
        <w:t>Assistant Professor of Law, MATS University</w:t>
      </w:r>
      <w:r w:rsidR="00A02E2E">
        <w:rPr>
          <w:rFonts w:ascii="Times New Roman" w:hAnsi="Times New Roman" w:cs="Times New Roman"/>
          <w:sz w:val="24"/>
          <w:szCs w:val="24"/>
        </w:rPr>
        <w:t>, Raipur, Chattisgarh-492013</w:t>
      </w:r>
    </w:p>
    <w:p w14:paraId="00000004" w14:textId="5CE1D27B" w:rsidR="00A008DD" w:rsidRDefault="00A008DD" w:rsidP="00953732">
      <w:pPr>
        <w:spacing w:before="240" w:after="240"/>
        <w:jc w:val="both"/>
        <w:rPr>
          <w:rFonts w:ascii="Times New Roman" w:eastAsia="Times New Roman" w:hAnsi="Times New Roman" w:cs="Times New Roman"/>
          <w:sz w:val="24"/>
          <w:szCs w:val="24"/>
        </w:rPr>
      </w:pPr>
    </w:p>
    <w:p w14:paraId="00000005" w14:textId="77777777" w:rsidR="00A008DD" w:rsidRDefault="008F6AB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6" w14:textId="77777777" w:rsidR="00A008DD" w:rsidRDefault="008F6A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Constitution is a remarkable synthesis of indigenous Bharatiya jurisprudence and modern legal thought, reflecting a confluence of ancient traditions and colonial influences. Rooted in dharmic principles, the Indian legal system has long upheld ideals of justice, equity, and duty, as seen in texts such as Arthashastra, Rigveda and the philosophies of Nyaya and Mimamsa schools. These foundational concepts resonate in constitutional provisions such as fundamental rights, directive principles, and decentralized governance. Simultaneously, colonial legal structures introduced rule of law, parliamentary democracy, and codified statutes, shaping the modern constitutional framework. This article explores the influences of Bharatiya jurisprudence on constitutional ideals by examining certain core principles of the Constitution such as secularism, directives principles of state policy and the panchayati raj systems that embody India’s indigenous legal heritage alongside Western legal doctrines. Through a doctrinal approach, it argues that the Indian Constitution is not merely an extension of colonial governance but a dynamic document that harmonizes India's rich legal traditions with contemporary jurisprudential principles.</w:t>
      </w:r>
    </w:p>
    <w:p w14:paraId="00000007" w14:textId="77777777" w:rsidR="00A008DD" w:rsidRDefault="008F6ABD">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8"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 philosophy in India has evolved over centuries, drawing from diverse sources such as </w:t>
      </w:r>
      <w:r>
        <w:rPr>
          <w:rFonts w:ascii="Times New Roman" w:eastAsia="Times New Roman" w:hAnsi="Times New Roman" w:cs="Times New Roman"/>
          <w:i/>
          <w:sz w:val="24"/>
          <w:szCs w:val="24"/>
        </w:rPr>
        <w:t>Dharmaśāstra</w:t>
      </w:r>
      <w:r>
        <w:rPr>
          <w:rFonts w:ascii="Times New Roman" w:eastAsia="Times New Roman" w:hAnsi="Times New Roman" w:cs="Times New Roman"/>
          <w:sz w:val="24"/>
          <w:szCs w:val="24"/>
        </w:rPr>
        <w:t xml:space="preserve">, Buddhist and Jain doctrines, Islamic jurisprudence, and colonial legal structures. The notion of justice in India is deeply embedded in the principles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a concept that transcends mere legality and encompasses moral and ethical righteousness. Unlike Western legal traditions, which emphasize codified laws and individual rights, Bharatiya jurisprudence has </w:t>
      </w:r>
      <w:r>
        <w:rPr>
          <w:rFonts w:ascii="Times New Roman" w:eastAsia="Times New Roman" w:hAnsi="Times New Roman" w:cs="Times New Roman"/>
          <w:sz w:val="24"/>
          <w:szCs w:val="24"/>
        </w:rPr>
        <w:lastRenderedPageBreak/>
        <w:t xml:space="preserve">historically placed greater emphasis on duty-based ethics, societal harmony, and justice as a collective aspiration. Ancient Indian jurisprudence developed through a complex interplay of religious, philosophical, and customary laws. The </w:t>
      </w:r>
      <w:r>
        <w:rPr>
          <w:rFonts w:ascii="Times New Roman" w:eastAsia="Times New Roman" w:hAnsi="Times New Roman" w:cs="Times New Roman"/>
          <w:i/>
          <w:sz w:val="24"/>
          <w:szCs w:val="24"/>
        </w:rPr>
        <w:t>Dharmaśāstras</w:t>
      </w:r>
      <w:r>
        <w:rPr>
          <w:rFonts w:ascii="Times New Roman" w:eastAsia="Times New Roman" w:hAnsi="Times New Roman" w:cs="Times New Roman"/>
          <w:sz w:val="24"/>
          <w:szCs w:val="24"/>
        </w:rPr>
        <w:t xml:space="preserve">, including Manusmriti, Yajnavalkya Smriti, and Narada Smriti, provided comprehensive guidelines for governance, social order, and dispute resolution. These texts did not function as rigid legal codes but rather as flexible guidelines that could be adapted to suit changing societal needs. Alongside these texts, Kautilya’s </w:t>
      </w:r>
      <w:r>
        <w:rPr>
          <w:rFonts w:ascii="Times New Roman" w:eastAsia="Times New Roman" w:hAnsi="Times New Roman" w:cs="Times New Roman"/>
          <w:i/>
          <w:sz w:val="24"/>
          <w:szCs w:val="24"/>
        </w:rPr>
        <w:t>Arthashastra</w:t>
      </w:r>
      <w:r>
        <w:rPr>
          <w:rFonts w:ascii="Times New Roman" w:eastAsia="Times New Roman" w:hAnsi="Times New Roman" w:cs="Times New Roman"/>
          <w:sz w:val="24"/>
          <w:szCs w:val="24"/>
        </w:rPr>
        <w:t xml:space="preserve"> introduced a pragmatic and political dimension to legal thought, emphasizing statecraft, economic policies, and the role of the ruler in ensuring justice.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Buddhist and Jain traditions contributed significantly to Bharatiya jurisprudence by introducing the principles of non-violence (</w:t>
      </w:r>
      <w:r>
        <w:rPr>
          <w:rFonts w:ascii="Times New Roman" w:eastAsia="Times New Roman" w:hAnsi="Times New Roman" w:cs="Times New Roman"/>
          <w:i/>
          <w:sz w:val="24"/>
          <w:szCs w:val="24"/>
        </w:rPr>
        <w:t>Ahimsa</w:t>
      </w:r>
      <w:r>
        <w:rPr>
          <w:rFonts w:ascii="Times New Roman" w:eastAsia="Times New Roman" w:hAnsi="Times New Roman" w:cs="Times New Roman"/>
          <w:sz w:val="24"/>
          <w:szCs w:val="24"/>
        </w:rPr>
        <w:t>), pluralism (</w:t>
      </w:r>
      <w:r>
        <w:rPr>
          <w:rFonts w:ascii="Times New Roman" w:eastAsia="Times New Roman" w:hAnsi="Times New Roman" w:cs="Times New Roman"/>
          <w:i/>
          <w:sz w:val="24"/>
          <w:szCs w:val="24"/>
        </w:rPr>
        <w:t>Anekantavada</w:t>
      </w:r>
      <w:r>
        <w:rPr>
          <w:rFonts w:ascii="Times New Roman" w:eastAsia="Times New Roman" w:hAnsi="Times New Roman" w:cs="Times New Roman"/>
          <w:sz w:val="24"/>
          <w:szCs w:val="24"/>
        </w:rPr>
        <w:t xml:space="preserve">), and conflict resolution through dialogue. These traditions challenged the rigid social hierarchies upheld by the </w:t>
      </w:r>
      <w:r>
        <w:rPr>
          <w:rFonts w:ascii="Times New Roman" w:eastAsia="Times New Roman" w:hAnsi="Times New Roman" w:cs="Times New Roman"/>
          <w:i/>
          <w:sz w:val="24"/>
          <w:szCs w:val="24"/>
        </w:rPr>
        <w:t>Dharmaśāstra</w:t>
      </w:r>
      <w:r>
        <w:rPr>
          <w:rFonts w:ascii="Times New Roman" w:eastAsia="Times New Roman" w:hAnsi="Times New Roman" w:cs="Times New Roman"/>
          <w:sz w:val="24"/>
          <w:szCs w:val="24"/>
        </w:rPr>
        <w:t xml:space="preserve"> and provided alternative legal and ethical frameworks that emphasized compassion and inclusivity. Similarly, the advent of Islamic rule in India introduced </w:t>
      </w:r>
      <w:r>
        <w:rPr>
          <w:rFonts w:ascii="Times New Roman" w:eastAsia="Times New Roman" w:hAnsi="Times New Roman" w:cs="Times New Roman"/>
          <w:i/>
          <w:sz w:val="24"/>
          <w:szCs w:val="24"/>
        </w:rPr>
        <w:t>Sharia</w:t>
      </w:r>
      <w:r>
        <w:rPr>
          <w:rFonts w:ascii="Times New Roman" w:eastAsia="Times New Roman" w:hAnsi="Times New Roman" w:cs="Times New Roman"/>
          <w:sz w:val="24"/>
          <w:szCs w:val="24"/>
        </w:rPr>
        <w:t>-based jurisprudence, which influenced personal laws, particularly in matters of marriage, inheritance, and property rights. The coexistence of multiple legal traditions led to a pluralistic legal culture that valued diversity and localized dispute resolution mechanisms.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British colonial period marked a significant transformation in Indian jurisprudence, as indigenous legal systems were gradually replaced by the common law system. The British introduced codified laws, centralized judicial institutions, and legal education that aligned with Western principles of justice. While this legal modernization brought about uniformity and administrative efficiency, it also led to the marginalization of indigenous legal traditions. Customary laws, which had previously played a vital role in local governance, were often disregarded or subsumed under colonial statutes. However, certain aspects of Bharatiya jurisprudence persisted through personal laws governing religious and community affairs.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09"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adoption of the Indian Constitution in 1950 marked a pivotal moment in India's legal history. The Constitution sought to harmonize India's rich legal heritage with modern democratic principles. It incorporated elements of Bharatiya jurisprudence while also embracing ideals from Western legal thought. The Preamble, with its emphasis on justice, liberty, equality, and fraternity, reflects the age-old Indian concept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which prioritizes social harmony and ethical </w:t>
      </w:r>
      <w:r>
        <w:rPr>
          <w:rFonts w:ascii="Times New Roman" w:eastAsia="Times New Roman" w:hAnsi="Times New Roman" w:cs="Times New Roman"/>
          <w:sz w:val="24"/>
          <w:szCs w:val="24"/>
        </w:rPr>
        <w:lastRenderedPageBreak/>
        <w:t>governance. Fundamental Rights and Directive Principles of State Policy (DPSP) embody values that resonate with ancient Indian philosophy, including principles of non-discrimination, socio-economic justice, and community welfare.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One of the key contributions of Bharatiya jurisprudence to the Indian Constitution is the concept of </w:t>
      </w:r>
      <w:r>
        <w:rPr>
          <w:rFonts w:ascii="Times New Roman" w:eastAsia="Times New Roman" w:hAnsi="Times New Roman" w:cs="Times New Roman"/>
          <w:i/>
          <w:sz w:val="24"/>
          <w:szCs w:val="24"/>
        </w:rPr>
        <w:t>Sarvodaya</w:t>
      </w:r>
      <w:r>
        <w:rPr>
          <w:rFonts w:ascii="Times New Roman" w:eastAsia="Times New Roman" w:hAnsi="Times New Roman" w:cs="Times New Roman"/>
          <w:sz w:val="24"/>
          <w:szCs w:val="24"/>
        </w:rPr>
        <w:t xml:space="preserve"> (welfare of all), championed by Mahatma Gandhi and rooted in ancient Indian traditions. This principle is reflected in the DPSP, which envisions a just and equitable society where economic resources are distributed fairly, labor is protected, and marginalized communities are uplifted. The Panchayati Raj system, which promotes decentralized governance, draws inspiration from ancient village assemblies (</w:t>
      </w:r>
      <w:r>
        <w:rPr>
          <w:rFonts w:ascii="Times New Roman" w:eastAsia="Times New Roman" w:hAnsi="Times New Roman" w:cs="Times New Roman"/>
          <w:i/>
          <w:sz w:val="24"/>
          <w:szCs w:val="24"/>
        </w:rPr>
        <w:t>Sabhas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Samitis</w:t>
      </w:r>
      <w:r>
        <w:rPr>
          <w:rFonts w:ascii="Times New Roman" w:eastAsia="Times New Roman" w:hAnsi="Times New Roman" w:cs="Times New Roman"/>
          <w:sz w:val="24"/>
          <w:szCs w:val="24"/>
        </w:rPr>
        <w:t>), highlighting the continued relevance of indigenous self-governance models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Despite these incorporations, the synthesis of Bharatiya jurisprudence with modern legal principles has not been without challenges. One major area of contention is the Uniform Civil Code (UCC), which seeks to replace personal laws based on religious customs with a single set of laws applicable to all citizens. The debate over the UCC reflects deeper tensions between the pluralistic traditions of Bharatiya jurisprudence and the need for legal uniformity in a secular democratic state. Similarly, judicial interpretations of constitutional provisions often grapple with balancing traditional legal principles with contemporary human rights norms.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0A" w14:textId="77777777" w:rsidR="00A008DD" w:rsidRDefault="008F6ABD">
      <w:pPr>
        <w:pStyle w:val="Heading3"/>
        <w:keepNext w:val="0"/>
        <w:keepLines w:val="0"/>
        <w:numPr>
          <w:ilvl w:val="0"/>
          <w:numId w:val="1"/>
        </w:numPr>
        <w:spacing w:before="280" w:line="360" w:lineRule="auto"/>
        <w:jc w:val="both"/>
        <w:rPr>
          <w:rFonts w:ascii="Times New Roman" w:eastAsia="Times New Roman" w:hAnsi="Times New Roman" w:cs="Times New Roman"/>
          <w:b/>
          <w:color w:val="000000"/>
          <w:sz w:val="24"/>
          <w:szCs w:val="24"/>
        </w:rPr>
      </w:pPr>
      <w:bookmarkStart w:id="0" w:name="_qqckczyeute9" w:colFirst="0" w:colLast="0"/>
      <w:bookmarkEnd w:id="0"/>
      <w:r>
        <w:rPr>
          <w:rFonts w:ascii="Times New Roman" w:eastAsia="Times New Roman" w:hAnsi="Times New Roman" w:cs="Times New Roman"/>
          <w:b/>
          <w:color w:val="000000"/>
          <w:sz w:val="24"/>
          <w:szCs w:val="24"/>
        </w:rPr>
        <w:t>Ancient Hindu Legal Thought</w:t>
      </w:r>
    </w:p>
    <w:p w14:paraId="0000000B" w14:textId="77777777" w:rsidR="00A008DD" w:rsidRDefault="008F6ABD">
      <w:pPr>
        <w:pStyle w:val="Heading3"/>
        <w:keepNext w:val="0"/>
        <w:keepLines w:val="0"/>
        <w:spacing w:before="280" w:line="360" w:lineRule="auto"/>
        <w:jc w:val="both"/>
        <w:rPr>
          <w:rFonts w:ascii="Times New Roman" w:eastAsia="Times New Roman" w:hAnsi="Times New Roman" w:cs="Times New Roman"/>
          <w:sz w:val="24"/>
          <w:szCs w:val="24"/>
        </w:rPr>
      </w:pPr>
      <w:bookmarkStart w:id="1" w:name="_ynst6omxsi2p" w:colFirst="0" w:colLast="0"/>
      <w:bookmarkEnd w:id="1"/>
      <w:r>
        <w:rPr>
          <w:rFonts w:ascii="Times New Roman" w:eastAsia="Times New Roman" w:hAnsi="Times New Roman" w:cs="Times New Roman"/>
          <w:sz w:val="24"/>
          <w:szCs w:val="24"/>
        </w:rPr>
        <w:t xml:space="preserve">Ancient Indian legal traditions were largely shaped by </w:t>
      </w:r>
      <w:r>
        <w:rPr>
          <w:rFonts w:ascii="Times New Roman" w:eastAsia="Times New Roman" w:hAnsi="Times New Roman" w:cs="Times New Roman"/>
          <w:i/>
          <w:sz w:val="24"/>
          <w:szCs w:val="24"/>
        </w:rPr>
        <w:t>Dharmaśāstra</w:t>
      </w:r>
      <w:r>
        <w:rPr>
          <w:rFonts w:ascii="Times New Roman" w:eastAsia="Times New Roman" w:hAnsi="Times New Roman" w:cs="Times New Roman"/>
          <w:sz w:val="24"/>
          <w:szCs w:val="24"/>
        </w:rPr>
        <w:t>, which emphasized justice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as a guiding principle. Manusmriti, Yajnavalkya Smriti, and Narada Smriti articulated legal norms that governed various aspects of life. These texts formed the basis of Hindu law, providing rules on civil, criminal, and procedural matters. They emphasized the concept of </w:t>
      </w:r>
      <w:r>
        <w:rPr>
          <w:rFonts w:ascii="Times New Roman" w:eastAsia="Times New Roman" w:hAnsi="Times New Roman" w:cs="Times New Roman"/>
          <w:i/>
          <w:sz w:val="24"/>
          <w:szCs w:val="24"/>
        </w:rPr>
        <w:t>Rita</w:t>
      </w:r>
      <w:r>
        <w:rPr>
          <w:rFonts w:ascii="Times New Roman" w:eastAsia="Times New Roman" w:hAnsi="Times New Roman" w:cs="Times New Roman"/>
          <w:sz w:val="24"/>
          <w:szCs w:val="24"/>
        </w:rPr>
        <w:t xml:space="preserve"> (cosmic order), which linked law with morality and divine justice. Kautilya’s </w:t>
      </w:r>
      <w:r>
        <w:rPr>
          <w:rFonts w:ascii="Times New Roman" w:eastAsia="Times New Roman" w:hAnsi="Times New Roman" w:cs="Times New Roman"/>
          <w:i/>
          <w:sz w:val="24"/>
          <w:szCs w:val="24"/>
        </w:rPr>
        <w:t>Arthashastra</w:t>
      </w:r>
      <w:r>
        <w:rPr>
          <w:rFonts w:ascii="Times New Roman" w:eastAsia="Times New Roman" w:hAnsi="Times New Roman" w:cs="Times New Roman"/>
          <w:sz w:val="24"/>
          <w:szCs w:val="24"/>
        </w:rPr>
        <w:t xml:space="preserve"> (4th century BCE) provided a pragmatic approach to governance, emphasizing rule of law and statecraft. Unlike </w:t>
      </w:r>
      <w:r>
        <w:rPr>
          <w:rFonts w:ascii="Times New Roman" w:eastAsia="Times New Roman" w:hAnsi="Times New Roman" w:cs="Times New Roman"/>
          <w:i/>
          <w:sz w:val="24"/>
          <w:szCs w:val="24"/>
        </w:rPr>
        <w:t>Dharmaśāstra</w:t>
      </w:r>
      <w:r>
        <w:rPr>
          <w:rFonts w:ascii="Times New Roman" w:eastAsia="Times New Roman" w:hAnsi="Times New Roman" w:cs="Times New Roman"/>
          <w:sz w:val="24"/>
          <w:szCs w:val="24"/>
        </w:rPr>
        <w:t xml:space="preserve">, which was largely based on religious doctrine, </w:t>
      </w:r>
      <w:r>
        <w:rPr>
          <w:rFonts w:ascii="Times New Roman" w:eastAsia="Times New Roman" w:hAnsi="Times New Roman" w:cs="Times New Roman"/>
          <w:i/>
          <w:sz w:val="24"/>
          <w:szCs w:val="24"/>
        </w:rPr>
        <w:t>Arthashastra</w:t>
      </w:r>
      <w:r>
        <w:rPr>
          <w:rFonts w:ascii="Times New Roman" w:eastAsia="Times New Roman" w:hAnsi="Times New Roman" w:cs="Times New Roman"/>
          <w:sz w:val="24"/>
          <w:szCs w:val="24"/>
        </w:rPr>
        <w:t xml:space="preserve"> advocated for a rational and utilitarian approach to law, emphasizing state intervention for economic prosperity and national security. The Vedic texts also played a foundational role in </w:t>
      </w:r>
      <w:r>
        <w:rPr>
          <w:rFonts w:ascii="Times New Roman" w:eastAsia="Times New Roman" w:hAnsi="Times New Roman" w:cs="Times New Roman"/>
          <w:sz w:val="24"/>
          <w:szCs w:val="24"/>
        </w:rPr>
        <w:lastRenderedPageBreak/>
        <w:t>shaping legal thought. The Rig Veda, one of the oldest scriptures, mentions concepts of justice (</w:t>
      </w:r>
      <w:r>
        <w:rPr>
          <w:rFonts w:ascii="Times New Roman" w:eastAsia="Times New Roman" w:hAnsi="Times New Roman" w:cs="Times New Roman"/>
          <w:i/>
          <w:sz w:val="24"/>
          <w:szCs w:val="24"/>
        </w:rPr>
        <w:t>Rta</w:t>
      </w:r>
      <w:r>
        <w:rPr>
          <w:rFonts w:ascii="Times New Roman" w:eastAsia="Times New Roman" w:hAnsi="Times New Roman" w:cs="Times New Roman"/>
          <w:sz w:val="24"/>
          <w:szCs w:val="24"/>
        </w:rPr>
        <w:t>) and truth (</w:t>
      </w:r>
      <w:r>
        <w:rPr>
          <w:rFonts w:ascii="Times New Roman" w:eastAsia="Times New Roman" w:hAnsi="Times New Roman" w:cs="Times New Roman"/>
          <w:i/>
          <w:sz w:val="24"/>
          <w:szCs w:val="24"/>
        </w:rPr>
        <w:t>Satya</w:t>
      </w:r>
      <w:r>
        <w:rPr>
          <w:rFonts w:ascii="Times New Roman" w:eastAsia="Times New Roman" w:hAnsi="Times New Roman" w:cs="Times New Roman"/>
          <w:sz w:val="24"/>
          <w:szCs w:val="24"/>
        </w:rPr>
        <w:t xml:space="preserve">). The Upanishads introduced the idea of </w:t>
      </w:r>
      <w:r>
        <w:rPr>
          <w:rFonts w:ascii="Times New Roman" w:eastAsia="Times New Roman" w:hAnsi="Times New Roman" w:cs="Times New Roman"/>
          <w:i/>
          <w:sz w:val="24"/>
          <w:szCs w:val="24"/>
        </w:rPr>
        <w:t>Karma</w:t>
      </w:r>
      <w:r>
        <w:rPr>
          <w:rFonts w:ascii="Times New Roman" w:eastAsia="Times New Roman" w:hAnsi="Times New Roman" w:cs="Times New Roman"/>
          <w:sz w:val="24"/>
          <w:szCs w:val="24"/>
        </w:rPr>
        <w:t xml:space="preserve"> (law of action and consequence), which indirectly influenced the notion of justice and legal responsibility. </w:t>
      </w:r>
    </w:p>
    <w:p w14:paraId="0000000C" w14:textId="77777777" w:rsidR="00A008DD" w:rsidRDefault="008F6ABD">
      <w:pPr>
        <w:pStyle w:val="Heading3"/>
        <w:keepNext w:val="0"/>
        <w:keepLines w:val="0"/>
        <w:numPr>
          <w:ilvl w:val="0"/>
          <w:numId w:val="1"/>
        </w:numPr>
        <w:spacing w:before="280" w:line="360" w:lineRule="auto"/>
        <w:jc w:val="both"/>
        <w:rPr>
          <w:rFonts w:ascii="Times New Roman" w:eastAsia="Times New Roman" w:hAnsi="Times New Roman" w:cs="Times New Roman"/>
          <w:b/>
          <w:color w:val="000000"/>
          <w:sz w:val="24"/>
          <w:szCs w:val="24"/>
        </w:rPr>
      </w:pPr>
      <w:bookmarkStart w:id="2" w:name="_l8iq6fp0rwqa" w:colFirst="0" w:colLast="0"/>
      <w:bookmarkEnd w:id="2"/>
      <w:r>
        <w:rPr>
          <w:rFonts w:ascii="Times New Roman" w:eastAsia="Times New Roman" w:hAnsi="Times New Roman" w:cs="Times New Roman"/>
          <w:b/>
          <w:color w:val="000000"/>
          <w:sz w:val="24"/>
          <w:szCs w:val="24"/>
        </w:rPr>
        <w:t>Buddhist and Jain Contributions</w:t>
      </w:r>
    </w:p>
    <w:p w14:paraId="0000000D"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Buddhist jurisprudence promoted ethical governance and conflict resolution through dialogue. The legal principles laid down by Emperor Ashoka in his edicts emphasized moral conduct, non-violence (</w:t>
      </w:r>
      <w:r>
        <w:rPr>
          <w:rFonts w:ascii="Times New Roman" w:eastAsia="Times New Roman" w:hAnsi="Times New Roman" w:cs="Times New Roman"/>
          <w:i/>
          <w:sz w:val="24"/>
          <w:szCs w:val="24"/>
        </w:rPr>
        <w:t>Ahimsa</w:t>
      </w:r>
      <w:r>
        <w:rPr>
          <w:rFonts w:ascii="Times New Roman" w:eastAsia="Times New Roman" w:hAnsi="Times New Roman" w:cs="Times New Roman"/>
          <w:sz w:val="24"/>
          <w:szCs w:val="24"/>
        </w:rPr>
        <w:t>), and justice for all beings, including animals. The Buddhist councils institutionalized monastic laws (</w:t>
      </w:r>
      <w:r>
        <w:rPr>
          <w:rFonts w:ascii="Times New Roman" w:eastAsia="Times New Roman" w:hAnsi="Times New Roman" w:cs="Times New Roman"/>
          <w:i/>
          <w:sz w:val="24"/>
          <w:szCs w:val="24"/>
        </w:rPr>
        <w:t>Vinaya</w:t>
      </w:r>
      <w:r>
        <w:rPr>
          <w:rFonts w:ascii="Times New Roman" w:eastAsia="Times New Roman" w:hAnsi="Times New Roman" w:cs="Times New Roman"/>
          <w:sz w:val="24"/>
          <w:szCs w:val="24"/>
        </w:rPr>
        <w:t xml:space="preserve">), which set precedents for collective decision-making and ethical governance. Jainism contributed principles of </w:t>
      </w:r>
      <w:r>
        <w:rPr>
          <w:rFonts w:ascii="Times New Roman" w:eastAsia="Times New Roman" w:hAnsi="Times New Roman" w:cs="Times New Roman"/>
          <w:i/>
          <w:sz w:val="24"/>
          <w:szCs w:val="24"/>
        </w:rPr>
        <w:t>Ahimsa</w:t>
      </w:r>
      <w:r>
        <w:rPr>
          <w:rFonts w:ascii="Times New Roman" w:eastAsia="Times New Roman" w:hAnsi="Times New Roman" w:cs="Times New Roman"/>
          <w:sz w:val="24"/>
          <w:szCs w:val="24"/>
        </w:rPr>
        <w:t xml:space="preserve"> (non-violence) and </w:t>
      </w:r>
      <w:r>
        <w:rPr>
          <w:rFonts w:ascii="Times New Roman" w:eastAsia="Times New Roman" w:hAnsi="Times New Roman" w:cs="Times New Roman"/>
          <w:i/>
          <w:sz w:val="24"/>
          <w:szCs w:val="24"/>
        </w:rPr>
        <w:t>Anekantavada</w:t>
      </w:r>
      <w:r>
        <w:rPr>
          <w:rFonts w:ascii="Times New Roman" w:eastAsia="Times New Roman" w:hAnsi="Times New Roman" w:cs="Times New Roman"/>
          <w:sz w:val="24"/>
          <w:szCs w:val="24"/>
        </w:rPr>
        <w:t xml:space="preserve"> (pluralism), influencing legal interpretations in later periods. Jain philosophy emphasized non-violence even in legal matters, advocating for dispute resolution mechanisms that prioritized conciliation and non-retaliation. These principles influenced later legal codes and dispute resolution frameworks in India.</w:t>
      </w:r>
    </w:p>
    <w:p w14:paraId="0000000E" w14:textId="77777777" w:rsidR="00A008DD" w:rsidRDefault="008F6ABD">
      <w:pPr>
        <w:pStyle w:val="Heading3"/>
        <w:keepNext w:val="0"/>
        <w:keepLines w:val="0"/>
        <w:numPr>
          <w:ilvl w:val="0"/>
          <w:numId w:val="1"/>
        </w:numPr>
        <w:spacing w:before="280" w:line="360" w:lineRule="auto"/>
        <w:jc w:val="both"/>
        <w:rPr>
          <w:rFonts w:ascii="Times New Roman" w:eastAsia="Times New Roman" w:hAnsi="Times New Roman" w:cs="Times New Roman"/>
          <w:b/>
          <w:color w:val="000000"/>
          <w:sz w:val="24"/>
          <w:szCs w:val="24"/>
        </w:rPr>
      </w:pPr>
      <w:bookmarkStart w:id="3" w:name="_lh1pspin20uv" w:colFirst="0" w:colLast="0"/>
      <w:bookmarkEnd w:id="3"/>
      <w:r>
        <w:rPr>
          <w:rFonts w:ascii="Times New Roman" w:eastAsia="Times New Roman" w:hAnsi="Times New Roman" w:cs="Times New Roman"/>
          <w:b/>
          <w:color w:val="000000"/>
          <w:sz w:val="24"/>
          <w:szCs w:val="24"/>
        </w:rPr>
        <w:t>Islamic and Colonial Legal Influences</w:t>
      </w:r>
    </w:p>
    <w:p w14:paraId="0000000F"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Islamic jurisprudence, or </w:t>
      </w:r>
      <w:r>
        <w:rPr>
          <w:rFonts w:ascii="Times New Roman" w:eastAsia="Times New Roman" w:hAnsi="Times New Roman" w:cs="Times New Roman"/>
          <w:i/>
          <w:sz w:val="24"/>
          <w:szCs w:val="24"/>
        </w:rPr>
        <w:t>Fiqh</w:t>
      </w:r>
      <w:r>
        <w:rPr>
          <w:rFonts w:ascii="Times New Roman" w:eastAsia="Times New Roman" w:hAnsi="Times New Roman" w:cs="Times New Roman"/>
          <w:sz w:val="24"/>
          <w:szCs w:val="24"/>
        </w:rPr>
        <w:t>, played a role in shaping India’s judicial traditions, particularly in areas of personal law and justice. The Mughal rulers implemented a blend of Islamic law (</w:t>
      </w:r>
      <w:r>
        <w:rPr>
          <w:rFonts w:ascii="Times New Roman" w:eastAsia="Times New Roman" w:hAnsi="Times New Roman" w:cs="Times New Roman"/>
          <w:i/>
          <w:sz w:val="24"/>
          <w:szCs w:val="24"/>
        </w:rPr>
        <w:t>Sharia</w:t>
      </w:r>
      <w:r>
        <w:rPr>
          <w:rFonts w:ascii="Times New Roman" w:eastAsia="Times New Roman" w:hAnsi="Times New Roman" w:cs="Times New Roman"/>
          <w:sz w:val="24"/>
          <w:szCs w:val="24"/>
        </w:rPr>
        <w:t>) and customary laws to ensure justice for diverse communities.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emphasis on </w:t>
      </w:r>
      <w:r>
        <w:rPr>
          <w:rFonts w:ascii="Times New Roman" w:eastAsia="Times New Roman" w:hAnsi="Times New Roman" w:cs="Times New Roman"/>
          <w:i/>
          <w:sz w:val="24"/>
          <w:szCs w:val="24"/>
        </w:rPr>
        <w:t>Adl</w:t>
      </w:r>
      <w:r>
        <w:rPr>
          <w:rFonts w:ascii="Times New Roman" w:eastAsia="Times New Roman" w:hAnsi="Times New Roman" w:cs="Times New Roman"/>
          <w:sz w:val="24"/>
          <w:szCs w:val="24"/>
        </w:rPr>
        <w:t xml:space="preserve"> (justice) and </w:t>
      </w:r>
      <w:r>
        <w:rPr>
          <w:rFonts w:ascii="Times New Roman" w:eastAsia="Times New Roman" w:hAnsi="Times New Roman" w:cs="Times New Roman"/>
          <w:i/>
          <w:sz w:val="24"/>
          <w:szCs w:val="24"/>
        </w:rPr>
        <w:t>Haqooq-ul-Ibad</w:t>
      </w:r>
      <w:r>
        <w:rPr>
          <w:rFonts w:ascii="Times New Roman" w:eastAsia="Times New Roman" w:hAnsi="Times New Roman" w:cs="Times New Roman"/>
          <w:sz w:val="24"/>
          <w:szCs w:val="24"/>
        </w:rPr>
        <w:t xml:space="preserve"> (rights of people) resonates with the Indian Constitution’s commitment to justice and equality.The advent of Islamic rule in India also introduced </w:t>
      </w:r>
      <w:r>
        <w:rPr>
          <w:rFonts w:ascii="Times New Roman" w:eastAsia="Times New Roman" w:hAnsi="Times New Roman" w:cs="Times New Roman"/>
          <w:i/>
          <w:sz w:val="24"/>
          <w:szCs w:val="24"/>
        </w:rPr>
        <w:t>Sharia</w:t>
      </w:r>
      <w:r>
        <w:rPr>
          <w:rFonts w:ascii="Times New Roman" w:eastAsia="Times New Roman" w:hAnsi="Times New Roman" w:cs="Times New Roman"/>
          <w:sz w:val="24"/>
          <w:szCs w:val="24"/>
        </w:rPr>
        <w:t xml:space="preserve">-based jurisprudence, influencing property and personal laws. The Mughal legal system incorporated elements of both Islamic and indigenous legal traditions, allowing for a degree of legal pluralism. The </w:t>
      </w:r>
      <w:r>
        <w:rPr>
          <w:rFonts w:ascii="Times New Roman" w:eastAsia="Times New Roman" w:hAnsi="Times New Roman" w:cs="Times New Roman"/>
          <w:i/>
          <w:sz w:val="24"/>
          <w:szCs w:val="24"/>
        </w:rPr>
        <w:t>Fatwa-i-Alamgiri</w:t>
      </w:r>
      <w:r>
        <w:rPr>
          <w:rFonts w:ascii="Times New Roman" w:eastAsia="Times New Roman" w:hAnsi="Times New Roman" w:cs="Times New Roman"/>
          <w:sz w:val="24"/>
          <w:szCs w:val="24"/>
        </w:rPr>
        <w:t>, compiled during Aurangzeb’s reign, codified Islamic legal principles but also recognized customary Hindu practices in civil disputes.</w:t>
      </w:r>
      <w:r>
        <w:rPr>
          <w:rFonts w:ascii="Times New Roman" w:eastAsia="Times New Roman" w:hAnsi="Times New Roman" w:cs="Times New Roman"/>
          <w:sz w:val="24"/>
          <w:szCs w:val="24"/>
          <w:vertAlign w:val="superscript"/>
        </w:rPr>
        <w:footnoteReference w:id="8"/>
      </w:r>
    </w:p>
    <w:p w14:paraId="00000010"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Indian Constitution is deeply influenced by British colonial legal traditions, particularly in areas of governance, justice, administration, and codification of laws. British rule introduced the principle of the rule of law, which remains central to India’s legal system through the Indian Penal Code (1860), the Code of Criminal Procedure (1861), and the Indian Evidence Act (1872). The Government of India Act of 1935 laid the foundation for India’s parliamentary democracy, federal structure, and administrative organization, elements that were later incorporated into the Constitution. Fundamental rights, enshrined in Part III of the Indian Constitution, were influenced by colonial-era legal protections introduced through acts such as the Indian Councils Act (1892) and the Government of India Act (1919), which provided limited political representation. The Indian Civil Service, established during British rule, evolved into the modern Indian bureaucracy, with constitutional provisions under Articles 309-323 ensuring continuity. Additionally, the codification of laws, including the Indian Contract Act (1872) and Transfer of Property Act (1882), set a precedent for uniform legal standards in India. While India’s legal system has evolved to reflect its democratic and pluralistic values, the foundational principles introduced during colonial rule—such as the rule of law, parliamentary democracy, and administrative structure—remain integral to its functioning.</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The legacy of British colonial law, therefore, continues to shape the legal and constitutional order of independent India.</w:t>
      </w:r>
      <w:r>
        <w:rPr>
          <w:rFonts w:ascii="Times New Roman" w:eastAsia="Times New Roman" w:hAnsi="Times New Roman" w:cs="Times New Roman"/>
          <w:sz w:val="24"/>
          <w:szCs w:val="24"/>
          <w:vertAlign w:val="superscript"/>
        </w:rPr>
        <w:footnoteReference w:id="10"/>
      </w:r>
    </w:p>
    <w:p w14:paraId="00000011" w14:textId="77777777" w:rsidR="00A008DD" w:rsidRDefault="008F6ABD">
      <w:pPr>
        <w:numPr>
          <w:ilvl w:val="0"/>
          <w:numId w:val="1"/>
        </w:numPr>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Evolution of Customary Law</w:t>
      </w:r>
    </w:p>
    <w:p w14:paraId="00000012"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Customary laws played a significant role in Bharatiya jurisprudence, particularly in village-level dispute resolution and self-governance. Local traditions and community customs often functioned as binding legal norms, regulating matters such as marriage, inheritance, and land ownership. The </w:t>
      </w:r>
      <w:r>
        <w:rPr>
          <w:rFonts w:ascii="Times New Roman" w:eastAsia="Times New Roman" w:hAnsi="Times New Roman" w:cs="Times New Roman"/>
          <w:i/>
          <w:sz w:val="24"/>
          <w:szCs w:val="24"/>
        </w:rPr>
        <w:t>Panchayati Raj</w:t>
      </w:r>
      <w:r>
        <w:rPr>
          <w:rFonts w:ascii="Times New Roman" w:eastAsia="Times New Roman" w:hAnsi="Times New Roman" w:cs="Times New Roman"/>
          <w:sz w:val="24"/>
          <w:szCs w:val="24"/>
        </w:rPr>
        <w:t xml:space="preserve"> system, an ancient form of local governance, enabled villages to resolve disputes autonomously through elders' councils (</w:t>
      </w:r>
      <w:r>
        <w:rPr>
          <w:rFonts w:ascii="Times New Roman" w:eastAsia="Times New Roman" w:hAnsi="Times New Roman" w:cs="Times New Roman"/>
          <w:i/>
          <w:sz w:val="24"/>
          <w:szCs w:val="24"/>
        </w:rPr>
        <w:t>Gram Sabhas</w:t>
      </w:r>
      <w:r>
        <w:rPr>
          <w:rFonts w:ascii="Times New Roman" w:eastAsia="Times New Roman" w:hAnsi="Times New Roman" w:cs="Times New Roman"/>
          <w:sz w:val="24"/>
          <w:szCs w:val="24"/>
        </w:rPr>
        <w:t xml:space="preserve">), a practice that continues in modified forms today. During the colonial era, British administrators initially recognized customary law, particularly in rural India, but later attempted to standardize laws through codification, undermining traditional dispute resolution mechanisms. Post-independence, the Indian legal </w:t>
      </w:r>
      <w:r>
        <w:rPr>
          <w:rFonts w:ascii="Times New Roman" w:eastAsia="Times New Roman" w:hAnsi="Times New Roman" w:cs="Times New Roman"/>
          <w:sz w:val="24"/>
          <w:szCs w:val="24"/>
        </w:rPr>
        <w:lastRenderedPageBreak/>
        <w:t>system attempted to reintegrate these practices within a formalized legal framework, as seen in the revival of Panchayati Raj institutions under the 73rd Constitutional Amendment Act, 1992.</w:t>
      </w:r>
      <w:r>
        <w:rPr>
          <w:rFonts w:ascii="Times New Roman" w:eastAsia="Times New Roman" w:hAnsi="Times New Roman" w:cs="Times New Roman"/>
          <w:sz w:val="24"/>
          <w:szCs w:val="24"/>
          <w:vertAlign w:val="superscript"/>
        </w:rPr>
        <w:footnoteReference w:id="11"/>
      </w:r>
    </w:p>
    <w:p w14:paraId="00000013" w14:textId="77777777" w:rsidR="00A008DD" w:rsidRDefault="008F6ABD">
      <w:pPr>
        <w:pStyle w:val="Heading3"/>
        <w:keepNext w:val="0"/>
        <w:keepLines w:val="0"/>
        <w:numPr>
          <w:ilvl w:val="0"/>
          <w:numId w:val="1"/>
        </w:numPr>
        <w:spacing w:before="280" w:line="360" w:lineRule="auto"/>
        <w:jc w:val="both"/>
        <w:rPr>
          <w:rFonts w:ascii="Times New Roman" w:eastAsia="Times New Roman" w:hAnsi="Times New Roman" w:cs="Times New Roman"/>
          <w:b/>
          <w:color w:val="000000"/>
          <w:sz w:val="24"/>
          <w:szCs w:val="24"/>
        </w:rPr>
      </w:pPr>
      <w:bookmarkStart w:id="4" w:name="_g5lnl56gl1gh" w:colFirst="0" w:colLast="0"/>
      <w:bookmarkEnd w:id="4"/>
      <w:r>
        <w:rPr>
          <w:rFonts w:ascii="Times New Roman" w:eastAsia="Times New Roman" w:hAnsi="Times New Roman" w:cs="Times New Roman"/>
          <w:b/>
          <w:color w:val="000000"/>
          <w:sz w:val="24"/>
          <w:szCs w:val="24"/>
        </w:rPr>
        <w:t>The Influence of Natural Law and Dharma</w:t>
      </w:r>
    </w:p>
    <w:p w14:paraId="00000014"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natural law in Indian jurisprudence is closely related to the idea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which governed both individual and state conduct. Unlike Western notions of natural law that focus on individual rights, Indian jurisprudence emphasized duty-based ethics, where justice was inherently linked to moral righteousness and societal harmony. Ancient Indian thinkers considered law as an extension of cosmic order (</w:t>
      </w:r>
      <w:r>
        <w:rPr>
          <w:rFonts w:ascii="Times New Roman" w:eastAsia="Times New Roman" w:hAnsi="Times New Roman" w:cs="Times New Roman"/>
          <w:i/>
          <w:sz w:val="24"/>
          <w:szCs w:val="24"/>
        </w:rPr>
        <w:t>Rta</w:t>
      </w:r>
      <w:r>
        <w:rPr>
          <w:rFonts w:ascii="Times New Roman" w:eastAsia="Times New Roman" w:hAnsi="Times New Roman" w:cs="Times New Roman"/>
          <w:sz w:val="24"/>
          <w:szCs w:val="24"/>
        </w:rPr>
        <w:t xml:space="preserve">), implying that laws should align with ethical and spiritual principles. In contrast to positivist legal theories, which separate law from morality, Bharatiya jurisprudence inherently linked legal norms to ethical and religious duties. This synthesis of moral and legal principles influenced early constitutional debates in independent India, particularly in the framing of the Directive Principles of State Policy (DPSP). The influence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is evident in Indian judicial interpretations, where courts often invoke principles of natural justice in constitutional and administrative law cases. The Supreme Court of India, in cases such as </w:t>
      </w:r>
      <w:r>
        <w:rPr>
          <w:rFonts w:ascii="Times New Roman" w:eastAsia="Times New Roman" w:hAnsi="Times New Roman" w:cs="Times New Roman"/>
          <w:i/>
          <w:sz w:val="24"/>
          <w:szCs w:val="24"/>
        </w:rPr>
        <w:t>Kesavananda Bharati v. State of Kerala</w:t>
      </w:r>
      <w:r>
        <w:rPr>
          <w:rFonts w:ascii="Times New Roman" w:eastAsia="Times New Roman" w:hAnsi="Times New Roman" w:cs="Times New Roman"/>
          <w:sz w:val="24"/>
          <w:szCs w:val="24"/>
        </w:rPr>
        <w:t xml:space="preserve">, upheld the doctrine of the basic structure of the Constitution, drawing parallels to the immutable nature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in Indian jurisprudence.</w:t>
      </w:r>
    </w:p>
    <w:p w14:paraId="00000015" w14:textId="77777777" w:rsidR="00A008DD" w:rsidRDefault="008F6ABD">
      <w:pPr>
        <w:pStyle w:val="Heading3"/>
        <w:keepNext w:val="0"/>
        <w:keepLines w:val="0"/>
        <w:numPr>
          <w:ilvl w:val="0"/>
          <w:numId w:val="1"/>
        </w:numPr>
        <w:spacing w:before="280" w:line="360" w:lineRule="auto"/>
        <w:jc w:val="both"/>
        <w:rPr>
          <w:rFonts w:ascii="Times New Roman" w:eastAsia="Times New Roman" w:hAnsi="Times New Roman" w:cs="Times New Roman"/>
          <w:b/>
          <w:color w:val="000000"/>
          <w:sz w:val="24"/>
          <w:szCs w:val="24"/>
        </w:rPr>
      </w:pPr>
      <w:bookmarkStart w:id="5" w:name="_pqgp59k24bxu" w:colFirst="0" w:colLast="0"/>
      <w:bookmarkEnd w:id="5"/>
      <w:r>
        <w:rPr>
          <w:rFonts w:ascii="Times New Roman" w:eastAsia="Times New Roman" w:hAnsi="Times New Roman" w:cs="Times New Roman"/>
          <w:b/>
          <w:color w:val="000000"/>
          <w:sz w:val="24"/>
          <w:szCs w:val="24"/>
        </w:rPr>
        <w:t>Indian Constitution and Its Relation to Bharatiya Jurisprudence</w:t>
      </w:r>
    </w:p>
    <w:p w14:paraId="00000016" w14:textId="0B5C02C8"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Constitution reflects a unique blend of Western legal frameworks and indigenous Bharatiya jurisprudence. Though the framers of the Indian Constitution were not directly or consciously influenced by principles embedded in ancient texts such as the </w:t>
      </w:r>
      <w:r>
        <w:rPr>
          <w:rFonts w:ascii="Times New Roman" w:eastAsia="Times New Roman" w:hAnsi="Times New Roman" w:cs="Times New Roman"/>
          <w:i/>
          <w:sz w:val="24"/>
          <w:szCs w:val="24"/>
        </w:rPr>
        <w:t>Dharmaśāstras</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Arthashastra</w:t>
      </w:r>
      <w:r>
        <w:rPr>
          <w:rFonts w:ascii="Times New Roman" w:eastAsia="Times New Roman" w:hAnsi="Times New Roman" w:cs="Times New Roman"/>
          <w:sz w:val="24"/>
          <w:szCs w:val="24"/>
        </w:rPr>
        <w:t xml:space="preserve">, </w:t>
      </w:r>
      <w:r w:rsidR="00953732">
        <w:rPr>
          <w:rFonts w:ascii="Times New Roman" w:eastAsia="Times New Roman" w:hAnsi="Times New Roman" w:cs="Times New Roman"/>
          <w:sz w:val="24"/>
          <w:szCs w:val="24"/>
        </w:rPr>
        <w:t>the underpinnings</w:t>
      </w:r>
      <w:r>
        <w:rPr>
          <w:rFonts w:ascii="Times New Roman" w:eastAsia="Times New Roman" w:hAnsi="Times New Roman" w:cs="Times New Roman"/>
          <w:sz w:val="24"/>
          <w:szCs w:val="24"/>
        </w:rPr>
        <w:t xml:space="preserve"> of the constitution are based on the values of justice, duty, and governance. The Preamble of the Indian Constitution, which enshrines ideals of justice, liberty, equality, and fraternity, echoes the foundational values of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The Indian Constitution acknowledges personal laws as an essential aspect of its legal framework, governing matters such as marriage, divorce, inheritance, and adoption for different religious communities. Article 25 </w:t>
      </w:r>
      <w:r>
        <w:rPr>
          <w:rFonts w:ascii="Times New Roman" w:eastAsia="Times New Roman" w:hAnsi="Times New Roman" w:cs="Times New Roman"/>
          <w:sz w:val="24"/>
          <w:szCs w:val="24"/>
        </w:rPr>
        <w:lastRenderedPageBreak/>
        <w:t>guarantees the freedom of conscience and the right to profess, practice, and propagate religion, which forms the constitutional basis for the existence of personal laws.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Similarly, Article 26 allows religious denominations to manage their own affairs, reinforcing the autonomy of personal laws.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However, Article 44, a Directive Principle of State Policy, envisions a Uniform Civil Code (UCC) to bring uniformity in civil matters while balancing religious pluralism.</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Despite this, personal laws continue to operate separately for Hindus, Muslims, Christians, and other communities under various statutes such as the Hindu Marriage Act, 1955, and the Muslim Personal Law (Shariat) Application Act, 1937. The judiciary has played a pivotal role in reconciling personal laws with constitutional mandates.</w:t>
      </w:r>
    </w:p>
    <w:p w14:paraId="00000017" w14:textId="77777777" w:rsidR="00A008DD" w:rsidRDefault="008F6ABD">
      <w:pPr>
        <w:spacing w:before="240" w:after="240" w:line="360" w:lineRule="auto"/>
        <w:jc w:val="both"/>
        <w:rPr>
          <w:rFonts w:ascii="Times New Roman" w:eastAsia="Times New Roman" w:hAnsi="Times New Roman" w:cs="Times New Roman"/>
          <w:b/>
          <w:i/>
          <w:color w:val="000000"/>
        </w:rPr>
      </w:pPr>
      <w:r>
        <w:rPr>
          <w:rFonts w:ascii="Times New Roman" w:eastAsia="Times New Roman" w:hAnsi="Times New Roman" w:cs="Times New Roman"/>
          <w:b/>
          <w:i/>
        </w:rPr>
        <w:t xml:space="preserve">i. </w:t>
      </w:r>
      <w:r>
        <w:rPr>
          <w:rFonts w:ascii="Times New Roman" w:eastAsia="Times New Roman" w:hAnsi="Times New Roman" w:cs="Times New Roman"/>
          <w:b/>
          <w:i/>
          <w:color w:val="000000"/>
        </w:rPr>
        <w:t>Directive Principles of State Policy (DPSP) and Dharma</w:t>
      </w:r>
    </w:p>
    <w:p w14:paraId="00000018"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Directive Principles of State Policy (DPSP), enshrined in Part IV of the Constitution, are non-justiciable guidelines aimed at creating a welfare state. Although taken from the Spanish Constitution, DPSPs reflect the moral and ethical underpinnings of Bharatiya jurisprudence. These principles, inspired by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xml:space="preserve">, aim to establish social justice and economic welfare, akin to the </w:t>
      </w:r>
      <w:r>
        <w:rPr>
          <w:rFonts w:ascii="Times New Roman" w:eastAsia="Times New Roman" w:hAnsi="Times New Roman" w:cs="Times New Roman"/>
          <w:i/>
          <w:sz w:val="24"/>
          <w:szCs w:val="24"/>
        </w:rPr>
        <w:t>Rajdharma</w:t>
      </w:r>
      <w:r>
        <w:rPr>
          <w:rFonts w:ascii="Times New Roman" w:eastAsia="Times New Roman" w:hAnsi="Times New Roman" w:cs="Times New Roman"/>
          <w:sz w:val="24"/>
          <w:szCs w:val="24"/>
        </w:rPr>
        <w:t xml:space="preserve"> (duty of the ruler) emphasized in Kautilya’s </w:t>
      </w:r>
      <w:r>
        <w:rPr>
          <w:rFonts w:ascii="Times New Roman" w:eastAsia="Times New Roman" w:hAnsi="Times New Roman" w:cs="Times New Roman"/>
          <w:i/>
          <w:sz w:val="24"/>
          <w:szCs w:val="24"/>
        </w:rPr>
        <w:t>Arthashastra</w:t>
      </w:r>
      <w:r>
        <w:rPr>
          <w:rFonts w:ascii="Times New Roman" w:eastAsia="Times New Roman" w:hAnsi="Times New Roman" w:cs="Times New Roman"/>
          <w:sz w:val="24"/>
          <w:szCs w:val="24"/>
        </w:rPr>
        <w:t xml:space="preserve">. The Supreme Court of India has often invoked the DPSP to interpret constitutional provisions in a manner that aligns with the moral and ethical values of Indian society. In </w:t>
      </w:r>
      <w:r>
        <w:rPr>
          <w:rFonts w:ascii="Times New Roman" w:eastAsia="Times New Roman" w:hAnsi="Times New Roman" w:cs="Times New Roman"/>
          <w:i/>
          <w:sz w:val="24"/>
          <w:szCs w:val="24"/>
        </w:rPr>
        <w:t>Kesavananda Bharati v. State of Kerala</w:t>
      </w:r>
      <w:r>
        <w:rPr>
          <w:rFonts w:ascii="Times New Roman" w:eastAsia="Times New Roman" w:hAnsi="Times New Roman" w:cs="Times New Roman"/>
          <w:i/>
          <w:sz w:val="24"/>
          <w:szCs w:val="24"/>
          <w:vertAlign w:val="superscript"/>
        </w:rPr>
        <w:footnoteReference w:id="15"/>
      </w:r>
      <w:r>
        <w:rPr>
          <w:rFonts w:ascii="Times New Roman" w:eastAsia="Times New Roman" w:hAnsi="Times New Roman" w:cs="Times New Roman"/>
          <w:sz w:val="24"/>
          <w:szCs w:val="24"/>
        </w:rPr>
        <w:t>, the Court reinforced the importance of the DPSP in achieving the Constitution’s broader goals, reflecting the influence of Bharatiya jurisprudence in ensuring justice and equity.</w:t>
      </w:r>
    </w:p>
    <w:p w14:paraId="00000019" w14:textId="77777777" w:rsidR="00A008DD" w:rsidRDefault="008F6ABD">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6" w:name="_9l47snob1g4c" w:colFirst="0" w:colLast="0"/>
      <w:bookmarkEnd w:id="6"/>
      <w:r>
        <w:rPr>
          <w:rFonts w:ascii="Times New Roman" w:eastAsia="Times New Roman" w:hAnsi="Times New Roman" w:cs="Times New Roman"/>
          <w:b/>
          <w:i/>
          <w:color w:val="000000"/>
          <w:sz w:val="22"/>
          <w:szCs w:val="22"/>
        </w:rPr>
        <w:t>ii.The Panchayati Raj System: A Reflection of Customary Law</w:t>
      </w:r>
    </w:p>
    <w:p w14:paraId="0000001A"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Panchayati Raj system in India embodies the essence of self-governance, decentralization, and participatory democracy. Rooted in ancient traditions and sanctioned by modern constitutional provisions, it reflects the core principles of Bharatiya jurisprudence. Ancient texts and traditional governance structures discussed village assemblies (sabhas) and councils (samitis) responsible for dispute resolution and administration. The principle of decentralization, found in these historical contexts, is mirrored in modern Panchayati Raj institutions, which seek to empower local </w:t>
      </w:r>
      <w:r>
        <w:rPr>
          <w:rFonts w:ascii="Times New Roman" w:eastAsia="Times New Roman" w:hAnsi="Times New Roman" w:cs="Times New Roman"/>
          <w:sz w:val="24"/>
          <w:szCs w:val="24"/>
        </w:rPr>
        <w:lastRenderedPageBreak/>
        <w:t>communities in governance and justice administration. The 73rd Amendment to the Indian Constitution (1992) institutionalized the Panchayati Raj system, mandating the devolution of powers to local bodies.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This constitutional provision aligns with the principle of </w:t>
      </w:r>
      <w:r>
        <w:rPr>
          <w:rFonts w:ascii="Times New Roman" w:eastAsia="Times New Roman" w:hAnsi="Times New Roman" w:cs="Times New Roman"/>
          <w:i/>
          <w:sz w:val="24"/>
          <w:szCs w:val="24"/>
        </w:rPr>
        <w:t>Gram Swaraj</w:t>
      </w:r>
      <w:r>
        <w:rPr>
          <w:rFonts w:ascii="Times New Roman" w:eastAsia="Times New Roman" w:hAnsi="Times New Roman" w:cs="Times New Roman"/>
          <w:sz w:val="24"/>
          <w:szCs w:val="24"/>
        </w:rPr>
        <w:t>, a self-regulated community system rooted in ethical governance and justice.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Bharatiya jurisprudence, which prioritizes the moral and ethical dimensions of law, finds expression in the Panchayati Raj system’s focus on consensus-building, customary justice, and community welfare. In Bharatiya jurisprudence, dharma serves as the guiding principle for legal and political institutions. The Panchayati Raj system operationalizes this principle by promoting justice and social harmony at the grassroots level. Traditional dispute resolution mechanisms within panchayats often emphasize reconciliation (samadhan) rather than punitive measures, reflecting the jurisprudential ethos of restorative justice.</w:t>
      </w:r>
      <w:r>
        <w:rPr>
          <w:rFonts w:ascii="Times New Roman" w:eastAsia="Times New Roman" w:hAnsi="Times New Roman" w:cs="Times New Roman"/>
          <w:sz w:val="24"/>
          <w:szCs w:val="24"/>
          <w:vertAlign w:val="superscript"/>
        </w:rPr>
        <w:footnoteReference w:id="18"/>
      </w:r>
    </w:p>
    <w:p w14:paraId="0000001B" w14:textId="5E028A9E" w:rsidR="00A008DD" w:rsidRDefault="008F6ABD">
      <w:pPr>
        <w:spacing w:before="240" w:after="240" w:line="36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iii.</w:t>
      </w:r>
      <w:r w:rsidR="00953732">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Secularism and Tolerance</w:t>
      </w:r>
    </w:p>
    <w:p w14:paraId="0000001C"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Secularism in India is a distinctive concept that integrates religious pluralism with constitutional principles of equality and justice. Unlike the Western notion of secularism, which often implies a strict separation between religion and state, Indian secularism acknowledges the role of religion in public life while ensuring that the state remains neutral and does not favor any particular faith. The foundation of this model can be traced to the principles of traditional Indian jurisprudence, which emphasize </w:t>
      </w:r>
      <w:r>
        <w:rPr>
          <w:rFonts w:ascii="Times New Roman" w:eastAsia="Times New Roman" w:hAnsi="Times New Roman" w:cs="Times New Roman"/>
          <w:i/>
          <w:sz w:val="24"/>
          <w:szCs w:val="24"/>
        </w:rPr>
        <w:t>Dharma</w:t>
      </w:r>
      <w:r>
        <w:rPr>
          <w:rFonts w:ascii="Times New Roman" w:eastAsia="Times New Roman" w:hAnsi="Times New Roman" w:cs="Times New Roman"/>
          <w:sz w:val="24"/>
          <w:szCs w:val="24"/>
        </w:rPr>
        <w:t>, justice (</w:t>
      </w:r>
      <w:r>
        <w:rPr>
          <w:rFonts w:ascii="Times New Roman" w:eastAsia="Times New Roman" w:hAnsi="Times New Roman" w:cs="Times New Roman"/>
          <w:i/>
          <w:sz w:val="24"/>
          <w:szCs w:val="24"/>
        </w:rPr>
        <w:t>Nyaya</w:t>
      </w:r>
      <w:r>
        <w:rPr>
          <w:rFonts w:ascii="Times New Roman" w:eastAsia="Times New Roman" w:hAnsi="Times New Roman" w:cs="Times New Roman"/>
          <w:sz w:val="24"/>
          <w:szCs w:val="24"/>
        </w:rPr>
        <w:t xml:space="preserve">), and tolerance. Indian secularism, often described as "sarva dharma sambhav" (equal respect for all religions), is a modern legal principle enshrined in the Constitution, particularly through Articles 25 to 28. It differs from Western models by emphasizing the state's equidistance from all religions rather than strict separation. This approach has roots in traditional Indian tolerance, seen historically in periods like the Mughal Empire, where different religious communities coexisted. The Mughal Empire, particularly under Akbar, developed policies of religious tolerance and pluralism, known as </w:t>
      </w:r>
      <w:r>
        <w:rPr>
          <w:rFonts w:ascii="Times New Roman" w:eastAsia="Times New Roman" w:hAnsi="Times New Roman" w:cs="Times New Roman"/>
          <w:i/>
          <w:sz w:val="24"/>
          <w:szCs w:val="24"/>
        </w:rPr>
        <w:t>Sulh-e-Kul</w:t>
      </w:r>
      <w:r>
        <w:rPr>
          <w:rFonts w:ascii="Times New Roman" w:eastAsia="Times New Roman" w:hAnsi="Times New Roman" w:cs="Times New Roman"/>
          <w:sz w:val="24"/>
          <w:szCs w:val="24"/>
        </w:rPr>
        <w:t xml:space="preserve"> (universal peace).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lastRenderedPageBreak/>
        <w:t xml:space="preserve">principle allowed the coexistence of multiple religions under state protection, an idea that influenced India’s secularism as enshrined in Articles 25-28 of the Indian Constitution. Akbar’s policies also contributed to the formation of a syncretic legal system that accommodated Hindu, Muslim, and customary laws, setting a precedent for India’s post-independence legal pluralism. This synthesis is evident in the Constitution's protection of religious freedom while ensuring state neutrality. The concept of </w:t>
      </w:r>
      <w:r>
        <w:rPr>
          <w:rFonts w:ascii="Times New Roman" w:eastAsia="Times New Roman" w:hAnsi="Times New Roman" w:cs="Times New Roman"/>
          <w:i/>
          <w:sz w:val="24"/>
          <w:szCs w:val="24"/>
        </w:rPr>
        <w:t>Nyaya</w:t>
      </w:r>
      <w:r>
        <w:rPr>
          <w:rFonts w:ascii="Times New Roman" w:eastAsia="Times New Roman" w:hAnsi="Times New Roman" w:cs="Times New Roman"/>
          <w:sz w:val="24"/>
          <w:szCs w:val="24"/>
        </w:rPr>
        <w:t xml:space="preserve"> (justice) in Indian jurisprudence is not merely about adjudication but also about fairness and inclusivity. The ancient Indian legal system recognized the coexistence of multiple religious and customary laws under overarching principles of justice.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0000001D" w14:textId="77777777" w:rsidR="00A008DD" w:rsidRDefault="008F6AB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E"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Constitution stands as a testament to the seamless integration of Bharatiya jurisprudential thought and modern legal frameworks. While colonial legal structures provided the foundation for codified laws and governance, India’s indigenous legal traditions continue to shape its constitutional ethos. Concepts of dharma, justice, and duty resonate in fundamental rights, directive principles, and the decentralized governance model. Ancient texts such as the Arthashastra, and Vedas have influenced legal principles that emphasize righteousness, fairness, and duty, aligning with constitutional ideals of justice, liberty, and equality. The Constitution’s ability to balance tradition with progress ensures that India’s legal system remains dynamic and adaptable.Moreover, the influence of Bharatiya jurisprudence extends beyond philosophical thought to concrete legal structures. The Panchayati Raj system, deeply rooted in village governance traditions, has been institutionalized through constitutional provisions to promote participatory democracy. Similarly, the emphasis on social justice, enshrined in the Directive Principles of State Policy, reflects the ancient Indian notion of governance as a means of ensuring societal welfare rather than mere rule enforcement. These indigenous principles coalesce with modern democratic ideals to create a constitutional framework that is both historically grounded and forward-looking.</w:t>
      </w:r>
    </w:p>
    <w:p w14:paraId="0000001F" w14:textId="77777777" w:rsidR="00A008DD" w:rsidRDefault="008F6A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of the Indian Constitution to evolve while remaining anchored in its historical traditions underscores its resilience and relevance. It is not merely a product of colonial inheritance but a </w:t>
      </w:r>
      <w:r>
        <w:rPr>
          <w:rFonts w:ascii="Times New Roman" w:eastAsia="Times New Roman" w:hAnsi="Times New Roman" w:cs="Times New Roman"/>
          <w:sz w:val="24"/>
          <w:szCs w:val="24"/>
        </w:rPr>
        <w:lastRenderedPageBreak/>
        <w:t>dynamic instrument that reflects the country’s rich philosophical and legal heritage. By harmonizing Bharatiya jurisprudence with contemporary legal doctrines, the Constitution ensures that India’s governance model remains both contextually rooted and globally relevant, serving as a guiding framework for justice, equality, and democratic governance in the modern era.</w:t>
      </w:r>
    </w:p>
    <w:p w14:paraId="00000020" w14:textId="77777777" w:rsidR="00A008DD" w:rsidRDefault="00A008DD">
      <w:pPr>
        <w:spacing w:before="240" w:after="240" w:line="360" w:lineRule="auto"/>
        <w:jc w:val="both"/>
        <w:rPr>
          <w:rFonts w:ascii="Times New Roman" w:eastAsia="Times New Roman" w:hAnsi="Times New Roman" w:cs="Times New Roman"/>
          <w:sz w:val="24"/>
          <w:szCs w:val="24"/>
        </w:rPr>
      </w:pPr>
    </w:p>
    <w:p w14:paraId="00000021" w14:textId="77777777" w:rsidR="00A008DD" w:rsidRDefault="00A008DD">
      <w:pPr>
        <w:spacing w:line="360" w:lineRule="auto"/>
        <w:jc w:val="both"/>
        <w:rPr>
          <w:rFonts w:ascii="Times New Roman" w:eastAsia="Times New Roman" w:hAnsi="Times New Roman" w:cs="Times New Roman"/>
          <w:sz w:val="24"/>
          <w:szCs w:val="24"/>
        </w:rPr>
      </w:pPr>
    </w:p>
    <w:sectPr w:rsidR="00A008D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E3C9" w14:textId="77777777" w:rsidR="000B3C13" w:rsidRDefault="000B3C13">
      <w:pPr>
        <w:spacing w:line="240" w:lineRule="auto"/>
      </w:pPr>
      <w:r>
        <w:separator/>
      </w:r>
    </w:p>
  </w:endnote>
  <w:endnote w:type="continuationSeparator" w:id="0">
    <w:p w14:paraId="5BB440BF" w14:textId="77777777" w:rsidR="000B3C13" w:rsidRDefault="000B3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2717" w14:textId="77777777" w:rsidR="000B3C13" w:rsidRDefault="000B3C13">
      <w:pPr>
        <w:spacing w:line="240" w:lineRule="auto"/>
      </w:pPr>
      <w:r>
        <w:separator/>
      </w:r>
    </w:p>
  </w:footnote>
  <w:footnote w:type="continuationSeparator" w:id="0">
    <w:p w14:paraId="7EE65F61" w14:textId="77777777" w:rsidR="000B3C13" w:rsidRDefault="000B3C13">
      <w:pPr>
        <w:spacing w:line="240" w:lineRule="auto"/>
      </w:pPr>
      <w:r>
        <w:continuationSeparator/>
      </w:r>
    </w:p>
  </w:footnote>
  <w:footnote w:id="1">
    <w:p w14:paraId="00000022"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P.V. Kane, </w:t>
      </w:r>
      <w:r>
        <w:rPr>
          <w:rFonts w:ascii="Times New Roman" w:eastAsia="Times New Roman" w:hAnsi="Times New Roman" w:cs="Times New Roman"/>
          <w:i/>
          <w:sz w:val="20"/>
          <w:szCs w:val="20"/>
        </w:rPr>
        <w:t>History of Dharmaśāstra</w:t>
      </w:r>
      <w:r>
        <w:rPr>
          <w:rFonts w:ascii="Times New Roman" w:eastAsia="Times New Roman" w:hAnsi="Times New Roman" w:cs="Times New Roman"/>
          <w:sz w:val="20"/>
          <w:szCs w:val="20"/>
        </w:rPr>
        <w:t xml:space="preserve"> vol. 1 (Bhandarkar Oriental Research Institute 1941)</w:t>
      </w:r>
    </w:p>
  </w:footnote>
  <w:footnote w:id="2">
    <w:p w14:paraId="00000023"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Michael Anderson, </w:t>
      </w:r>
      <w:r>
        <w:rPr>
          <w:rFonts w:ascii="Times New Roman" w:eastAsia="Times New Roman" w:hAnsi="Times New Roman" w:cs="Times New Roman"/>
          <w:i/>
          <w:sz w:val="20"/>
          <w:szCs w:val="20"/>
        </w:rPr>
        <w:t>Islamic Law in India</w:t>
      </w:r>
      <w:r>
        <w:rPr>
          <w:rFonts w:ascii="Times New Roman" w:eastAsia="Times New Roman" w:hAnsi="Times New Roman" w:cs="Times New Roman"/>
          <w:sz w:val="20"/>
          <w:szCs w:val="20"/>
        </w:rPr>
        <w:t xml:space="preserve"> (Oxford University Press 2012)</w:t>
      </w:r>
    </w:p>
  </w:footnote>
  <w:footnote w:id="3">
    <w:p w14:paraId="00000024"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J. Duncan M. Derrett, </w:t>
      </w:r>
      <w:r>
        <w:rPr>
          <w:rFonts w:ascii="Times New Roman" w:eastAsia="Times New Roman" w:hAnsi="Times New Roman" w:cs="Times New Roman"/>
          <w:i/>
          <w:sz w:val="20"/>
          <w:szCs w:val="20"/>
        </w:rPr>
        <w:t>Religion, Law and the State in India</w:t>
      </w:r>
      <w:r>
        <w:rPr>
          <w:rFonts w:ascii="Times New Roman" w:eastAsia="Times New Roman" w:hAnsi="Times New Roman" w:cs="Times New Roman"/>
          <w:sz w:val="20"/>
          <w:szCs w:val="20"/>
        </w:rPr>
        <w:t xml:space="preserve"> (Faber &amp; Faber 1968)</w:t>
      </w:r>
      <w:r>
        <w:rPr>
          <w:rFonts w:ascii="Times New Roman" w:eastAsia="Times New Roman" w:hAnsi="Times New Roman" w:cs="Times New Roman"/>
          <w:sz w:val="24"/>
          <w:szCs w:val="24"/>
        </w:rPr>
        <w:t>.</w:t>
      </w:r>
    </w:p>
  </w:footnote>
  <w:footnote w:id="4">
    <w:p w14:paraId="00000025"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Granville Austin, </w:t>
      </w:r>
      <w:r>
        <w:rPr>
          <w:rFonts w:ascii="Times New Roman" w:eastAsia="Times New Roman" w:hAnsi="Times New Roman" w:cs="Times New Roman"/>
          <w:i/>
          <w:sz w:val="20"/>
          <w:szCs w:val="20"/>
        </w:rPr>
        <w:t>The Indian Constitution: Cornerstone of a Nation</w:t>
      </w:r>
      <w:r>
        <w:rPr>
          <w:rFonts w:ascii="Times New Roman" w:eastAsia="Times New Roman" w:hAnsi="Times New Roman" w:cs="Times New Roman"/>
          <w:sz w:val="20"/>
          <w:szCs w:val="20"/>
        </w:rPr>
        <w:t xml:space="preserve"> (Oxford University Press 1966)</w:t>
      </w:r>
    </w:p>
  </w:footnote>
  <w:footnote w:id="5">
    <w:p w14:paraId="00000026"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M.P. Jain, </w:t>
      </w:r>
      <w:r>
        <w:rPr>
          <w:rFonts w:ascii="Times New Roman" w:eastAsia="Times New Roman" w:hAnsi="Times New Roman" w:cs="Times New Roman"/>
          <w:i/>
          <w:sz w:val="20"/>
          <w:szCs w:val="20"/>
        </w:rPr>
        <w:t>Indian Constitutional Law</w:t>
      </w:r>
      <w:r>
        <w:rPr>
          <w:rFonts w:ascii="Times New Roman" w:eastAsia="Times New Roman" w:hAnsi="Times New Roman" w:cs="Times New Roman"/>
          <w:sz w:val="20"/>
          <w:szCs w:val="20"/>
        </w:rPr>
        <w:t xml:space="preserve"> (LexisNexis 2019)</w:t>
      </w:r>
    </w:p>
  </w:footnote>
  <w:footnote w:id="6">
    <w:p w14:paraId="00000027"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H.M. Seervai, </w:t>
      </w:r>
      <w:r>
        <w:rPr>
          <w:rFonts w:ascii="Times New Roman" w:eastAsia="Times New Roman" w:hAnsi="Times New Roman" w:cs="Times New Roman"/>
          <w:i/>
          <w:sz w:val="20"/>
          <w:szCs w:val="20"/>
        </w:rPr>
        <w:t>Constitutional Law of India</w:t>
      </w:r>
      <w:r>
        <w:rPr>
          <w:rFonts w:ascii="Times New Roman" w:eastAsia="Times New Roman" w:hAnsi="Times New Roman" w:cs="Times New Roman"/>
          <w:sz w:val="20"/>
          <w:szCs w:val="20"/>
        </w:rPr>
        <w:t xml:space="preserve"> (Universal Law Publishing 2013).</w:t>
      </w:r>
    </w:p>
    <w:p w14:paraId="00000028" w14:textId="77777777" w:rsidR="00A008DD" w:rsidRDefault="00A008DD">
      <w:pPr>
        <w:spacing w:line="240" w:lineRule="auto"/>
        <w:rPr>
          <w:sz w:val="20"/>
          <w:szCs w:val="20"/>
        </w:rPr>
      </w:pPr>
    </w:p>
  </w:footnote>
  <w:footnote w:id="7">
    <w:p w14:paraId="00000036"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Suchandra Ghosh &amp; Anindita Chakrabarti, Religion-Based ‘Personal’ Law, Legal Pluralism and Secularity: A Field View of Adjudication of Muslim Personal Law in India, Working Paper Series of the HCAS “Multiple Secularities – Beyond the West, Beyond Modernities” 16. Leipzig University, 2019, https://ul.qucosa.de/api/qucosa%3A36147/attachment/ATT-0/ </w:t>
      </w:r>
    </w:p>
  </w:footnote>
  <w:footnote w:id="8">
    <w:p w14:paraId="00000037" w14:textId="77777777" w:rsidR="00A008DD" w:rsidRDefault="008F6ABD">
      <w:pPr>
        <w:spacing w:line="240" w:lineRule="auto"/>
        <w:rPr>
          <w:rFonts w:ascii="Times New Roman" w:eastAsia="Times New Roman" w:hAnsi="Times New Roman" w:cs="Times New Roman"/>
          <w:color w:val="111111"/>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John Pack, Skander Gasmi</w:t>
      </w:r>
      <w:r>
        <w:rPr>
          <w:sz w:val="20"/>
          <w:szCs w:val="20"/>
        </w:rPr>
        <w:t xml:space="preserve">, </w:t>
      </w:r>
      <w:r>
        <w:rPr>
          <w:rFonts w:ascii="Times New Roman" w:eastAsia="Times New Roman" w:hAnsi="Times New Roman" w:cs="Times New Roman"/>
          <w:color w:val="111111"/>
          <w:sz w:val="20"/>
          <w:szCs w:val="20"/>
        </w:rPr>
        <w:t xml:space="preserve">Islamic Jurisprudence and Secularism: A Comparative Analysis of Modern Concepts, https://www.researchgate.net/publication/383122939_Islamic_Jurisprudence_and_Secularism_A_Comparative_Analysis_of_Modern_Concepts?channel=doi&amp;linkId=66bdbb7c145f4d35535a9f36&amp;showFulltext=true </w:t>
      </w:r>
    </w:p>
    <w:p w14:paraId="00000038" w14:textId="77777777" w:rsidR="00A008DD" w:rsidRDefault="00A008DD">
      <w:pPr>
        <w:spacing w:line="240" w:lineRule="auto"/>
        <w:rPr>
          <w:rFonts w:ascii="Times New Roman" w:eastAsia="Times New Roman" w:hAnsi="Times New Roman" w:cs="Times New Roman"/>
          <w:sz w:val="20"/>
          <w:szCs w:val="20"/>
        </w:rPr>
      </w:pPr>
    </w:p>
  </w:footnote>
  <w:footnote w:id="9">
    <w:p w14:paraId="00000034"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Vrinda Narain, Postcolonial Constitutionalism in India: Complexities and Contradictions, 25 S. CAL. INTERDISC. L.J. 1 (2015), available at https://gould.usc.edu/why/students/orgs/ilj/assets/docs/25-1-Narain.pdf. </w:t>
      </w:r>
    </w:p>
  </w:footnote>
  <w:footnote w:id="10">
    <w:p w14:paraId="00000035"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1">
    <w:p w14:paraId="00000039"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Archana Vaidya, 30 years after the 73rd Constitutional Amendment, Panchayati Raj institutions still leave a lot to be desired; HP a case study</w:t>
      </w:r>
    </w:p>
    <w:p w14:paraId="0000003A" w14:textId="77777777" w:rsidR="00A008DD" w:rsidRDefault="008F6A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https://www.downtoearth.org.in/governance/30-years-after-the-73rd-constitutional-amendment-panchayati-raj-institutions-still-leave-a-lot-to-be-desired-hp-a-case-study</w:t>
      </w:r>
    </w:p>
  </w:footnote>
  <w:footnote w:id="12">
    <w:p w14:paraId="00000029"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INDIA CONST. art. 25</w:t>
      </w:r>
    </w:p>
  </w:footnote>
  <w:footnote w:id="13">
    <w:p w14:paraId="0000002A"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INDIA CONST. art. 25</w:t>
      </w:r>
    </w:p>
  </w:footnote>
  <w:footnote w:id="14">
    <w:p w14:paraId="0000002B"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INDIA CONST. art. 44.</w:t>
      </w:r>
    </w:p>
  </w:footnote>
  <w:footnote w:id="15">
    <w:p w14:paraId="0000002C" w14:textId="77777777" w:rsidR="00A008DD" w:rsidRDefault="008F6A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1973 4 SCC 225</w:t>
      </w:r>
    </w:p>
  </w:footnote>
  <w:footnote w:id="16">
    <w:p w14:paraId="0000002D"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INDIA CONSTITUTION, art.243</w:t>
      </w:r>
    </w:p>
  </w:footnote>
  <w:footnote w:id="17">
    <w:p w14:paraId="0000002E"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Ministry of Panchayati Raj, Gov't of India, </w:t>
      </w:r>
      <w:r>
        <w:rPr>
          <w:rFonts w:ascii="Times New Roman" w:eastAsia="Times New Roman" w:hAnsi="Times New Roman" w:cs="Times New Roman"/>
          <w:i/>
          <w:sz w:val="20"/>
          <w:szCs w:val="20"/>
        </w:rPr>
        <w:t>Annual Report 2021-22</w:t>
      </w:r>
      <w:r>
        <w:rPr>
          <w:rFonts w:ascii="Times New Roman" w:eastAsia="Times New Roman" w:hAnsi="Times New Roman" w:cs="Times New Roman"/>
          <w:sz w:val="20"/>
          <w:szCs w:val="20"/>
        </w:rPr>
        <w:t xml:space="preserve"> (2022), available at https://panchayat.gov.in/documents/annual-report-2021-22.pdf.</w:t>
      </w:r>
    </w:p>
    <w:p w14:paraId="0000002F" w14:textId="77777777" w:rsidR="00A008DD" w:rsidRDefault="00A008DD">
      <w:pPr>
        <w:spacing w:line="240" w:lineRule="auto"/>
        <w:rPr>
          <w:rFonts w:ascii="Times New Roman" w:eastAsia="Times New Roman" w:hAnsi="Times New Roman" w:cs="Times New Roman"/>
          <w:sz w:val="20"/>
          <w:szCs w:val="20"/>
        </w:rPr>
      </w:pPr>
    </w:p>
  </w:footnote>
  <w:footnote w:id="18">
    <w:p w14:paraId="00000030"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 Comm’n of India, </w:t>
      </w:r>
      <w:r>
        <w:rPr>
          <w:rFonts w:ascii="Times New Roman" w:eastAsia="Times New Roman" w:hAnsi="Times New Roman" w:cs="Times New Roman"/>
          <w:i/>
          <w:sz w:val="20"/>
          <w:szCs w:val="20"/>
        </w:rPr>
        <w:t>Report No. 277: Legal Framework for Alternative Dispute Resolution</w:t>
      </w:r>
      <w:r>
        <w:rPr>
          <w:rFonts w:ascii="Times New Roman" w:eastAsia="Times New Roman" w:hAnsi="Times New Roman" w:cs="Times New Roman"/>
          <w:sz w:val="20"/>
          <w:szCs w:val="20"/>
        </w:rPr>
        <w:t xml:space="preserve"> (2018), available at https://lawcommissionofindia.nic.in/reports/Report277.pdf.</w:t>
      </w:r>
    </w:p>
  </w:footnote>
  <w:footnote w:id="19">
    <w:p w14:paraId="00000033"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Satish Chandra - HISTORY OF MEDIEVAL INDIA, https://dn790001.ca.archive.org/0/items/satishchandrahistoryofmedievalindia/Satish%20Chandra%20History%20of%20Medieval%20India.pdf</w:t>
      </w:r>
    </w:p>
  </w:footnote>
  <w:footnote w:id="20">
    <w:p w14:paraId="00000031" w14:textId="77777777" w:rsidR="00A008DD" w:rsidRDefault="008F6A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 Comm’n of India, </w:t>
      </w:r>
      <w:r>
        <w:rPr>
          <w:rFonts w:ascii="Times New Roman" w:eastAsia="Times New Roman" w:hAnsi="Times New Roman" w:cs="Times New Roman"/>
          <w:i/>
          <w:sz w:val="20"/>
          <w:szCs w:val="20"/>
        </w:rPr>
        <w:t>Report No. 277: Legal Framework for Alternative Dispute Resolution</w:t>
      </w:r>
      <w:r>
        <w:rPr>
          <w:rFonts w:ascii="Times New Roman" w:eastAsia="Times New Roman" w:hAnsi="Times New Roman" w:cs="Times New Roman"/>
          <w:sz w:val="20"/>
          <w:szCs w:val="20"/>
        </w:rPr>
        <w:t xml:space="preserve"> (2018), available at https://lawcommissionofindia.nic.in/reports/Report277.pdf.</w:t>
      </w:r>
    </w:p>
    <w:p w14:paraId="00000032" w14:textId="77777777" w:rsidR="00A008DD" w:rsidRDefault="00A008DD">
      <w:pPr>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27D5D"/>
    <w:multiLevelType w:val="multilevel"/>
    <w:tmpl w:val="60C4C35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DD"/>
    <w:rsid w:val="000B3C13"/>
    <w:rsid w:val="00491650"/>
    <w:rsid w:val="00694DA6"/>
    <w:rsid w:val="008F6ABD"/>
    <w:rsid w:val="00953732"/>
    <w:rsid w:val="00A008DD"/>
    <w:rsid w:val="00A02E2E"/>
    <w:rsid w:val="00D54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6B8A"/>
  <w15:docId w15:val="{D55B9D2E-4880-4264-8229-248014F9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5373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3141</Words>
  <Characters>17904</Characters>
  <Application>Microsoft Office Word</Application>
  <DocSecurity>0</DocSecurity>
  <Lines>149</Lines>
  <Paragraphs>42</Paragraphs>
  <ScaleCrop>false</ScaleCrop>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Ashutosh Pandey</cp:lastModifiedBy>
  <cp:revision>7</cp:revision>
  <dcterms:created xsi:type="dcterms:W3CDTF">2025-03-27T18:22:00Z</dcterms:created>
  <dcterms:modified xsi:type="dcterms:W3CDTF">2025-03-28T13:45:00Z</dcterms:modified>
</cp:coreProperties>
</file>