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1B57" w:rsidRPr="009A18F2" w:rsidRDefault="00121B57" w:rsidP="00633F4B">
      <w:pPr>
        <w:spacing w:after="0" w:line="240" w:lineRule="auto"/>
        <w:jc w:val="center"/>
        <w:rPr>
          <w:rStyle w:val="Strong"/>
          <w:rFonts w:ascii="Times New Roman" w:hAnsi="Times New Roman" w:cs="Times New Roman"/>
          <w:sz w:val="48"/>
          <w:szCs w:val="48"/>
        </w:rPr>
      </w:pPr>
      <w:r w:rsidRPr="009A18F2">
        <w:rPr>
          <w:rStyle w:val="Strong"/>
          <w:rFonts w:ascii="Times New Roman" w:hAnsi="Times New Roman" w:cs="Times New Roman"/>
          <w:sz w:val="48"/>
          <w:szCs w:val="48"/>
        </w:rPr>
        <w:t>Diagno</w:t>
      </w:r>
      <w:r w:rsidR="0016376D" w:rsidRPr="009A18F2">
        <w:rPr>
          <w:rStyle w:val="Strong"/>
          <w:rFonts w:ascii="Times New Roman" w:hAnsi="Times New Roman" w:cs="Times New Roman"/>
          <w:sz w:val="48"/>
          <w:szCs w:val="48"/>
        </w:rPr>
        <w:t>stics for Fungal and Parasitic I</w:t>
      </w:r>
      <w:r w:rsidRPr="009A18F2">
        <w:rPr>
          <w:rStyle w:val="Strong"/>
          <w:rFonts w:ascii="Times New Roman" w:hAnsi="Times New Roman" w:cs="Times New Roman"/>
          <w:sz w:val="48"/>
          <w:szCs w:val="48"/>
        </w:rPr>
        <w:t>nfection</w:t>
      </w:r>
    </w:p>
    <w:p w:rsidR="009A18F2" w:rsidRDefault="009A18F2" w:rsidP="009A18F2">
      <w:pPr>
        <w:spacing w:after="0" w:line="240" w:lineRule="auto"/>
        <w:rPr>
          <w:rStyle w:val="Strong"/>
          <w:rFonts w:ascii="Times New Roman" w:hAnsi="Times New Roman" w:cs="Times New Roman"/>
          <w:b w:val="0"/>
          <w:bCs w:val="0"/>
          <w:sz w:val="20"/>
          <w:szCs w:val="20"/>
        </w:rPr>
      </w:pPr>
      <w:r>
        <w:rPr>
          <w:rStyle w:val="Strong"/>
          <w:rFonts w:ascii="Times New Roman" w:hAnsi="Times New Roman" w:cs="Times New Roman"/>
          <w:b w:val="0"/>
          <w:bCs w:val="0"/>
          <w:sz w:val="20"/>
          <w:szCs w:val="20"/>
        </w:rPr>
        <w:t>Anas Ali Sayyed</w:t>
      </w:r>
    </w:p>
    <w:p w:rsidR="009A18F2" w:rsidRDefault="009A18F2" w:rsidP="009A18F2">
      <w:pPr>
        <w:spacing w:after="0" w:line="240" w:lineRule="auto"/>
        <w:rPr>
          <w:rStyle w:val="Strong"/>
          <w:rFonts w:ascii="Times New Roman" w:hAnsi="Times New Roman" w:cs="Times New Roman"/>
          <w:b w:val="0"/>
          <w:bCs w:val="0"/>
          <w:sz w:val="20"/>
          <w:szCs w:val="20"/>
        </w:rPr>
      </w:pPr>
      <w:r>
        <w:rPr>
          <w:rStyle w:val="Strong"/>
          <w:rFonts w:ascii="Times New Roman" w:hAnsi="Times New Roman" w:cs="Times New Roman"/>
          <w:b w:val="0"/>
          <w:bCs w:val="0"/>
          <w:sz w:val="20"/>
          <w:szCs w:val="20"/>
        </w:rPr>
        <w:t>School of Sciences, Abhyuday University</w:t>
      </w:r>
    </w:p>
    <w:p w:rsidR="009A18F2" w:rsidRDefault="009A18F2" w:rsidP="009A18F2">
      <w:pPr>
        <w:spacing w:after="0" w:line="240" w:lineRule="auto"/>
        <w:rPr>
          <w:rStyle w:val="Strong"/>
          <w:rFonts w:ascii="Times New Roman" w:hAnsi="Times New Roman" w:cs="Times New Roman"/>
          <w:b w:val="0"/>
          <w:bCs w:val="0"/>
          <w:sz w:val="20"/>
          <w:szCs w:val="20"/>
        </w:rPr>
      </w:pPr>
      <w:r>
        <w:rPr>
          <w:rStyle w:val="Strong"/>
          <w:rFonts w:ascii="Times New Roman" w:hAnsi="Times New Roman" w:cs="Times New Roman"/>
          <w:b w:val="0"/>
          <w:bCs w:val="0"/>
          <w:sz w:val="20"/>
          <w:szCs w:val="20"/>
        </w:rPr>
        <w:t>Khargone, India</w:t>
      </w:r>
    </w:p>
    <w:p w:rsidR="009A18F2" w:rsidRDefault="003620BA" w:rsidP="009A18F2">
      <w:pPr>
        <w:spacing w:after="0" w:line="240" w:lineRule="auto"/>
        <w:rPr>
          <w:rStyle w:val="Strong"/>
          <w:rFonts w:ascii="Times New Roman" w:hAnsi="Times New Roman" w:cs="Times New Roman"/>
          <w:b w:val="0"/>
          <w:bCs w:val="0"/>
          <w:sz w:val="20"/>
          <w:szCs w:val="20"/>
        </w:rPr>
      </w:pPr>
      <w:hyperlink r:id="rId8" w:history="1">
        <w:r w:rsidR="009A18F2" w:rsidRPr="002C200A">
          <w:rPr>
            <w:rStyle w:val="Hyperlink"/>
            <w:rFonts w:ascii="Times New Roman" w:hAnsi="Times New Roman" w:cs="Times New Roman"/>
            <w:sz w:val="20"/>
            <w:szCs w:val="20"/>
          </w:rPr>
          <w:t>alianas1470@gmail.com</w:t>
        </w:r>
      </w:hyperlink>
      <w:r w:rsidR="009A18F2">
        <w:rPr>
          <w:rStyle w:val="Strong"/>
          <w:rFonts w:ascii="Times New Roman" w:hAnsi="Times New Roman" w:cs="Times New Roman"/>
          <w:b w:val="0"/>
          <w:bCs w:val="0"/>
          <w:sz w:val="20"/>
          <w:szCs w:val="20"/>
        </w:rPr>
        <w:t xml:space="preserve"> </w:t>
      </w:r>
    </w:p>
    <w:p w:rsidR="00C12F12" w:rsidRDefault="00C12F12" w:rsidP="00C12F12">
      <w:pPr>
        <w:pStyle w:val="Heading2"/>
        <w:spacing w:line="240" w:lineRule="auto"/>
        <w:rPr>
          <w:rFonts w:ascii="Times New Roman" w:hAnsi="Times New Roman" w:cs="Times New Roman"/>
          <w:sz w:val="20"/>
          <w:szCs w:val="20"/>
          <w:lang w:val="en-GB"/>
        </w:rPr>
      </w:pPr>
      <w:r w:rsidRPr="00C12F12">
        <w:rPr>
          <w:rFonts w:ascii="Times New Roman" w:hAnsi="Times New Roman" w:cs="Times New Roman"/>
          <w:sz w:val="20"/>
          <w:szCs w:val="20"/>
          <w:lang w:val="en-GB"/>
        </w:rPr>
        <w:t>Abstract</w:t>
      </w:r>
    </w:p>
    <w:p w:rsidR="008B0C1D" w:rsidRDefault="008B0C1D" w:rsidP="000214AB">
      <w:pPr>
        <w:pStyle w:val="Heading2"/>
        <w:spacing w:before="0" w:line="240" w:lineRule="auto"/>
        <w:ind w:firstLine="720"/>
        <w:jc w:val="both"/>
        <w:rPr>
          <w:rFonts w:ascii="Times New Roman" w:hAnsi="Times New Roman" w:cs="Times New Roman"/>
          <w:b w:val="0"/>
          <w:bCs w:val="0"/>
          <w:color w:val="auto"/>
          <w:sz w:val="20"/>
          <w:szCs w:val="20"/>
          <w:lang w:val="en-GB"/>
        </w:rPr>
      </w:pPr>
      <w:r w:rsidRPr="008B0C1D">
        <w:rPr>
          <w:rFonts w:ascii="Times New Roman" w:hAnsi="Times New Roman" w:cs="Times New Roman"/>
          <w:b w:val="0"/>
          <w:bCs w:val="0"/>
          <w:color w:val="auto"/>
          <w:sz w:val="20"/>
          <w:szCs w:val="20"/>
          <w:lang w:val="en-GB"/>
        </w:rPr>
        <w:t>Fungal and parasitic infections are a major global health problem, especially in immunocompromised patients and in areas where medical care is not readily available. These infections are caused by a wide variety of pathogens with complex life cycles and modes of transmission, which makes diagnosis and treatment difficult. Parasitic infections often involve more than one host and developmental stage, and their diagnosis is difficult because of the nonspecific nature of symptoms and variable prepatency periods. Early identification of direct detection methods such as microscopy, PCR, and antigen detection is crucial. Fungal pathogens are mainly opportunistic, attacking hosts with compromised immunity. Although traditional diagnostics such as culture and microscopy are essential, they are limited in their sensitivity. Newer molecular diagnostics and antigen-based assays provide greater specificity and accuracy for detecting low-level infections. Improvement of patients' outcomes and reduction of the global disease burden depend highly on time-to-diagnosis and targeted treatment. This chapter reviews approaches for the diagnosis of fungal and parasitic infections, focusing on proper sample collection and integrating traditional and advanced diagnostic techniques.</w:t>
      </w:r>
    </w:p>
    <w:p w:rsidR="00C12F12" w:rsidRDefault="00C12F12" w:rsidP="00C12F12">
      <w:pPr>
        <w:pStyle w:val="Heading2"/>
        <w:spacing w:before="0" w:line="240" w:lineRule="auto"/>
        <w:rPr>
          <w:rFonts w:ascii="Times New Roman" w:hAnsi="Times New Roman" w:cs="Times New Roman"/>
          <w:sz w:val="20"/>
          <w:szCs w:val="20"/>
          <w:lang w:val="en-GB"/>
        </w:rPr>
      </w:pPr>
      <w:r w:rsidRPr="00C12F12">
        <w:rPr>
          <w:rFonts w:ascii="Times New Roman" w:hAnsi="Times New Roman" w:cs="Times New Roman"/>
          <w:sz w:val="20"/>
          <w:szCs w:val="20"/>
          <w:lang w:val="en-GB"/>
        </w:rPr>
        <w:t>Keywords</w:t>
      </w:r>
    </w:p>
    <w:p w:rsidR="00C12F12" w:rsidRPr="00C12F12" w:rsidRDefault="00C12F12" w:rsidP="000214AB">
      <w:pPr>
        <w:pStyle w:val="Heading2"/>
        <w:spacing w:before="0" w:line="240" w:lineRule="auto"/>
        <w:ind w:firstLine="720"/>
        <w:jc w:val="both"/>
        <w:rPr>
          <w:rStyle w:val="Strong"/>
          <w:rFonts w:ascii="Times New Roman" w:hAnsi="Times New Roman" w:cs="Times New Roman"/>
          <w:color w:val="auto"/>
          <w:sz w:val="20"/>
          <w:szCs w:val="20"/>
          <w:lang w:val="en-GB"/>
        </w:rPr>
      </w:pPr>
      <w:r w:rsidRPr="00C12F12">
        <w:rPr>
          <w:rFonts w:ascii="Times New Roman" w:hAnsi="Times New Roman" w:cs="Times New Roman"/>
          <w:b w:val="0"/>
          <w:bCs w:val="0"/>
          <w:color w:val="auto"/>
          <w:sz w:val="20"/>
          <w:szCs w:val="20"/>
          <w:lang w:val="en-GB"/>
        </w:rPr>
        <w:t>Fungal infections, parasitic infections, diagnostics, microscopy, molecular techniques, antigen detection, immunocompromised, global health, PCR, sample collection, invasive infections.</w:t>
      </w:r>
    </w:p>
    <w:p w:rsidR="002515B7" w:rsidRPr="0034170A" w:rsidRDefault="00121B57" w:rsidP="009A18F2">
      <w:pPr>
        <w:pStyle w:val="Heading3"/>
        <w:numPr>
          <w:ilvl w:val="0"/>
          <w:numId w:val="8"/>
        </w:numPr>
        <w:spacing w:before="0"/>
        <w:jc w:val="center"/>
        <w:rPr>
          <w:rFonts w:ascii="Times New Roman" w:hAnsi="Times New Roman" w:cs="Times New Roman"/>
          <w:sz w:val="20"/>
          <w:szCs w:val="20"/>
        </w:rPr>
      </w:pPr>
      <w:r w:rsidRPr="0034170A">
        <w:rPr>
          <w:rStyle w:val="Strong"/>
          <w:rFonts w:ascii="Times New Roman" w:hAnsi="Times New Roman" w:cs="Times New Roman"/>
          <w:b/>
          <w:bCs/>
          <w:sz w:val="20"/>
          <w:szCs w:val="20"/>
        </w:rPr>
        <w:t>INTRODUCTION</w:t>
      </w:r>
    </w:p>
    <w:p w:rsidR="002515B7" w:rsidRPr="0034170A" w:rsidRDefault="002515B7" w:rsidP="009A18F2">
      <w:pPr>
        <w:pStyle w:val="Heading2"/>
        <w:numPr>
          <w:ilvl w:val="1"/>
          <w:numId w:val="8"/>
        </w:numPr>
        <w:spacing w:before="0"/>
        <w:rPr>
          <w:rFonts w:ascii="Times New Roman" w:hAnsi="Times New Roman" w:cs="Times New Roman"/>
          <w:sz w:val="20"/>
          <w:szCs w:val="20"/>
        </w:rPr>
      </w:pPr>
      <w:r w:rsidRPr="0034170A">
        <w:rPr>
          <w:rFonts w:ascii="Times New Roman" w:hAnsi="Times New Roman" w:cs="Times New Roman"/>
          <w:sz w:val="20"/>
          <w:szCs w:val="20"/>
        </w:rPr>
        <w:t>Overview of Fungal and Parasitic Infections</w:t>
      </w:r>
    </w:p>
    <w:p w:rsidR="00256F7A" w:rsidRPr="0034170A" w:rsidRDefault="00256F7A" w:rsidP="009A18F2">
      <w:pPr>
        <w:pStyle w:val="NormalWeb"/>
        <w:spacing w:before="0" w:beforeAutospacing="0" w:after="0" w:afterAutospacing="0"/>
        <w:ind w:firstLine="720"/>
        <w:jc w:val="both"/>
        <w:rPr>
          <w:sz w:val="20"/>
          <w:szCs w:val="20"/>
        </w:rPr>
      </w:pPr>
      <w:r w:rsidRPr="0034170A">
        <w:rPr>
          <w:sz w:val="20"/>
          <w:szCs w:val="20"/>
        </w:rPr>
        <w:t>These have been significant morbidities and mortalities of fungal and parasitic infections both globally and to immunocompromised persons as well as for those residing in areas that offer limited medical treatment. They occur due to such a vast assortment of pathogens having different life cycles, transmission ways, and different interactions with their hosts. This makes it relatively difficult to diagnosis and treat.</w:t>
      </w:r>
    </w:p>
    <w:p w:rsidR="00256F7A" w:rsidRPr="0034170A" w:rsidRDefault="00256F7A" w:rsidP="009A18F2">
      <w:pPr>
        <w:pStyle w:val="NormalWeb"/>
        <w:spacing w:before="0" w:beforeAutospacing="0" w:after="0" w:afterAutospacing="0"/>
        <w:ind w:firstLine="720"/>
        <w:jc w:val="both"/>
        <w:rPr>
          <w:sz w:val="20"/>
          <w:szCs w:val="20"/>
        </w:rPr>
      </w:pPr>
      <w:r w:rsidRPr="0034170A">
        <w:rPr>
          <w:sz w:val="20"/>
          <w:szCs w:val="20"/>
        </w:rPr>
        <w:t>Parasites are different from bacteria and viruses as they often have complex life cycles that may involve multiple hosts and different developmental stages. They can be a definitive or intermediate host for humans. In the definitive host, parasites undergo sexual reproduction, whereas in the intermediate host, they remain in developmental or dormant stages that can cause significant tissue damage or immune responses. The time between infection and the point at which the infection becomes detectable is called the prepatency period and can be quite variable, sometimes taking months.</w:t>
      </w:r>
    </w:p>
    <w:p w:rsidR="00256F7A" w:rsidRPr="0034170A" w:rsidRDefault="00256F7A" w:rsidP="009A18F2">
      <w:pPr>
        <w:pStyle w:val="NormalWeb"/>
        <w:spacing w:before="0" w:beforeAutospacing="0" w:after="0" w:afterAutospacing="0"/>
        <w:ind w:firstLine="720"/>
        <w:jc w:val="both"/>
        <w:rPr>
          <w:sz w:val="20"/>
          <w:szCs w:val="20"/>
        </w:rPr>
      </w:pPr>
      <w:r w:rsidRPr="0034170A">
        <w:rPr>
          <w:sz w:val="20"/>
          <w:szCs w:val="20"/>
        </w:rPr>
        <w:t>In contrast, fungal pathogens are largely opportunistic and use compromised immune responses to gain access to a host. While fungi play an essential role in ecosystem functioning as decomposers, only a few species of fungi cause human disease. Such pathogenic fungi usually only lead to disease when the host's own defenses are already compromised by a pre-existing condition. For example, systemic infections caused by candida and aspergillus infections are most commonly diagnosed in patients undergoing chemotherapy or organ transplantation.</w:t>
      </w:r>
    </w:p>
    <w:p w:rsidR="00FF69A5" w:rsidRPr="0034170A" w:rsidRDefault="00256F7A" w:rsidP="009A18F2">
      <w:pPr>
        <w:pStyle w:val="NormalWeb"/>
        <w:spacing w:before="0" w:beforeAutospacing="0" w:after="0" w:afterAutospacing="0"/>
        <w:ind w:firstLine="720"/>
        <w:jc w:val="both"/>
        <w:rPr>
          <w:sz w:val="20"/>
          <w:szCs w:val="20"/>
        </w:rPr>
      </w:pPr>
      <w:r w:rsidRPr="0034170A">
        <w:rPr>
          <w:sz w:val="20"/>
          <w:szCs w:val="20"/>
        </w:rPr>
        <w:t>In tropical and subtropical areas, parasitic infections like malaria, schistosomiasis, and leishmaniasis are endemic. This is majorly due to environmental factors, such as poor sanitation and the presence of vectors like mosquitoes and snails. On the other hand, fungal infections like candidiasis, cryptococcosis, and aspergillosis have been more frequently reported in temperate regions; however, they are increasingly being seen in developing countries owing to the expansion of the HIV/AIDS population, increased immunosuppressive therapies, and so on. Regardless of regional specificity, globalization, migration, and travel have increased the incidence of both fungal and parasitic infections throughout the world, making them imperative to be considered in modern diagnostics.</w:t>
      </w:r>
    </w:p>
    <w:p w:rsidR="00FF69A5" w:rsidRPr="0034170A" w:rsidRDefault="002515B7" w:rsidP="009A18F2">
      <w:pPr>
        <w:pStyle w:val="Heading2"/>
        <w:numPr>
          <w:ilvl w:val="1"/>
          <w:numId w:val="8"/>
        </w:numPr>
        <w:spacing w:before="0"/>
        <w:rPr>
          <w:rFonts w:ascii="Times New Roman" w:hAnsi="Times New Roman" w:cs="Times New Roman"/>
          <w:sz w:val="20"/>
          <w:szCs w:val="20"/>
        </w:rPr>
      </w:pPr>
      <w:r w:rsidRPr="0034170A">
        <w:rPr>
          <w:rFonts w:ascii="Times New Roman" w:hAnsi="Times New Roman" w:cs="Times New Roman"/>
          <w:sz w:val="20"/>
          <w:szCs w:val="20"/>
        </w:rPr>
        <w:t>Significance of Diagnostics in Fungal and Parasitic Diseases</w:t>
      </w:r>
    </w:p>
    <w:p w:rsidR="002515B7" w:rsidRPr="0034170A" w:rsidRDefault="00256F7A" w:rsidP="009A18F2">
      <w:pPr>
        <w:pStyle w:val="NormalWeb"/>
        <w:spacing w:before="0" w:beforeAutospacing="0" w:after="0" w:afterAutospacing="0"/>
        <w:ind w:firstLine="720"/>
        <w:jc w:val="both"/>
        <w:rPr>
          <w:sz w:val="20"/>
          <w:szCs w:val="20"/>
        </w:rPr>
      </w:pPr>
      <w:r w:rsidRPr="0034170A">
        <w:rPr>
          <w:sz w:val="20"/>
          <w:szCs w:val="20"/>
        </w:rPr>
        <w:t>Precise and prompt diagnosis is a challenge for fungal and parasitic infections due to their vast array of pathogens, many of which display differin</w:t>
      </w:r>
      <w:r w:rsidR="00252FE5" w:rsidRPr="0034170A">
        <w:rPr>
          <w:sz w:val="20"/>
          <w:szCs w:val="20"/>
        </w:rPr>
        <w:t>g manifestations in patients.</w:t>
      </w:r>
      <w:r w:rsidRPr="0034170A">
        <w:rPr>
          <w:sz w:val="20"/>
          <w:szCs w:val="20"/>
        </w:rPr>
        <w:t xml:space="preserve"> Most commonly, in the initial phases, infections have vague manifestations including fever, asthenia, and gastrointestinal distress and this might contribute to the lack of a quick, appropriate treatment. This diagnostic challenge is complicated by the fact that most of these pathogens have long incubation periods, often remaining latent within the host for a considerable time period. Therefore, gathering an extended history from a patient regarding any recent travel to endemic areas </w:t>
      </w:r>
      <w:r w:rsidRPr="0034170A">
        <w:rPr>
          <w:sz w:val="20"/>
          <w:szCs w:val="20"/>
        </w:rPr>
        <w:lastRenderedPageBreak/>
        <w:t>and other risks, along with predisposing conditions, can be an effective step to limit the spectrum of causative agents.</w:t>
      </w:r>
    </w:p>
    <w:p w:rsidR="00252FE5" w:rsidRPr="0034170A" w:rsidRDefault="00252FE5" w:rsidP="009A18F2">
      <w:pPr>
        <w:pStyle w:val="NormalWeb"/>
        <w:spacing w:before="0" w:beforeAutospacing="0" w:after="0" w:afterAutospacing="0"/>
        <w:ind w:firstLine="720"/>
        <w:jc w:val="both"/>
        <w:rPr>
          <w:sz w:val="20"/>
          <w:szCs w:val="20"/>
        </w:rPr>
      </w:pPr>
      <w:r w:rsidRPr="0034170A">
        <w:rPr>
          <w:sz w:val="20"/>
          <w:szCs w:val="20"/>
        </w:rPr>
        <w:t>For parasitic infections, the selection of a diagnostic method is largely dependent on the stage in the cycle of the parasite, on the site at which the infection is located, and on the immune status of the host. Direct detection methods, which include microscopy, antigen detection, or molecular techniques such as PCR, are crucial to identify the presence of parasites or parts of parasites such as DNA or antigens. Serology is often used to detect the presence of antibodies produced by the host in response to the infection, especially in the later stages. Fungal diagnostics similarly depend on a combination of traditional and advanced techniques.</w:t>
      </w:r>
    </w:p>
    <w:p w:rsidR="002C25B5" w:rsidRPr="0034170A" w:rsidRDefault="00252FE5" w:rsidP="009A18F2">
      <w:pPr>
        <w:pStyle w:val="NormalWeb"/>
        <w:spacing w:before="0" w:beforeAutospacing="0" w:after="0" w:afterAutospacing="0"/>
        <w:ind w:firstLine="720"/>
        <w:jc w:val="both"/>
        <w:rPr>
          <w:sz w:val="20"/>
          <w:szCs w:val="20"/>
        </w:rPr>
      </w:pPr>
      <w:r w:rsidRPr="0034170A">
        <w:rPr>
          <w:sz w:val="20"/>
          <w:szCs w:val="20"/>
        </w:rPr>
        <w:t>The tools most used today still include microscopy, culture, and histopathology, all which allow the immediate observation of the fungal elements from clinical samples. However, this often demands large expertise and remains less sensitive at low-level infection or when a fungus is slowly growing. Recent advances in molecular diagnostics, such as PCR and next-generation sequencing, have the potential to improve the detection and identification of fungal species with high specificity and sensitivity. Again, antigen detection assays and serological tests are critical in identifying invasive fungal infections, particularly in immunocompromised patients. Both parasitic and fungal infections require timely and accurate diagnostics to clinically influence patient outcomes through targeted therapy that avoids unnecessary or broad-spectrum treatments. Improved patient care in both endemic and non-endemic regions would rely on knowledge of their geographical distribution, life cycles, and the availability of diagnostic techniques</w:t>
      </w:r>
      <w:r w:rsidR="002515B7" w:rsidRPr="0034170A">
        <w:rPr>
          <w:sz w:val="20"/>
          <w:szCs w:val="20"/>
        </w:rPr>
        <w:t>.</w:t>
      </w:r>
    </w:p>
    <w:p w:rsidR="002C25B5" w:rsidRPr="0034170A" w:rsidRDefault="002C25B5" w:rsidP="009A18F2">
      <w:pPr>
        <w:pStyle w:val="NormalWeb"/>
        <w:numPr>
          <w:ilvl w:val="0"/>
          <w:numId w:val="8"/>
        </w:numPr>
        <w:spacing w:before="0" w:beforeAutospacing="0" w:after="0" w:afterAutospacing="0"/>
        <w:jc w:val="center"/>
        <w:rPr>
          <w:rFonts w:eastAsiaTheme="majorEastAsia"/>
          <w:b/>
          <w:bCs/>
          <w:color w:val="4F81BD" w:themeColor="accent1"/>
          <w:sz w:val="20"/>
          <w:szCs w:val="20"/>
          <w:lang w:val="en-US" w:eastAsia="en-US" w:bidi="ar-SA"/>
        </w:rPr>
      </w:pPr>
      <w:r w:rsidRPr="0034170A">
        <w:rPr>
          <w:rFonts w:eastAsiaTheme="majorEastAsia"/>
          <w:b/>
          <w:bCs/>
          <w:color w:val="4F81BD" w:themeColor="accent1"/>
          <w:sz w:val="20"/>
          <w:szCs w:val="20"/>
          <w:lang w:val="en-US" w:eastAsia="en-US" w:bidi="ar-SA"/>
        </w:rPr>
        <w:t>PARASITIC INFECTIONS</w:t>
      </w:r>
    </w:p>
    <w:p w:rsidR="002C25B5" w:rsidRPr="0034170A" w:rsidRDefault="002C25B5" w:rsidP="009A18F2">
      <w:pPr>
        <w:pStyle w:val="Heading2"/>
        <w:numPr>
          <w:ilvl w:val="1"/>
          <w:numId w:val="8"/>
        </w:numPr>
        <w:spacing w:before="0"/>
        <w:rPr>
          <w:rFonts w:ascii="Times New Roman" w:hAnsi="Times New Roman" w:cs="Times New Roman"/>
          <w:sz w:val="20"/>
          <w:szCs w:val="20"/>
        </w:rPr>
      </w:pPr>
      <w:r w:rsidRPr="0034170A">
        <w:rPr>
          <w:rFonts w:ascii="Times New Roman" w:hAnsi="Times New Roman" w:cs="Times New Roman"/>
          <w:sz w:val="20"/>
          <w:szCs w:val="20"/>
        </w:rPr>
        <w:t>Introduction to Parasitic Infections</w:t>
      </w:r>
    </w:p>
    <w:p w:rsidR="002C25B5" w:rsidRPr="0034170A" w:rsidRDefault="00252FE5" w:rsidP="009A18F2">
      <w:pPr>
        <w:pStyle w:val="NormalWeb"/>
        <w:spacing w:before="0" w:beforeAutospacing="0" w:after="0" w:afterAutospacing="0"/>
        <w:ind w:firstLine="720"/>
        <w:jc w:val="both"/>
        <w:rPr>
          <w:sz w:val="20"/>
          <w:szCs w:val="20"/>
        </w:rPr>
      </w:pPr>
      <w:r w:rsidRPr="0034170A">
        <w:rPr>
          <w:sz w:val="20"/>
          <w:szCs w:val="20"/>
        </w:rPr>
        <w:t>Parasitic infections are brought about by numerous organisms that live and reproduce while utilizing the resources of their hosts. Parasites differ from bacteria and viruses, which have simple life cycles often involving a single host with no complex developmental stages, thereby making parasitic infections difficult in diagnosis and treatment. Human hosts are either definitive or intermediate hosts where the parasite performs sexual reproduction in the former case and replicates and</w:t>
      </w:r>
      <w:r w:rsidR="009C7357" w:rsidRPr="0034170A">
        <w:rPr>
          <w:sz w:val="20"/>
          <w:szCs w:val="20"/>
        </w:rPr>
        <w:t xml:space="preserve"> remains dormant in the latter. </w:t>
      </w:r>
      <w:r w:rsidRPr="0034170A">
        <w:rPr>
          <w:sz w:val="20"/>
          <w:szCs w:val="20"/>
        </w:rPr>
        <w:t>This duality of a host requirement lies at the very heart of how parasitic infections are transmitted and clinically manifest themselves. The period between initial infection and the time when parasitic stages can be demonstrated by laboratory methods, called the prepatent period, can be days in some parasites or months in others, thereby making early diagnosis challenging, often resulting in identification of the parasite only at the point when the symptoms have become significant.</w:t>
      </w:r>
    </w:p>
    <w:p w:rsidR="009C7357" w:rsidRPr="0034170A" w:rsidRDefault="009C7357" w:rsidP="009A18F2">
      <w:pPr>
        <w:pStyle w:val="NormalWeb"/>
        <w:spacing w:before="0" w:beforeAutospacing="0" w:after="0" w:afterAutospacing="0"/>
        <w:ind w:firstLine="720"/>
        <w:jc w:val="both"/>
        <w:rPr>
          <w:sz w:val="20"/>
          <w:szCs w:val="20"/>
        </w:rPr>
      </w:pPr>
      <w:r w:rsidRPr="0034170A">
        <w:rPr>
          <w:sz w:val="20"/>
          <w:szCs w:val="20"/>
        </w:rPr>
        <w:t>Central and northern Europe has relatively rare parasitic infections compared to the tropics and subtropics where there is poor hygiene, inadequate disposal of waste products, and access to clean water in limited proportions, thus fostering a conducive environment for the proliferation of parasites. In any case, increasing global travel, migration, and movement of people from endemic areas have contributed to the increase of parasitic infections in non-endemic regions. Frequent travelers, immigrants who come from endemic regions with poorer hygiene, and immunocompromised individuals have a higher risk population. The factors of risk that may vary are based on the parasite and the region.</w:t>
      </w:r>
    </w:p>
    <w:p w:rsidR="002C25B5" w:rsidRPr="0034170A" w:rsidRDefault="009C7357" w:rsidP="009A18F2">
      <w:pPr>
        <w:pStyle w:val="NormalWeb"/>
        <w:spacing w:before="0" w:beforeAutospacing="0" w:after="0" w:afterAutospacing="0"/>
        <w:ind w:firstLine="720"/>
        <w:jc w:val="both"/>
        <w:rPr>
          <w:sz w:val="20"/>
          <w:szCs w:val="20"/>
        </w:rPr>
      </w:pPr>
      <w:r w:rsidRPr="0034170A">
        <w:rPr>
          <w:sz w:val="20"/>
          <w:szCs w:val="20"/>
        </w:rPr>
        <w:t>These include giardiasis, toxoplasmosis, and echinococcosis in Europe; they occur primarily in people who have visited endemic regions or who have come into contact with animal hosts. In the remaining instances, like imported malaria or leishmaniasis, the infection is acquired elsewhere and develops once the patient has returned to their country of origin.</w:t>
      </w:r>
    </w:p>
    <w:p w:rsidR="00BD4861" w:rsidRPr="0034170A" w:rsidRDefault="00BD4861" w:rsidP="009A18F2">
      <w:pPr>
        <w:pStyle w:val="NormalWeb"/>
        <w:spacing w:before="0" w:beforeAutospacing="0" w:after="0" w:afterAutospacing="0"/>
        <w:jc w:val="both"/>
        <w:rPr>
          <w:sz w:val="20"/>
          <w:szCs w:val="20"/>
          <w:lang w:val="en-US"/>
        </w:rPr>
      </w:pPr>
      <w:r w:rsidRPr="0034170A">
        <w:rPr>
          <w:sz w:val="20"/>
          <w:szCs w:val="20"/>
          <w:lang w:val="en-US"/>
        </w:rPr>
        <w:t>It amplifies in those countries located within the tropics and subtropics due to poor sanitation, unclean sources of water, and malnutrition. Those highly endemic parasitic diseases, for instance, include malaria, schistosomiasis, and hookworms that result in such great public health issues from the developmental growth and childhood of an infant through to a country's national economy.</w:t>
      </w:r>
    </w:p>
    <w:p w:rsidR="002C25B5" w:rsidRPr="0034170A" w:rsidRDefault="00BD4861" w:rsidP="009A18F2">
      <w:pPr>
        <w:pStyle w:val="NormalWeb"/>
        <w:spacing w:before="0" w:beforeAutospacing="0" w:after="0" w:afterAutospacing="0"/>
        <w:ind w:firstLine="720"/>
        <w:jc w:val="both"/>
        <w:rPr>
          <w:sz w:val="20"/>
          <w:szCs w:val="20"/>
        </w:rPr>
      </w:pPr>
      <w:r w:rsidRPr="0034170A">
        <w:rPr>
          <w:sz w:val="20"/>
          <w:szCs w:val="20"/>
          <w:lang w:val="en-US"/>
        </w:rPr>
        <w:t xml:space="preserve">Nonspecific symptoms are one of the characteristic features of diagnostics of parasitic infection. Depending on the kind of parasite, on the host's immune status, and on the intensity of the infection, parasitic infections can vary from asymptomatic to fatal. Some parasites, for example, cause an acute severe disease such as </w:t>
      </w:r>
      <w:r w:rsidRPr="0034170A">
        <w:rPr>
          <w:i/>
          <w:iCs/>
          <w:sz w:val="20"/>
          <w:szCs w:val="20"/>
          <w:lang w:val="en-US"/>
        </w:rPr>
        <w:t>Plasmodium</w:t>
      </w:r>
      <w:r w:rsidRPr="0034170A">
        <w:rPr>
          <w:sz w:val="20"/>
          <w:szCs w:val="20"/>
          <w:lang w:val="en-US"/>
        </w:rPr>
        <w:t xml:space="preserve"> that is responsible for causing malaria. However, some such as </w:t>
      </w:r>
      <w:r w:rsidRPr="0034170A">
        <w:rPr>
          <w:i/>
          <w:iCs/>
          <w:sz w:val="20"/>
          <w:szCs w:val="20"/>
          <w:lang w:val="en-US"/>
        </w:rPr>
        <w:t>Giardia lamblia</w:t>
      </w:r>
      <w:r w:rsidRPr="0034170A">
        <w:rPr>
          <w:sz w:val="20"/>
          <w:szCs w:val="20"/>
          <w:lang w:val="en-US"/>
        </w:rPr>
        <w:t xml:space="preserve"> and </w:t>
      </w:r>
      <w:r w:rsidRPr="0034170A">
        <w:rPr>
          <w:i/>
          <w:iCs/>
          <w:sz w:val="20"/>
          <w:szCs w:val="20"/>
          <w:lang w:val="en-US"/>
        </w:rPr>
        <w:t>Entamoeba histolytica</w:t>
      </w:r>
      <w:r w:rsidRPr="0034170A">
        <w:rPr>
          <w:sz w:val="20"/>
          <w:szCs w:val="20"/>
          <w:lang w:val="en-US"/>
        </w:rPr>
        <w:t xml:space="preserve"> may linger within the host for extended periods of time, during which overt symptoms may be absent. Additionally, the presence of a certain immune response is vital because most severe parasitic infections are reported to affect immunocompromised hosts such as people infected with HIV/AIDS</w:t>
      </w:r>
      <w:r w:rsidR="00E74D03" w:rsidRPr="0034170A">
        <w:rPr>
          <w:sz w:val="20"/>
          <w:szCs w:val="20"/>
          <w:lang w:val="en-US"/>
        </w:rPr>
        <w:t>.</w:t>
      </w:r>
    </w:p>
    <w:p w:rsidR="002C25B5" w:rsidRPr="0034170A" w:rsidRDefault="00BD4861" w:rsidP="009A18F2">
      <w:pPr>
        <w:pStyle w:val="NormalWeb"/>
        <w:spacing w:before="0" w:beforeAutospacing="0" w:after="0" w:afterAutospacing="0"/>
        <w:ind w:firstLine="720"/>
        <w:jc w:val="both"/>
        <w:rPr>
          <w:sz w:val="20"/>
          <w:szCs w:val="20"/>
        </w:rPr>
      </w:pPr>
      <w:r w:rsidRPr="0034170A">
        <w:rPr>
          <w:sz w:val="20"/>
          <w:szCs w:val="20"/>
        </w:rPr>
        <w:t xml:space="preserve">Understanding the biology and life cycle of parasites is imperative for proper diagnosis of parasitic infections. </w:t>
      </w:r>
      <w:r w:rsidR="00E46A41" w:rsidRPr="0034170A">
        <w:rPr>
          <w:sz w:val="20"/>
          <w:szCs w:val="20"/>
        </w:rPr>
        <w:t>Direct and indirect signs of infection are the two main categories into which the diagnostic techniques can be broadly divided. Finding the parasite, its antigens, or its genetic material—such as DNA or RNA—in clinical specimens is known as direct evidence. These include molecular diagnostics like PCR, antigen detection tests, and microscopy. Conversely, indirect approaches use serological assays specific to the antibodies generated, which indicate that the host has reacted to the infection, to determine the host's immunological response to the parasite.</w:t>
      </w:r>
    </w:p>
    <w:p w:rsidR="00265A1E" w:rsidRPr="0034170A" w:rsidRDefault="00265A1E" w:rsidP="009A18F2">
      <w:pPr>
        <w:pStyle w:val="NormalWeb"/>
        <w:spacing w:before="0" w:beforeAutospacing="0" w:after="0" w:afterAutospacing="0"/>
        <w:ind w:firstLine="720"/>
        <w:jc w:val="both"/>
        <w:rPr>
          <w:sz w:val="20"/>
          <w:szCs w:val="20"/>
        </w:rPr>
      </w:pPr>
      <w:r w:rsidRPr="0034170A">
        <w:rPr>
          <w:sz w:val="20"/>
          <w:szCs w:val="20"/>
        </w:rPr>
        <w:t xml:space="preserve">Despite the development of modern diagnostic methods, traditional approaches like microscopy are still vital in resource-limited settings. Microscopy directly allows the visualization of parasites in blood, stool, or tissue </w:t>
      </w:r>
      <w:r w:rsidRPr="0034170A">
        <w:rPr>
          <w:sz w:val="20"/>
          <w:szCs w:val="20"/>
        </w:rPr>
        <w:lastRenderedPageBreak/>
        <w:t xml:space="preserve">samples and provides instant results if carried out by competent personnel. However, the sensitivity of microscopy depends on parasite density, the number of samples examined, and the volume of the sample. For example, intestinal parasites are usually shed intermittently in stool and therefore require several samples collected over several days to make an accurate diagnosis. Concentration methods are also used on blood samples to increase the chances of detecting parasites such as </w:t>
      </w:r>
      <w:r w:rsidRPr="0034170A">
        <w:rPr>
          <w:i/>
          <w:iCs/>
          <w:sz w:val="20"/>
          <w:szCs w:val="20"/>
        </w:rPr>
        <w:t>Plasmodium</w:t>
      </w:r>
      <w:r w:rsidRPr="0034170A">
        <w:rPr>
          <w:sz w:val="20"/>
          <w:szCs w:val="20"/>
        </w:rPr>
        <w:t xml:space="preserve"> or </w:t>
      </w:r>
      <w:r w:rsidRPr="0034170A">
        <w:rPr>
          <w:i/>
          <w:iCs/>
          <w:sz w:val="20"/>
          <w:szCs w:val="20"/>
        </w:rPr>
        <w:t>Leishmania</w:t>
      </w:r>
      <w:r w:rsidRPr="0034170A">
        <w:rPr>
          <w:sz w:val="20"/>
          <w:szCs w:val="20"/>
        </w:rPr>
        <w:t>.</w:t>
      </w:r>
    </w:p>
    <w:p w:rsidR="002C25B5" w:rsidRPr="0034170A" w:rsidRDefault="00265A1E" w:rsidP="009A18F2">
      <w:pPr>
        <w:pStyle w:val="NormalWeb"/>
        <w:spacing w:before="0" w:beforeAutospacing="0" w:after="0" w:afterAutospacing="0"/>
        <w:ind w:firstLine="720"/>
        <w:jc w:val="both"/>
        <w:rPr>
          <w:sz w:val="20"/>
          <w:szCs w:val="20"/>
        </w:rPr>
      </w:pPr>
      <w:r w:rsidRPr="0034170A">
        <w:rPr>
          <w:sz w:val="20"/>
          <w:szCs w:val="20"/>
        </w:rPr>
        <w:t xml:space="preserve">Modern diagnostic methods, such as PCR and antigen detection assays, are more sensitive and specific, especially for detecting low-density infections or differentiating between morphologically similar species. It's, for example, the most used technique when it comes to diagnosing parasitic infections, especially in clinics, because with PCR, minimal amounts of DNA parasites can be diagnosed and differentiated as pathogenic versus non-pathogenic, such as </w:t>
      </w:r>
      <w:r w:rsidRPr="0034170A">
        <w:rPr>
          <w:i/>
          <w:iCs/>
          <w:sz w:val="20"/>
          <w:szCs w:val="20"/>
        </w:rPr>
        <w:t>Entamoeba histolytica</w:t>
      </w:r>
      <w:r w:rsidRPr="0034170A">
        <w:rPr>
          <w:sz w:val="20"/>
          <w:szCs w:val="20"/>
        </w:rPr>
        <w:t xml:space="preserve"> and </w:t>
      </w:r>
      <w:r w:rsidRPr="0034170A">
        <w:rPr>
          <w:i/>
          <w:iCs/>
          <w:sz w:val="20"/>
          <w:szCs w:val="20"/>
        </w:rPr>
        <w:t>Entamoeba dispar</w:t>
      </w:r>
      <w:r w:rsidRPr="0034170A">
        <w:rPr>
          <w:sz w:val="20"/>
          <w:szCs w:val="20"/>
        </w:rPr>
        <w:t>. Those are more expensive and are not present in all healthcare facilities. For instance, most parasitic infections occur in low-resource areas, where the most advanced methods may not be accessible to healthcare facilities.</w:t>
      </w:r>
    </w:p>
    <w:p w:rsidR="00265A1E" w:rsidRPr="0034170A" w:rsidRDefault="00265A1E" w:rsidP="009A18F2">
      <w:pPr>
        <w:pStyle w:val="NormalWeb"/>
        <w:spacing w:before="0" w:beforeAutospacing="0" w:after="0" w:afterAutospacing="0"/>
        <w:ind w:firstLine="720"/>
        <w:jc w:val="both"/>
        <w:rPr>
          <w:sz w:val="20"/>
          <w:szCs w:val="20"/>
        </w:rPr>
      </w:pPr>
      <w:r w:rsidRPr="0034170A">
        <w:rPr>
          <w:sz w:val="20"/>
          <w:szCs w:val="20"/>
        </w:rPr>
        <w:t xml:space="preserve">A parasitic infection often poses a challenge in diagnosis and requires a complete clinical evaluation including a detailed patient history, particularly regarding travel to endemic areas, contact with the potential vectors or animal reservoirs, and the patient's underlying conditions that may predispose him or her to the infection. Such an approach to the laboratory diagnosis requires consideration of clinical presentation and epidemiological context while collecting the relevant samples for processing using the best available diagnostic tools. </w:t>
      </w:r>
    </w:p>
    <w:p w:rsidR="00121B57" w:rsidRDefault="00265A1E" w:rsidP="009A18F2">
      <w:pPr>
        <w:pStyle w:val="NormalWeb"/>
        <w:spacing w:before="0" w:beforeAutospacing="0" w:after="0" w:afterAutospacing="0"/>
        <w:ind w:firstLine="720"/>
        <w:jc w:val="both"/>
        <w:rPr>
          <w:sz w:val="20"/>
          <w:szCs w:val="20"/>
        </w:rPr>
      </w:pPr>
      <w:r w:rsidRPr="0034170A">
        <w:rPr>
          <w:sz w:val="20"/>
          <w:szCs w:val="20"/>
        </w:rPr>
        <w:t>Parasitic infections are massive challenges for global health, requiring improved diagnostic abilities for earlier detection and better treatment. Rapid diagnostic tests and molecular methods may be the next step toward improving the accuracy and accessibility of such diagnostics in endemic regions, where the burden of parasitic diseases is heaviest.</w:t>
      </w:r>
    </w:p>
    <w:p w:rsidR="00095A24" w:rsidRPr="00095A24" w:rsidRDefault="00095A24" w:rsidP="00095A24">
      <w:pPr>
        <w:pStyle w:val="NormalWeb"/>
        <w:spacing w:before="0" w:beforeAutospacing="0" w:after="0" w:afterAutospacing="0"/>
        <w:jc w:val="both"/>
        <w:rPr>
          <w:b/>
          <w:bCs/>
          <w:sz w:val="20"/>
          <w:szCs w:val="20"/>
        </w:rPr>
      </w:pPr>
      <w:r>
        <w:rPr>
          <w:b/>
          <w:bCs/>
          <w:sz w:val="20"/>
          <w:szCs w:val="20"/>
        </w:rPr>
        <w:t>Table</w:t>
      </w:r>
      <w:r w:rsidR="003620BA">
        <w:rPr>
          <w:b/>
          <w:bCs/>
          <w:sz w:val="20"/>
          <w:szCs w:val="20"/>
        </w:rPr>
        <w:t xml:space="preserve"> 1</w:t>
      </w:r>
      <w:r w:rsidRPr="00095A24">
        <w:rPr>
          <w:b/>
          <w:bCs/>
          <w:sz w:val="20"/>
          <w:szCs w:val="20"/>
        </w:rPr>
        <w:t>: Common Parasites and Associated Symptoms</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018"/>
        <w:gridCol w:w="1507"/>
        <w:gridCol w:w="2139"/>
        <w:gridCol w:w="3262"/>
      </w:tblGrid>
      <w:tr w:rsidR="00095A24" w:rsidRPr="00095A24" w:rsidTr="003620BA">
        <w:trPr>
          <w:trHeight w:val="171"/>
          <w:tblHeader/>
        </w:trPr>
        <w:tc>
          <w:tcPr>
            <w:tcW w:w="2018" w:type="dxa"/>
            <w:vAlign w:val="center"/>
            <w:hideMark/>
          </w:tcPr>
          <w:p w:rsidR="00095A24" w:rsidRPr="00095A24" w:rsidRDefault="00095A24" w:rsidP="00095A24">
            <w:pPr>
              <w:pStyle w:val="NormalWeb"/>
              <w:jc w:val="both"/>
              <w:rPr>
                <w:b/>
                <w:bCs/>
                <w:sz w:val="20"/>
                <w:szCs w:val="20"/>
              </w:rPr>
            </w:pPr>
            <w:r w:rsidRPr="00095A24">
              <w:rPr>
                <w:b/>
                <w:bCs/>
                <w:sz w:val="20"/>
                <w:szCs w:val="20"/>
              </w:rPr>
              <w:t>Parasite</w:t>
            </w:r>
          </w:p>
        </w:tc>
        <w:tc>
          <w:tcPr>
            <w:tcW w:w="1507" w:type="dxa"/>
            <w:vAlign w:val="center"/>
            <w:hideMark/>
          </w:tcPr>
          <w:p w:rsidR="00095A24" w:rsidRPr="00095A24" w:rsidRDefault="00095A24" w:rsidP="00095A24">
            <w:pPr>
              <w:pStyle w:val="NormalWeb"/>
              <w:jc w:val="both"/>
              <w:rPr>
                <w:b/>
                <w:bCs/>
                <w:sz w:val="20"/>
                <w:szCs w:val="20"/>
              </w:rPr>
            </w:pPr>
            <w:r w:rsidRPr="00095A24">
              <w:rPr>
                <w:b/>
                <w:bCs/>
                <w:sz w:val="20"/>
                <w:szCs w:val="20"/>
              </w:rPr>
              <w:t>Disease</w:t>
            </w:r>
          </w:p>
        </w:tc>
        <w:tc>
          <w:tcPr>
            <w:tcW w:w="2139" w:type="dxa"/>
            <w:vAlign w:val="center"/>
            <w:hideMark/>
          </w:tcPr>
          <w:p w:rsidR="00095A24" w:rsidRPr="00095A24" w:rsidRDefault="00095A24" w:rsidP="00095A24">
            <w:pPr>
              <w:pStyle w:val="NormalWeb"/>
              <w:jc w:val="both"/>
              <w:rPr>
                <w:b/>
                <w:bCs/>
                <w:sz w:val="20"/>
                <w:szCs w:val="20"/>
              </w:rPr>
            </w:pPr>
            <w:r w:rsidRPr="00095A24">
              <w:rPr>
                <w:b/>
                <w:bCs/>
                <w:sz w:val="20"/>
                <w:szCs w:val="20"/>
              </w:rPr>
              <w:t>Transmission</w:t>
            </w:r>
          </w:p>
        </w:tc>
        <w:tc>
          <w:tcPr>
            <w:tcW w:w="3262" w:type="dxa"/>
            <w:vAlign w:val="center"/>
            <w:hideMark/>
          </w:tcPr>
          <w:p w:rsidR="00095A24" w:rsidRPr="00095A24" w:rsidRDefault="00095A24" w:rsidP="00095A24">
            <w:pPr>
              <w:pStyle w:val="NormalWeb"/>
              <w:jc w:val="both"/>
              <w:rPr>
                <w:b/>
                <w:bCs/>
                <w:sz w:val="20"/>
                <w:szCs w:val="20"/>
              </w:rPr>
            </w:pPr>
            <w:r w:rsidRPr="00095A24">
              <w:rPr>
                <w:b/>
                <w:bCs/>
                <w:sz w:val="20"/>
                <w:szCs w:val="20"/>
              </w:rPr>
              <w:t>Clinical Symptoms</w:t>
            </w:r>
          </w:p>
        </w:tc>
      </w:tr>
      <w:tr w:rsidR="00095A24" w:rsidRPr="00095A24" w:rsidTr="003620BA">
        <w:trPr>
          <w:trHeight w:val="352"/>
        </w:trPr>
        <w:tc>
          <w:tcPr>
            <w:tcW w:w="2018" w:type="dxa"/>
            <w:vAlign w:val="center"/>
            <w:hideMark/>
          </w:tcPr>
          <w:p w:rsidR="00095A24" w:rsidRPr="00095A24" w:rsidRDefault="00095A24" w:rsidP="00095A24">
            <w:pPr>
              <w:pStyle w:val="NormalWeb"/>
              <w:rPr>
                <w:sz w:val="20"/>
                <w:szCs w:val="20"/>
              </w:rPr>
            </w:pPr>
            <w:r w:rsidRPr="00095A24">
              <w:rPr>
                <w:i/>
                <w:iCs/>
                <w:sz w:val="20"/>
                <w:szCs w:val="20"/>
              </w:rPr>
              <w:t>Plasmodium</w:t>
            </w:r>
          </w:p>
        </w:tc>
        <w:tc>
          <w:tcPr>
            <w:tcW w:w="1507" w:type="dxa"/>
            <w:vAlign w:val="center"/>
            <w:hideMark/>
          </w:tcPr>
          <w:p w:rsidR="00095A24" w:rsidRPr="00095A24" w:rsidRDefault="00095A24" w:rsidP="00095A24">
            <w:pPr>
              <w:pStyle w:val="NormalWeb"/>
              <w:rPr>
                <w:sz w:val="20"/>
                <w:szCs w:val="20"/>
              </w:rPr>
            </w:pPr>
            <w:r w:rsidRPr="00095A24">
              <w:rPr>
                <w:sz w:val="20"/>
                <w:szCs w:val="20"/>
              </w:rPr>
              <w:t>Malaria</w:t>
            </w:r>
          </w:p>
        </w:tc>
        <w:tc>
          <w:tcPr>
            <w:tcW w:w="2139" w:type="dxa"/>
            <w:vAlign w:val="center"/>
            <w:hideMark/>
          </w:tcPr>
          <w:p w:rsidR="00095A24" w:rsidRPr="00095A24" w:rsidRDefault="00095A24" w:rsidP="00095A24">
            <w:pPr>
              <w:pStyle w:val="NormalWeb"/>
              <w:rPr>
                <w:sz w:val="20"/>
                <w:szCs w:val="20"/>
              </w:rPr>
            </w:pPr>
            <w:r w:rsidRPr="00095A24">
              <w:rPr>
                <w:sz w:val="20"/>
                <w:szCs w:val="20"/>
              </w:rPr>
              <w:t>Mosquito bite (</w:t>
            </w:r>
            <w:r w:rsidRPr="00095A24">
              <w:rPr>
                <w:i/>
                <w:iCs/>
                <w:sz w:val="20"/>
                <w:szCs w:val="20"/>
              </w:rPr>
              <w:t>Anopheles</w:t>
            </w:r>
            <w:r w:rsidRPr="00095A24">
              <w:rPr>
                <w:sz w:val="20"/>
                <w:szCs w:val="20"/>
              </w:rPr>
              <w:t>)</w:t>
            </w:r>
          </w:p>
        </w:tc>
        <w:tc>
          <w:tcPr>
            <w:tcW w:w="3262" w:type="dxa"/>
            <w:vAlign w:val="center"/>
            <w:hideMark/>
          </w:tcPr>
          <w:p w:rsidR="00095A24" w:rsidRPr="00095A24" w:rsidRDefault="00095A24" w:rsidP="00095A24">
            <w:pPr>
              <w:pStyle w:val="NormalWeb"/>
              <w:rPr>
                <w:sz w:val="20"/>
                <w:szCs w:val="20"/>
              </w:rPr>
            </w:pPr>
            <w:r w:rsidRPr="00095A24">
              <w:rPr>
                <w:sz w:val="20"/>
                <w:szCs w:val="20"/>
              </w:rPr>
              <w:t>Fever, chills, sweating, anemia, organ failure</w:t>
            </w:r>
          </w:p>
        </w:tc>
      </w:tr>
      <w:tr w:rsidR="00095A24" w:rsidRPr="00095A24" w:rsidTr="003620BA">
        <w:trPr>
          <w:trHeight w:val="352"/>
        </w:trPr>
        <w:tc>
          <w:tcPr>
            <w:tcW w:w="2018" w:type="dxa"/>
            <w:vAlign w:val="center"/>
            <w:hideMark/>
          </w:tcPr>
          <w:p w:rsidR="00095A24" w:rsidRPr="00095A24" w:rsidRDefault="00095A24" w:rsidP="00095A24">
            <w:pPr>
              <w:pStyle w:val="NormalWeb"/>
              <w:rPr>
                <w:sz w:val="20"/>
                <w:szCs w:val="20"/>
              </w:rPr>
            </w:pPr>
            <w:r w:rsidRPr="00095A24">
              <w:rPr>
                <w:i/>
                <w:iCs/>
                <w:sz w:val="20"/>
                <w:szCs w:val="20"/>
              </w:rPr>
              <w:t>Entamoeba histolytica</w:t>
            </w:r>
          </w:p>
        </w:tc>
        <w:tc>
          <w:tcPr>
            <w:tcW w:w="1507" w:type="dxa"/>
            <w:vAlign w:val="center"/>
            <w:hideMark/>
          </w:tcPr>
          <w:p w:rsidR="00095A24" w:rsidRPr="00095A24" w:rsidRDefault="00095A24" w:rsidP="00095A24">
            <w:pPr>
              <w:pStyle w:val="NormalWeb"/>
              <w:rPr>
                <w:sz w:val="20"/>
                <w:szCs w:val="20"/>
              </w:rPr>
            </w:pPr>
            <w:r w:rsidRPr="00095A24">
              <w:rPr>
                <w:sz w:val="20"/>
                <w:szCs w:val="20"/>
              </w:rPr>
              <w:t>Amebiasis</w:t>
            </w:r>
          </w:p>
        </w:tc>
        <w:tc>
          <w:tcPr>
            <w:tcW w:w="2139" w:type="dxa"/>
            <w:vAlign w:val="center"/>
            <w:hideMark/>
          </w:tcPr>
          <w:p w:rsidR="00095A24" w:rsidRPr="00095A24" w:rsidRDefault="00095A24" w:rsidP="00095A24">
            <w:pPr>
              <w:pStyle w:val="NormalWeb"/>
              <w:rPr>
                <w:sz w:val="20"/>
                <w:szCs w:val="20"/>
              </w:rPr>
            </w:pPr>
            <w:r w:rsidRPr="00095A24">
              <w:rPr>
                <w:sz w:val="20"/>
                <w:szCs w:val="20"/>
              </w:rPr>
              <w:t>Contaminated food/water</w:t>
            </w:r>
          </w:p>
        </w:tc>
        <w:tc>
          <w:tcPr>
            <w:tcW w:w="3262" w:type="dxa"/>
            <w:vAlign w:val="center"/>
            <w:hideMark/>
          </w:tcPr>
          <w:p w:rsidR="00095A24" w:rsidRPr="00095A24" w:rsidRDefault="00095A24" w:rsidP="00095A24">
            <w:pPr>
              <w:pStyle w:val="NormalWeb"/>
              <w:rPr>
                <w:sz w:val="20"/>
                <w:szCs w:val="20"/>
              </w:rPr>
            </w:pPr>
            <w:r w:rsidRPr="00095A24">
              <w:rPr>
                <w:sz w:val="20"/>
                <w:szCs w:val="20"/>
              </w:rPr>
              <w:t>Bloody diarrhea, abdominal pain, liver abscess</w:t>
            </w:r>
          </w:p>
        </w:tc>
      </w:tr>
      <w:tr w:rsidR="00095A24" w:rsidRPr="00095A24" w:rsidTr="003620BA">
        <w:trPr>
          <w:trHeight w:val="352"/>
        </w:trPr>
        <w:tc>
          <w:tcPr>
            <w:tcW w:w="2018" w:type="dxa"/>
            <w:vAlign w:val="center"/>
            <w:hideMark/>
          </w:tcPr>
          <w:p w:rsidR="00095A24" w:rsidRPr="00095A24" w:rsidRDefault="00095A24" w:rsidP="00095A24">
            <w:pPr>
              <w:pStyle w:val="NormalWeb"/>
              <w:rPr>
                <w:sz w:val="20"/>
                <w:szCs w:val="20"/>
              </w:rPr>
            </w:pPr>
            <w:r w:rsidRPr="00095A24">
              <w:rPr>
                <w:i/>
                <w:iCs/>
                <w:sz w:val="20"/>
                <w:szCs w:val="20"/>
              </w:rPr>
              <w:t>Taenia solium</w:t>
            </w:r>
          </w:p>
        </w:tc>
        <w:tc>
          <w:tcPr>
            <w:tcW w:w="1507" w:type="dxa"/>
            <w:vAlign w:val="center"/>
            <w:hideMark/>
          </w:tcPr>
          <w:p w:rsidR="00095A24" w:rsidRPr="00095A24" w:rsidRDefault="00095A24" w:rsidP="00095A24">
            <w:pPr>
              <w:pStyle w:val="NormalWeb"/>
              <w:rPr>
                <w:sz w:val="20"/>
                <w:szCs w:val="20"/>
              </w:rPr>
            </w:pPr>
            <w:r w:rsidRPr="00095A24">
              <w:rPr>
                <w:sz w:val="20"/>
                <w:szCs w:val="20"/>
              </w:rPr>
              <w:t>Cysticercosis</w:t>
            </w:r>
          </w:p>
        </w:tc>
        <w:tc>
          <w:tcPr>
            <w:tcW w:w="2139" w:type="dxa"/>
            <w:vAlign w:val="center"/>
            <w:hideMark/>
          </w:tcPr>
          <w:p w:rsidR="00095A24" w:rsidRPr="00095A24" w:rsidRDefault="00095A24" w:rsidP="00095A24">
            <w:pPr>
              <w:pStyle w:val="NormalWeb"/>
              <w:rPr>
                <w:sz w:val="20"/>
                <w:szCs w:val="20"/>
              </w:rPr>
            </w:pPr>
            <w:r w:rsidRPr="00095A24">
              <w:rPr>
                <w:sz w:val="20"/>
                <w:szCs w:val="20"/>
              </w:rPr>
              <w:t>Ingestion of eggs from pork</w:t>
            </w:r>
          </w:p>
        </w:tc>
        <w:tc>
          <w:tcPr>
            <w:tcW w:w="3262" w:type="dxa"/>
            <w:vAlign w:val="center"/>
            <w:hideMark/>
          </w:tcPr>
          <w:p w:rsidR="00095A24" w:rsidRPr="00095A24" w:rsidRDefault="00095A24" w:rsidP="00095A24">
            <w:pPr>
              <w:pStyle w:val="NormalWeb"/>
              <w:rPr>
                <w:sz w:val="20"/>
                <w:szCs w:val="20"/>
              </w:rPr>
            </w:pPr>
            <w:r w:rsidRPr="00095A24">
              <w:rPr>
                <w:sz w:val="20"/>
                <w:szCs w:val="20"/>
              </w:rPr>
              <w:t>Seizures, headaches, muscle cysts</w:t>
            </w:r>
          </w:p>
        </w:tc>
      </w:tr>
      <w:tr w:rsidR="00095A24" w:rsidRPr="00095A24" w:rsidTr="003620BA">
        <w:trPr>
          <w:trHeight w:val="342"/>
        </w:trPr>
        <w:tc>
          <w:tcPr>
            <w:tcW w:w="2018" w:type="dxa"/>
            <w:vAlign w:val="center"/>
            <w:hideMark/>
          </w:tcPr>
          <w:p w:rsidR="00095A24" w:rsidRPr="00095A24" w:rsidRDefault="00095A24" w:rsidP="00095A24">
            <w:pPr>
              <w:pStyle w:val="NormalWeb"/>
              <w:rPr>
                <w:sz w:val="20"/>
                <w:szCs w:val="20"/>
              </w:rPr>
            </w:pPr>
            <w:r w:rsidRPr="00095A24">
              <w:rPr>
                <w:i/>
                <w:iCs/>
                <w:sz w:val="20"/>
                <w:szCs w:val="20"/>
              </w:rPr>
              <w:t>Cryptosporidium parvum</w:t>
            </w:r>
          </w:p>
        </w:tc>
        <w:tc>
          <w:tcPr>
            <w:tcW w:w="1507" w:type="dxa"/>
            <w:vAlign w:val="center"/>
            <w:hideMark/>
          </w:tcPr>
          <w:p w:rsidR="00095A24" w:rsidRPr="00095A24" w:rsidRDefault="00095A24" w:rsidP="00095A24">
            <w:pPr>
              <w:pStyle w:val="NormalWeb"/>
              <w:rPr>
                <w:sz w:val="20"/>
                <w:szCs w:val="20"/>
              </w:rPr>
            </w:pPr>
            <w:r w:rsidRPr="00095A24">
              <w:rPr>
                <w:sz w:val="20"/>
                <w:szCs w:val="20"/>
              </w:rPr>
              <w:t>Cryptosporidiosis</w:t>
            </w:r>
          </w:p>
        </w:tc>
        <w:tc>
          <w:tcPr>
            <w:tcW w:w="2139" w:type="dxa"/>
            <w:vAlign w:val="center"/>
            <w:hideMark/>
          </w:tcPr>
          <w:p w:rsidR="00095A24" w:rsidRPr="00095A24" w:rsidRDefault="00095A24" w:rsidP="00095A24">
            <w:pPr>
              <w:pStyle w:val="NormalWeb"/>
              <w:rPr>
                <w:sz w:val="20"/>
                <w:szCs w:val="20"/>
              </w:rPr>
            </w:pPr>
            <w:r w:rsidRPr="00095A24">
              <w:rPr>
                <w:sz w:val="20"/>
                <w:szCs w:val="20"/>
              </w:rPr>
              <w:t>Contaminated water</w:t>
            </w:r>
          </w:p>
        </w:tc>
        <w:tc>
          <w:tcPr>
            <w:tcW w:w="3262" w:type="dxa"/>
            <w:vAlign w:val="center"/>
            <w:hideMark/>
          </w:tcPr>
          <w:p w:rsidR="00095A24" w:rsidRPr="00095A24" w:rsidRDefault="00095A24" w:rsidP="00095A24">
            <w:pPr>
              <w:pStyle w:val="NormalWeb"/>
              <w:rPr>
                <w:sz w:val="20"/>
                <w:szCs w:val="20"/>
              </w:rPr>
            </w:pPr>
            <w:r w:rsidRPr="00095A24">
              <w:rPr>
                <w:sz w:val="20"/>
                <w:szCs w:val="20"/>
              </w:rPr>
              <w:t>Watery diarrhea, abdominal cramps</w:t>
            </w:r>
          </w:p>
        </w:tc>
      </w:tr>
    </w:tbl>
    <w:p w:rsidR="00095A24" w:rsidRPr="0034170A" w:rsidRDefault="00095A24" w:rsidP="00095A24">
      <w:pPr>
        <w:pStyle w:val="NormalWeb"/>
        <w:spacing w:before="0" w:beforeAutospacing="0" w:after="0" w:afterAutospacing="0"/>
        <w:jc w:val="both"/>
        <w:rPr>
          <w:sz w:val="20"/>
          <w:szCs w:val="20"/>
        </w:rPr>
      </w:pPr>
    </w:p>
    <w:p w:rsidR="002C25B5" w:rsidRPr="0034170A" w:rsidRDefault="002C25B5" w:rsidP="009A18F2">
      <w:pPr>
        <w:pStyle w:val="Heading2"/>
        <w:numPr>
          <w:ilvl w:val="1"/>
          <w:numId w:val="8"/>
        </w:numPr>
        <w:spacing w:before="0"/>
        <w:rPr>
          <w:rFonts w:ascii="Times New Roman" w:hAnsi="Times New Roman" w:cs="Times New Roman"/>
          <w:sz w:val="20"/>
          <w:szCs w:val="20"/>
        </w:rPr>
      </w:pPr>
      <w:r w:rsidRPr="0034170A">
        <w:rPr>
          <w:rFonts w:ascii="Times New Roman" w:hAnsi="Times New Roman" w:cs="Times New Roman"/>
          <w:sz w:val="20"/>
          <w:szCs w:val="20"/>
        </w:rPr>
        <w:t>Sample Collection, Transport, and Diagnostic Methods</w:t>
      </w:r>
    </w:p>
    <w:p w:rsidR="002C25B5" w:rsidRPr="0034170A" w:rsidRDefault="00265A1E" w:rsidP="009A18F2">
      <w:pPr>
        <w:pStyle w:val="NormalWeb"/>
        <w:spacing w:before="0" w:beforeAutospacing="0" w:after="0" w:afterAutospacing="0"/>
        <w:ind w:firstLine="720"/>
        <w:jc w:val="both"/>
        <w:rPr>
          <w:sz w:val="20"/>
          <w:szCs w:val="20"/>
        </w:rPr>
      </w:pPr>
      <w:r w:rsidRPr="0034170A">
        <w:rPr>
          <w:sz w:val="20"/>
          <w:szCs w:val="20"/>
        </w:rPr>
        <w:t>Accurate diagnosis of parasitic infections depends on correct sample collection and transport and choice of appropriate methods for diagnosis. Parasites can infect almost all tissues and organs, which include the intestinal tract, blood, and tissues; thus, it is dependent on recovering the right sample and handling the sample correctly. Even the slightest missteps in sample collection and transport can compromise diagnostic accuracy. False-negative results are especially common when sample parasite load is low.</w:t>
      </w:r>
    </w:p>
    <w:p w:rsidR="002C25B5" w:rsidRPr="0034170A" w:rsidRDefault="002C25B5" w:rsidP="009A18F2">
      <w:pPr>
        <w:pStyle w:val="Heading3"/>
        <w:numPr>
          <w:ilvl w:val="2"/>
          <w:numId w:val="8"/>
        </w:numPr>
        <w:spacing w:before="0"/>
        <w:rPr>
          <w:rFonts w:ascii="Times New Roman" w:hAnsi="Times New Roman" w:cs="Times New Roman"/>
          <w:sz w:val="20"/>
          <w:szCs w:val="20"/>
        </w:rPr>
      </w:pPr>
      <w:r w:rsidRPr="0034170A">
        <w:rPr>
          <w:rFonts w:ascii="Times New Roman" w:hAnsi="Times New Roman" w:cs="Times New Roman"/>
          <w:sz w:val="20"/>
          <w:szCs w:val="20"/>
        </w:rPr>
        <w:t>Stool Sample</w:t>
      </w:r>
    </w:p>
    <w:p w:rsidR="002C25B5" w:rsidRPr="0034170A" w:rsidRDefault="00265A1E" w:rsidP="009A18F2">
      <w:pPr>
        <w:pStyle w:val="NormalWeb"/>
        <w:spacing w:before="0" w:beforeAutospacing="0" w:after="0" w:afterAutospacing="0"/>
        <w:ind w:firstLine="720"/>
        <w:jc w:val="both"/>
        <w:rPr>
          <w:sz w:val="20"/>
          <w:szCs w:val="20"/>
        </w:rPr>
      </w:pPr>
      <w:r w:rsidRPr="0034170A">
        <w:rPr>
          <w:sz w:val="20"/>
          <w:szCs w:val="20"/>
        </w:rPr>
        <w:t xml:space="preserve">The most common specimen for diagnosing intestinal parasitic infections is the stool sample. The fecal sample contains protozoa, including </w:t>
      </w:r>
      <w:r w:rsidRPr="0034170A">
        <w:rPr>
          <w:i/>
          <w:iCs/>
          <w:sz w:val="20"/>
          <w:szCs w:val="20"/>
        </w:rPr>
        <w:t>Giardia lamblia</w:t>
      </w:r>
      <w:r w:rsidRPr="0034170A">
        <w:rPr>
          <w:sz w:val="20"/>
          <w:szCs w:val="20"/>
        </w:rPr>
        <w:t xml:space="preserve"> and </w:t>
      </w:r>
      <w:r w:rsidRPr="0034170A">
        <w:rPr>
          <w:i/>
          <w:iCs/>
          <w:sz w:val="20"/>
          <w:szCs w:val="20"/>
        </w:rPr>
        <w:t>Entamoeba histolytica</w:t>
      </w:r>
      <w:r w:rsidRPr="0034170A">
        <w:rPr>
          <w:sz w:val="20"/>
          <w:szCs w:val="20"/>
        </w:rPr>
        <w:t xml:space="preserve">, and </w:t>
      </w:r>
      <w:r w:rsidRPr="0034170A">
        <w:rPr>
          <w:i/>
          <w:iCs/>
          <w:sz w:val="20"/>
          <w:szCs w:val="20"/>
        </w:rPr>
        <w:t>helminths</w:t>
      </w:r>
      <w:r w:rsidRPr="0034170A">
        <w:rPr>
          <w:sz w:val="20"/>
          <w:szCs w:val="20"/>
        </w:rPr>
        <w:t xml:space="preserve">, such as </w:t>
      </w:r>
      <w:r w:rsidRPr="0034170A">
        <w:rPr>
          <w:i/>
          <w:iCs/>
          <w:sz w:val="20"/>
          <w:szCs w:val="20"/>
        </w:rPr>
        <w:t>Ascaris lumbricoides</w:t>
      </w:r>
      <w:r w:rsidRPr="0034170A">
        <w:rPr>
          <w:sz w:val="20"/>
          <w:szCs w:val="20"/>
        </w:rPr>
        <w:t xml:space="preserve"> and </w:t>
      </w:r>
      <w:r w:rsidRPr="0034170A">
        <w:rPr>
          <w:i/>
          <w:iCs/>
          <w:sz w:val="20"/>
          <w:szCs w:val="20"/>
        </w:rPr>
        <w:t>Enterobius vermicularis</w:t>
      </w:r>
      <w:r w:rsidRPr="0034170A">
        <w:rPr>
          <w:sz w:val="20"/>
          <w:szCs w:val="20"/>
        </w:rPr>
        <w:t>. The stool samples are usually analyzed by direct examination or more sensitive diagnostic techniques. The collection and handling of stool samples are important to yield a valid result.</w:t>
      </w:r>
    </w:p>
    <w:p w:rsidR="002C25B5" w:rsidRPr="0034170A" w:rsidRDefault="00265A1E" w:rsidP="009A18F2">
      <w:pPr>
        <w:pStyle w:val="NormalWeb"/>
        <w:spacing w:before="0" w:beforeAutospacing="0" w:after="0" w:afterAutospacing="0"/>
        <w:ind w:firstLine="720"/>
        <w:jc w:val="both"/>
        <w:rPr>
          <w:sz w:val="20"/>
          <w:szCs w:val="20"/>
        </w:rPr>
      </w:pPr>
      <w:r w:rsidRPr="0034170A">
        <w:rPr>
          <w:sz w:val="20"/>
          <w:szCs w:val="20"/>
          <w:lang w:val="en-US"/>
        </w:rPr>
        <w:t>Three samples are to be collected for better results and are recommended at an interval of two to three days</w:t>
      </w:r>
      <w:r w:rsidR="00161DEE" w:rsidRPr="0034170A">
        <w:rPr>
          <w:sz w:val="20"/>
          <w:szCs w:val="20"/>
        </w:rPr>
        <w:t xml:space="preserve">. </w:t>
      </w:r>
      <w:r w:rsidR="002C25B5" w:rsidRPr="0034170A">
        <w:rPr>
          <w:sz w:val="20"/>
          <w:szCs w:val="20"/>
        </w:rPr>
        <w:t xml:space="preserve">This is because intestinal parasites are often shed intermittently in the stool, and a single sample may miss the parasite. Patients should be provided with a wide-necked, sterile container to collect their sample, and they must avoid contamination of the sample with toilet water or soil. In cases where entire worms or worm segments are passed, these should be collected in tap water and sent to the laboratory without </w:t>
      </w:r>
      <w:r w:rsidR="00161DEE" w:rsidRPr="0034170A">
        <w:rPr>
          <w:sz w:val="20"/>
          <w:szCs w:val="20"/>
        </w:rPr>
        <w:t>preservatives.</w:t>
      </w:r>
    </w:p>
    <w:p w:rsidR="002C25B5" w:rsidRPr="0034170A" w:rsidRDefault="002C25B5" w:rsidP="009A18F2">
      <w:pPr>
        <w:pStyle w:val="NormalWeb"/>
        <w:spacing w:before="0" w:beforeAutospacing="0" w:after="0" w:afterAutospacing="0"/>
        <w:ind w:firstLine="720"/>
        <w:jc w:val="both"/>
        <w:rPr>
          <w:sz w:val="20"/>
          <w:szCs w:val="20"/>
        </w:rPr>
      </w:pPr>
      <w:r w:rsidRPr="0034170A">
        <w:rPr>
          <w:sz w:val="20"/>
          <w:szCs w:val="20"/>
        </w:rPr>
        <w:t xml:space="preserve">The stool sample must be of sufficient size—typically about the size of a walnut for formed stool or 5 to 6 teaspoons for liquid </w:t>
      </w:r>
      <w:r w:rsidR="00161DEE" w:rsidRPr="0034170A">
        <w:rPr>
          <w:sz w:val="20"/>
          <w:szCs w:val="20"/>
        </w:rPr>
        <w:t xml:space="preserve">stool. </w:t>
      </w:r>
      <w:r w:rsidRPr="0034170A">
        <w:rPr>
          <w:sz w:val="20"/>
          <w:szCs w:val="20"/>
        </w:rPr>
        <w:t>If the transport time to the laboratory is expected to exceed 24 hours, formed stool can generally be stored at refrigerator temperatures to preserve the sample. For liquid stool, prompt analysis is essential, or the sample should be immediately preserved with a fixative solution such as formalin (5–10%) or sodium acetate-acetic acid-formaldehyde (SAF</w:t>
      </w:r>
      <w:r w:rsidR="00161DEE" w:rsidRPr="0034170A">
        <w:rPr>
          <w:sz w:val="20"/>
          <w:szCs w:val="20"/>
        </w:rPr>
        <w:t xml:space="preserve">). </w:t>
      </w:r>
      <w:r w:rsidRPr="0034170A">
        <w:rPr>
          <w:sz w:val="20"/>
          <w:szCs w:val="20"/>
        </w:rPr>
        <w:t xml:space="preserve">It is important to avoid freezing stool samples, as this can destroy parasite structures, making microscopic analysis </w:t>
      </w:r>
      <w:r w:rsidR="00161DEE" w:rsidRPr="0034170A">
        <w:rPr>
          <w:sz w:val="20"/>
          <w:szCs w:val="20"/>
        </w:rPr>
        <w:t>impossible.</w:t>
      </w:r>
    </w:p>
    <w:p w:rsidR="002C25B5" w:rsidRPr="0034170A" w:rsidRDefault="002C25B5" w:rsidP="009A18F2">
      <w:pPr>
        <w:pStyle w:val="NormalWeb"/>
        <w:spacing w:before="0" w:beforeAutospacing="0" w:after="0" w:afterAutospacing="0"/>
        <w:ind w:firstLine="720"/>
        <w:jc w:val="both"/>
        <w:rPr>
          <w:sz w:val="20"/>
          <w:szCs w:val="20"/>
        </w:rPr>
      </w:pPr>
      <w:r w:rsidRPr="0034170A">
        <w:rPr>
          <w:sz w:val="20"/>
          <w:szCs w:val="20"/>
        </w:rPr>
        <w:t xml:space="preserve">Fixatives are particularly useful for preserving the morphology of trophozoites and cysts in liquid stool. However, the choice of fixative can influence the staining properties of the sample, as well as the detection of certain </w:t>
      </w:r>
      <w:r w:rsidR="00161DEE" w:rsidRPr="0034170A">
        <w:rPr>
          <w:sz w:val="20"/>
          <w:szCs w:val="20"/>
        </w:rPr>
        <w:t xml:space="preserve">antigens. </w:t>
      </w:r>
      <w:r w:rsidRPr="0034170A">
        <w:rPr>
          <w:sz w:val="20"/>
          <w:szCs w:val="20"/>
        </w:rPr>
        <w:t xml:space="preserve">For instance, formalin preserves helminth eggs and protozoan cysts well, while SAF is effective for preserving both trophozoites and cysts for later staining and antigen </w:t>
      </w:r>
      <w:r w:rsidR="00161DEE" w:rsidRPr="0034170A">
        <w:rPr>
          <w:sz w:val="20"/>
          <w:szCs w:val="20"/>
        </w:rPr>
        <w:t>detection.</w:t>
      </w:r>
    </w:p>
    <w:p w:rsidR="002C25B5" w:rsidRPr="0034170A" w:rsidRDefault="002C25B5" w:rsidP="009A18F2">
      <w:pPr>
        <w:pStyle w:val="Heading3"/>
        <w:numPr>
          <w:ilvl w:val="2"/>
          <w:numId w:val="8"/>
        </w:numPr>
        <w:spacing w:before="0"/>
        <w:rPr>
          <w:rFonts w:ascii="Times New Roman" w:hAnsi="Times New Roman" w:cs="Times New Roman"/>
          <w:sz w:val="20"/>
          <w:szCs w:val="20"/>
        </w:rPr>
      </w:pPr>
      <w:r w:rsidRPr="0034170A">
        <w:rPr>
          <w:rFonts w:ascii="Times New Roman" w:hAnsi="Times New Roman" w:cs="Times New Roman"/>
          <w:sz w:val="20"/>
          <w:szCs w:val="20"/>
        </w:rPr>
        <w:lastRenderedPageBreak/>
        <w:t>Blood Sample</w:t>
      </w:r>
    </w:p>
    <w:p w:rsidR="002C25B5" w:rsidRPr="0034170A" w:rsidRDefault="002C25B5" w:rsidP="009A18F2">
      <w:pPr>
        <w:pStyle w:val="NormalWeb"/>
        <w:spacing w:before="0" w:beforeAutospacing="0" w:after="0" w:afterAutospacing="0"/>
        <w:ind w:firstLine="720"/>
        <w:jc w:val="both"/>
        <w:rPr>
          <w:sz w:val="20"/>
          <w:szCs w:val="20"/>
        </w:rPr>
      </w:pPr>
      <w:r w:rsidRPr="0034170A">
        <w:rPr>
          <w:sz w:val="20"/>
          <w:szCs w:val="20"/>
        </w:rPr>
        <w:t xml:space="preserve">Blood samples are necessary for diagnosing bloodborne parasites such as </w:t>
      </w:r>
      <w:r w:rsidRPr="0034170A">
        <w:rPr>
          <w:i/>
          <w:iCs/>
          <w:sz w:val="20"/>
          <w:szCs w:val="20"/>
        </w:rPr>
        <w:t>Plasmodium</w:t>
      </w:r>
      <w:r w:rsidRPr="0034170A">
        <w:rPr>
          <w:sz w:val="20"/>
          <w:szCs w:val="20"/>
        </w:rPr>
        <w:t xml:space="preserve"> (malaria), </w:t>
      </w:r>
      <w:r w:rsidRPr="0034170A">
        <w:rPr>
          <w:i/>
          <w:iCs/>
          <w:sz w:val="20"/>
          <w:szCs w:val="20"/>
        </w:rPr>
        <w:t>Trypanosoma</w:t>
      </w:r>
      <w:r w:rsidRPr="0034170A">
        <w:rPr>
          <w:sz w:val="20"/>
          <w:szCs w:val="20"/>
        </w:rPr>
        <w:t xml:space="preserve"> (sleeping sickness), </w:t>
      </w:r>
      <w:r w:rsidRPr="0034170A">
        <w:rPr>
          <w:i/>
          <w:iCs/>
          <w:sz w:val="20"/>
          <w:szCs w:val="20"/>
        </w:rPr>
        <w:t>Leishmania</w:t>
      </w:r>
      <w:r w:rsidRPr="0034170A">
        <w:rPr>
          <w:sz w:val="20"/>
          <w:szCs w:val="20"/>
        </w:rPr>
        <w:t xml:space="preserve">, and </w:t>
      </w:r>
      <w:r w:rsidRPr="0034170A">
        <w:rPr>
          <w:i/>
          <w:iCs/>
          <w:sz w:val="20"/>
          <w:szCs w:val="20"/>
        </w:rPr>
        <w:t>Babesia</w:t>
      </w:r>
      <w:r w:rsidRPr="0034170A">
        <w:rPr>
          <w:sz w:val="20"/>
          <w:szCs w:val="20"/>
        </w:rPr>
        <w:t xml:space="preserve">. Whole blood, serum, or plasma can be used depending on the specific diagnostic method employed. For most analyses, serum is preferred, and samples should be transported rapidly without </w:t>
      </w:r>
      <w:r w:rsidR="00161DEE" w:rsidRPr="0034170A">
        <w:rPr>
          <w:sz w:val="20"/>
          <w:szCs w:val="20"/>
        </w:rPr>
        <w:t>refrigeration.</w:t>
      </w:r>
    </w:p>
    <w:p w:rsidR="002C25B5" w:rsidRPr="0034170A" w:rsidRDefault="002C25B5" w:rsidP="009A18F2">
      <w:pPr>
        <w:pStyle w:val="NormalWeb"/>
        <w:spacing w:before="0" w:beforeAutospacing="0" w:after="0" w:afterAutospacing="0"/>
        <w:ind w:firstLine="720"/>
        <w:jc w:val="both"/>
        <w:rPr>
          <w:sz w:val="20"/>
          <w:szCs w:val="20"/>
        </w:rPr>
      </w:pPr>
      <w:r w:rsidRPr="0034170A">
        <w:rPr>
          <w:sz w:val="20"/>
          <w:szCs w:val="20"/>
        </w:rPr>
        <w:t xml:space="preserve">Microscopic examination of blood smears, particularly thick and thin smears, remains the gold standard for diagnosing </w:t>
      </w:r>
      <w:r w:rsidR="00161DEE" w:rsidRPr="0034170A">
        <w:rPr>
          <w:sz w:val="20"/>
          <w:szCs w:val="20"/>
        </w:rPr>
        <w:t xml:space="preserve">malaria. </w:t>
      </w:r>
      <w:r w:rsidRPr="0034170A">
        <w:rPr>
          <w:sz w:val="20"/>
          <w:szCs w:val="20"/>
        </w:rPr>
        <w:t xml:space="preserve">In thick smears, red blood cells are lysed, concentrating the parasites and making detection easier, while thin smears allow for species identification based on parasite </w:t>
      </w:r>
      <w:r w:rsidR="00161DEE" w:rsidRPr="0034170A">
        <w:rPr>
          <w:sz w:val="20"/>
          <w:szCs w:val="20"/>
        </w:rPr>
        <w:t xml:space="preserve">morphology. </w:t>
      </w:r>
      <w:r w:rsidRPr="0034170A">
        <w:rPr>
          <w:sz w:val="20"/>
          <w:szCs w:val="20"/>
        </w:rPr>
        <w:t xml:space="preserve">To ensure the accuracy of blood smear analysis, blood samples must be collected in EDTA tubes to prevent clotting and prepared within an hour of collection. Delays or improper handling can lead to degradation of parasite morphology, compromising the </w:t>
      </w:r>
      <w:r w:rsidR="00161DEE" w:rsidRPr="0034170A">
        <w:rPr>
          <w:sz w:val="20"/>
          <w:szCs w:val="20"/>
        </w:rPr>
        <w:t>diagnosis.</w:t>
      </w:r>
    </w:p>
    <w:p w:rsidR="002C25B5" w:rsidRPr="0034170A" w:rsidRDefault="002C25B5" w:rsidP="009A18F2">
      <w:pPr>
        <w:pStyle w:val="NormalWeb"/>
        <w:spacing w:before="0" w:beforeAutospacing="0" w:after="0" w:afterAutospacing="0"/>
        <w:ind w:firstLine="720"/>
        <w:jc w:val="both"/>
        <w:rPr>
          <w:sz w:val="20"/>
          <w:szCs w:val="20"/>
        </w:rPr>
      </w:pPr>
      <w:r w:rsidRPr="0034170A">
        <w:rPr>
          <w:sz w:val="20"/>
          <w:szCs w:val="20"/>
        </w:rPr>
        <w:t xml:space="preserve">In cases of suspected leishmaniasis, where </w:t>
      </w:r>
      <w:r w:rsidRPr="0034170A">
        <w:rPr>
          <w:i/>
          <w:iCs/>
          <w:sz w:val="20"/>
          <w:szCs w:val="20"/>
        </w:rPr>
        <w:t>Leishmania</w:t>
      </w:r>
      <w:r w:rsidRPr="0034170A">
        <w:rPr>
          <w:sz w:val="20"/>
          <w:szCs w:val="20"/>
        </w:rPr>
        <w:t xml:space="preserve"> parasites reside in macrophages of reticuloendothelial tissues, blood smears or bone marrow aspirates are often necessary. PCR-based methods are highly sensitive and specific for detecting low-level parasitemia in blood samples, especially in cases of </w:t>
      </w:r>
      <w:r w:rsidRPr="0034170A">
        <w:rPr>
          <w:i/>
          <w:iCs/>
          <w:sz w:val="20"/>
          <w:szCs w:val="20"/>
        </w:rPr>
        <w:t>Leishmania</w:t>
      </w:r>
      <w:r w:rsidRPr="0034170A">
        <w:rPr>
          <w:sz w:val="20"/>
          <w:szCs w:val="20"/>
        </w:rPr>
        <w:t xml:space="preserve"> or </w:t>
      </w:r>
      <w:r w:rsidRPr="0034170A">
        <w:rPr>
          <w:i/>
          <w:iCs/>
          <w:sz w:val="20"/>
          <w:szCs w:val="20"/>
        </w:rPr>
        <w:t>Trypanosoma</w:t>
      </w:r>
      <w:r w:rsidRPr="0034170A">
        <w:rPr>
          <w:sz w:val="20"/>
          <w:szCs w:val="20"/>
        </w:rPr>
        <w:t xml:space="preserve"> infections where parasite density may be </w:t>
      </w:r>
      <w:r w:rsidR="00161DEE" w:rsidRPr="0034170A">
        <w:rPr>
          <w:sz w:val="20"/>
          <w:szCs w:val="20"/>
        </w:rPr>
        <w:t>low.</w:t>
      </w:r>
    </w:p>
    <w:p w:rsidR="002C25B5" w:rsidRPr="0034170A" w:rsidRDefault="002C25B5" w:rsidP="009A18F2">
      <w:pPr>
        <w:pStyle w:val="Heading3"/>
        <w:numPr>
          <w:ilvl w:val="2"/>
          <w:numId w:val="8"/>
        </w:numPr>
        <w:spacing w:before="0"/>
        <w:rPr>
          <w:rFonts w:ascii="Times New Roman" w:hAnsi="Times New Roman" w:cs="Times New Roman"/>
          <w:sz w:val="20"/>
          <w:szCs w:val="20"/>
        </w:rPr>
      </w:pPr>
      <w:r w:rsidRPr="0034170A">
        <w:rPr>
          <w:rFonts w:ascii="Times New Roman" w:hAnsi="Times New Roman" w:cs="Times New Roman"/>
          <w:sz w:val="20"/>
          <w:szCs w:val="20"/>
        </w:rPr>
        <w:t>Diagnostic Methods Overview</w:t>
      </w:r>
    </w:p>
    <w:p w:rsidR="002C25B5" w:rsidRPr="0034170A" w:rsidRDefault="002C25B5" w:rsidP="009A18F2">
      <w:pPr>
        <w:pStyle w:val="NormalWeb"/>
        <w:spacing w:before="0" w:beforeAutospacing="0" w:after="0" w:afterAutospacing="0"/>
        <w:ind w:firstLine="720"/>
        <w:jc w:val="both"/>
        <w:rPr>
          <w:sz w:val="20"/>
          <w:szCs w:val="20"/>
        </w:rPr>
      </w:pPr>
      <w:r w:rsidRPr="0034170A">
        <w:rPr>
          <w:sz w:val="20"/>
          <w:szCs w:val="20"/>
        </w:rPr>
        <w:t>The choice of diagnostic method depends on the parasite species, the site of infection, and the stage of the parasite’s life cycle. Parasitic infections are typically diagnosed using a combination of direct and indirect methods. Direct methods involve the visualization or detection of the parasite itself, while indirect methods detect the host’s immune response to the infection.</w:t>
      </w:r>
    </w:p>
    <w:p w:rsidR="002C25B5" w:rsidRPr="0034170A" w:rsidRDefault="002C25B5" w:rsidP="009A18F2">
      <w:pPr>
        <w:pStyle w:val="NormalWeb"/>
        <w:numPr>
          <w:ilvl w:val="0"/>
          <w:numId w:val="7"/>
        </w:numPr>
        <w:spacing w:before="0" w:beforeAutospacing="0" w:after="0" w:afterAutospacing="0"/>
        <w:jc w:val="both"/>
        <w:rPr>
          <w:sz w:val="20"/>
          <w:szCs w:val="20"/>
        </w:rPr>
      </w:pPr>
      <w:r w:rsidRPr="0034170A">
        <w:rPr>
          <w:b/>
          <w:bCs/>
          <w:sz w:val="20"/>
          <w:szCs w:val="20"/>
        </w:rPr>
        <w:t>Microscopy</w:t>
      </w:r>
      <w:r w:rsidRPr="0034170A">
        <w:rPr>
          <w:sz w:val="20"/>
          <w:szCs w:val="20"/>
        </w:rPr>
        <w:t xml:space="preserve">: </w:t>
      </w:r>
      <w:r w:rsidR="00265A1E" w:rsidRPr="0034170A">
        <w:rPr>
          <w:sz w:val="20"/>
          <w:szCs w:val="20"/>
        </w:rPr>
        <w:t>Microscopy is used more than any other technique in most endemic areas for the diagnosis of parasitic infections especially in resource-limited settings. Stool microscopy identifies protozoan cysts, trophozoites, and helminth eggs in stool. Meanwhile, most bloodborne parasites are identified by blood smears. But most importantly, microscopy has high dependence on skill, and it's not sensitive when the density of parasites is low. Concentration techniques such as sedimentation and flotation may increase the chances of observation of parasites in stool samples</w:t>
      </w:r>
      <w:r w:rsidR="00161DEE" w:rsidRPr="0034170A">
        <w:rPr>
          <w:sz w:val="20"/>
          <w:szCs w:val="20"/>
        </w:rPr>
        <w:t>.</w:t>
      </w:r>
    </w:p>
    <w:p w:rsidR="002C25B5" w:rsidRPr="0034170A" w:rsidRDefault="002C25B5" w:rsidP="009A18F2">
      <w:pPr>
        <w:pStyle w:val="NormalWeb"/>
        <w:numPr>
          <w:ilvl w:val="0"/>
          <w:numId w:val="7"/>
        </w:numPr>
        <w:spacing w:before="0" w:beforeAutospacing="0" w:after="0" w:afterAutospacing="0"/>
        <w:jc w:val="both"/>
        <w:rPr>
          <w:sz w:val="20"/>
          <w:szCs w:val="20"/>
        </w:rPr>
      </w:pPr>
      <w:r w:rsidRPr="0034170A">
        <w:rPr>
          <w:b/>
          <w:bCs/>
          <w:sz w:val="20"/>
          <w:szCs w:val="20"/>
        </w:rPr>
        <w:t>Antigen Detection</w:t>
      </w:r>
      <w:r w:rsidRPr="0034170A">
        <w:rPr>
          <w:sz w:val="20"/>
          <w:szCs w:val="20"/>
        </w:rPr>
        <w:t xml:space="preserve">: </w:t>
      </w:r>
      <w:r w:rsidR="00295198" w:rsidRPr="0034170A">
        <w:rPr>
          <w:sz w:val="20"/>
          <w:szCs w:val="20"/>
        </w:rPr>
        <w:t>Immunoassays, namely ELISA, IIFT, and ICTs, are currently the most important methods for parasite antigen detection from clinical samples. These methods prove to be essential when microscopy has failed to show low-level infection. Antigen detection is an important tool used in diagnosing malaria, giardiasis, and amebiasis. It does not require long hours of hard work and rapid results compared to microscopy</w:t>
      </w:r>
      <w:r w:rsidR="00161DEE" w:rsidRPr="0034170A">
        <w:rPr>
          <w:sz w:val="20"/>
          <w:szCs w:val="20"/>
        </w:rPr>
        <w:t>.</w:t>
      </w:r>
    </w:p>
    <w:p w:rsidR="002C25B5" w:rsidRPr="0034170A" w:rsidRDefault="002C25B5" w:rsidP="009A18F2">
      <w:pPr>
        <w:pStyle w:val="NormalWeb"/>
        <w:numPr>
          <w:ilvl w:val="0"/>
          <w:numId w:val="7"/>
        </w:numPr>
        <w:spacing w:before="0" w:beforeAutospacing="0" w:after="0" w:afterAutospacing="0"/>
        <w:jc w:val="both"/>
        <w:rPr>
          <w:sz w:val="20"/>
          <w:szCs w:val="20"/>
        </w:rPr>
      </w:pPr>
      <w:r w:rsidRPr="0034170A">
        <w:rPr>
          <w:b/>
          <w:bCs/>
          <w:sz w:val="20"/>
          <w:szCs w:val="20"/>
        </w:rPr>
        <w:t>Molecular Methods</w:t>
      </w:r>
      <w:r w:rsidRPr="0034170A">
        <w:rPr>
          <w:sz w:val="20"/>
          <w:szCs w:val="20"/>
        </w:rPr>
        <w:t xml:space="preserve">: </w:t>
      </w:r>
      <w:r w:rsidR="00295198" w:rsidRPr="0034170A">
        <w:rPr>
          <w:sz w:val="20"/>
          <w:szCs w:val="20"/>
        </w:rPr>
        <w:t xml:space="preserve">Molecular diagnostics, especially polymerase chain reaction, have changed the face of parasitology since they are more sensitive and specific in the detection of parasitic DNA or RNA. It has a significant importance in the conditions where the parasitic load is low and when differentiation is required among different species, especially in distinguishing </w:t>
      </w:r>
      <w:r w:rsidR="00295198" w:rsidRPr="0034170A">
        <w:rPr>
          <w:i/>
          <w:iCs/>
          <w:sz w:val="20"/>
          <w:szCs w:val="20"/>
        </w:rPr>
        <w:t>E. histolytica</w:t>
      </w:r>
      <w:r w:rsidR="00295198" w:rsidRPr="0034170A">
        <w:rPr>
          <w:sz w:val="20"/>
          <w:szCs w:val="20"/>
        </w:rPr>
        <w:t xml:space="preserve"> from </w:t>
      </w:r>
      <w:r w:rsidR="00295198" w:rsidRPr="0034170A">
        <w:rPr>
          <w:i/>
          <w:iCs/>
          <w:sz w:val="20"/>
          <w:szCs w:val="20"/>
        </w:rPr>
        <w:t>E. dispar</w:t>
      </w:r>
      <w:r w:rsidR="00295198" w:rsidRPr="0034170A">
        <w:rPr>
          <w:sz w:val="20"/>
          <w:szCs w:val="20"/>
        </w:rPr>
        <w:t>, the non-pathogenic species. PCR is also used to detect parasitic infections through tissue samples or body fluids. Such body fluids could include cerebrospinal fluid for cases of neurocysticercosis.</w:t>
      </w:r>
      <w:r w:rsidRPr="0034170A">
        <w:rPr>
          <w:sz w:val="20"/>
          <w:szCs w:val="20"/>
        </w:rPr>
        <w:t>​.</w:t>
      </w:r>
    </w:p>
    <w:p w:rsidR="002C25B5" w:rsidRPr="0034170A" w:rsidRDefault="002C25B5" w:rsidP="009A18F2">
      <w:pPr>
        <w:pStyle w:val="NormalWeb"/>
        <w:numPr>
          <w:ilvl w:val="0"/>
          <w:numId w:val="7"/>
        </w:numPr>
        <w:spacing w:before="0" w:beforeAutospacing="0" w:after="0" w:afterAutospacing="0"/>
        <w:jc w:val="both"/>
        <w:rPr>
          <w:sz w:val="20"/>
          <w:szCs w:val="20"/>
        </w:rPr>
      </w:pPr>
      <w:r w:rsidRPr="0034170A">
        <w:rPr>
          <w:b/>
          <w:bCs/>
          <w:sz w:val="20"/>
          <w:szCs w:val="20"/>
        </w:rPr>
        <w:t>Serology</w:t>
      </w:r>
      <w:r w:rsidRPr="0034170A">
        <w:rPr>
          <w:sz w:val="20"/>
          <w:szCs w:val="20"/>
        </w:rPr>
        <w:t xml:space="preserve">: </w:t>
      </w:r>
      <w:r w:rsidR="00295198" w:rsidRPr="0034170A">
        <w:rPr>
          <w:sz w:val="20"/>
          <w:szCs w:val="20"/>
        </w:rPr>
        <w:t xml:space="preserve">Serological tests detect the presence of host-produced antibodies resulting from parasitic infection. Serology is a method used to identify infections in which direct detection of the parasite may not be possible. It is applicable for infections due to </w:t>
      </w:r>
      <w:r w:rsidR="00295198" w:rsidRPr="0034170A">
        <w:rPr>
          <w:i/>
          <w:iCs/>
          <w:sz w:val="20"/>
          <w:szCs w:val="20"/>
        </w:rPr>
        <w:t>Toxoplasma gondii</w:t>
      </w:r>
      <w:r w:rsidR="00295198" w:rsidRPr="0034170A">
        <w:rPr>
          <w:sz w:val="20"/>
          <w:szCs w:val="20"/>
        </w:rPr>
        <w:t xml:space="preserve"> or </w:t>
      </w:r>
      <w:r w:rsidR="00295198" w:rsidRPr="0034170A">
        <w:rPr>
          <w:i/>
          <w:iCs/>
          <w:sz w:val="20"/>
          <w:szCs w:val="20"/>
        </w:rPr>
        <w:t>Echinococcus</w:t>
      </w:r>
      <w:r w:rsidR="00295198" w:rsidRPr="0034170A">
        <w:rPr>
          <w:sz w:val="20"/>
          <w:szCs w:val="20"/>
        </w:rPr>
        <w:t>, but the existence of antibodies is not always directly proportional to an active infection. Sometimes, antibodies are seen even after many years of successful eradication of the infection, so serology must be taken in conjunction with clinical findings</w:t>
      </w:r>
      <w:r w:rsidR="00161DEE" w:rsidRPr="0034170A">
        <w:rPr>
          <w:sz w:val="20"/>
          <w:szCs w:val="20"/>
        </w:rPr>
        <w:t>.</w:t>
      </w:r>
    </w:p>
    <w:p w:rsidR="00231700" w:rsidRPr="0034170A" w:rsidRDefault="00295198" w:rsidP="009A18F2">
      <w:pPr>
        <w:pStyle w:val="NormalWeb"/>
        <w:spacing w:before="0" w:beforeAutospacing="0" w:after="0" w:afterAutospacing="0"/>
        <w:jc w:val="both"/>
        <w:rPr>
          <w:sz w:val="20"/>
          <w:szCs w:val="20"/>
        </w:rPr>
      </w:pPr>
      <w:r w:rsidRPr="0034170A">
        <w:rPr>
          <w:sz w:val="20"/>
          <w:szCs w:val="20"/>
        </w:rPr>
        <w:t>The selection of appropriate diagnostic techniques and proper sample collection and handling helps healthcare providers attain a higher sensitivity in the parasitic infection diagnoses. Each test has its unique strengths and weaknesses, and therefore, most are used in multiple combinations to assure the diagnosis or guide treatment</w:t>
      </w:r>
      <w:r w:rsidR="00161DEE" w:rsidRPr="0034170A">
        <w:rPr>
          <w:sz w:val="20"/>
          <w:szCs w:val="20"/>
        </w:rPr>
        <w:t>.</w:t>
      </w:r>
    </w:p>
    <w:p w:rsidR="00231700" w:rsidRPr="0034170A" w:rsidRDefault="00231700" w:rsidP="009A18F2">
      <w:pPr>
        <w:pStyle w:val="Heading3"/>
        <w:numPr>
          <w:ilvl w:val="1"/>
          <w:numId w:val="8"/>
        </w:numPr>
        <w:spacing w:before="0"/>
        <w:rPr>
          <w:rFonts w:ascii="Times New Roman" w:hAnsi="Times New Roman" w:cs="Times New Roman"/>
          <w:sz w:val="20"/>
          <w:szCs w:val="20"/>
        </w:rPr>
      </w:pPr>
      <w:r w:rsidRPr="0034170A">
        <w:rPr>
          <w:rStyle w:val="Strong"/>
          <w:rFonts w:ascii="Times New Roman" w:hAnsi="Times New Roman" w:cs="Times New Roman"/>
          <w:b/>
          <w:bCs/>
          <w:sz w:val="20"/>
          <w:szCs w:val="20"/>
        </w:rPr>
        <w:t>Intestinal Protozoan Infections</w:t>
      </w:r>
    </w:p>
    <w:p w:rsidR="00295198" w:rsidRPr="0034170A" w:rsidRDefault="00295198" w:rsidP="009A18F2">
      <w:pPr>
        <w:pStyle w:val="NormalWeb"/>
        <w:spacing w:before="0" w:beforeAutospacing="0" w:after="0" w:afterAutospacing="0"/>
        <w:ind w:firstLine="720"/>
        <w:jc w:val="both"/>
        <w:rPr>
          <w:sz w:val="20"/>
          <w:szCs w:val="20"/>
        </w:rPr>
      </w:pPr>
      <w:r w:rsidRPr="0034170A">
        <w:rPr>
          <w:sz w:val="20"/>
          <w:szCs w:val="20"/>
        </w:rPr>
        <w:t xml:space="preserve">Intestinal protozoan infections form one of the world's most frequently occurring parasitic diseases, affecting hundreds of millions in developing countries particularly where sanitation systems are poor or clean water in short supply. Protozoa include single-celled eukaryotic organisms with a wide and varied range of symptoms from merely mild diarrhea, through severe cases of dysentery and up to malabsorption syndromes. Protozoan pathogens are common, which include </w:t>
      </w:r>
      <w:r w:rsidRPr="0034170A">
        <w:rPr>
          <w:i/>
          <w:iCs/>
          <w:sz w:val="20"/>
          <w:szCs w:val="20"/>
        </w:rPr>
        <w:t>Entamoeba histolytica</w:t>
      </w:r>
      <w:r w:rsidRPr="0034170A">
        <w:rPr>
          <w:sz w:val="20"/>
          <w:szCs w:val="20"/>
        </w:rPr>
        <w:t xml:space="preserve">, </w:t>
      </w:r>
      <w:r w:rsidRPr="0034170A">
        <w:rPr>
          <w:i/>
          <w:iCs/>
          <w:sz w:val="20"/>
          <w:szCs w:val="20"/>
        </w:rPr>
        <w:t>Giardia lamblia</w:t>
      </w:r>
      <w:r w:rsidRPr="0034170A">
        <w:rPr>
          <w:sz w:val="20"/>
          <w:szCs w:val="20"/>
        </w:rPr>
        <w:t xml:space="preserve">, which is also called </w:t>
      </w:r>
      <w:r w:rsidRPr="0034170A">
        <w:rPr>
          <w:i/>
          <w:iCs/>
          <w:sz w:val="20"/>
          <w:szCs w:val="20"/>
        </w:rPr>
        <w:t>Giardia intestinalis</w:t>
      </w:r>
      <w:r w:rsidRPr="0034170A">
        <w:rPr>
          <w:sz w:val="20"/>
          <w:szCs w:val="20"/>
        </w:rPr>
        <w:t xml:space="preserve">, and </w:t>
      </w:r>
      <w:r w:rsidRPr="0034170A">
        <w:rPr>
          <w:i/>
          <w:iCs/>
          <w:sz w:val="20"/>
          <w:szCs w:val="20"/>
        </w:rPr>
        <w:t>Cryptosporidium parvum</w:t>
      </w:r>
      <w:r w:rsidRPr="0034170A">
        <w:rPr>
          <w:sz w:val="20"/>
          <w:szCs w:val="20"/>
        </w:rPr>
        <w:t xml:space="preserve">. These are usually transmitted via the fecal-oral route, either contaminated water, food, or direct contact with an infected person. </w:t>
      </w:r>
    </w:p>
    <w:p w:rsidR="00231700" w:rsidRPr="0034170A" w:rsidRDefault="00295198" w:rsidP="009A18F2">
      <w:pPr>
        <w:pStyle w:val="NormalWeb"/>
        <w:spacing w:before="0" w:beforeAutospacing="0" w:after="0" w:afterAutospacing="0"/>
        <w:ind w:firstLine="720"/>
        <w:jc w:val="both"/>
        <w:rPr>
          <w:sz w:val="20"/>
          <w:szCs w:val="20"/>
        </w:rPr>
      </w:pPr>
      <w:r w:rsidRPr="0034170A">
        <w:rPr>
          <w:sz w:val="20"/>
          <w:szCs w:val="20"/>
        </w:rPr>
        <w:t>The diagnosis of intestinal protozoal infections depends mainly on the clinical presentation, patient history, especially of recent travel to endemic regions, and proper laboratory tests. Laboratory diagnostic approaches vary for different species, stages of infections, and sometimes availability of equipment in the hospital setting</w:t>
      </w:r>
      <w:r w:rsidR="00231700" w:rsidRPr="0034170A">
        <w:rPr>
          <w:sz w:val="20"/>
          <w:szCs w:val="20"/>
        </w:rPr>
        <w:t>.</w:t>
      </w:r>
    </w:p>
    <w:p w:rsidR="00231700" w:rsidRPr="0034170A" w:rsidRDefault="00231700" w:rsidP="009A18F2">
      <w:pPr>
        <w:pStyle w:val="Heading4"/>
        <w:numPr>
          <w:ilvl w:val="2"/>
          <w:numId w:val="8"/>
        </w:numPr>
        <w:spacing w:before="0"/>
        <w:rPr>
          <w:rFonts w:ascii="Times New Roman" w:hAnsi="Times New Roman" w:cs="Times New Roman"/>
          <w:i w:val="0"/>
          <w:iCs w:val="0"/>
          <w:sz w:val="20"/>
          <w:szCs w:val="20"/>
        </w:rPr>
      </w:pPr>
      <w:r w:rsidRPr="0034170A">
        <w:rPr>
          <w:rStyle w:val="Strong"/>
          <w:rFonts w:ascii="Times New Roman" w:hAnsi="Times New Roman" w:cs="Times New Roman"/>
          <w:b/>
          <w:bCs/>
          <w:i w:val="0"/>
          <w:iCs w:val="0"/>
          <w:sz w:val="20"/>
          <w:szCs w:val="20"/>
        </w:rPr>
        <w:t>Amebiasis</w:t>
      </w:r>
    </w:p>
    <w:p w:rsidR="00231700" w:rsidRPr="0034170A" w:rsidRDefault="00231700" w:rsidP="009A18F2">
      <w:pPr>
        <w:pStyle w:val="NormalWeb"/>
        <w:spacing w:before="0" w:beforeAutospacing="0" w:after="0" w:afterAutospacing="0"/>
        <w:ind w:firstLine="720"/>
        <w:jc w:val="both"/>
        <w:rPr>
          <w:sz w:val="20"/>
          <w:szCs w:val="20"/>
        </w:rPr>
      </w:pPr>
      <w:r w:rsidRPr="0034170A">
        <w:rPr>
          <w:sz w:val="20"/>
          <w:szCs w:val="20"/>
        </w:rPr>
        <w:t xml:space="preserve">Amebiasis is caused by the protozoan </w:t>
      </w:r>
      <w:r w:rsidRPr="0034170A">
        <w:rPr>
          <w:rStyle w:val="Emphasis"/>
          <w:sz w:val="20"/>
          <w:szCs w:val="20"/>
        </w:rPr>
        <w:t>Entamoeba histolytica</w:t>
      </w:r>
      <w:r w:rsidRPr="0034170A">
        <w:rPr>
          <w:sz w:val="20"/>
          <w:szCs w:val="20"/>
        </w:rPr>
        <w:t xml:space="preserve">, which is primarily transmitted through the ingestion of cysts found in contaminated water or food. The disease is endemic in tropical and subtropical regions </w:t>
      </w:r>
      <w:r w:rsidRPr="0034170A">
        <w:rPr>
          <w:sz w:val="20"/>
          <w:szCs w:val="20"/>
        </w:rPr>
        <w:lastRenderedPageBreak/>
        <w:t xml:space="preserve">but is also seen in travelers returning from these areas. Although </w:t>
      </w:r>
      <w:r w:rsidRPr="0034170A">
        <w:rPr>
          <w:rStyle w:val="Emphasis"/>
          <w:sz w:val="20"/>
          <w:szCs w:val="20"/>
        </w:rPr>
        <w:t>E. histolytica</w:t>
      </w:r>
      <w:r w:rsidRPr="0034170A">
        <w:rPr>
          <w:sz w:val="20"/>
          <w:szCs w:val="20"/>
        </w:rPr>
        <w:t xml:space="preserve"> is the primary pathogenic species, other non-pathogenic species, such as </w:t>
      </w:r>
      <w:r w:rsidRPr="0034170A">
        <w:rPr>
          <w:rStyle w:val="Emphasis"/>
          <w:sz w:val="20"/>
          <w:szCs w:val="20"/>
        </w:rPr>
        <w:t>Entamoeba dispar</w:t>
      </w:r>
      <w:r w:rsidRPr="0034170A">
        <w:rPr>
          <w:sz w:val="20"/>
          <w:szCs w:val="20"/>
        </w:rPr>
        <w:t xml:space="preserve"> and </w:t>
      </w:r>
      <w:r w:rsidRPr="0034170A">
        <w:rPr>
          <w:rStyle w:val="Emphasis"/>
          <w:sz w:val="20"/>
          <w:szCs w:val="20"/>
        </w:rPr>
        <w:t>Entamoeba moshkovskii</w:t>
      </w:r>
      <w:r w:rsidRPr="0034170A">
        <w:rPr>
          <w:sz w:val="20"/>
          <w:szCs w:val="20"/>
        </w:rPr>
        <w:t xml:space="preserve">, are frequently encountered in stool samples and must be differentiated from </w:t>
      </w:r>
      <w:r w:rsidRPr="0034170A">
        <w:rPr>
          <w:rStyle w:val="Emphasis"/>
          <w:sz w:val="20"/>
          <w:szCs w:val="20"/>
        </w:rPr>
        <w:t>E. histolytica</w:t>
      </w:r>
      <w:r w:rsidRPr="0034170A">
        <w:rPr>
          <w:sz w:val="20"/>
          <w:szCs w:val="20"/>
        </w:rPr>
        <w:t xml:space="preserve"> due to their similar morphology.</w:t>
      </w:r>
    </w:p>
    <w:p w:rsidR="00231700" w:rsidRPr="0034170A" w:rsidRDefault="00231700" w:rsidP="009A18F2">
      <w:pPr>
        <w:pStyle w:val="NormalWeb"/>
        <w:spacing w:before="0" w:beforeAutospacing="0" w:after="0" w:afterAutospacing="0"/>
        <w:ind w:firstLine="720"/>
        <w:jc w:val="both"/>
        <w:rPr>
          <w:sz w:val="20"/>
          <w:szCs w:val="20"/>
        </w:rPr>
      </w:pPr>
      <w:r w:rsidRPr="0034170A">
        <w:rPr>
          <w:sz w:val="20"/>
          <w:szCs w:val="20"/>
        </w:rPr>
        <w:t xml:space="preserve">Once ingested, </w:t>
      </w:r>
      <w:r w:rsidRPr="0034170A">
        <w:rPr>
          <w:rStyle w:val="Emphasis"/>
          <w:sz w:val="20"/>
          <w:szCs w:val="20"/>
        </w:rPr>
        <w:t>E. histolytica</w:t>
      </w:r>
      <w:r w:rsidRPr="0034170A">
        <w:rPr>
          <w:sz w:val="20"/>
          <w:szCs w:val="20"/>
        </w:rPr>
        <w:t xml:space="preserve"> cysts pass through the stomach and excyst in the small intestine, releasing trophozoites that colonize the colon. In most cases, infections are asymptomatic, but approximately 10% of infected individuals develop invasive disease, characterized by severe colitis, dysentery, or extraintestinal manifestations such as liver abscesses. The invasive form of the disease occurs when </w:t>
      </w:r>
      <w:r w:rsidRPr="0034170A">
        <w:rPr>
          <w:rStyle w:val="Emphasis"/>
          <w:sz w:val="20"/>
          <w:szCs w:val="20"/>
        </w:rPr>
        <w:t>E. histolytica</w:t>
      </w:r>
      <w:r w:rsidRPr="0034170A">
        <w:rPr>
          <w:sz w:val="20"/>
          <w:szCs w:val="20"/>
        </w:rPr>
        <w:t xml:space="preserve"> trophozoites penetrate the colonic mucosa, causing tissue destruction, which can lead to the formation of ulcers and, in severe cases, perforation of the intestinal wall.</w:t>
      </w:r>
    </w:p>
    <w:p w:rsidR="00231700" w:rsidRPr="0034170A" w:rsidRDefault="00231700" w:rsidP="009A18F2">
      <w:pPr>
        <w:pStyle w:val="Heading5"/>
        <w:spacing w:before="0"/>
        <w:rPr>
          <w:rFonts w:ascii="Times New Roman" w:hAnsi="Times New Roman" w:cs="Times New Roman"/>
          <w:sz w:val="20"/>
          <w:szCs w:val="20"/>
        </w:rPr>
      </w:pPr>
      <w:r w:rsidRPr="0034170A">
        <w:rPr>
          <w:rStyle w:val="Strong"/>
          <w:rFonts w:ascii="Times New Roman" w:hAnsi="Times New Roman" w:cs="Times New Roman"/>
          <w:b w:val="0"/>
          <w:bCs w:val="0"/>
          <w:sz w:val="20"/>
          <w:szCs w:val="20"/>
        </w:rPr>
        <w:t>Epidemiology</w:t>
      </w:r>
    </w:p>
    <w:p w:rsidR="00231700" w:rsidRPr="0034170A" w:rsidRDefault="00231700" w:rsidP="009A18F2">
      <w:pPr>
        <w:pStyle w:val="NormalWeb"/>
        <w:spacing w:before="0" w:beforeAutospacing="0" w:after="0" w:afterAutospacing="0"/>
        <w:ind w:firstLine="720"/>
        <w:jc w:val="both"/>
        <w:rPr>
          <w:sz w:val="20"/>
          <w:szCs w:val="20"/>
        </w:rPr>
      </w:pPr>
      <w:r w:rsidRPr="0034170A">
        <w:rPr>
          <w:sz w:val="20"/>
          <w:szCs w:val="20"/>
        </w:rPr>
        <w:t xml:space="preserve">According to the World Health Organization (WHO), amebiasis affects approximately 500 million people globally, with the highest incidence rates observed in regions such as Central and South America, Africa, and South Asia. In non-endemic areas, the disease is primarily seen in individuals who have </w:t>
      </w:r>
      <w:r w:rsidR="00786A52" w:rsidRPr="0034170A">
        <w:rPr>
          <w:sz w:val="20"/>
          <w:szCs w:val="20"/>
        </w:rPr>
        <w:t>travelled</w:t>
      </w:r>
      <w:r w:rsidRPr="0034170A">
        <w:rPr>
          <w:sz w:val="20"/>
          <w:szCs w:val="20"/>
        </w:rPr>
        <w:t xml:space="preserve"> to or immigrated from endemic regions. In developed countries, outbreaks of amebiasis have occasionally been linked to contaminated water sources or poor sanitation in institutional settings, such as nursing homes.</w:t>
      </w:r>
    </w:p>
    <w:p w:rsidR="00231700" w:rsidRPr="0034170A" w:rsidRDefault="00231700" w:rsidP="009A18F2">
      <w:pPr>
        <w:pStyle w:val="Heading5"/>
        <w:spacing w:before="0"/>
        <w:rPr>
          <w:rFonts w:ascii="Times New Roman" w:hAnsi="Times New Roman" w:cs="Times New Roman"/>
          <w:sz w:val="20"/>
          <w:szCs w:val="20"/>
        </w:rPr>
      </w:pPr>
      <w:r w:rsidRPr="0034170A">
        <w:rPr>
          <w:rStyle w:val="Strong"/>
          <w:rFonts w:ascii="Times New Roman" w:hAnsi="Times New Roman" w:cs="Times New Roman"/>
          <w:b w:val="0"/>
          <w:bCs w:val="0"/>
          <w:sz w:val="20"/>
          <w:szCs w:val="20"/>
        </w:rPr>
        <w:t>Clinical Symptoms</w:t>
      </w:r>
    </w:p>
    <w:p w:rsidR="00231700" w:rsidRPr="0034170A" w:rsidRDefault="00295198" w:rsidP="009A18F2">
      <w:pPr>
        <w:pStyle w:val="NormalWeb"/>
        <w:spacing w:before="0" w:beforeAutospacing="0" w:after="0" w:afterAutospacing="0"/>
        <w:ind w:firstLine="720"/>
        <w:jc w:val="both"/>
        <w:rPr>
          <w:sz w:val="20"/>
          <w:szCs w:val="20"/>
        </w:rPr>
      </w:pPr>
      <w:r w:rsidRPr="0034170A">
        <w:rPr>
          <w:sz w:val="20"/>
          <w:szCs w:val="20"/>
        </w:rPr>
        <w:t>A very wide range of symptoms may appear, from just mild abdominal discomfort to severe dysentery. Common symptoms are abdominal pain and diarrhoea, which might be bloody and mucoid. In more aggressive cases, systemic symptoms like fever and weight loss may occur. The development of extraintestinal complications, such as an amebic liver abscess, constitutes a serious form of the disease. Symptoms of liver abscesses may include fever, right upper quadrant pain, and hepatomegaly. These abscesses may grow large in size and if left untreated can rupture, resulting in life-threatening complications.</w:t>
      </w:r>
      <w:r w:rsidR="00231700" w:rsidRPr="0034170A">
        <w:rPr>
          <w:sz w:val="20"/>
          <w:szCs w:val="20"/>
        </w:rPr>
        <w:t>.</w:t>
      </w:r>
    </w:p>
    <w:p w:rsidR="00231700" w:rsidRPr="0034170A" w:rsidRDefault="00231700" w:rsidP="009A18F2">
      <w:pPr>
        <w:pStyle w:val="Heading5"/>
        <w:spacing w:before="0"/>
        <w:rPr>
          <w:rFonts w:ascii="Times New Roman" w:hAnsi="Times New Roman" w:cs="Times New Roman"/>
          <w:sz w:val="20"/>
          <w:szCs w:val="20"/>
        </w:rPr>
      </w:pPr>
      <w:r w:rsidRPr="0034170A">
        <w:rPr>
          <w:rStyle w:val="Strong"/>
          <w:rFonts w:ascii="Times New Roman" w:hAnsi="Times New Roman" w:cs="Times New Roman"/>
          <w:b w:val="0"/>
          <w:bCs w:val="0"/>
          <w:sz w:val="20"/>
          <w:szCs w:val="20"/>
        </w:rPr>
        <w:t>Laboratory Diagnosis</w:t>
      </w:r>
    </w:p>
    <w:p w:rsidR="008353B0" w:rsidRPr="0034170A" w:rsidRDefault="008353B0" w:rsidP="009A18F2">
      <w:pPr>
        <w:pStyle w:val="NormalWeb"/>
        <w:spacing w:before="0" w:beforeAutospacing="0" w:after="0" w:afterAutospacing="0"/>
        <w:ind w:firstLine="720"/>
        <w:jc w:val="both"/>
        <w:rPr>
          <w:sz w:val="20"/>
          <w:szCs w:val="20"/>
        </w:rPr>
      </w:pPr>
      <w:r w:rsidRPr="0034170A">
        <w:rPr>
          <w:sz w:val="20"/>
          <w:szCs w:val="20"/>
        </w:rPr>
        <w:t xml:space="preserve">A combination of clinical evaluation and laboratory testing is therefore needed to make a diagnosis. While stool microscopy is the commonest method utilized, it does not have satisfactory sensitivity and specificity and cannot specifically distinguish between </w:t>
      </w:r>
      <w:r w:rsidRPr="0034170A">
        <w:rPr>
          <w:i/>
          <w:iCs/>
          <w:sz w:val="20"/>
          <w:szCs w:val="20"/>
        </w:rPr>
        <w:t>E. histolytica</w:t>
      </w:r>
      <w:r w:rsidRPr="0034170A">
        <w:rPr>
          <w:sz w:val="20"/>
          <w:szCs w:val="20"/>
        </w:rPr>
        <w:t xml:space="preserve"> and the morphologically identical </w:t>
      </w:r>
      <w:r w:rsidRPr="0034170A">
        <w:rPr>
          <w:i/>
          <w:iCs/>
          <w:sz w:val="20"/>
          <w:szCs w:val="20"/>
        </w:rPr>
        <w:t>E. dispar</w:t>
      </w:r>
      <w:r w:rsidRPr="0034170A">
        <w:rPr>
          <w:sz w:val="20"/>
          <w:szCs w:val="20"/>
        </w:rPr>
        <w:t>, which is also not pathogenic. In suspected cases of dysentery, stool samples should be collected immediately after excretion for the viability of motile trophozoites that can be observed by direct wet mounts. Concentration techniques and staining methods, such as Giemsa staining, improve the detection of cysts and trophozoites in stool samples. Antigen detection assays have become more popular because they are more sensitive and specific than microscopy.</w:t>
      </w:r>
    </w:p>
    <w:p w:rsidR="00231700" w:rsidRPr="0034170A" w:rsidRDefault="008353B0" w:rsidP="009A18F2">
      <w:pPr>
        <w:pStyle w:val="NormalWeb"/>
        <w:spacing w:before="0" w:beforeAutospacing="0" w:after="0" w:afterAutospacing="0"/>
        <w:ind w:firstLine="720"/>
        <w:jc w:val="both"/>
        <w:rPr>
          <w:sz w:val="20"/>
          <w:szCs w:val="20"/>
        </w:rPr>
      </w:pPr>
      <w:r w:rsidRPr="0034170A">
        <w:rPr>
          <w:sz w:val="20"/>
          <w:szCs w:val="20"/>
        </w:rPr>
        <w:t xml:space="preserve">These assays would be able to distinguish </w:t>
      </w:r>
      <w:r w:rsidRPr="0034170A">
        <w:rPr>
          <w:i/>
          <w:iCs/>
          <w:sz w:val="20"/>
          <w:szCs w:val="20"/>
        </w:rPr>
        <w:t>E. histolytica</w:t>
      </w:r>
      <w:r w:rsidRPr="0034170A">
        <w:rPr>
          <w:sz w:val="20"/>
          <w:szCs w:val="20"/>
        </w:rPr>
        <w:t xml:space="preserve"> from </w:t>
      </w:r>
      <w:r w:rsidRPr="0034170A">
        <w:rPr>
          <w:i/>
          <w:iCs/>
          <w:sz w:val="20"/>
          <w:szCs w:val="20"/>
        </w:rPr>
        <w:t>E. dispar</w:t>
      </w:r>
      <w:r w:rsidRPr="0034170A">
        <w:rPr>
          <w:sz w:val="20"/>
          <w:szCs w:val="20"/>
        </w:rPr>
        <w:t xml:space="preserve"> and </w:t>
      </w:r>
      <w:r w:rsidRPr="0034170A">
        <w:rPr>
          <w:i/>
          <w:iCs/>
          <w:sz w:val="20"/>
          <w:szCs w:val="20"/>
        </w:rPr>
        <w:t>E. moshkovskii</w:t>
      </w:r>
      <w:r w:rsidRPr="0034170A">
        <w:rPr>
          <w:sz w:val="20"/>
          <w:szCs w:val="20"/>
        </w:rPr>
        <w:t xml:space="preserve"> to give more sensitive results for clinicians to make further decisions. For serological studies, ELISA is one technique that can demonstrate the presence of antibodies against </w:t>
      </w:r>
      <w:r w:rsidRPr="0034170A">
        <w:rPr>
          <w:i/>
          <w:iCs/>
          <w:sz w:val="20"/>
          <w:szCs w:val="20"/>
        </w:rPr>
        <w:t>E. histolytica</w:t>
      </w:r>
      <w:r w:rsidRPr="0034170A">
        <w:rPr>
          <w:sz w:val="20"/>
          <w:szCs w:val="20"/>
        </w:rPr>
        <w:t xml:space="preserve"> in individuals with invasive illness, such as liver abscesses. On the other hand, such tests do not prove reliable differentiation between current and past infections, since antibodies can persist for months following the resolution of the infection. Molecular diagnostic methods such as PCR have emerged as the gold standard in diagnosing amebiasis, especially for distinguishing </w:t>
      </w:r>
      <w:r w:rsidRPr="0034170A">
        <w:rPr>
          <w:i/>
          <w:iCs/>
          <w:sz w:val="20"/>
          <w:szCs w:val="20"/>
        </w:rPr>
        <w:t>E. histolytica</w:t>
      </w:r>
      <w:r w:rsidRPr="0034170A">
        <w:rPr>
          <w:sz w:val="20"/>
          <w:szCs w:val="20"/>
        </w:rPr>
        <w:t xml:space="preserve"> from non-pathogenic species. It is highly sensitive and specific; hence, very useful in situations where microscopy and antigen detection stool yield inconclusive results</w:t>
      </w:r>
      <w:r w:rsidR="00231700" w:rsidRPr="0034170A">
        <w:rPr>
          <w:sz w:val="20"/>
          <w:szCs w:val="20"/>
        </w:rPr>
        <w:t>.</w:t>
      </w:r>
    </w:p>
    <w:p w:rsidR="00231700" w:rsidRPr="0034170A" w:rsidRDefault="00231700" w:rsidP="009A18F2">
      <w:pPr>
        <w:pStyle w:val="Heading5"/>
        <w:spacing w:before="0"/>
        <w:rPr>
          <w:rFonts w:ascii="Times New Roman" w:hAnsi="Times New Roman" w:cs="Times New Roman"/>
          <w:sz w:val="20"/>
          <w:szCs w:val="20"/>
        </w:rPr>
      </w:pPr>
      <w:r w:rsidRPr="0034170A">
        <w:rPr>
          <w:rStyle w:val="Strong"/>
          <w:rFonts w:ascii="Times New Roman" w:hAnsi="Times New Roman" w:cs="Times New Roman"/>
          <w:b w:val="0"/>
          <w:bCs w:val="0"/>
          <w:sz w:val="20"/>
          <w:szCs w:val="20"/>
        </w:rPr>
        <w:t>Treatment</w:t>
      </w:r>
    </w:p>
    <w:p w:rsidR="00231700" w:rsidRPr="0034170A" w:rsidRDefault="008353B0" w:rsidP="009A18F2">
      <w:pPr>
        <w:pStyle w:val="NormalWeb"/>
        <w:spacing w:before="0" w:beforeAutospacing="0" w:after="0" w:afterAutospacing="0"/>
        <w:ind w:firstLine="720"/>
        <w:jc w:val="both"/>
        <w:rPr>
          <w:sz w:val="20"/>
          <w:szCs w:val="20"/>
        </w:rPr>
      </w:pPr>
      <w:r w:rsidRPr="0034170A">
        <w:rPr>
          <w:sz w:val="20"/>
          <w:szCs w:val="20"/>
        </w:rPr>
        <w:t>Treatment depends upon the intensity of the infection in amebiasis. For asymptomatic carriers, treatment with luminal agents, preferably paromomycin or diloxanide furoate, would suffice to destroy the cysts and reduce the potentiality of infection dissemination. In invasive disease, including amebic colitis or liver abscess, metronidazole or tinidazole are used to clear trophozoites, with a luminal agent to remove any remaining cysts. If the liver abscesses are large or potentially rupturing, additional treatment may involve drainage in conjunction with pharmacotherapy.</w:t>
      </w:r>
    </w:p>
    <w:p w:rsidR="00231700" w:rsidRPr="0034170A" w:rsidRDefault="00231700" w:rsidP="009A18F2">
      <w:pPr>
        <w:pStyle w:val="Heading4"/>
        <w:numPr>
          <w:ilvl w:val="2"/>
          <w:numId w:val="8"/>
        </w:numPr>
        <w:spacing w:before="0"/>
        <w:rPr>
          <w:rFonts w:ascii="Times New Roman" w:hAnsi="Times New Roman" w:cs="Times New Roman"/>
          <w:i w:val="0"/>
          <w:iCs w:val="0"/>
          <w:sz w:val="20"/>
          <w:szCs w:val="20"/>
        </w:rPr>
      </w:pPr>
      <w:r w:rsidRPr="0034170A">
        <w:rPr>
          <w:rStyle w:val="Strong"/>
          <w:rFonts w:ascii="Times New Roman" w:hAnsi="Times New Roman" w:cs="Times New Roman"/>
          <w:b/>
          <w:bCs/>
          <w:i w:val="0"/>
          <w:iCs w:val="0"/>
          <w:sz w:val="20"/>
          <w:szCs w:val="20"/>
        </w:rPr>
        <w:t>Giardiasis</w:t>
      </w:r>
    </w:p>
    <w:p w:rsidR="00231700" w:rsidRPr="0034170A" w:rsidRDefault="008353B0" w:rsidP="009A18F2">
      <w:pPr>
        <w:pStyle w:val="NormalWeb"/>
        <w:spacing w:before="0" w:beforeAutospacing="0" w:after="0" w:afterAutospacing="0"/>
        <w:ind w:firstLine="720"/>
        <w:jc w:val="both"/>
        <w:rPr>
          <w:sz w:val="20"/>
          <w:szCs w:val="20"/>
        </w:rPr>
      </w:pPr>
      <w:r w:rsidRPr="0034170A">
        <w:rPr>
          <w:sz w:val="20"/>
          <w:szCs w:val="20"/>
        </w:rPr>
        <w:t xml:space="preserve">Giardiasis, caused by </w:t>
      </w:r>
      <w:r w:rsidRPr="0034170A">
        <w:rPr>
          <w:i/>
          <w:iCs/>
          <w:sz w:val="20"/>
          <w:szCs w:val="20"/>
        </w:rPr>
        <w:t>Giardia lamblia</w:t>
      </w:r>
      <w:r w:rsidRPr="0034170A">
        <w:rPr>
          <w:sz w:val="20"/>
          <w:szCs w:val="20"/>
        </w:rPr>
        <w:t>, is one of the most frequent parasitic infections worldwide, common in both developing and developed areas. This is a principal cause of outbreaks of diarrheal diseases by water contamination, especially in underdeveloped nations. Infection is spread by the consumption of cysts in contaminated water or food or by person-to-person contact, particularly in institutional settings such as day-care centers</w:t>
      </w:r>
      <w:r w:rsidR="00231700" w:rsidRPr="0034170A">
        <w:rPr>
          <w:sz w:val="20"/>
          <w:szCs w:val="20"/>
        </w:rPr>
        <w:t>.</w:t>
      </w:r>
    </w:p>
    <w:p w:rsidR="00231700" w:rsidRPr="0034170A" w:rsidRDefault="00231700" w:rsidP="009A18F2">
      <w:pPr>
        <w:pStyle w:val="NormalWeb"/>
        <w:spacing w:before="0" w:beforeAutospacing="0" w:after="0" w:afterAutospacing="0"/>
        <w:ind w:firstLine="720"/>
        <w:jc w:val="both"/>
        <w:rPr>
          <w:sz w:val="20"/>
          <w:szCs w:val="20"/>
        </w:rPr>
      </w:pPr>
      <w:r w:rsidRPr="0034170A">
        <w:rPr>
          <w:sz w:val="20"/>
          <w:szCs w:val="20"/>
        </w:rPr>
        <w:t xml:space="preserve">Once ingested, </w:t>
      </w:r>
      <w:r w:rsidRPr="0034170A">
        <w:rPr>
          <w:rStyle w:val="Emphasis"/>
          <w:sz w:val="20"/>
          <w:szCs w:val="20"/>
        </w:rPr>
        <w:t>G. lamblia</w:t>
      </w:r>
      <w:r w:rsidRPr="0034170A">
        <w:rPr>
          <w:sz w:val="20"/>
          <w:szCs w:val="20"/>
        </w:rPr>
        <w:t xml:space="preserve"> cysts excyst in the small intestine, releasing trophozoites that adhere to the intestinal epithelium, disrupting nutrient absorption and causing </w:t>
      </w:r>
      <w:r w:rsidR="00786A52" w:rsidRPr="0034170A">
        <w:rPr>
          <w:sz w:val="20"/>
          <w:szCs w:val="20"/>
        </w:rPr>
        <w:t>diarrhoea</w:t>
      </w:r>
      <w:r w:rsidRPr="0034170A">
        <w:rPr>
          <w:sz w:val="20"/>
          <w:szCs w:val="20"/>
        </w:rPr>
        <w:t xml:space="preserve">. </w:t>
      </w:r>
      <w:r w:rsidR="008353B0" w:rsidRPr="0034170A">
        <w:rPr>
          <w:sz w:val="20"/>
          <w:szCs w:val="20"/>
        </w:rPr>
        <w:t>Giardiasis can cause weight loss and nutritional deficits, ranging from a mild infection to severe, persistent diarrhea with malabsorption.</w:t>
      </w:r>
    </w:p>
    <w:p w:rsidR="00231700" w:rsidRPr="0034170A" w:rsidRDefault="00231700" w:rsidP="009A18F2">
      <w:pPr>
        <w:pStyle w:val="Heading5"/>
        <w:spacing w:before="0"/>
        <w:rPr>
          <w:rFonts w:ascii="Times New Roman" w:hAnsi="Times New Roman" w:cs="Times New Roman"/>
          <w:sz w:val="20"/>
          <w:szCs w:val="20"/>
        </w:rPr>
      </w:pPr>
      <w:r w:rsidRPr="0034170A">
        <w:rPr>
          <w:rStyle w:val="Strong"/>
          <w:rFonts w:ascii="Times New Roman" w:hAnsi="Times New Roman" w:cs="Times New Roman"/>
          <w:b w:val="0"/>
          <w:bCs w:val="0"/>
          <w:sz w:val="20"/>
          <w:szCs w:val="20"/>
        </w:rPr>
        <w:t>Epidemiology</w:t>
      </w:r>
    </w:p>
    <w:p w:rsidR="00231700" w:rsidRPr="0034170A" w:rsidRDefault="008353B0" w:rsidP="009A18F2">
      <w:pPr>
        <w:pStyle w:val="NormalWeb"/>
        <w:spacing w:before="0" w:beforeAutospacing="0" w:after="0" w:afterAutospacing="0"/>
        <w:ind w:firstLine="720"/>
        <w:jc w:val="both"/>
        <w:rPr>
          <w:sz w:val="20"/>
          <w:szCs w:val="20"/>
        </w:rPr>
      </w:pPr>
      <w:r w:rsidRPr="0034170A">
        <w:rPr>
          <w:sz w:val="20"/>
          <w:szCs w:val="20"/>
        </w:rPr>
        <w:t xml:space="preserve">It is estimated that 280 million cases of giardiasis occur annually around the world. Outbreaks in affluent nations are often linked to foodborne transmission, recreational water use, and contaminated water supplies. </w:t>
      </w:r>
      <w:r w:rsidRPr="0034170A">
        <w:rPr>
          <w:sz w:val="20"/>
          <w:szCs w:val="20"/>
        </w:rPr>
        <w:lastRenderedPageBreak/>
        <w:t xml:space="preserve">Giardiasis is more prevalent in impoverished nations because of inadequate sanitation and water treatment. </w:t>
      </w:r>
      <w:r w:rsidR="00231700" w:rsidRPr="0034170A">
        <w:rPr>
          <w:sz w:val="20"/>
          <w:szCs w:val="20"/>
        </w:rPr>
        <w:t xml:space="preserve">Risk groups include children, individuals in close-contact environments, and </w:t>
      </w:r>
      <w:r w:rsidR="00786A52" w:rsidRPr="0034170A">
        <w:rPr>
          <w:sz w:val="20"/>
          <w:szCs w:val="20"/>
        </w:rPr>
        <w:t>travellers</w:t>
      </w:r>
      <w:r w:rsidR="00231700" w:rsidRPr="0034170A">
        <w:rPr>
          <w:sz w:val="20"/>
          <w:szCs w:val="20"/>
        </w:rPr>
        <w:t xml:space="preserve"> returning from endemic areas.</w:t>
      </w:r>
    </w:p>
    <w:p w:rsidR="00231700" w:rsidRPr="0034170A" w:rsidRDefault="00231700" w:rsidP="009A18F2">
      <w:pPr>
        <w:pStyle w:val="Heading5"/>
        <w:spacing w:before="0"/>
        <w:rPr>
          <w:rFonts w:ascii="Times New Roman" w:hAnsi="Times New Roman" w:cs="Times New Roman"/>
          <w:sz w:val="20"/>
          <w:szCs w:val="20"/>
        </w:rPr>
      </w:pPr>
      <w:r w:rsidRPr="0034170A">
        <w:rPr>
          <w:rStyle w:val="Strong"/>
          <w:rFonts w:ascii="Times New Roman" w:hAnsi="Times New Roman" w:cs="Times New Roman"/>
          <w:b w:val="0"/>
          <w:bCs w:val="0"/>
          <w:sz w:val="20"/>
          <w:szCs w:val="20"/>
        </w:rPr>
        <w:t>Clinical Symptoms</w:t>
      </w:r>
    </w:p>
    <w:p w:rsidR="00231700" w:rsidRPr="0034170A" w:rsidRDefault="00231700" w:rsidP="009A18F2">
      <w:pPr>
        <w:pStyle w:val="NormalWeb"/>
        <w:spacing w:before="0" w:beforeAutospacing="0" w:after="0" w:afterAutospacing="0"/>
        <w:ind w:firstLine="720"/>
        <w:jc w:val="both"/>
        <w:rPr>
          <w:sz w:val="20"/>
          <w:szCs w:val="20"/>
        </w:rPr>
      </w:pPr>
      <w:r w:rsidRPr="0034170A">
        <w:rPr>
          <w:sz w:val="20"/>
          <w:szCs w:val="20"/>
        </w:rPr>
        <w:t xml:space="preserve">The clinical manifestations of giardiasis are variable. Many infections are asymptomatic, particularly in areas where giardiasis is endemic. In symptomatic individuals, the disease typically presents with explosive, watery </w:t>
      </w:r>
      <w:r w:rsidR="00786A52" w:rsidRPr="0034170A">
        <w:rPr>
          <w:sz w:val="20"/>
          <w:szCs w:val="20"/>
        </w:rPr>
        <w:t>diarrhoea</w:t>
      </w:r>
      <w:r w:rsidRPr="0034170A">
        <w:rPr>
          <w:sz w:val="20"/>
          <w:szCs w:val="20"/>
        </w:rPr>
        <w:t xml:space="preserve">, bloating, flatulence, and abdominal cramps. </w:t>
      </w:r>
      <w:r w:rsidR="008353B0" w:rsidRPr="0034170A">
        <w:rPr>
          <w:sz w:val="20"/>
          <w:szCs w:val="20"/>
        </w:rPr>
        <w:t>The stool does not contain mucous or blood, although it may smell bad and be oily. Chronic giardiasis can cause shortages in vitamins A, D, E, and K as well as weight loss due to malabsorption of fat and fat-soluble vitamins. Chronic infections in children or immunocompromised adults can result in severe developmental delays and growth retardation</w:t>
      </w:r>
      <w:r w:rsidRPr="0034170A">
        <w:rPr>
          <w:sz w:val="20"/>
          <w:szCs w:val="20"/>
        </w:rPr>
        <w:t>.</w:t>
      </w:r>
    </w:p>
    <w:p w:rsidR="00231700" w:rsidRPr="0034170A" w:rsidRDefault="00231700" w:rsidP="009A18F2">
      <w:pPr>
        <w:pStyle w:val="Heading5"/>
        <w:spacing w:before="0"/>
        <w:rPr>
          <w:rFonts w:ascii="Times New Roman" w:hAnsi="Times New Roman" w:cs="Times New Roman"/>
          <w:sz w:val="20"/>
          <w:szCs w:val="20"/>
        </w:rPr>
      </w:pPr>
      <w:r w:rsidRPr="0034170A">
        <w:rPr>
          <w:rStyle w:val="Strong"/>
          <w:rFonts w:ascii="Times New Roman" w:hAnsi="Times New Roman" w:cs="Times New Roman"/>
          <w:b w:val="0"/>
          <w:bCs w:val="0"/>
          <w:sz w:val="20"/>
          <w:szCs w:val="20"/>
        </w:rPr>
        <w:t>Laboratory Diagnosis</w:t>
      </w:r>
    </w:p>
    <w:p w:rsidR="008353B0" w:rsidRPr="0034170A" w:rsidRDefault="008353B0" w:rsidP="009A18F2">
      <w:pPr>
        <w:pStyle w:val="NormalWeb"/>
        <w:spacing w:before="0" w:beforeAutospacing="0" w:after="0" w:afterAutospacing="0"/>
        <w:ind w:firstLine="720"/>
        <w:jc w:val="both"/>
        <w:rPr>
          <w:sz w:val="20"/>
          <w:szCs w:val="20"/>
        </w:rPr>
      </w:pPr>
      <w:r w:rsidRPr="0034170A">
        <w:rPr>
          <w:sz w:val="20"/>
          <w:szCs w:val="20"/>
        </w:rPr>
        <w:t xml:space="preserve">The diagnosis of giardiasis is through the observation of </w:t>
      </w:r>
      <w:r w:rsidRPr="0034170A">
        <w:rPr>
          <w:i/>
          <w:iCs/>
          <w:sz w:val="20"/>
          <w:szCs w:val="20"/>
        </w:rPr>
        <w:t>G. lamblia</w:t>
      </w:r>
      <w:r w:rsidRPr="0034170A">
        <w:rPr>
          <w:sz w:val="20"/>
          <w:szCs w:val="20"/>
        </w:rPr>
        <w:t xml:space="preserve"> cysts or trophozoites in the stool sample through the use of a microscope. The cysts are excreted intermittently and therefore multiple samples of the stool collected for some days might be required to find the presence of the parasite. Concentration methods, like formalin-ethyl acetate sedimentation, increase the chances of cyst detection. Motile trophozoites may be seen in fresh stool samples in acute watery diarrhoea. Antigen detection tests, such as ELISA and rapid immunoassays, have greatly improved the sensitivity of giardiasis diagnosis and are now widely used in clinical practice.</w:t>
      </w:r>
    </w:p>
    <w:p w:rsidR="00231700" w:rsidRPr="0034170A" w:rsidRDefault="008353B0" w:rsidP="009A18F2">
      <w:pPr>
        <w:pStyle w:val="NormalWeb"/>
        <w:spacing w:before="0" w:beforeAutospacing="0" w:after="0" w:afterAutospacing="0"/>
        <w:ind w:firstLine="720"/>
        <w:jc w:val="both"/>
        <w:rPr>
          <w:sz w:val="20"/>
          <w:szCs w:val="20"/>
        </w:rPr>
      </w:pPr>
      <w:r w:rsidRPr="0034170A">
        <w:rPr>
          <w:sz w:val="20"/>
          <w:szCs w:val="20"/>
        </w:rPr>
        <w:t>Thes</w:t>
      </w:r>
      <w:r w:rsidR="006D77C6" w:rsidRPr="0034170A">
        <w:rPr>
          <w:sz w:val="20"/>
          <w:szCs w:val="20"/>
        </w:rPr>
        <w:t xml:space="preserve">e tests detect </w:t>
      </w:r>
      <w:r w:rsidR="006D77C6" w:rsidRPr="0034170A">
        <w:rPr>
          <w:i/>
          <w:iCs/>
          <w:sz w:val="20"/>
          <w:szCs w:val="20"/>
        </w:rPr>
        <w:t xml:space="preserve">G. </w:t>
      </w:r>
      <w:r w:rsidRPr="0034170A">
        <w:rPr>
          <w:i/>
          <w:iCs/>
          <w:sz w:val="20"/>
          <w:szCs w:val="20"/>
        </w:rPr>
        <w:t>lamblia</w:t>
      </w:r>
      <w:r w:rsidRPr="0034170A">
        <w:rPr>
          <w:sz w:val="20"/>
          <w:szCs w:val="20"/>
        </w:rPr>
        <w:t xml:space="preserve"> antigens in stool and thus are quick and accurate. PCR, though it is more expensive and less available for routine diagnostic use, is the most sensitive and </w:t>
      </w:r>
      <w:r w:rsidR="006D77C6" w:rsidRPr="0034170A">
        <w:rPr>
          <w:sz w:val="20"/>
          <w:szCs w:val="20"/>
        </w:rPr>
        <w:t xml:space="preserve">specific method of detecting </w:t>
      </w:r>
      <w:r w:rsidR="006D77C6" w:rsidRPr="0034170A">
        <w:rPr>
          <w:i/>
          <w:iCs/>
          <w:sz w:val="20"/>
          <w:szCs w:val="20"/>
        </w:rPr>
        <w:t xml:space="preserve">G. </w:t>
      </w:r>
      <w:r w:rsidRPr="0034170A">
        <w:rPr>
          <w:i/>
          <w:iCs/>
          <w:sz w:val="20"/>
          <w:szCs w:val="20"/>
        </w:rPr>
        <w:t>lamblia</w:t>
      </w:r>
      <w:r w:rsidRPr="0034170A">
        <w:rPr>
          <w:sz w:val="20"/>
          <w:szCs w:val="20"/>
        </w:rPr>
        <w:t xml:space="preserve"> DNA, especially when microscopy or antigen detection tests fail to diagnose the infection.</w:t>
      </w:r>
    </w:p>
    <w:p w:rsidR="00231700" w:rsidRPr="0034170A" w:rsidRDefault="00231700" w:rsidP="009A18F2">
      <w:pPr>
        <w:pStyle w:val="Heading5"/>
        <w:spacing w:before="0"/>
        <w:rPr>
          <w:rFonts w:ascii="Times New Roman" w:hAnsi="Times New Roman" w:cs="Times New Roman"/>
          <w:sz w:val="20"/>
          <w:szCs w:val="20"/>
        </w:rPr>
      </w:pPr>
      <w:r w:rsidRPr="0034170A">
        <w:rPr>
          <w:rStyle w:val="Strong"/>
          <w:rFonts w:ascii="Times New Roman" w:hAnsi="Times New Roman" w:cs="Times New Roman"/>
          <w:b w:val="0"/>
          <w:bCs w:val="0"/>
          <w:sz w:val="20"/>
          <w:szCs w:val="20"/>
        </w:rPr>
        <w:t>Treatment</w:t>
      </w:r>
    </w:p>
    <w:p w:rsidR="00231700" w:rsidRPr="0034170A" w:rsidRDefault="006D77C6" w:rsidP="009A18F2">
      <w:pPr>
        <w:pStyle w:val="NormalWeb"/>
        <w:spacing w:before="0" w:beforeAutospacing="0" w:after="0" w:afterAutospacing="0"/>
        <w:ind w:firstLine="720"/>
        <w:jc w:val="both"/>
        <w:rPr>
          <w:sz w:val="20"/>
          <w:szCs w:val="20"/>
        </w:rPr>
      </w:pPr>
      <w:r w:rsidRPr="0034170A">
        <w:rPr>
          <w:sz w:val="20"/>
          <w:szCs w:val="20"/>
        </w:rPr>
        <w:t xml:space="preserve">Generally, treatment for giardiasis includes using the nitro imidazole drugs, including metronidazole and tinidazole. The drug works to efficiently destroy all infections of this organism. Other drugs which may be utilized as an alternative agent in such patients are nitazoxanide, paromomycin, or furazolidone especially in pediatric cases and pregnant females. Recurring courses of treatment or combination therapies may be needed for patients suffering from chronic or refractory giardiasis. Proper hygiene measures, including handwashing and boiling of water before use, are critical in preventing the transmission of </w:t>
      </w:r>
      <w:r w:rsidRPr="0034170A">
        <w:rPr>
          <w:i/>
          <w:iCs/>
          <w:sz w:val="20"/>
          <w:szCs w:val="20"/>
        </w:rPr>
        <w:t>G. lamblia</w:t>
      </w:r>
      <w:r w:rsidRPr="0034170A">
        <w:rPr>
          <w:sz w:val="20"/>
          <w:szCs w:val="20"/>
        </w:rPr>
        <w:t>, especially in high-risk environments such as day-care centers.</w:t>
      </w:r>
    </w:p>
    <w:p w:rsidR="00231700" w:rsidRPr="0034170A" w:rsidRDefault="00231700" w:rsidP="009A18F2">
      <w:pPr>
        <w:pStyle w:val="Heading4"/>
        <w:numPr>
          <w:ilvl w:val="2"/>
          <w:numId w:val="8"/>
        </w:numPr>
        <w:spacing w:before="0"/>
        <w:rPr>
          <w:rFonts w:ascii="Times New Roman" w:hAnsi="Times New Roman" w:cs="Times New Roman"/>
          <w:i w:val="0"/>
          <w:iCs w:val="0"/>
          <w:sz w:val="20"/>
          <w:szCs w:val="20"/>
        </w:rPr>
      </w:pPr>
      <w:r w:rsidRPr="0034170A">
        <w:rPr>
          <w:rStyle w:val="Strong"/>
          <w:rFonts w:ascii="Times New Roman" w:hAnsi="Times New Roman" w:cs="Times New Roman"/>
          <w:b/>
          <w:bCs/>
          <w:i w:val="0"/>
          <w:iCs w:val="0"/>
          <w:sz w:val="20"/>
          <w:szCs w:val="20"/>
        </w:rPr>
        <w:t>Cryptosporidiosis</w:t>
      </w:r>
    </w:p>
    <w:p w:rsidR="00E46A41" w:rsidRPr="0034170A" w:rsidRDefault="006D77C6" w:rsidP="009A18F2">
      <w:pPr>
        <w:pStyle w:val="NormalWeb"/>
        <w:spacing w:before="0" w:beforeAutospacing="0" w:after="0" w:afterAutospacing="0"/>
        <w:ind w:firstLine="720"/>
        <w:jc w:val="both"/>
        <w:rPr>
          <w:sz w:val="20"/>
          <w:szCs w:val="20"/>
        </w:rPr>
      </w:pPr>
      <w:r w:rsidRPr="0034170A">
        <w:rPr>
          <w:sz w:val="20"/>
          <w:szCs w:val="20"/>
        </w:rPr>
        <w:t xml:space="preserve">The intestinal protozoan infection known as cryptosporidiosis, which is usually spread via tainted water, is brought on by </w:t>
      </w:r>
      <w:r w:rsidRPr="0034170A">
        <w:rPr>
          <w:i/>
          <w:iCs/>
          <w:sz w:val="20"/>
          <w:szCs w:val="20"/>
        </w:rPr>
        <w:t>Cryptosporidium parvum</w:t>
      </w:r>
      <w:r w:rsidRPr="0034170A">
        <w:rPr>
          <w:sz w:val="20"/>
          <w:szCs w:val="20"/>
        </w:rPr>
        <w:t xml:space="preserve">. </w:t>
      </w:r>
      <w:r w:rsidR="00E46A41" w:rsidRPr="0034170A">
        <w:rPr>
          <w:sz w:val="20"/>
          <w:szCs w:val="20"/>
        </w:rPr>
        <w:t>The disease is a major cause of diarrhea in both immunocompetent and immunocompromised individuals, particularly in children in developing countries. Severe, potentially fatal diarrhea can be caused by cryptosporidiosis in immunocompromised people, such as those with HIV/AIDS.</w:t>
      </w:r>
    </w:p>
    <w:p w:rsidR="00231700" w:rsidRPr="0034170A" w:rsidRDefault="00231700" w:rsidP="009A18F2">
      <w:pPr>
        <w:pStyle w:val="Heading5"/>
        <w:spacing w:before="0"/>
        <w:rPr>
          <w:rFonts w:ascii="Times New Roman" w:hAnsi="Times New Roman" w:cs="Times New Roman"/>
          <w:sz w:val="20"/>
          <w:szCs w:val="20"/>
        </w:rPr>
      </w:pPr>
      <w:r w:rsidRPr="0034170A">
        <w:rPr>
          <w:rStyle w:val="Strong"/>
          <w:rFonts w:ascii="Times New Roman" w:hAnsi="Times New Roman" w:cs="Times New Roman"/>
          <w:b w:val="0"/>
          <w:bCs w:val="0"/>
          <w:sz w:val="20"/>
          <w:szCs w:val="20"/>
        </w:rPr>
        <w:t>Epidemiology</w:t>
      </w:r>
    </w:p>
    <w:p w:rsidR="00E46A41" w:rsidRPr="0034170A" w:rsidRDefault="00E46A41" w:rsidP="009A18F2">
      <w:pPr>
        <w:pStyle w:val="NormalWeb"/>
        <w:spacing w:before="0" w:beforeAutospacing="0" w:after="0" w:afterAutospacing="0"/>
        <w:ind w:firstLine="720"/>
        <w:jc w:val="both"/>
        <w:rPr>
          <w:sz w:val="20"/>
          <w:szCs w:val="20"/>
        </w:rPr>
      </w:pPr>
      <w:r w:rsidRPr="0034170A">
        <w:rPr>
          <w:sz w:val="20"/>
          <w:szCs w:val="20"/>
        </w:rPr>
        <w:t xml:space="preserve">Although </w:t>
      </w:r>
      <w:r w:rsidRPr="0034170A">
        <w:rPr>
          <w:i/>
          <w:iCs/>
          <w:sz w:val="20"/>
          <w:szCs w:val="20"/>
        </w:rPr>
        <w:t>Cryptosporidium</w:t>
      </w:r>
      <w:r w:rsidRPr="0034170A">
        <w:rPr>
          <w:sz w:val="20"/>
          <w:szCs w:val="20"/>
        </w:rPr>
        <w:t xml:space="preserve"> is found all across the world, it is most prevalent in places with poor living conditions and unclean water. Cryptosporidiosis outbreaks have been brought on by tainted drinking water, swimming pools, and water parks. The parasite is a frequent cause of waterborne epidemics in both developed and developing countries because it is resistant to chlorine decontamination.</w:t>
      </w:r>
    </w:p>
    <w:p w:rsidR="00231700" w:rsidRPr="0034170A" w:rsidRDefault="00231700" w:rsidP="009A18F2">
      <w:pPr>
        <w:pStyle w:val="Heading5"/>
        <w:spacing w:before="0"/>
        <w:rPr>
          <w:rFonts w:ascii="Times New Roman" w:hAnsi="Times New Roman" w:cs="Times New Roman"/>
          <w:sz w:val="20"/>
          <w:szCs w:val="20"/>
        </w:rPr>
      </w:pPr>
      <w:r w:rsidRPr="0034170A">
        <w:rPr>
          <w:rStyle w:val="Strong"/>
          <w:rFonts w:ascii="Times New Roman" w:hAnsi="Times New Roman" w:cs="Times New Roman"/>
          <w:b w:val="0"/>
          <w:bCs w:val="0"/>
          <w:sz w:val="20"/>
          <w:szCs w:val="20"/>
        </w:rPr>
        <w:t>Clinical Symptoms</w:t>
      </w:r>
    </w:p>
    <w:p w:rsidR="00231700" w:rsidRPr="0034170A" w:rsidRDefault="00E46A41" w:rsidP="009A18F2">
      <w:pPr>
        <w:pStyle w:val="NormalWeb"/>
        <w:spacing w:before="0" w:beforeAutospacing="0" w:after="0" w:afterAutospacing="0"/>
        <w:ind w:firstLine="720"/>
        <w:jc w:val="both"/>
        <w:rPr>
          <w:sz w:val="20"/>
          <w:szCs w:val="20"/>
        </w:rPr>
      </w:pPr>
      <w:r w:rsidRPr="0034170A">
        <w:rPr>
          <w:sz w:val="20"/>
          <w:szCs w:val="20"/>
        </w:rPr>
        <w:t xml:space="preserve">Cryptosporidiosis typically causes self-limiting watery diarrhea in immunocompetent people, along with low-grade fever, cramping in the abdomen, and nausea. In most cases, symptoms go away on their own in one to two weeks. </w:t>
      </w:r>
      <w:r w:rsidR="006D77C6" w:rsidRPr="0034170A">
        <w:rPr>
          <w:sz w:val="20"/>
          <w:szCs w:val="20"/>
        </w:rPr>
        <w:t>In immunocompromised persons, especially in those infected with HIV/AIDS, the infection causes chronic, debilitating diarrhea resulting in substantial dehydration and weight loss. It can persist for months or be life-threatening in such patients</w:t>
      </w:r>
      <w:r w:rsidR="00231700" w:rsidRPr="0034170A">
        <w:rPr>
          <w:sz w:val="20"/>
          <w:szCs w:val="20"/>
        </w:rPr>
        <w:t>.</w:t>
      </w:r>
    </w:p>
    <w:p w:rsidR="00231700" w:rsidRPr="0034170A" w:rsidRDefault="00231700" w:rsidP="009A18F2">
      <w:pPr>
        <w:pStyle w:val="Heading5"/>
        <w:spacing w:before="0"/>
        <w:rPr>
          <w:rFonts w:ascii="Times New Roman" w:hAnsi="Times New Roman" w:cs="Times New Roman"/>
          <w:sz w:val="20"/>
          <w:szCs w:val="20"/>
        </w:rPr>
      </w:pPr>
      <w:r w:rsidRPr="0034170A">
        <w:rPr>
          <w:rStyle w:val="Strong"/>
          <w:rFonts w:ascii="Times New Roman" w:hAnsi="Times New Roman" w:cs="Times New Roman"/>
          <w:b w:val="0"/>
          <w:bCs w:val="0"/>
          <w:sz w:val="20"/>
          <w:szCs w:val="20"/>
        </w:rPr>
        <w:t>Laboratory Diagnosis</w:t>
      </w:r>
    </w:p>
    <w:p w:rsidR="00231700" w:rsidRPr="0034170A" w:rsidRDefault="006D6B36" w:rsidP="009A18F2">
      <w:pPr>
        <w:pStyle w:val="NormalWeb"/>
        <w:spacing w:before="0" w:beforeAutospacing="0" w:after="0" w:afterAutospacing="0"/>
        <w:ind w:firstLine="720"/>
        <w:jc w:val="both"/>
        <w:rPr>
          <w:sz w:val="20"/>
          <w:szCs w:val="20"/>
        </w:rPr>
      </w:pPr>
      <w:r w:rsidRPr="0034170A">
        <w:rPr>
          <w:sz w:val="20"/>
          <w:szCs w:val="20"/>
        </w:rPr>
        <w:t xml:space="preserve">The primary mechanism of diagnosing cryptosporidiosis lies in the presence of </w:t>
      </w:r>
      <w:r w:rsidRPr="0034170A">
        <w:rPr>
          <w:i/>
          <w:iCs/>
          <w:sz w:val="20"/>
          <w:szCs w:val="20"/>
        </w:rPr>
        <w:t>Cryptosporidium</w:t>
      </w:r>
      <w:r w:rsidRPr="0034170A">
        <w:rPr>
          <w:sz w:val="20"/>
          <w:szCs w:val="20"/>
        </w:rPr>
        <w:t xml:space="preserve"> oocysts in stool. Microscopy done with modified acid-fast staining can identify an oocyst in stool, and immunofluorescence assays and antigen detection tests often used to treat cryptosporidiosis will be more sensitive than microscopy for the diagnosis process. PCR-based methods are the most sensitive and specific means to detect </w:t>
      </w:r>
      <w:r w:rsidRPr="0034170A">
        <w:rPr>
          <w:i/>
          <w:iCs/>
          <w:sz w:val="20"/>
          <w:szCs w:val="20"/>
        </w:rPr>
        <w:t>Cryptosporidium</w:t>
      </w:r>
      <w:r w:rsidRPr="0034170A">
        <w:rPr>
          <w:sz w:val="20"/>
          <w:szCs w:val="20"/>
        </w:rPr>
        <w:t xml:space="preserve"> DNA in stool, though still not available in most settings</w:t>
      </w:r>
      <w:r w:rsidR="00231700" w:rsidRPr="0034170A">
        <w:rPr>
          <w:sz w:val="20"/>
          <w:szCs w:val="20"/>
        </w:rPr>
        <w:t>.</w:t>
      </w:r>
    </w:p>
    <w:p w:rsidR="00231700" w:rsidRPr="0034170A" w:rsidRDefault="00231700" w:rsidP="009A18F2">
      <w:pPr>
        <w:pStyle w:val="Heading5"/>
        <w:spacing w:before="0"/>
        <w:rPr>
          <w:rFonts w:ascii="Times New Roman" w:hAnsi="Times New Roman" w:cs="Times New Roman"/>
          <w:sz w:val="20"/>
          <w:szCs w:val="20"/>
        </w:rPr>
      </w:pPr>
      <w:r w:rsidRPr="0034170A">
        <w:rPr>
          <w:rStyle w:val="Strong"/>
          <w:rFonts w:ascii="Times New Roman" w:hAnsi="Times New Roman" w:cs="Times New Roman"/>
          <w:b w:val="0"/>
          <w:bCs w:val="0"/>
          <w:sz w:val="20"/>
          <w:szCs w:val="20"/>
        </w:rPr>
        <w:t>Treatment</w:t>
      </w:r>
    </w:p>
    <w:p w:rsidR="00B93422" w:rsidRPr="0034170A" w:rsidRDefault="006D6B36" w:rsidP="009A18F2">
      <w:pPr>
        <w:pStyle w:val="NormalWeb"/>
        <w:spacing w:before="0" w:beforeAutospacing="0" w:after="0" w:afterAutospacing="0"/>
        <w:ind w:firstLine="720"/>
        <w:jc w:val="both"/>
        <w:rPr>
          <w:sz w:val="20"/>
          <w:szCs w:val="20"/>
        </w:rPr>
      </w:pPr>
      <w:r w:rsidRPr="0034170A">
        <w:rPr>
          <w:sz w:val="20"/>
          <w:szCs w:val="20"/>
        </w:rPr>
        <w:t>There is no specific treatment for immunocompetent persons affected by cryptosporidiosis because the disease is usually self-limiting. The management done is symptomatic in nature, such as rehydration and electrolyte replacement. For immunocompromised patients, especially those suffering from HIV/AIDS, antiretroviral therapy for improvement of the immune system may help to control infection. Nitazoxanide has been proved to decrease the duration of diarrhea in both immunocompetent and immunocompromised populations</w:t>
      </w:r>
      <w:r w:rsidR="00994965" w:rsidRPr="0034170A">
        <w:rPr>
          <w:sz w:val="20"/>
          <w:szCs w:val="20"/>
        </w:rPr>
        <w:t>.</w:t>
      </w:r>
    </w:p>
    <w:p w:rsidR="00E20709" w:rsidRPr="0034170A" w:rsidRDefault="00E20709" w:rsidP="009A18F2">
      <w:pPr>
        <w:pStyle w:val="Heading3"/>
        <w:numPr>
          <w:ilvl w:val="1"/>
          <w:numId w:val="8"/>
        </w:numPr>
        <w:spacing w:before="0"/>
        <w:rPr>
          <w:rFonts w:ascii="Times New Roman" w:hAnsi="Times New Roman" w:cs="Times New Roman"/>
          <w:sz w:val="20"/>
          <w:szCs w:val="20"/>
        </w:rPr>
      </w:pPr>
      <w:r w:rsidRPr="0034170A">
        <w:rPr>
          <w:rStyle w:val="Strong"/>
          <w:rFonts w:ascii="Times New Roman" w:hAnsi="Times New Roman" w:cs="Times New Roman"/>
          <w:b/>
          <w:bCs/>
          <w:sz w:val="20"/>
          <w:szCs w:val="20"/>
        </w:rPr>
        <w:t>Intestinal Nematode Infections</w:t>
      </w:r>
    </w:p>
    <w:p w:rsidR="00E20709" w:rsidRPr="0034170A" w:rsidRDefault="00E20709" w:rsidP="009A18F2">
      <w:pPr>
        <w:pStyle w:val="NormalWeb"/>
        <w:spacing w:before="0" w:beforeAutospacing="0" w:after="0" w:afterAutospacing="0"/>
        <w:jc w:val="both"/>
        <w:rPr>
          <w:sz w:val="20"/>
          <w:szCs w:val="20"/>
        </w:rPr>
      </w:pPr>
      <w:r w:rsidRPr="0034170A">
        <w:rPr>
          <w:sz w:val="20"/>
          <w:szCs w:val="20"/>
        </w:rPr>
        <w:t xml:space="preserve">            Intestinal nematode infections are among the most prevalent parasitic diseases globally, affecting billions of individuals, particularly in tropical and subtropical regions. These infections are caused by a diverse group of </w:t>
      </w:r>
      <w:r w:rsidRPr="0034170A">
        <w:rPr>
          <w:sz w:val="20"/>
          <w:szCs w:val="20"/>
        </w:rPr>
        <w:lastRenderedPageBreak/>
        <w:t xml:space="preserve">roundworms (nematodes) that inhabit the gastrointestinal tract of humans. While most nematode infections are asymptomatic or result in mild symptoms, they can lead to serious health complications, particularly in individuals with heavy worm burdens, malnutrition, or underlying health conditions. The major intestinal nematodes that infect humans include </w:t>
      </w:r>
      <w:r w:rsidRPr="0034170A">
        <w:rPr>
          <w:rStyle w:val="Emphasis"/>
          <w:sz w:val="20"/>
          <w:szCs w:val="20"/>
        </w:rPr>
        <w:t>Enterobius vermicularis</w:t>
      </w:r>
      <w:r w:rsidRPr="0034170A">
        <w:rPr>
          <w:sz w:val="20"/>
          <w:szCs w:val="20"/>
        </w:rPr>
        <w:t xml:space="preserve"> (pinworm), </w:t>
      </w:r>
      <w:r w:rsidRPr="0034170A">
        <w:rPr>
          <w:rStyle w:val="Emphasis"/>
          <w:sz w:val="20"/>
          <w:szCs w:val="20"/>
        </w:rPr>
        <w:t>Ascaris lumbricoides</w:t>
      </w:r>
      <w:r w:rsidRPr="0034170A">
        <w:rPr>
          <w:sz w:val="20"/>
          <w:szCs w:val="20"/>
        </w:rPr>
        <w:t xml:space="preserve"> (roundworm), </w:t>
      </w:r>
      <w:r w:rsidRPr="0034170A">
        <w:rPr>
          <w:rStyle w:val="Emphasis"/>
          <w:sz w:val="20"/>
          <w:szCs w:val="20"/>
        </w:rPr>
        <w:t>Trichuris trichiura</w:t>
      </w:r>
      <w:r w:rsidRPr="0034170A">
        <w:rPr>
          <w:sz w:val="20"/>
          <w:szCs w:val="20"/>
        </w:rPr>
        <w:t xml:space="preserve"> (whipworm), </w:t>
      </w:r>
      <w:r w:rsidRPr="0034170A">
        <w:rPr>
          <w:rStyle w:val="Emphasis"/>
          <w:sz w:val="20"/>
          <w:szCs w:val="20"/>
        </w:rPr>
        <w:t>Necator americanus</w:t>
      </w:r>
      <w:r w:rsidRPr="0034170A">
        <w:rPr>
          <w:sz w:val="20"/>
          <w:szCs w:val="20"/>
        </w:rPr>
        <w:t xml:space="preserve"> and </w:t>
      </w:r>
      <w:r w:rsidRPr="0034170A">
        <w:rPr>
          <w:rStyle w:val="Emphasis"/>
          <w:sz w:val="20"/>
          <w:szCs w:val="20"/>
        </w:rPr>
        <w:t>Ancylostoma duodenale</w:t>
      </w:r>
      <w:r w:rsidRPr="0034170A">
        <w:rPr>
          <w:sz w:val="20"/>
          <w:szCs w:val="20"/>
        </w:rPr>
        <w:t xml:space="preserve"> (hookworms), and </w:t>
      </w:r>
      <w:r w:rsidRPr="0034170A">
        <w:rPr>
          <w:rStyle w:val="Emphasis"/>
          <w:sz w:val="20"/>
          <w:szCs w:val="20"/>
        </w:rPr>
        <w:t>Strongyloides stercoralis</w:t>
      </w:r>
      <w:r w:rsidRPr="0034170A">
        <w:rPr>
          <w:sz w:val="20"/>
          <w:szCs w:val="20"/>
        </w:rPr>
        <w:t>. The primary mode of transmission for these infections is the ingestion of eggs or larvae from contaminated food, water, or soil, and in some cases, direct skin penetration by infective larvae.</w:t>
      </w:r>
    </w:p>
    <w:p w:rsidR="00E20709" w:rsidRPr="0034170A" w:rsidRDefault="00E20709" w:rsidP="009A18F2">
      <w:pPr>
        <w:pStyle w:val="NormalWeb"/>
        <w:spacing w:before="0" w:beforeAutospacing="0" w:after="0" w:afterAutospacing="0"/>
        <w:jc w:val="both"/>
        <w:rPr>
          <w:sz w:val="20"/>
          <w:szCs w:val="20"/>
        </w:rPr>
      </w:pPr>
      <w:r w:rsidRPr="0034170A">
        <w:rPr>
          <w:sz w:val="20"/>
          <w:szCs w:val="20"/>
        </w:rPr>
        <w:t xml:space="preserve">            Diagnosis of intestinal nematode infections is based on clinical presentation, epidemiological history, and laboratory identification of eggs, larvae, or adult worms in stool or other clinical samples. The intensity of infection often correlates with the number of eggs or larvae detected, and multiple diagnostic methods may be employed depending on the nematode species involved. Below is a detailed description of the key intestinal nematodes that infect humans, their epidemiology, clinical features, diagnosis, and treatment.</w:t>
      </w:r>
    </w:p>
    <w:p w:rsidR="00E20709" w:rsidRPr="0034170A" w:rsidRDefault="00E20709" w:rsidP="009A18F2">
      <w:pPr>
        <w:pStyle w:val="Heading4"/>
        <w:numPr>
          <w:ilvl w:val="2"/>
          <w:numId w:val="8"/>
        </w:numPr>
        <w:spacing w:before="0"/>
        <w:rPr>
          <w:rFonts w:ascii="Times New Roman" w:hAnsi="Times New Roman" w:cs="Times New Roman"/>
          <w:i w:val="0"/>
          <w:iCs w:val="0"/>
          <w:sz w:val="20"/>
          <w:szCs w:val="20"/>
        </w:rPr>
      </w:pPr>
      <w:r w:rsidRPr="0034170A">
        <w:rPr>
          <w:rStyle w:val="Strong"/>
          <w:rFonts w:ascii="Times New Roman" w:hAnsi="Times New Roman" w:cs="Times New Roman"/>
          <w:b/>
          <w:bCs/>
          <w:i w:val="0"/>
          <w:iCs w:val="0"/>
          <w:sz w:val="20"/>
          <w:szCs w:val="20"/>
        </w:rPr>
        <w:t>Enterobiasis (Pinworm Infection)</w:t>
      </w:r>
    </w:p>
    <w:p w:rsidR="00E20709" w:rsidRPr="0034170A" w:rsidRDefault="00E20709" w:rsidP="009A18F2">
      <w:pPr>
        <w:pStyle w:val="NormalWeb"/>
        <w:spacing w:before="0" w:beforeAutospacing="0" w:after="0" w:afterAutospacing="0"/>
        <w:ind w:firstLine="720"/>
        <w:jc w:val="both"/>
        <w:rPr>
          <w:sz w:val="20"/>
          <w:szCs w:val="20"/>
        </w:rPr>
      </w:pPr>
      <w:r w:rsidRPr="0034170A">
        <w:rPr>
          <w:sz w:val="20"/>
          <w:szCs w:val="20"/>
        </w:rPr>
        <w:t xml:space="preserve">Enterobiasis, caused by </w:t>
      </w:r>
      <w:r w:rsidRPr="0034170A">
        <w:rPr>
          <w:rStyle w:val="Emphasis"/>
          <w:sz w:val="20"/>
          <w:szCs w:val="20"/>
        </w:rPr>
        <w:t>Enterobius vermicularis</w:t>
      </w:r>
      <w:r w:rsidRPr="0034170A">
        <w:rPr>
          <w:sz w:val="20"/>
          <w:szCs w:val="20"/>
        </w:rPr>
        <w:t xml:space="preserve"> (commonly known as pinworm), is one of the most common helminth infections worldwide, particularly in children. Pinworm infections are highly contagious and are typically transmitted via the fecal-oral route, where eggs are ingested from contaminated hands, food, or surfaces. Pinworm infections are prevalent in both temperate and tropical climates and are particularly common in crowded settings such as schools, day-care centers, and residential institutions.</w:t>
      </w:r>
    </w:p>
    <w:p w:rsidR="00E20709" w:rsidRPr="0034170A" w:rsidRDefault="00E20709" w:rsidP="009A18F2">
      <w:pPr>
        <w:pStyle w:val="Heading5"/>
        <w:spacing w:before="0"/>
        <w:rPr>
          <w:rFonts w:ascii="Times New Roman" w:hAnsi="Times New Roman" w:cs="Times New Roman"/>
          <w:sz w:val="20"/>
          <w:szCs w:val="20"/>
        </w:rPr>
      </w:pPr>
      <w:r w:rsidRPr="0034170A">
        <w:rPr>
          <w:rStyle w:val="Strong"/>
          <w:rFonts w:ascii="Times New Roman" w:hAnsi="Times New Roman" w:cs="Times New Roman"/>
          <w:b w:val="0"/>
          <w:bCs w:val="0"/>
          <w:sz w:val="20"/>
          <w:szCs w:val="20"/>
        </w:rPr>
        <w:t>Epidemiology</w:t>
      </w:r>
    </w:p>
    <w:p w:rsidR="00E20709" w:rsidRPr="0034170A" w:rsidRDefault="00E20709" w:rsidP="009A18F2">
      <w:pPr>
        <w:pStyle w:val="NormalWeb"/>
        <w:spacing w:before="0" w:beforeAutospacing="0" w:after="0" w:afterAutospacing="0"/>
        <w:ind w:firstLine="720"/>
        <w:jc w:val="both"/>
        <w:rPr>
          <w:sz w:val="20"/>
          <w:szCs w:val="20"/>
        </w:rPr>
      </w:pPr>
      <w:r w:rsidRPr="0034170A">
        <w:rPr>
          <w:sz w:val="20"/>
          <w:szCs w:val="20"/>
        </w:rPr>
        <w:t>Enterobiasis is a global infection, with an estimated prevalence of 40–60% in school-aged children in both developed and developing countries. The infection is most commonly spread through the ingestion of infective eggs, which are typically found on hands, bedding, clothing, and other household items. Poor personal hygiene and close living conditions are significant risk factors for transmission, and reinfection is common in affected individuals.</w:t>
      </w:r>
    </w:p>
    <w:p w:rsidR="00E20709" w:rsidRPr="0034170A" w:rsidRDefault="00E20709" w:rsidP="009A18F2">
      <w:pPr>
        <w:pStyle w:val="Heading5"/>
        <w:spacing w:before="0"/>
        <w:rPr>
          <w:rFonts w:ascii="Times New Roman" w:hAnsi="Times New Roman" w:cs="Times New Roman"/>
          <w:sz w:val="20"/>
          <w:szCs w:val="20"/>
        </w:rPr>
      </w:pPr>
      <w:r w:rsidRPr="0034170A">
        <w:rPr>
          <w:rStyle w:val="Strong"/>
          <w:rFonts w:ascii="Times New Roman" w:hAnsi="Times New Roman" w:cs="Times New Roman"/>
          <w:b w:val="0"/>
          <w:bCs w:val="0"/>
          <w:sz w:val="20"/>
          <w:szCs w:val="20"/>
        </w:rPr>
        <w:t>Clinical Symptoms</w:t>
      </w:r>
    </w:p>
    <w:p w:rsidR="00E20709" w:rsidRPr="0034170A" w:rsidRDefault="00E20709" w:rsidP="009A18F2">
      <w:pPr>
        <w:pStyle w:val="NormalWeb"/>
        <w:spacing w:before="0" w:beforeAutospacing="0" w:after="0" w:afterAutospacing="0"/>
        <w:ind w:firstLine="720"/>
        <w:jc w:val="both"/>
        <w:rPr>
          <w:sz w:val="20"/>
          <w:szCs w:val="20"/>
        </w:rPr>
      </w:pPr>
      <w:r w:rsidRPr="0034170A">
        <w:rPr>
          <w:sz w:val="20"/>
          <w:szCs w:val="20"/>
        </w:rPr>
        <w:t>Enterobiasis is often asymptomatic, but in symptomatic cases, the most common complaint is perianal itching, particularly at night. This itching is caused by the migration of adult female worms to the perianal area to lay eggs. The intense itching can lead to scratching, which may result in secondary bacterial infections and disturbed sleep. In rare cases, the migration of worms into the female genital tract can cause vulvovaginitis. In severe infections, abdominal pain, nausea, and weight loss have been reported.</w:t>
      </w:r>
    </w:p>
    <w:p w:rsidR="00E20709" w:rsidRPr="0034170A" w:rsidRDefault="00E20709" w:rsidP="009A18F2">
      <w:pPr>
        <w:pStyle w:val="Heading5"/>
        <w:spacing w:before="0"/>
        <w:rPr>
          <w:rFonts w:ascii="Times New Roman" w:hAnsi="Times New Roman" w:cs="Times New Roman"/>
          <w:sz w:val="20"/>
          <w:szCs w:val="20"/>
        </w:rPr>
      </w:pPr>
      <w:r w:rsidRPr="0034170A">
        <w:rPr>
          <w:rStyle w:val="Strong"/>
          <w:rFonts w:ascii="Times New Roman" w:hAnsi="Times New Roman" w:cs="Times New Roman"/>
          <w:b w:val="0"/>
          <w:bCs w:val="0"/>
          <w:sz w:val="20"/>
          <w:szCs w:val="20"/>
        </w:rPr>
        <w:t>Laboratory Diagnosis</w:t>
      </w:r>
    </w:p>
    <w:p w:rsidR="00E20709" w:rsidRPr="0034170A" w:rsidRDefault="00E20709" w:rsidP="009A18F2">
      <w:pPr>
        <w:pStyle w:val="NormalWeb"/>
        <w:spacing w:before="0" w:beforeAutospacing="0" w:after="0" w:afterAutospacing="0"/>
        <w:ind w:firstLine="720"/>
        <w:jc w:val="both"/>
        <w:rPr>
          <w:sz w:val="20"/>
          <w:szCs w:val="20"/>
        </w:rPr>
      </w:pPr>
      <w:r w:rsidRPr="0034170A">
        <w:rPr>
          <w:sz w:val="20"/>
          <w:szCs w:val="20"/>
        </w:rPr>
        <w:t xml:space="preserve">The diagnosis of enterobiasis is typically made by identifying </w:t>
      </w:r>
      <w:r w:rsidRPr="0034170A">
        <w:rPr>
          <w:rStyle w:val="Emphasis"/>
          <w:sz w:val="20"/>
          <w:szCs w:val="20"/>
        </w:rPr>
        <w:t>E. vermicularis</w:t>
      </w:r>
      <w:r w:rsidRPr="0034170A">
        <w:rPr>
          <w:sz w:val="20"/>
          <w:szCs w:val="20"/>
        </w:rPr>
        <w:t xml:space="preserve"> eggs or adult worms in the perianal area. A common diagnostic method is the "scotch tape test" (also known as the cellulose tape test), where adhesive tape is applied to the perianal region in the morning before washing or defecation. The tape is then examined under a microscope for the presence of characteristic pinworm eggs. Multiple samples may be required over several days due to the intermittent egg-laying behaviour of the female worm.</w:t>
      </w:r>
    </w:p>
    <w:p w:rsidR="00E20709" w:rsidRPr="0034170A" w:rsidRDefault="00E20709" w:rsidP="009A18F2">
      <w:pPr>
        <w:pStyle w:val="NormalWeb"/>
        <w:spacing w:before="0" w:beforeAutospacing="0" w:after="0" w:afterAutospacing="0"/>
        <w:jc w:val="both"/>
        <w:rPr>
          <w:sz w:val="20"/>
          <w:szCs w:val="20"/>
        </w:rPr>
      </w:pPr>
      <w:r w:rsidRPr="0034170A">
        <w:rPr>
          <w:sz w:val="20"/>
          <w:szCs w:val="20"/>
        </w:rPr>
        <w:t>In some cases, adult worms can be seen in the stool or on bedding or clothing. Direct stool examination is generally not useful for diagnosing pinworm infections because eggs are rarely passed in the feces.</w:t>
      </w:r>
    </w:p>
    <w:p w:rsidR="00E20709" w:rsidRPr="0034170A" w:rsidRDefault="00E20709" w:rsidP="009A18F2">
      <w:pPr>
        <w:pStyle w:val="Heading5"/>
        <w:spacing w:before="0"/>
        <w:rPr>
          <w:sz w:val="20"/>
          <w:szCs w:val="20"/>
        </w:rPr>
      </w:pPr>
      <w:r w:rsidRPr="0034170A">
        <w:rPr>
          <w:rStyle w:val="Strong"/>
          <w:b w:val="0"/>
          <w:bCs w:val="0"/>
          <w:sz w:val="20"/>
          <w:szCs w:val="20"/>
        </w:rPr>
        <w:t>Treatment</w:t>
      </w:r>
    </w:p>
    <w:p w:rsidR="00E20709" w:rsidRPr="0034170A" w:rsidRDefault="00E20709" w:rsidP="009A18F2">
      <w:pPr>
        <w:pStyle w:val="NormalWeb"/>
        <w:spacing w:before="0" w:beforeAutospacing="0" w:after="0" w:afterAutospacing="0"/>
        <w:ind w:firstLine="720"/>
        <w:jc w:val="both"/>
        <w:rPr>
          <w:sz w:val="20"/>
          <w:szCs w:val="20"/>
        </w:rPr>
      </w:pPr>
      <w:r w:rsidRPr="0034170A">
        <w:rPr>
          <w:sz w:val="20"/>
          <w:szCs w:val="20"/>
        </w:rPr>
        <w:t>Treatment of enterobiasis involves the administration of antihelminthic medications, typically albendazole, mebendazole, or pyrantel pamoate. A single dose is usually sufficient to kill adult worms, but a second dose is recommended two weeks later to eliminate any newly hatched worms. Because pinworm infections are highly contagious, treatment of all household members and thorough cleaning of bedding, clothing, and household surfaces are essential to prevent reinfection.</w:t>
      </w:r>
    </w:p>
    <w:p w:rsidR="00E20709" w:rsidRPr="0034170A" w:rsidRDefault="00E20709" w:rsidP="009A18F2">
      <w:pPr>
        <w:pStyle w:val="Heading4"/>
        <w:numPr>
          <w:ilvl w:val="2"/>
          <w:numId w:val="8"/>
        </w:numPr>
        <w:spacing w:before="0"/>
        <w:rPr>
          <w:rFonts w:ascii="Times New Roman" w:hAnsi="Times New Roman" w:cs="Times New Roman"/>
          <w:i w:val="0"/>
          <w:iCs w:val="0"/>
          <w:sz w:val="20"/>
          <w:szCs w:val="20"/>
        </w:rPr>
      </w:pPr>
      <w:r w:rsidRPr="0034170A">
        <w:rPr>
          <w:rStyle w:val="Strong"/>
          <w:rFonts w:ascii="Times New Roman" w:hAnsi="Times New Roman" w:cs="Times New Roman"/>
          <w:b/>
          <w:bCs/>
          <w:i w:val="0"/>
          <w:iCs w:val="0"/>
          <w:sz w:val="20"/>
          <w:szCs w:val="20"/>
        </w:rPr>
        <w:t>Ascariasis (Roundworm Infection)</w:t>
      </w:r>
    </w:p>
    <w:p w:rsidR="00E20709" w:rsidRPr="0034170A" w:rsidRDefault="00E20709" w:rsidP="009A18F2">
      <w:pPr>
        <w:pStyle w:val="NormalWeb"/>
        <w:spacing w:before="0" w:beforeAutospacing="0" w:after="0" w:afterAutospacing="0"/>
        <w:ind w:firstLine="720"/>
        <w:jc w:val="both"/>
        <w:rPr>
          <w:sz w:val="20"/>
          <w:szCs w:val="20"/>
        </w:rPr>
      </w:pPr>
      <w:r w:rsidRPr="0034170A">
        <w:rPr>
          <w:sz w:val="20"/>
          <w:szCs w:val="20"/>
        </w:rPr>
        <w:t xml:space="preserve">Ascariasis, caused by </w:t>
      </w:r>
      <w:r w:rsidRPr="0034170A">
        <w:rPr>
          <w:rStyle w:val="Emphasis"/>
          <w:sz w:val="20"/>
          <w:szCs w:val="20"/>
        </w:rPr>
        <w:t>Ascaris lumbricoides</w:t>
      </w:r>
      <w:r w:rsidRPr="0034170A">
        <w:rPr>
          <w:sz w:val="20"/>
          <w:szCs w:val="20"/>
        </w:rPr>
        <w:t xml:space="preserve">, is the most common human helminth infection, affecting approximately 1.2 billion people globally. </w:t>
      </w:r>
      <w:r w:rsidRPr="0034170A">
        <w:rPr>
          <w:rStyle w:val="Emphasis"/>
          <w:sz w:val="20"/>
          <w:szCs w:val="20"/>
        </w:rPr>
        <w:t>A. lumbricoides</w:t>
      </w:r>
      <w:r w:rsidRPr="0034170A">
        <w:rPr>
          <w:sz w:val="20"/>
          <w:szCs w:val="20"/>
        </w:rPr>
        <w:t xml:space="preserve"> is a large intestinal roundworm that can grow up to 30 cm in length. Infection occurs through the ingestion of embryonated eggs from contaminated food, water, or soil. Ascariasis is most prevalent in regions with poor sanitation and hygiene practices, particularly in rural areas of tropical and subtropical countries.</w:t>
      </w:r>
    </w:p>
    <w:p w:rsidR="00E20709" w:rsidRPr="0034170A" w:rsidRDefault="00E20709" w:rsidP="009A18F2">
      <w:pPr>
        <w:pStyle w:val="Heading5"/>
        <w:spacing w:before="0"/>
        <w:rPr>
          <w:rFonts w:ascii="Times New Roman" w:hAnsi="Times New Roman" w:cs="Times New Roman"/>
          <w:sz w:val="20"/>
          <w:szCs w:val="20"/>
        </w:rPr>
      </w:pPr>
      <w:r w:rsidRPr="0034170A">
        <w:rPr>
          <w:rStyle w:val="Strong"/>
          <w:rFonts w:ascii="Times New Roman" w:hAnsi="Times New Roman" w:cs="Times New Roman"/>
          <w:b w:val="0"/>
          <w:bCs w:val="0"/>
          <w:sz w:val="20"/>
          <w:szCs w:val="20"/>
        </w:rPr>
        <w:t>Epidemiology</w:t>
      </w:r>
    </w:p>
    <w:p w:rsidR="00E20709" w:rsidRPr="0034170A" w:rsidRDefault="00E20709" w:rsidP="009A18F2">
      <w:pPr>
        <w:pStyle w:val="NormalWeb"/>
        <w:spacing w:before="0" w:beforeAutospacing="0" w:after="0" w:afterAutospacing="0"/>
        <w:ind w:firstLine="720"/>
        <w:jc w:val="both"/>
        <w:rPr>
          <w:sz w:val="20"/>
          <w:szCs w:val="20"/>
        </w:rPr>
      </w:pPr>
      <w:r w:rsidRPr="0034170A">
        <w:rPr>
          <w:sz w:val="20"/>
          <w:szCs w:val="20"/>
        </w:rPr>
        <w:t>Ascariasis is endemic in many parts of the world, including sub-Saharan Africa, Southeast Asia, Latin America, and China. The highest prevalence is seen in areas with poor sanitation and limited access to clean water, where human feces are often used as fertilizer (night soil). Children are disproportionately affected by ascariasis due to their increased likelihood of contact with contaminated soil and poor hand hygiene.</w:t>
      </w:r>
    </w:p>
    <w:p w:rsidR="00E20709" w:rsidRPr="0034170A" w:rsidRDefault="00E20709" w:rsidP="009A18F2">
      <w:pPr>
        <w:pStyle w:val="Heading5"/>
        <w:spacing w:before="0"/>
        <w:rPr>
          <w:rFonts w:ascii="Times New Roman" w:hAnsi="Times New Roman" w:cs="Times New Roman"/>
          <w:sz w:val="20"/>
          <w:szCs w:val="20"/>
        </w:rPr>
      </w:pPr>
      <w:r w:rsidRPr="0034170A">
        <w:rPr>
          <w:rStyle w:val="Strong"/>
          <w:rFonts w:ascii="Times New Roman" w:hAnsi="Times New Roman" w:cs="Times New Roman"/>
          <w:b w:val="0"/>
          <w:bCs w:val="0"/>
          <w:sz w:val="20"/>
          <w:szCs w:val="20"/>
        </w:rPr>
        <w:t>Clinical Symptoms</w:t>
      </w:r>
    </w:p>
    <w:p w:rsidR="00E20709" w:rsidRPr="0034170A" w:rsidRDefault="00E20709" w:rsidP="009A18F2">
      <w:pPr>
        <w:pStyle w:val="NormalWeb"/>
        <w:spacing w:before="0" w:beforeAutospacing="0" w:after="0" w:afterAutospacing="0"/>
        <w:ind w:firstLine="720"/>
        <w:jc w:val="both"/>
        <w:rPr>
          <w:sz w:val="20"/>
          <w:szCs w:val="20"/>
        </w:rPr>
      </w:pPr>
      <w:r w:rsidRPr="0034170A">
        <w:rPr>
          <w:sz w:val="20"/>
          <w:szCs w:val="20"/>
        </w:rPr>
        <w:t xml:space="preserve">Most cases of ascariasis are asymptomatic, especially in individuals with a low worm burden. However, symptomatic infections can occur in individuals with a high worm load. Early in the infection, during the migration of larvae through the lungs, individuals may experience respiratory symptoms such as coughing, wheezing, and </w:t>
      </w:r>
      <w:r w:rsidRPr="0034170A">
        <w:rPr>
          <w:sz w:val="20"/>
          <w:szCs w:val="20"/>
        </w:rPr>
        <w:lastRenderedPageBreak/>
        <w:t>shortness of breath (Löffler’s syndrome). As the adult worms establish themselves in the intestine, symptoms such as abdominal pain, nausea, diarrhea, and malnutrition can develop. Severe infections may lead to intestinal obstruction, particularly in children.</w:t>
      </w:r>
    </w:p>
    <w:p w:rsidR="00E20709" w:rsidRPr="0034170A" w:rsidRDefault="00E20709" w:rsidP="009A18F2">
      <w:pPr>
        <w:pStyle w:val="Heading5"/>
        <w:spacing w:before="0"/>
        <w:rPr>
          <w:rFonts w:ascii="Times New Roman" w:hAnsi="Times New Roman" w:cs="Times New Roman"/>
          <w:sz w:val="20"/>
          <w:szCs w:val="20"/>
        </w:rPr>
      </w:pPr>
      <w:r w:rsidRPr="0034170A">
        <w:rPr>
          <w:rStyle w:val="Strong"/>
          <w:rFonts w:ascii="Times New Roman" w:hAnsi="Times New Roman" w:cs="Times New Roman"/>
          <w:b w:val="0"/>
          <w:bCs w:val="0"/>
          <w:sz w:val="20"/>
          <w:szCs w:val="20"/>
        </w:rPr>
        <w:t>Laboratory Diagnosis</w:t>
      </w:r>
    </w:p>
    <w:p w:rsidR="00E20709" w:rsidRPr="0034170A" w:rsidRDefault="00E20709" w:rsidP="009A18F2">
      <w:pPr>
        <w:pStyle w:val="NormalWeb"/>
        <w:spacing w:before="0" w:beforeAutospacing="0" w:after="0" w:afterAutospacing="0"/>
        <w:ind w:firstLine="720"/>
        <w:jc w:val="both"/>
        <w:rPr>
          <w:sz w:val="20"/>
          <w:szCs w:val="20"/>
        </w:rPr>
      </w:pPr>
      <w:r w:rsidRPr="0034170A">
        <w:rPr>
          <w:sz w:val="20"/>
          <w:szCs w:val="20"/>
        </w:rPr>
        <w:t xml:space="preserve">The diagnosis of ascariasis is typically made through the microscopic identification of </w:t>
      </w:r>
      <w:r w:rsidRPr="0034170A">
        <w:rPr>
          <w:rStyle w:val="Emphasis"/>
          <w:sz w:val="20"/>
          <w:szCs w:val="20"/>
        </w:rPr>
        <w:t>A. lumbricoides</w:t>
      </w:r>
      <w:r w:rsidRPr="0034170A">
        <w:rPr>
          <w:sz w:val="20"/>
          <w:szCs w:val="20"/>
        </w:rPr>
        <w:t xml:space="preserve"> eggs in stool samples. </w:t>
      </w:r>
      <w:r w:rsidR="006D6B36" w:rsidRPr="0034170A">
        <w:rPr>
          <w:sz w:val="20"/>
          <w:szCs w:val="20"/>
        </w:rPr>
        <w:t>Fertilized eggs are thick and oval, whereas unfertilized eggs appear irregular and larger. If the infestation is severe, adult worms might be present in the stool or vomit. Radiographic imaging or ultrasound might be done if the intestinal obstruction is suspected, especially in children.</w:t>
      </w:r>
    </w:p>
    <w:p w:rsidR="00E20709" w:rsidRPr="0034170A" w:rsidRDefault="00E20709" w:rsidP="009A18F2">
      <w:pPr>
        <w:pStyle w:val="Heading5"/>
        <w:spacing w:before="0"/>
        <w:rPr>
          <w:rFonts w:ascii="Times New Roman" w:hAnsi="Times New Roman" w:cs="Times New Roman"/>
          <w:sz w:val="20"/>
          <w:szCs w:val="20"/>
        </w:rPr>
      </w:pPr>
      <w:r w:rsidRPr="0034170A">
        <w:rPr>
          <w:rStyle w:val="Strong"/>
          <w:rFonts w:ascii="Times New Roman" w:hAnsi="Times New Roman" w:cs="Times New Roman"/>
          <w:b w:val="0"/>
          <w:bCs w:val="0"/>
          <w:sz w:val="20"/>
          <w:szCs w:val="20"/>
        </w:rPr>
        <w:t>Treatment</w:t>
      </w:r>
    </w:p>
    <w:p w:rsidR="00E20709" w:rsidRPr="0034170A" w:rsidRDefault="006D6B36" w:rsidP="009A18F2">
      <w:pPr>
        <w:pStyle w:val="NormalWeb"/>
        <w:spacing w:before="0" w:beforeAutospacing="0" w:after="0" w:afterAutospacing="0"/>
        <w:ind w:firstLine="720"/>
        <w:jc w:val="both"/>
        <w:rPr>
          <w:sz w:val="20"/>
          <w:szCs w:val="20"/>
        </w:rPr>
      </w:pPr>
      <w:r w:rsidRPr="0034170A">
        <w:rPr>
          <w:sz w:val="20"/>
          <w:szCs w:val="20"/>
        </w:rPr>
        <w:t>The drugs of choice for ascariasis are albendazole or mebendazole, as they are both very effective at killing adult worms. In mild infections, a single dose is usually adequate, whereas for more severe cases, a longer course of treatment may be needed. Surgeons may become necessary to rid one of the intestine obstructions or even the complications in intestinal ascariasis with surgery. Finally, the improvements in sanitation together with health education and mass deworming should significantly reduce global burden from ascaridiasi</w:t>
      </w:r>
      <w:r w:rsidR="00E20709" w:rsidRPr="0034170A">
        <w:rPr>
          <w:sz w:val="20"/>
          <w:szCs w:val="20"/>
        </w:rPr>
        <w:t>.</w:t>
      </w:r>
    </w:p>
    <w:p w:rsidR="00E20709" w:rsidRPr="0034170A" w:rsidRDefault="00E20709" w:rsidP="009A18F2">
      <w:pPr>
        <w:pStyle w:val="Heading4"/>
        <w:numPr>
          <w:ilvl w:val="2"/>
          <w:numId w:val="8"/>
        </w:numPr>
        <w:spacing w:before="0"/>
        <w:rPr>
          <w:rFonts w:ascii="Times New Roman" w:hAnsi="Times New Roman" w:cs="Times New Roman"/>
          <w:i w:val="0"/>
          <w:iCs w:val="0"/>
          <w:sz w:val="20"/>
          <w:szCs w:val="20"/>
        </w:rPr>
      </w:pPr>
      <w:r w:rsidRPr="0034170A">
        <w:rPr>
          <w:rStyle w:val="Strong"/>
          <w:rFonts w:ascii="Times New Roman" w:hAnsi="Times New Roman" w:cs="Times New Roman"/>
          <w:b/>
          <w:bCs/>
          <w:i w:val="0"/>
          <w:iCs w:val="0"/>
          <w:sz w:val="20"/>
          <w:szCs w:val="20"/>
        </w:rPr>
        <w:t>Hookworm Infection (Necatoriasis and Ancylostomiasis)</w:t>
      </w:r>
    </w:p>
    <w:p w:rsidR="00E20709" w:rsidRPr="0034170A" w:rsidRDefault="006D6B36" w:rsidP="009A18F2">
      <w:pPr>
        <w:pStyle w:val="NormalWeb"/>
        <w:spacing w:before="0" w:beforeAutospacing="0" w:after="0" w:afterAutospacing="0"/>
        <w:ind w:firstLine="720"/>
        <w:jc w:val="both"/>
        <w:rPr>
          <w:sz w:val="20"/>
          <w:szCs w:val="20"/>
        </w:rPr>
      </w:pPr>
      <w:r w:rsidRPr="0034170A">
        <w:rPr>
          <w:sz w:val="20"/>
          <w:szCs w:val="20"/>
        </w:rPr>
        <w:t xml:space="preserve">Hookworm infections caused by </w:t>
      </w:r>
      <w:r w:rsidRPr="0034170A">
        <w:rPr>
          <w:i/>
          <w:iCs/>
          <w:sz w:val="20"/>
          <w:szCs w:val="20"/>
        </w:rPr>
        <w:t>Necator americanus</w:t>
      </w:r>
      <w:r w:rsidRPr="0034170A">
        <w:rPr>
          <w:sz w:val="20"/>
          <w:szCs w:val="20"/>
        </w:rPr>
        <w:t xml:space="preserve"> and </w:t>
      </w:r>
      <w:r w:rsidRPr="0034170A">
        <w:rPr>
          <w:i/>
          <w:iCs/>
          <w:sz w:val="20"/>
          <w:szCs w:val="20"/>
        </w:rPr>
        <w:t>Ancylostoma duodenale</w:t>
      </w:r>
      <w:r w:rsidRPr="0034170A">
        <w:rPr>
          <w:sz w:val="20"/>
          <w:szCs w:val="20"/>
        </w:rPr>
        <w:t xml:space="preserve"> are among the most significant soil-transmitted helminths. Soil-transmitted helminth infection affects 500 million people. The causative agents are introduced into human body through direct contact of human skin with the contaminated soil through excreta, which is found to contain the hookworm larvae. The larvae perforate the skin and then find their way to the lungs via the blood circulation system; they eventually grow into adult worms in the small intestine and then feed on the host's blood</w:t>
      </w:r>
      <w:r w:rsidR="00E20709" w:rsidRPr="0034170A">
        <w:rPr>
          <w:sz w:val="20"/>
          <w:szCs w:val="20"/>
        </w:rPr>
        <w:t>.</w:t>
      </w:r>
    </w:p>
    <w:p w:rsidR="00E20709" w:rsidRPr="0034170A" w:rsidRDefault="00E20709" w:rsidP="009A18F2">
      <w:pPr>
        <w:pStyle w:val="Heading5"/>
        <w:spacing w:before="0"/>
        <w:rPr>
          <w:rFonts w:ascii="Times New Roman" w:hAnsi="Times New Roman" w:cs="Times New Roman"/>
          <w:sz w:val="20"/>
          <w:szCs w:val="20"/>
        </w:rPr>
      </w:pPr>
      <w:r w:rsidRPr="0034170A">
        <w:rPr>
          <w:rStyle w:val="Strong"/>
          <w:rFonts w:ascii="Times New Roman" w:hAnsi="Times New Roman" w:cs="Times New Roman"/>
          <w:b w:val="0"/>
          <w:bCs w:val="0"/>
          <w:sz w:val="20"/>
          <w:szCs w:val="20"/>
        </w:rPr>
        <w:t>Epidemiology</w:t>
      </w:r>
    </w:p>
    <w:p w:rsidR="00E20709" w:rsidRPr="0034170A" w:rsidRDefault="006D6B36" w:rsidP="009A18F2">
      <w:pPr>
        <w:pStyle w:val="NormalWeb"/>
        <w:spacing w:before="0" w:beforeAutospacing="0" w:after="0" w:afterAutospacing="0"/>
        <w:ind w:firstLine="720"/>
        <w:jc w:val="both"/>
        <w:rPr>
          <w:sz w:val="20"/>
          <w:szCs w:val="20"/>
        </w:rPr>
      </w:pPr>
      <w:r w:rsidRPr="0034170A">
        <w:rPr>
          <w:sz w:val="20"/>
          <w:szCs w:val="20"/>
        </w:rPr>
        <w:t xml:space="preserve">Hookworm infection is endemic to tropical and subtropical regions; it thrives in areas that have poor sanitation as well as contaminated soil. In the Americas, sub-Saharan Africa, and Southeast Asia, the predominant species has been </w:t>
      </w:r>
      <w:r w:rsidRPr="0034170A">
        <w:rPr>
          <w:i/>
          <w:iCs/>
          <w:sz w:val="20"/>
          <w:szCs w:val="20"/>
        </w:rPr>
        <w:t>N. americanus</w:t>
      </w:r>
      <w:r w:rsidRPr="0034170A">
        <w:rPr>
          <w:sz w:val="20"/>
          <w:szCs w:val="20"/>
        </w:rPr>
        <w:t xml:space="preserve"> whereas </w:t>
      </w:r>
      <w:r w:rsidRPr="0034170A">
        <w:rPr>
          <w:i/>
          <w:iCs/>
          <w:sz w:val="20"/>
          <w:szCs w:val="20"/>
        </w:rPr>
        <w:t>A. duodenale</w:t>
      </w:r>
      <w:r w:rsidRPr="0034170A">
        <w:rPr>
          <w:sz w:val="20"/>
          <w:szCs w:val="20"/>
        </w:rPr>
        <w:t xml:space="preserve"> is relatively more common in the Mediterranean region, the Middle East, and parts of India</w:t>
      </w:r>
      <w:r w:rsidR="00E20709" w:rsidRPr="0034170A">
        <w:rPr>
          <w:sz w:val="20"/>
          <w:szCs w:val="20"/>
        </w:rPr>
        <w:t>.</w:t>
      </w:r>
    </w:p>
    <w:p w:rsidR="00E20709" w:rsidRPr="0034170A" w:rsidRDefault="00E20709" w:rsidP="009A18F2">
      <w:pPr>
        <w:pStyle w:val="Heading5"/>
        <w:spacing w:before="0"/>
        <w:rPr>
          <w:rFonts w:ascii="Times New Roman" w:hAnsi="Times New Roman" w:cs="Times New Roman"/>
          <w:sz w:val="20"/>
          <w:szCs w:val="20"/>
        </w:rPr>
      </w:pPr>
      <w:r w:rsidRPr="0034170A">
        <w:rPr>
          <w:rStyle w:val="Strong"/>
          <w:rFonts w:ascii="Times New Roman" w:hAnsi="Times New Roman" w:cs="Times New Roman"/>
          <w:b w:val="0"/>
          <w:bCs w:val="0"/>
          <w:sz w:val="20"/>
          <w:szCs w:val="20"/>
        </w:rPr>
        <w:t>Clinical Symptoms</w:t>
      </w:r>
    </w:p>
    <w:p w:rsidR="00E20709" w:rsidRPr="0034170A" w:rsidRDefault="006D6B36" w:rsidP="009A18F2">
      <w:pPr>
        <w:pStyle w:val="NormalWeb"/>
        <w:spacing w:before="0" w:beforeAutospacing="0" w:after="0" w:afterAutospacing="0"/>
        <w:ind w:firstLine="720"/>
        <w:jc w:val="both"/>
        <w:rPr>
          <w:sz w:val="20"/>
          <w:szCs w:val="20"/>
        </w:rPr>
      </w:pPr>
      <w:r w:rsidRPr="0034170A">
        <w:rPr>
          <w:sz w:val="20"/>
          <w:szCs w:val="20"/>
        </w:rPr>
        <w:t>The degree of hookworm infection is correlated with both the worm burden and infection intensity</w:t>
      </w:r>
      <w:r w:rsidR="00E20709" w:rsidRPr="0034170A">
        <w:rPr>
          <w:sz w:val="20"/>
          <w:szCs w:val="20"/>
        </w:rPr>
        <w:t>. Early in the infection, individuals may experience localized itching and a rash (ground itch) at the site of larval skin penetration. As the larvae migrate to the lungs, respiratory symptoms such as coughing and wheezing may occur. Once the adult worms reach the intestine, chronic blood loss due to feeding by the worms can lead to iron-deficiency anemia, fatigue, weakness, and, in children, stunted growth and developmental delays.</w:t>
      </w:r>
    </w:p>
    <w:p w:rsidR="00E20709" w:rsidRPr="0034170A" w:rsidRDefault="00E20709" w:rsidP="009A18F2">
      <w:pPr>
        <w:pStyle w:val="Heading5"/>
        <w:spacing w:before="0"/>
        <w:rPr>
          <w:rFonts w:ascii="Times New Roman" w:hAnsi="Times New Roman" w:cs="Times New Roman"/>
          <w:sz w:val="20"/>
          <w:szCs w:val="20"/>
        </w:rPr>
      </w:pPr>
      <w:r w:rsidRPr="0034170A">
        <w:rPr>
          <w:rStyle w:val="Strong"/>
          <w:rFonts w:ascii="Times New Roman" w:hAnsi="Times New Roman" w:cs="Times New Roman"/>
          <w:b w:val="0"/>
          <w:bCs w:val="0"/>
          <w:sz w:val="20"/>
          <w:szCs w:val="20"/>
        </w:rPr>
        <w:t>Laboratory Diagnosis</w:t>
      </w:r>
    </w:p>
    <w:p w:rsidR="00E20709" w:rsidRPr="0034170A" w:rsidRDefault="00A7020E" w:rsidP="009A18F2">
      <w:pPr>
        <w:pStyle w:val="NormalWeb"/>
        <w:spacing w:before="0" w:beforeAutospacing="0" w:after="0" w:afterAutospacing="0"/>
        <w:jc w:val="both"/>
        <w:rPr>
          <w:sz w:val="20"/>
          <w:szCs w:val="20"/>
        </w:rPr>
      </w:pPr>
      <w:r w:rsidRPr="0034170A">
        <w:rPr>
          <w:sz w:val="20"/>
          <w:szCs w:val="20"/>
        </w:rPr>
        <w:t xml:space="preserve">              </w:t>
      </w:r>
      <w:r w:rsidR="00E20709" w:rsidRPr="0034170A">
        <w:rPr>
          <w:sz w:val="20"/>
          <w:szCs w:val="20"/>
        </w:rPr>
        <w:t xml:space="preserve">The diagnosis of hookworm infection is made by identifying characteristic hookworm eggs in stool samples using microscopy. The eggs are oval with a thin shell, and they can be distinguished from other helminth eggs by their size and morphology. In some cases, larval cultures may be performed to differentiate between </w:t>
      </w:r>
      <w:r w:rsidR="00E20709" w:rsidRPr="0034170A">
        <w:rPr>
          <w:rStyle w:val="Emphasis"/>
          <w:sz w:val="20"/>
          <w:szCs w:val="20"/>
        </w:rPr>
        <w:t>Necator americanus</w:t>
      </w:r>
      <w:r w:rsidR="00E20709" w:rsidRPr="0034170A">
        <w:rPr>
          <w:sz w:val="20"/>
          <w:szCs w:val="20"/>
        </w:rPr>
        <w:t xml:space="preserve"> and </w:t>
      </w:r>
      <w:r w:rsidR="00E20709" w:rsidRPr="0034170A">
        <w:rPr>
          <w:rStyle w:val="Emphasis"/>
          <w:sz w:val="20"/>
          <w:szCs w:val="20"/>
        </w:rPr>
        <w:t>Ancylostoma duodenale</w:t>
      </w:r>
      <w:r w:rsidR="00E20709" w:rsidRPr="0034170A">
        <w:rPr>
          <w:sz w:val="20"/>
          <w:szCs w:val="20"/>
        </w:rPr>
        <w:t>. In areas where hookworm and strongyloidiasis co-occur, distinguishing between the two infections is essential for appropriate treatment.</w:t>
      </w:r>
    </w:p>
    <w:p w:rsidR="00E20709" w:rsidRPr="0034170A" w:rsidRDefault="00E20709" w:rsidP="009A18F2">
      <w:pPr>
        <w:pStyle w:val="Heading5"/>
        <w:spacing w:before="0"/>
        <w:rPr>
          <w:rFonts w:ascii="Times New Roman" w:hAnsi="Times New Roman" w:cs="Times New Roman"/>
          <w:sz w:val="20"/>
          <w:szCs w:val="20"/>
        </w:rPr>
      </w:pPr>
      <w:r w:rsidRPr="0034170A">
        <w:rPr>
          <w:rStyle w:val="Strong"/>
          <w:rFonts w:ascii="Times New Roman" w:hAnsi="Times New Roman" w:cs="Times New Roman"/>
          <w:b w:val="0"/>
          <w:bCs w:val="0"/>
          <w:sz w:val="20"/>
          <w:szCs w:val="20"/>
        </w:rPr>
        <w:t>Treatment</w:t>
      </w:r>
    </w:p>
    <w:p w:rsidR="00E20709" w:rsidRPr="0034170A" w:rsidRDefault="00E20709" w:rsidP="009A18F2">
      <w:pPr>
        <w:pStyle w:val="NormalWeb"/>
        <w:spacing w:before="0" w:beforeAutospacing="0" w:after="0" w:afterAutospacing="0"/>
        <w:ind w:firstLine="720"/>
        <w:jc w:val="both"/>
        <w:rPr>
          <w:sz w:val="20"/>
          <w:szCs w:val="20"/>
        </w:rPr>
      </w:pPr>
      <w:r w:rsidRPr="0034170A">
        <w:rPr>
          <w:sz w:val="20"/>
          <w:szCs w:val="20"/>
        </w:rPr>
        <w:t xml:space="preserve">Albendazole and mebendazole are the first-line treatments for hookworm infections, and they are highly effective at killing adult worms. </w:t>
      </w:r>
      <w:r w:rsidR="006D6B36" w:rsidRPr="0034170A">
        <w:rPr>
          <w:sz w:val="20"/>
          <w:szCs w:val="20"/>
        </w:rPr>
        <w:t>Treatment is especially needed to prevent complications of chronic anemia, primarily in children and pregnant women. Patients with serious anemia would require iron supplementations and appropriate nutritional support. Preventive measures such as the improvement of hygiene, wearing shoes when walking bare feet to avoid skin exposure to contaminated earth, and treatment programs against parasites are important means of controlling endemic hookworm infestations.</w:t>
      </w:r>
    </w:p>
    <w:p w:rsidR="00AE6B6E" w:rsidRPr="0034170A" w:rsidRDefault="00AE6B6E" w:rsidP="009A18F2">
      <w:pPr>
        <w:pStyle w:val="Heading3"/>
        <w:numPr>
          <w:ilvl w:val="1"/>
          <w:numId w:val="8"/>
        </w:numPr>
        <w:spacing w:before="0"/>
        <w:jc w:val="both"/>
        <w:rPr>
          <w:rFonts w:ascii="Times New Roman" w:hAnsi="Times New Roman" w:cs="Times New Roman"/>
          <w:sz w:val="20"/>
          <w:szCs w:val="20"/>
        </w:rPr>
      </w:pPr>
      <w:r w:rsidRPr="0034170A">
        <w:rPr>
          <w:rStyle w:val="Strong"/>
          <w:rFonts w:ascii="Times New Roman" w:hAnsi="Times New Roman" w:cs="Times New Roman"/>
          <w:b/>
          <w:bCs/>
          <w:sz w:val="20"/>
          <w:szCs w:val="20"/>
        </w:rPr>
        <w:t>Tissue Parasites</w:t>
      </w:r>
    </w:p>
    <w:p w:rsidR="00AE6B6E" w:rsidRPr="0034170A" w:rsidRDefault="00BF3C35" w:rsidP="009A18F2">
      <w:pPr>
        <w:pStyle w:val="NormalWeb"/>
        <w:spacing w:before="0" w:beforeAutospacing="0" w:after="0" w:afterAutospacing="0"/>
        <w:ind w:firstLine="720"/>
        <w:jc w:val="both"/>
        <w:rPr>
          <w:sz w:val="20"/>
          <w:szCs w:val="20"/>
        </w:rPr>
      </w:pPr>
      <w:r w:rsidRPr="0034170A">
        <w:rPr>
          <w:sz w:val="20"/>
          <w:szCs w:val="20"/>
        </w:rPr>
        <w:t xml:space="preserve">Unlike the intestinal parasites, tissue parasites invade deeper tissues and organs within the human body, hence they often result in more serious systemic disease. The life cycle of most of the parasites under this category will have both intermediate and definitive hosts. Humans can be incidental or intermediate hosts, in which case the pathogenicity is substantial because the parasite migrates through or encysts within tissues. Of the tissue parasites included in this chapter are </w:t>
      </w:r>
      <w:r w:rsidRPr="0034170A">
        <w:rPr>
          <w:i/>
          <w:iCs/>
          <w:sz w:val="20"/>
          <w:szCs w:val="20"/>
        </w:rPr>
        <w:t>Echinococcus</w:t>
      </w:r>
      <w:r w:rsidRPr="0034170A">
        <w:rPr>
          <w:sz w:val="20"/>
          <w:szCs w:val="20"/>
        </w:rPr>
        <w:t xml:space="preserve"> species, </w:t>
      </w:r>
      <w:r w:rsidRPr="0034170A">
        <w:rPr>
          <w:i/>
          <w:iCs/>
          <w:sz w:val="20"/>
          <w:szCs w:val="20"/>
        </w:rPr>
        <w:t>Taenia solium</w:t>
      </w:r>
      <w:r w:rsidRPr="0034170A">
        <w:rPr>
          <w:sz w:val="20"/>
          <w:szCs w:val="20"/>
        </w:rPr>
        <w:t xml:space="preserve"> (causing cysticercosis), and </w:t>
      </w:r>
      <w:r w:rsidRPr="0034170A">
        <w:rPr>
          <w:i/>
          <w:iCs/>
          <w:sz w:val="20"/>
          <w:szCs w:val="20"/>
        </w:rPr>
        <w:t>Toxocara</w:t>
      </w:r>
      <w:r w:rsidRPr="0034170A">
        <w:rPr>
          <w:sz w:val="20"/>
          <w:szCs w:val="20"/>
        </w:rPr>
        <w:t xml:space="preserve"> species, all of which may cause life-threatening diseases and whose diagnosis and management often involve a multidisciplinary approach.</w:t>
      </w:r>
    </w:p>
    <w:p w:rsidR="00AE6B6E" w:rsidRPr="0034170A" w:rsidRDefault="00AE6B6E" w:rsidP="009A18F2">
      <w:pPr>
        <w:pStyle w:val="Heading4"/>
        <w:numPr>
          <w:ilvl w:val="2"/>
          <w:numId w:val="8"/>
        </w:numPr>
        <w:spacing w:before="0"/>
        <w:jc w:val="both"/>
        <w:rPr>
          <w:rFonts w:ascii="Times New Roman" w:hAnsi="Times New Roman" w:cs="Times New Roman"/>
          <w:i w:val="0"/>
          <w:iCs w:val="0"/>
          <w:sz w:val="20"/>
          <w:szCs w:val="20"/>
        </w:rPr>
      </w:pPr>
      <w:r w:rsidRPr="0034170A">
        <w:rPr>
          <w:rStyle w:val="Strong"/>
          <w:rFonts w:ascii="Times New Roman" w:hAnsi="Times New Roman" w:cs="Times New Roman"/>
          <w:b/>
          <w:bCs/>
          <w:i w:val="0"/>
          <w:iCs w:val="0"/>
          <w:sz w:val="20"/>
          <w:szCs w:val="20"/>
        </w:rPr>
        <w:t>Echinococcosis</w:t>
      </w:r>
    </w:p>
    <w:p w:rsidR="00AE6B6E" w:rsidRPr="0034170A" w:rsidRDefault="00BF3C35" w:rsidP="009A18F2">
      <w:pPr>
        <w:pStyle w:val="NormalWeb"/>
        <w:spacing w:before="0" w:beforeAutospacing="0" w:after="0" w:afterAutospacing="0"/>
        <w:ind w:firstLine="720"/>
        <w:jc w:val="both"/>
        <w:rPr>
          <w:sz w:val="20"/>
          <w:szCs w:val="20"/>
        </w:rPr>
      </w:pPr>
      <w:r w:rsidRPr="0034170A">
        <w:rPr>
          <w:sz w:val="20"/>
          <w:szCs w:val="20"/>
        </w:rPr>
        <w:t xml:space="preserve">Echinococcosis is also called hydatid disease. This parasitic infection has its zoonotic larvae origin from the tapeworm of </w:t>
      </w:r>
      <w:r w:rsidRPr="0034170A">
        <w:rPr>
          <w:i/>
          <w:iCs/>
          <w:sz w:val="20"/>
          <w:szCs w:val="20"/>
        </w:rPr>
        <w:t>Echinococcus</w:t>
      </w:r>
      <w:r w:rsidRPr="0034170A">
        <w:rPr>
          <w:sz w:val="20"/>
          <w:szCs w:val="20"/>
        </w:rPr>
        <w:t xml:space="preserve">. In humans, it is primarily two species of </w:t>
      </w:r>
      <w:r w:rsidRPr="0034170A">
        <w:rPr>
          <w:i/>
          <w:iCs/>
          <w:sz w:val="20"/>
          <w:szCs w:val="20"/>
        </w:rPr>
        <w:t>echinococcus</w:t>
      </w:r>
      <w:r w:rsidRPr="0034170A">
        <w:rPr>
          <w:sz w:val="20"/>
          <w:szCs w:val="20"/>
        </w:rPr>
        <w:t xml:space="preserve"> that are significant in causing this disease: the granulosus that causes cystic echinococcosis, and the more aggressive </w:t>
      </w:r>
      <w:r w:rsidRPr="0034170A">
        <w:rPr>
          <w:i/>
          <w:iCs/>
          <w:sz w:val="20"/>
          <w:szCs w:val="20"/>
        </w:rPr>
        <w:t>multilocularis</w:t>
      </w:r>
      <w:r w:rsidRPr="0034170A">
        <w:rPr>
          <w:sz w:val="20"/>
          <w:szCs w:val="20"/>
        </w:rPr>
        <w:t xml:space="preserve"> causes alveolar echinococcosis. Both types of echinococcosis are considered neglected tropical diseases, and they </w:t>
      </w:r>
      <w:r w:rsidRPr="0034170A">
        <w:rPr>
          <w:sz w:val="20"/>
          <w:szCs w:val="20"/>
        </w:rPr>
        <w:lastRenderedPageBreak/>
        <w:t>mainly target populations residing in rural, agricultural areas where close contact with livestock and wild carnivores exists</w:t>
      </w:r>
      <w:r w:rsidR="00AE6B6E" w:rsidRPr="0034170A">
        <w:rPr>
          <w:sz w:val="20"/>
          <w:szCs w:val="20"/>
        </w:rPr>
        <w:t>.</w:t>
      </w:r>
    </w:p>
    <w:p w:rsidR="00AE6B6E" w:rsidRPr="0034170A" w:rsidRDefault="00AE6B6E" w:rsidP="009A18F2">
      <w:pPr>
        <w:pStyle w:val="Heading5"/>
        <w:spacing w:before="0"/>
        <w:jc w:val="both"/>
        <w:rPr>
          <w:rFonts w:ascii="Times New Roman" w:hAnsi="Times New Roman" w:cs="Times New Roman"/>
          <w:sz w:val="20"/>
          <w:szCs w:val="20"/>
        </w:rPr>
      </w:pPr>
      <w:r w:rsidRPr="0034170A">
        <w:rPr>
          <w:rStyle w:val="Strong"/>
          <w:rFonts w:ascii="Times New Roman" w:hAnsi="Times New Roman" w:cs="Times New Roman"/>
          <w:b w:val="0"/>
          <w:bCs w:val="0"/>
          <w:sz w:val="20"/>
          <w:szCs w:val="20"/>
        </w:rPr>
        <w:t>Epidemiology</w:t>
      </w:r>
    </w:p>
    <w:p w:rsidR="00AE6B6E" w:rsidRPr="0034170A" w:rsidRDefault="00BF3C35" w:rsidP="009A18F2">
      <w:pPr>
        <w:pStyle w:val="NormalWeb"/>
        <w:spacing w:before="0" w:beforeAutospacing="0" w:after="0" w:afterAutospacing="0"/>
        <w:ind w:firstLine="720"/>
        <w:jc w:val="both"/>
        <w:rPr>
          <w:sz w:val="20"/>
          <w:szCs w:val="20"/>
        </w:rPr>
      </w:pPr>
      <w:r w:rsidRPr="0034170A">
        <w:rPr>
          <w:sz w:val="20"/>
          <w:szCs w:val="20"/>
        </w:rPr>
        <w:t>Cystic echinococcosis is found in nearly all continents. The most infected regions include places where animals, especially livestock are raised; those regions are found in South America, Mediterranean countries, Middle Eastern countries, and Central Asia. Alveolar echinococcosis (</w:t>
      </w:r>
      <w:r w:rsidRPr="0034170A">
        <w:rPr>
          <w:i/>
          <w:iCs/>
          <w:sz w:val="20"/>
          <w:szCs w:val="20"/>
        </w:rPr>
        <w:t>E. multilocularis</w:t>
      </w:r>
      <w:r w:rsidRPr="0034170A">
        <w:rPr>
          <w:sz w:val="20"/>
          <w:szCs w:val="20"/>
        </w:rPr>
        <w:t xml:space="preserve">) is mainly spread in smaller geographically isolated parts of Europe, Russia, and North America. They are acquired by humans accidentally, as the intermediate host through ingestion of the parasite eggs. The eggs of the parasite are passed in the feces of infected definitive hosts, usually dogs for </w:t>
      </w:r>
      <w:r w:rsidRPr="0034170A">
        <w:rPr>
          <w:i/>
          <w:iCs/>
          <w:sz w:val="20"/>
          <w:szCs w:val="20"/>
        </w:rPr>
        <w:t>E. granulosus</w:t>
      </w:r>
      <w:r w:rsidRPr="0034170A">
        <w:rPr>
          <w:sz w:val="20"/>
          <w:szCs w:val="20"/>
        </w:rPr>
        <w:t xml:space="preserve"> or wild carnivores for </w:t>
      </w:r>
      <w:r w:rsidRPr="0034170A">
        <w:rPr>
          <w:i/>
          <w:iCs/>
          <w:sz w:val="20"/>
          <w:szCs w:val="20"/>
        </w:rPr>
        <w:t>E. multilocularis</w:t>
      </w:r>
      <w:r w:rsidRPr="0034170A">
        <w:rPr>
          <w:sz w:val="20"/>
          <w:szCs w:val="20"/>
        </w:rPr>
        <w:t>.</w:t>
      </w:r>
      <w:r w:rsidR="00AE6B6E" w:rsidRPr="0034170A">
        <w:rPr>
          <w:sz w:val="20"/>
          <w:szCs w:val="20"/>
        </w:rPr>
        <w:t xml:space="preserve"> Once ingested, the eggs hatch in the intestine, and the larvae penetrate the intestinal wall, migrating through the bloodstream to various organs, predominantly the liver and lungs, where they form cysts.</w:t>
      </w:r>
    </w:p>
    <w:p w:rsidR="00AE6B6E" w:rsidRPr="0034170A" w:rsidRDefault="00AE6B6E" w:rsidP="009A18F2">
      <w:pPr>
        <w:pStyle w:val="Heading5"/>
        <w:spacing w:before="0"/>
        <w:jc w:val="both"/>
        <w:rPr>
          <w:rFonts w:ascii="Times New Roman" w:hAnsi="Times New Roman" w:cs="Times New Roman"/>
          <w:sz w:val="20"/>
          <w:szCs w:val="20"/>
        </w:rPr>
      </w:pPr>
      <w:r w:rsidRPr="0034170A">
        <w:rPr>
          <w:rStyle w:val="Strong"/>
          <w:rFonts w:ascii="Times New Roman" w:hAnsi="Times New Roman" w:cs="Times New Roman"/>
          <w:b w:val="0"/>
          <w:bCs w:val="0"/>
          <w:sz w:val="20"/>
          <w:szCs w:val="20"/>
        </w:rPr>
        <w:t>Clinical Symptoms</w:t>
      </w:r>
    </w:p>
    <w:p w:rsidR="00112C2B" w:rsidRPr="0034170A" w:rsidRDefault="00112C2B" w:rsidP="009A18F2">
      <w:pPr>
        <w:pStyle w:val="NormalWeb"/>
        <w:spacing w:before="0" w:beforeAutospacing="0" w:after="0" w:afterAutospacing="0"/>
        <w:ind w:firstLine="720"/>
        <w:jc w:val="both"/>
        <w:rPr>
          <w:sz w:val="20"/>
          <w:szCs w:val="20"/>
        </w:rPr>
      </w:pPr>
      <w:r w:rsidRPr="0034170A">
        <w:rPr>
          <w:sz w:val="20"/>
          <w:szCs w:val="20"/>
        </w:rPr>
        <w:t>The clinical presentation of echinococcosis varies with the species involved and with the location of the cysts. In the case of cystic echinococcosis, for example, this disease is generally asymptomatic for years, where the cyst grows slowly within the liver, lungs, or any other organs. When symptoms arise, they depend on the size and location of the cyst, which can manifest as abdominal pain, nausea, vomiting, and respiratory symptoms in the case of lung involvement. Such cysts may sometimes rupture, leading to further infection by bacteria, including anaphylaxis.</w:t>
      </w:r>
    </w:p>
    <w:p w:rsidR="00AE6B6E" w:rsidRPr="0034170A" w:rsidRDefault="00112C2B" w:rsidP="009A18F2">
      <w:pPr>
        <w:pStyle w:val="NormalWeb"/>
        <w:spacing w:before="0" w:beforeAutospacing="0" w:after="0" w:afterAutospacing="0"/>
        <w:ind w:firstLine="720"/>
        <w:jc w:val="both"/>
        <w:rPr>
          <w:sz w:val="20"/>
          <w:szCs w:val="20"/>
        </w:rPr>
      </w:pPr>
      <w:r w:rsidRPr="0034170A">
        <w:rPr>
          <w:i/>
          <w:iCs/>
          <w:sz w:val="20"/>
          <w:szCs w:val="20"/>
        </w:rPr>
        <w:t>E. multilocularis</w:t>
      </w:r>
      <w:r w:rsidRPr="0034170A">
        <w:rPr>
          <w:sz w:val="20"/>
          <w:szCs w:val="20"/>
        </w:rPr>
        <w:t xml:space="preserve"> causes alveolar echinococcosis and is more aggressive, in the sense of malignancy. The parasitic larvae are so invasive that it forms multivesicular cysts infiltrating other tissues and, either by destroying the liver, or by occluding the bile ducts with metastasis in other distant organs such as lung or brain. If left untreated, alveolar echinococcosis is nearly always fatal with a high degree of mortality due to delayed diagnosis.</w:t>
      </w:r>
    </w:p>
    <w:p w:rsidR="00AE6B6E" w:rsidRPr="0034170A" w:rsidRDefault="00AE6B6E" w:rsidP="009A18F2">
      <w:pPr>
        <w:pStyle w:val="Heading5"/>
        <w:spacing w:before="0"/>
        <w:jc w:val="both"/>
        <w:rPr>
          <w:rFonts w:ascii="Times New Roman" w:hAnsi="Times New Roman" w:cs="Times New Roman"/>
          <w:sz w:val="20"/>
          <w:szCs w:val="20"/>
        </w:rPr>
      </w:pPr>
      <w:r w:rsidRPr="0034170A">
        <w:rPr>
          <w:rStyle w:val="Strong"/>
          <w:rFonts w:ascii="Times New Roman" w:hAnsi="Times New Roman" w:cs="Times New Roman"/>
          <w:b w:val="0"/>
          <w:bCs w:val="0"/>
          <w:sz w:val="20"/>
          <w:szCs w:val="20"/>
        </w:rPr>
        <w:t>Laboratory Diagnosis</w:t>
      </w:r>
    </w:p>
    <w:p w:rsidR="006655EC" w:rsidRPr="0034170A" w:rsidRDefault="00112C2B" w:rsidP="009A18F2">
      <w:pPr>
        <w:pStyle w:val="NormalWeb"/>
        <w:spacing w:before="0" w:beforeAutospacing="0" w:after="0" w:afterAutospacing="0"/>
        <w:ind w:firstLine="720"/>
        <w:jc w:val="both"/>
        <w:rPr>
          <w:sz w:val="20"/>
          <w:szCs w:val="20"/>
        </w:rPr>
      </w:pPr>
      <w:r w:rsidRPr="0034170A">
        <w:rPr>
          <w:sz w:val="20"/>
          <w:szCs w:val="20"/>
        </w:rPr>
        <w:t xml:space="preserve">Serological testing and imaging methods are the mainstays of echinococcosis diagnosis. </w:t>
      </w:r>
      <w:r w:rsidR="006655EC" w:rsidRPr="0034170A">
        <w:rPr>
          <w:sz w:val="20"/>
          <w:szCs w:val="20"/>
        </w:rPr>
        <w:t xml:space="preserve">Ultrasonography is the preferred imaging modality for detecting cystic echinococcosis in the liver and other organs. Whenever there is uncertainty over the diagnosis, the size, location, and morphology of cysts may be evaluated using CT or MRI scans. In the case of alveolar echinococcosis, it may often be necessary to have both CT and MRI in order to determine the full extent of tissue invasion and for differentiating between the lesions and malignancies. Serological tests, such as ELISA, and immunoblotting can identify antibodies to </w:t>
      </w:r>
      <w:r w:rsidR="006655EC" w:rsidRPr="0034170A">
        <w:rPr>
          <w:i/>
          <w:iCs/>
          <w:sz w:val="20"/>
          <w:szCs w:val="20"/>
        </w:rPr>
        <w:t>Echinococcus</w:t>
      </w:r>
      <w:r w:rsidR="006655EC" w:rsidRPr="0034170A">
        <w:rPr>
          <w:sz w:val="20"/>
          <w:szCs w:val="20"/>
        </w:rPr>
        <w:t xml:space="preserve"> antigens, thus providing some evidence to establish the diagnosis.</w:t>
      </w:r>
    </w:p>
    <w:p w:rsidR="00AE6B6E" w:rsidRPr="0034170A" w:rsidRDefault="006655EC" w:rsidP="009A18F2">
      <w:pPr>
        <w:pStyle w:val="NormalWeb"/>
        <w:spacing w:before="0" w:beforeAutospacing="0" w:after="0" w:afterAutospacing="0"/>
        <w:ind w:firstLine="720"/>
        <w:jc w:val="both"/>
        <w:rPr>
          <w:sz w:val="20"/>
          <w:szCs w:val="20"/>
        </w:rPr>
      </w:pPr>
      <w:r w:rsidRPr="0034170A">
        <w:rPr>
          <w:sz w:val="20"/>
          <w:szCs w:val="20"/>
        </w:rPr>
        <w:t xml:space="preserve">However, its sensitivity and specificity could vary significantly, depending upon the stage of disease, as well as the stage and nature of immune response present within the host. In much selected cases, a fine-needle aspiration or biopsy for getting cyst fluid and tissue samples histopathologically would confirm the same for molecular confirmation of diagnosis in case of confirmation is required in many cases of Echinococcosis and even in taeniases.  </w:t>
      </w:r>
    </w:p>
    <w:p w:rsidR="00AE6B6E" w:rsidRPr="0034170A" w:rsidRDefault="00AE6B6E" w:rsidP="009A18F2">
      <w:pPr>
        <w:pStyle w:val="Heading5"/>
        <w:spacing w:before="0"/>
        <w:jc w:val="both"/>
        <w:rPr>
          <w:rFonts w:ascii="Times New Roman" w:hAnsi="Times New Roman" w:cs="Times New Roman"/>
          <w:sz w:val="20"/>
          <w:szCs w:val="20"/>
        </w:rPr>
      </w:pPr>
      <w:r w:rsidRPr="0034170A">
        <w:rPr>
          <w:rStyle w:val="Strong"/>
          <w:rFonts w:ascii="Times New Roman" w:hAnsi="Times New Roman" w:cs="Times New Roman"/>
          <w:b w:val="0"/>
          <w:bCs w:val="0"/>
          <w:sz w:val="20"/>
          <w:szCs w:val="20"/>
        </w:rPr>
        <w:t>Treatment</w:t>
      </w:r>
    </w:p>
    <w:p w:rsidR="006655EC" w:rsidRPr="0034170A" w:rsidRDefault="006655EC" w:rsidP="009A18F2">
      <w:pPr>
        <w:pStyle w:val="NormalWeb"/>
        <w:spacing w:before="0" w:beforeAutospacing="0" w:after="0" w:afterAutospacing="0"/>
        <w:ind w:firstLine="720"/>
        <w:jc w:val="both"/>
        <w:rPr>
          <w:sz w:val="20"/>
          <w:szCs w:val="20"/>
        </w:rPr>
      </w:pPr>
      <w:r w:rsidRPr="0034170A">
        <w:rPr>
          <w:sz w:val="20"/>
          <w:szCs w:val="20"/>
        </w:rPr>
        <w:t>The treatment of echinococcosis will depend on the species involved, the size and location of the cysts, and the patient's general health status. Surgery in combination with antihelminthic therapy is the recommended treatment for cystic echinococcosis. Surgical excision of the cysts is advised in cases where cysts are large and symptomatic or if at risk of rupture. Albendazole or mebendazole is given as preoperative or postoperative treatment to minimize the chance of recurrence. In patients where surgery is not possible, PAIR technique may be applied by aspirating the cysts and administering a scolicidal agent. In alveolar echinococcosis, the disease is more invasive, and therefore, treatment is more difficult.</w:t>
      </w:r>
    </w:p>
    <w:p w:rsidR="00AE6B6E" w:rsidRPr="0034170A" w:rsidRDefault="006655EC" w:rsidP="009A18F2">
      <w:pPr>
        <w:pStyle w:val="NormalWeb"/>
        <w:spacing w:before="0" w:beforeAutospacing="0" w:after="0" w:afterAutospacing="0"/>
        <w:ind w:firstLine="720"/>
        <w:jc w:val="both"/>
        <w:rPr>
          <w:sz w:val="20"/>
          <w:szCs w:val="20"/>
        </w:rPr>
      </w:pPr>
      <w:r w:rsidRPr="0034170A">
        <w:rPr>
          <w:sz w:val="20"/>
          <w:szCs w:val="20"/>
        </w:rPr>
        <w:t>The only curative option for the disease is radical surgery in an attempt to remove the infected tissue, though in most cases this is impossible because of the spread of the larvae. Long-term albendazole therapy is the only management with some hope to stop the disease process, though for a patient already suffering from the disease, the prognosis is poor</w:t>
      </w:r>
      <w:r w:rsidR="00AE6B6E" w:rsidRPr="0034170A">
        <w:rPr>
          <w:sz w:val="20"/>
          <w:szCs w:val="20"/>
        </w:rPr>
        <w:t>.</w:t>
      </w:r>
    </w:p>
    <w:p w:rsidR="00AE6B6E" w:rsidRPr="0034170A" w:rsidRDefault="00AE6B6E" w:rsidP="009A18F2">
      <w:pPr>
        <w:pStyle w:val="Heading4"/>
        <w:numPr>
          <w:ilvl w:val="2"/>
          <w:numId w:val="8"/>
        </w:numPr>
        <w:spacing w:before="0"/>
        <w:jc w:val="both"/>
        <w:rPr>
          <w:rFonts w:ascii="Times New Roman" w:hAnsi="Times New Roman" w:cs="Times New Roman"/>
          <w:i w:val="0"/>
          <w:iCs w:val="0"/>
          <w:sz w:val="20"/>
          <w:szCs w:val="20"/>
        </w:rPr>
      </w:pPr>
      <w:r w:rsidRPr="0034170A">
        <w:rPr>
          <w:rStyle w:val="Strong"/>
          <w:rFonts w:ascii="Times New Roman" w:hAnsi="Times New Roman" w:cs="Times New Roman"/>
          <w:b/>
          <w:bCs/>
          <w:i w:val="0"/>
          <w:iCs w:val="0"/>
          <w:sz w:val="20"/>
          <w:szCs w:val="20"/>
        </w:rPr>
        <w:t>Cysticercosis</w:t>
      </w:r>
    </w:p>
    <w:p w:rsidR="00AE6B6E" w:rsidRPr="0034170A" w:rsidRDefault="006655EC" w:rsidP="009A18F2">
      <w:pPr>
        <w:pStyle w:val="NormalWeb"/>
        <w:spacing w:before="0" w:beforeAutospacing="0" w:after="0" w:afterAutospacing="0"/>
        <w:ind w:firstLine="720"/>
        <w:jc w:val="both"/>
        <w:rPr>
          <w:sz w:val="20"/>
          <w:szCs w:val="20"/>
        </w:rPr>
      </w:pPr>
      <w:r w:rsidRPr="0034170A">
        <w:rPr>
          <w:sz w:val="20"/>
          <w:szCs w:val="20"/>
        </w:rPr>
        <w:t xml:space="preserve">It is essentially a tissue infection caused by a larval state of the parasite </w:t>
      </w:r>
      <w:r w:rsidRPr="0034170A">
        <w:rPr>
          <w:i/>
          <w:iCs/>
          <w:sz w:val="20"/>
          <w:szCs w:val="20"/>
        </w:rPr>
        <w:t>Taenia solium</w:t>
      </w:r>
      <w:r w:rsidRPr="0034170A">
        <w:rPr>
          <w:sz w:val="20"/>
          <w:szCs w:val="20"/>
        </w:rPr>
        <w:t xml:space="preserve">, called the pork tapeworm. The disease ensues through intake of eggs from </w:t>
      </w:r>
      <w:r w:rsidRPr="0034170A">
        <w:rPr>
          <w:i/>
          <w:iCs/>
          <w:sz w:val="20"/>
          <w:szCs w:val="20"/>
        </w:rPr>
        <w:t>T. solium</w:t>
      </w:r>
      <w:r w:rsidRPr="0034170A">
        <w:rPr>
          <w:sz w:val="20"/>
          <w:szCs w:val="20"/>
        </w:rPr>
        <w:t>, usually contaminated in food and drinks. When digested, in the intestines, they have hatched but the larvae begin to wander from the intestinal locations to many organs where they burrow themselves by forming cysts. Neurocysticercosis is the most severe form of the disease and occurs when the larvae penetrate the central nervous system, which may lead to seizures, headaches, and other neurological symptoms.</w:t>
      </w:r>
    </w:p>
    <w:p w:rsidR="00AE6B6E" w:rsidRPr="0034170A" w:rsidRDefault="00AE6B6E" w:rsidP="009A18F2">
      <w:pPr>
        <w:pStyle w:val="Heading5"/>
        <w:spacing w:before="0"/>
        <w:jc w:val="both"/>
        <w:rPr>
          <w:rFonts w:ascii="Times New Roman" w:hAnsi="Times New Roman" w:cs="Times New Roman"/>
          <w:sz w:val="20"/>
          <w:szCs w:val="20"/>
        </w:rPr>
      </w:pPr>
      <w:r w:rsidRPr="0034170A">
        <w:rPr>
          <w:rStyle w:val="Strong"/>
          <w:rFonts w:ascii="Times New Roman" w:hAnsi="Times New Roman" w:cs="Times New Roman"/>
          <w:b w:val="0"/>
          <w:bCs w:val="0"/>
          <w:sz w:val="20"/>
          <w:szCs w:val="20"/>
        </w:rPr>
        <w:t>Epidemiology</w:t>
      </w:r>
    </w:p>
    <w:p w:rsidR="00AE6B6E" w:rsidRPr="0034170A" w:rsidRDefault="006114F0" w:rsidP="009A18F2">
      <w:pPr>
        <w:pStyle w:val="NormalWeb"/>
        <w:spacing w:before="0" w:beforeAutospacing="0" w:after="0" w:afterAutospacing="0"/>
        <w:ind w:firstLine="720"/>
        <w:jc w:val="both"/>
        <w:rPr>
          <w:sz w:val="20"/>
          <w:szCs w:val="20"/>
        </w:rPr>
      </w:pPr>
      <w:r w:rsidRPr="0034170A">
        <w:rPr>
          <w:sz w:val="20"/>
          <w:szCs w:val="20"/>
        </w:rPr>
        <w:t>Cysticercosis is widespread in</w:t>
      </w:r>
      <w:r w:rsidR="006655EC" w:rsidRPr="0034170A">
        <w:rPr>
          <w:sz w:val="20"/>
          <w:szCs w:val="20"/>
        </w:rPr>
        <w:t xml:space="preserve"> many regions of Latin America, sub-Saharan Africa, Southeast Asia, and China, where pigs are raised in close vicinity with humans and inadequate sanitation contri</w:t>
      </w:r>
      <w:r w:rsidRPr="0034170A">
        <w:rPr>
          <w:sz w:val="20"/>
          <w:szCs w:val="20"/>
        </w:rPr>
        <w:t xml:space="preserve">bute to the spread of </w:t>
      </w:r>
      <w:r w:rsidRPr="0034170A">
        <w:rPr>
          <w:i/>
          <w:iCs/>
          <w:sz w:val="20"/>
          <w:szCs w:val="20"/>
        </w:rPr>
        <w:t>T. solium</w:t>
      </w:r>
      <w:r w:rsidR="006655EC" w:rsidRPr="0034170A">
        <w:rPr>
          <w:sz w:val="20"/>
          <w:szCs w:val="20"/>
        </w:rPr>
        <w:t xml:space="preserve">. People who have visited or departed from endemic regions are the main source of cases in non-endemic areas. When humans consume </w:t>
      </w:r>
      <w:r w:rsidR="006655EC" w:rsidRPr="0034170A">
        <w:rPr>
          <w:i/>
          <w:iCs/>
          <w:sz w:val="20"/>
          <w:szCs w:val="20"/>
        </w:rPr>
        <w:t>T. solium</w:t>
      </w:r>
      <w:r w:rsidR="006655EC" w:rsidRPr="0034170A">
        <w:rPr>
          <w:sz w:val="20"/>
          <w:szCs w:val="20"/>
        </w:rPr>
        <w:t xml:space="preserve"> eggs that are expelled in the feces of an infected person, the disease is </w:t>
      </w:r>
      <w:r w:rsidR="006655EC" w:rsidRPr="0034170A">
        <w:rPr>
          <w:sz w:val="20"/>
          <w:szCs w:val="20"/>
        </w:rPr>
        <w:lastRenderedPageBreak/>
        <w:t>spread by the fecal-oral route. Autoinfection, in which a person unintentionally consumes eggs from their own excrement, or contaminated food or water can also cause this</w:t>
      </w:r>
      <w:r w:rsidR="00AE6B6E" w:rsidRPr="0034170A">
        <w:rPr>
          <w:sz w:val="20"/>
          <w:szCs w:val="20"/>
        </w:rPr>
        <w:t>.</w:t>
      </w:r>
    </w:p>
    <w:p w:rsidR="00AE6B6E" w:rsidRPr="0034170A" w:rsidRDefault="00AE6B6E" w:rsidP="009A18F2">
      <w:pPr>
        <w:pStyle w:val="Heading5"/>
        <w:spacing w:before="0"/>
        <w:jc w:val="both"/>
        <w:rPr>
          <w:rFonts w:ascii="Times New Roman" w:hAnsi="Times New Roman" w:cs="Times New Roman"/>
          <w:sz w:val="20"/>
          <w:szCs w:val="20"/>
        </w:rPr>
      </w:pPr>
      <w:r w:rsidRPr="0034170A">
        <w:rPr>
          <w:rStyle w:val="Strong"/>
          <w:rFonts w:ascii="Times New Roman" w:hAnsi="Times New Roman" w:cs="Times New Roman"/>
          <w:b w:val="0"/>
          <w:bCs w:val="0"/>
          <w:sz w:val="20"/>
          <w:szCs w:val="20"/>
        </w:rPr>
        <w:t>Clinical Symptoms</w:t>
      </w:r>
    </w:p>
    <w:p w:rsidR="00AE6B6E" w:rsidRPr="0034170A" w:rsidRDefault="006114F0" w:rsidP="009A18F2">
      <w:pPr>
        <w:pStyle w:val="NormalWeb"/>
        <w:spacing w:before="0" w:beforeAutospacing="0" w:after="0" w:afterAutospacing="0"/>
        <w:ind w:firstLine="720"/>
        <w:jc w:val="both"/>
        <w:rPr>
          <w:sz w:val="20"/>
          <w:szCs w:val="20"/>
        </w:rPr>
      </w:pPr>
      <w:r w:rsidRPr="0034170A">
        <w:rPr>
          <w:sz w:val="20"/>
          <w:szCs w:val="20"/>
        </w:rPr>
        <w:t>The clinical presentation of cysticercosis is directly related to the location and the number of cysts. When larvae encyst in muscles, subcutaneous tissues, or the eyes, the disease often remains asymptomatic or results only in minor distress. However, neurocysticercosis involves the invasion of the cysticerci to the brain or spinal cord, which often shows more serious manifestations. The most common presenting symptom of neurocysticercosis is seizures, followed by headaches, cognitive decline, and focal neurological deficits. In some cases, cysts may cause hydrocephalus, intracranial hypertension, or even death.</w:t>
      </w:r>
    </w:p>
    <w:p w:rsidR="00AE6B6E" w:rsidRPr="0034170A" w:rsidRDefault="00AE6B6E" w:rsidP="009A18F2">
      <w:pPr>
        <w:pStyle w:val="Heading5"/>
        <w:spacing w:before="0"/>
        <w:jc w:val="both"/>
        <w:rPr>
          <w:rFonts w:ascii="Times New Roman" w:hAnsi="Times New Roman" w:cs="Times New Roman"/>
          <w:sz w:val="20"/>
          <w:szCs w:val="20"/>
        </w:rPr>
      </w:pPr>
      <w:r w:rsidRPr="0034170A">
        <w:rPr>
          <w:rStyle w:val="Strong"/>
          <w:rFonts w:ascii="Times New Roman" w:hAnsi="Times New Roman" w:cs="Times New Roman"/>
          <w:b w:val="0"/>
          <w:bCs w:val="0"/>
          <w:sz w:val="20"/>
          <w:szCs w:val="20"/>
        </w:rPr>
        <w:t>Laboratory Diagnosis</w:t>
      </w:r>
    </w:p>
    <w:p w:rsidR="006114F0" w:rsidRPr="0034170A" w:rsidRDefault="006114F0" w:rsidP="009A18F2">
      <w:pPr>
        <w:pStyle w:val="NormalWeb"/>
        <w:spacing w:before="0" w:beforeAutospacing="0" w:after="0" w:afterAutospacing="0"/>
        <w:ind w:firstLine="720"/>
        <w:jc w:val="both"/>
        <w:rPr>
          <w:sz w:val="20"/>
          <w:szCs w:val="20"/>
        </w:rPr>
      </w:pPr>
      <w:r w:rsidRPr="0034170A">
        <w:rPr>
          <w:sz w:val="20"/>
          <w:szCs w:val="20"/>
        </w:rPr>
        <w:t xml:space="preserve">Neuroimaging studies and serological tests make up the majority of diagnostic efforts in patients diagnosed with cysticercosis. CT and MRI are favored in imaging because of their efficiency in the visualization of cysts both in the brain and in the other body parts. They have a typical characteristic appearance in form of ring enhancing lesions due to small-sized lesions. Additionally, the appearance of calcified cysts points towards a chronic state of the disease. Characteristic cysts are generally enough, even without neurologic signs, for presumptive diagnosis of neurocysticercosis if located in endemic areas, where seizures or other signs are often noted with a history of it. </w:t>
      </w:r>
    </w:p>
    <w:p w:rsidR="00AE6B6E" w:rsidRPr="0034170A" w:rsidRDefault="006114F0" w:rsidP="009A18F2">
      <w:pPr>
        <w:pStyle w:val="NormalWeb"/>
        <w:spacing w:before="0" w:beforeAutospacing="0" w:after="0" w:afterAutospacing="0"/>
        <w:ind w:firstLine="720"/>
        <w:jc w:val="both"/>
        <w:rPr>
          <w:sz w:val="20"/>
          <w:szCs w:val="20"/>
        </w:rPr>
      </w:pPr>
      <w:r w:rsidRPr="0034170A">
        <w:rPr>
          <w:sz w:val="20"/>
          <w:szCs w:val="20"/>
        </w:rPr>
        <w:t xml:space="preserve">Serological tests, including ELISA and Western blot, may be used to detect antibodies against </w:t>
      </w:r>
      <w:r w:rsidRPr="0034170A">
        <w:rPr>
          <w:i/>
          <w:iCs/>
          <w:sz w:val="20"/>
          <w:szCs w:val="20"/>
        </w:rPr>
        <w:t>T. solium</w:t>
      </w:r>
      <w:r w:rsidRPr="0034170A">
        <w:rPr>
          <w:sz w:val="20"/>
          <w:szCs w:val="20"/>
        </w:rPr>
        <w:t xml:space="preserve"> in blood or cerebrospinal fluid as supportive evidence of the diagnosis. However, sensitivity of these tests may be less in patients with low cyst burden or calcified cysts</w:t>
      </w:r>
      <w:r w:rsidR="00AE6B6E" w:rsidRPr="0034170A">
        <w:rPr>
          <w:sz w:val="20"/>
          <w:szCs w:val="20"/>
        </w:rPr>
        <w:t>. In rare cases, biopsy of subcutaneous nodules or muscle cysts may be performed to confirm the diagnosis histologically.</w:t>
      </w:r>
    </w:p>
    <w:p w:rsidR="00AE6B6E" w:rsidRPr="0034170A" w:rsidRDefault="00AE6B6E" w:rsidP="009A18F2">
      <w:pPr>
        <w:pStyle w:val="Heading5"/>
        <w:spacing w:before="0"/>
        <w:jc w:val="both"/>
        <w:rPr>
          <w:rFonts w:ascii="Times New Roman" w:hAnsi="Times New Roman" w:cs="Times New Roman"/>
          <w:sz w:val="20"/>
          <w:szCs w:val="20"/>
        </w:rPr>
      </w:pPr>
      <w:r w:rsidRPr="0034170A">
        <w:rPr>
          <w:rStyle w:val="Strong"/>
          <w:rFonts w:ascii="Times New Roman" w:hAnsi="Times New Roman" w:cs="Times New Roman"/>
          <w:b w:val="0"/>
          <w:bCs w:val="0"/>
          <w:sz w:val="20"/>
          <w:szCs w:val="20"/>
        </w:rPr>
        <w:t>Treatment</w:t>
      </w:r>
    </w:p>
    <w:p w:rsidR="00AE6B6E" w:rsidRPr="0034170A" w:rsidRDefault="00AE6B6E" w:rsidP="009A18F2">
      <w:pPr>
        <w:pStyle w:val="NormalWeb"/>
        <w:spacing w:before="0" w:beforeAutospacing="0" w:after="0" w:afterAutospacing="0"/>
        <w:ind w:firstLine="720"/>
        <w:jc w:val="both"/>
        <w:rPr>
          <w:sz w:val="20"/>
          <w:szCs w:val="20"/>
        </w:rPr>
      </w:pPr>
      <w:r w:rsidRPr="0034170A">
        <w:rPr>
          <w:sz w:val="20"/>
          <w:szCs w:val="20"/>
        </w:rPr>
        <w:t xml:space="preserve">The treatment of cysticercosis depends on the location of the cysts and the severity of the disease. For asymptomatic individuals or those with calcified cysts, no treatment may be necessary, and management may focus on symptomatic relief, such as antiepileptic drugs for seizure control. In cases of neurocysticercosis, treatment typically involves a combination of antihelminthic therapy (such as albendazole or praziquantel) and corticosteroids to reduce inflammation associated with the destruction of cysts. </w:t>
      </w:r>
      <w:r w:rsidR="006114F0" w:rsidRPr="0034170A">
        <w:rPr>
          <w:sz w:val="20"/>
          <w:szCs w:val="20"/>
        </w:rPr>
        <w:t>When hydrocephalus or uncontrollable seizures do not improve with medication, surgery may be necessary</w:t>
      </w:r>
      <w:r w:rsidRPr="0034170A">
        <w:rPr>
          <w:sz w:val="20"/>
          <w:szCs w:val="20"/>
        </w:rPr>
        <w:t>.</w:t>
      </w:r>
    </w:p>
    <w:p w:rsidR="00AE6B6E" w:rsidRPr="0034170A" w:rsidRDefault="00AE6B6E" w:rsidP="009A18F2">
      <w:pPr>
        <w:pStyle w:val="Heading4"/>
        <w:numPr>
          <w:ilvl w:val="2"/>
          <w:numId w:val="8"/>
        </w:numPr>
        <w:spacing w:before="0"/>
        <w:jc w:val="both"/>
        <w:rPr>
          <w:rFonts w:ascii="Times New Roman" w:hAnsi="Times New Roman" w:cs="Times New Roman"/>
          <w:i w:val="0"/>
          <w:iCs w:val="0"/>
          <w:sz w:val="20"/>
          <w:szCs w:val="20"/>
        </w:rPr>
      </w:pPr>
      <w:r w:rsidRPr="0034170A">
        <w:rPr>
          <w:rStyle w:val="Strong"/>
          <w:rFonts w:ascii="Times New Roman" w:hAnsi="Times New Roman" w:cs="Times New Roman"/>
          <w:b/>
          <w:bCs/>
          <w:i w:val="0"/>
          <w:iCs w:val="0"/>
          <w:sz w:val="20"/>
          <w:szCs w:val="20"/>
        </w:rPr>
        <w:t>Toxocariasis</w:t>
      </w:r>
    </w:p>
    <w:p w:rsidR="00AE6B6E" w:rsidRPr="0034170A" w:rsidRDefault="006114F0" w:rsidP="009A18F2">
      <w:pPr>
        <w:pStyle w:val="NormalWeb"/>
        <w:spacing w:before="0" w:beforeAutospacing="0" w:after="0" w:afterAutospacing="0"/>
        <w:ind w:firstLine="720"/>
        <w:jc w:val="both"/>
        <w:rPr>
          <w:sz w:val="20"/>
          <w:szCs w:val="20"/>
        </w:rPr>
      </w:pPr>
      <w:r w:rsidRPr="0034170A">
        <w:rPr>
          <w:sz w:val="20"/>
          <w:szCs w:val="20"/>
        </w:rPr>
        <w:t xml:space="preserve">Toxocariasis, a zoonotic parasitic disease, involves the larvae of </w:t>
      </w:r>
      <w:r w:rsidRPr="0034170A">
        <w:rPr>
          <w:i/>
          <w:iCs/>
          <w:sz w:val="20"/>
          <w:szCs w:val="20"/>
        </w:rPr>
        <w:t>Toxocara canis</w:t>
      </w:r>
      <w:r w:rsidRPr="0034170A">
        <w:rPr>
          <w:sz w:val="20"/>
          <w:szCs w:val="20"/>
        </w:rPr>
        <w:t xml:space="preserve">, the common dog roundworm, and of </w:t>
      </w:r>
      <w:r w:rsidRPr="0034170A">
        <w:rPr>
          <w:i/>
          <w:iCs/>
          <w:sz w:val="20"/>
          <w:szCs w:val="20"/>
        </w:rPr>
        <w:t>Toxocara cati</w:t>
      </w:r>
      <w:r w:rsidRPr="0034170A">
        <w:rPr>
          <w:sz w:val="20"/>
          <w:szCs w:val="20"/>
        </w:rPr>
        <w:t>, the feline roundworm. Humans infected with this develop the disease via ingestion of the eggs from infected soil, contaminated water, and food. Once ingested, the eggs hatch in the intestine, the larvae migrate to the bloodstream towards various organs of the body to cause considerable tissue damage. There are two very common presentations that occur due to toxocariasis, visceral larva migrans (VLM) or ocular larva migrans (OLM).</w:t>
      </w:r>
    </w:p>
    <w:p w:rsidR="00AE6B6E" w:rsidRPr="0034170A" w:rsidRDefault="00AE6B6E" w:rsidP="009A18F2">
      <w:pPr>
        <w:pStyle w:val="Heading5"/>
        <w:spacing w:before="0"/>
        <w:jc w:val="both"/>
        <w:rPr>
          <w:rFonts w:ascii="Times New Roman" w:hAnsi="Times New Roman" w:cs="Times New Roman"/>
          <w:sz w:val="20"/>
          <w:szCs w:val="20"/>
        </w:rPr>
      </w:pPr>
      <w:r w:rsidRPr="0034170A">
        <w:rPr>
          <w:rStyle w:val="Strong"/>
          <w:rFonts w:ascii="Times New Roman" w:hAnsi="Times New Roman" w:cs="Times New Roman"/>
          <w:b w:val="0"/>
          <w:bCs w:val="0"/>
          <w:sz w:val="20"/>
          <w:szCs w:val="20"/>
        </w:rPr>
        <w:t>Epidemiology</w:t>
      </w:r>
    </w:p>
    <w:p w:rsidR="00AE6B6E" w:rsidRPr="0034170A" w:rsidRDefault="006114F0" w:rsidP="009A18F2">
      <w:pPr>
        <w:pStyle w:val="NormalWeb"/>
        <w:spacing w:before="0" w:beforeAutospacing="0" w:after="0" w:afterAutospacing="0"/>
        <w:ind w:firstLine="720"/>
        <w:jc w:val="both"/>
        <w:rPr>
          <w:sz w:val="20"/>
          <w:szCs w:val="20"/>
        </w:rPr>
      </w:pPr>
      <w:r w:rsidRPr="0034170A">
        <w:rPr>
          <w:sz w:val="20"/>
          <w:szCs w:val="20"/>
        </w:rPr>
        <w:t xml:space="preserve">Toxocariasis has a global prevalence, with high prevalence in areas that have dogs and cats as household pets and fecal contamination in the soil. Children are mostly at risk because of their tendency to play in such contaminated soil as well as poor practices in hand washing. In the United States, research has recorded that an approximate 14% population is exposed to </w:t>
      </w:r>
      <w:r w:rsidRPr="0034170A">
        <w:rPr>
          <w:i/>
          <w:iCs/>
          <w:sz w:val="20"/>
          <w:szCs w:val="20"/>
        </w:rPr>
        <w:t>Toxocara</w:t>
      </w:r>
      <w:r w:rsidRPr="0034170A">
        <w:rPr>
          <w:sz w:val="20"/>
          <w:szCs w:val="20"/>
        </w:rPr>
        <w:t xml:space="preserve"> larvae because of positive antibodies in the blood. Since the syndrome is very non-specific and there is no routine screening, it causes under-diagnoses.</w:t>
      </w:r>
    </w:p>
    <w:p w:rsidR="00AE6B6E" w:rsidRPr="0034170A" w:rsidRDefault="00AE6B6E" w:rsidP="009A18F2">
      <w:pPr>
        <w:pStyle w:val="Heading5"/>
        <w:spacing w:before="0"/>
        <w:jc w:val="both"/>
        <w:rPr>
          <w:rFonts w:ascii="Times New Roman" w:hAnsi="Times New Roman" w:cs="Times New Roman"/>
          <w:sz w:val="20"/>
          <w:szCs w:val="20"/>
        </w:rPr>
      </w:pPr>
      <w:r w:rsidRPr="0034170A">
        <w:rPr>
          <w:rStyle w:val="Strong"/>
          <w:rFonts w:ascii="Times New Roman" w:hAnsi="Times New Roman" w:cs="Times New Roman"/>
          <w:b w:val="0"/>
          <w:bCs w:val="0"/>
          <w:sz w:val="20"/>
          <w:szCs w:val="20"/>
        </w:rPr>
        <w:t>Clinical Symptoms</w:t>
      </w:r>
    </w:p>
    <w:p w:rsidR="00AE6B6E" w:rsidRPr="0034170A" w:rsidRDefault="00C56055" w:rsidP="009A18F2">
      <w:pPr>
        <w:pStyle w:val="NormalWeb"/>
        <w:spacing w:before="0" w:beforeAutospacing="0" w:after="0" w:afterAutospacing="0"/>
        <w:ind w:firstLine="720"/>
        <w:jc w:val="both"/>
        <w:rPr>
          <w:sz w:val="20"/>
          <w:szCs w:val="20"/>
        </w:rPr>
      </w:pPr>
      <w:r w:rsidRPr="0034170A">
        <w:rPr>
          <w:sz w:val="20"/>
          <w:szCs w:val="20"/>
        </w:rPr>
        <w:t>Depending upon the organs which the migrating larvae affect, there are various clinical manifestations of toxocariasis. The visceral larva migrans cases present nonspecific symptoms because larvae migrate to liver, lungs, heart, etc, causing fever, coughing and wheezing, hepatomegaly, or eosinophilia. In serious cases, there may be respiratory distress or cardiac complications due to the illness. One of the manifestations of ocular larva migrans occurs when larvae invade the eye and cause inflammation, vision loss. The larvae may find their way to the brain or spinal cord and lead to neurologic manifestations.</w:t>
      </w:r>
    </w:p>
    <w:p w:rsidR="00AE6B6E" w:rsidRPr="0034170A" w:rsidRDefault="00AE6B6E" w:rsidP="009A18F2">
      <w:pPr>
        <w:pStyle w:val="Heading5"/>
        <w:spacing w:before="0"/>
        <w:jc w:val="both"/>
        <w:rPr>
          <w:rFonts w:ascii="Times New Roman" w:hAnsi="Times New Roman" w:cs="Times New Roman"/>
          <w:sz w:val="20"/>
          <w:szCs w:val="20"/>
        </w:rPr>
      </w:pPr>
      <w:r w:rsidRPr="0034170A">
        <w:rPr>
          <w:rStyle w:val="Strong"/>
          <w:rFonts w:ascii="Times New Roman" w:hAnsi="Times New Roman" w:cs="Times New Roman"/>
          <w:b w:val="0"/>
          <w:bCs w:val="0"/>
          <w:sz w:val="20"/>
          <w:szCs w:val="20"/>
        </w:rPr>
        <w:t>Laboratory Diagnosis</w:t>
      </w:r>
    </w:p>
    <w:p w:rsidR="00AE6B6E" w:rsidRPr="0034170A" w:rsidRDefault="00C56055" w:rsidP="009A18F2">
      <w:pPr>
        <w:pStyle w:val="NormalWeb"/>
        <w:spacing w:before="0" w:beforeAutospacing="0" w:after="0" w:afterAutospacing="0"/>
        <w:ind w:firstLine="720"/>
        <w:jc w:val="both"/>
        <w:rPr>
          <w:sz w:val="20"/>
          <w:szCs w:val="20"/>
        </w:rPr>
      </w:pPr>
      <w:r w:rsidRPr="0034170A">
        <w:rPr>
          <w:sz w:val="20"/>
          <w:szCs w:val="20"/>
        </w:rPr>
        <w:t xml:space="preserve">The diagnosis of toxocariasis is primarily made by serological tests, as larvae do not reach maturity to adult worms in human beings and rarely appear in clinical samples. Detection of antibodies against </w:t>
      </w:r>
      <w:r w:rsidRPr="0034170A">
        <w:rPr>
          <w:i/>
          <w:iCs/>
          <w:sz w:val="20"/>
          <w:szCs w:val="20"/>
        </w:rPr>
        <w:t>Toxocara</w:t>
      </w:r>
      <w:r w:rsidRPr="0034170A">
        <w:rPr>
          <w:sz w:val="20"/>
          <w:szCs w:val="20"/>
        </w:rPr>
        <w:t xml:space="preserve"> larvae is possible with the help of ELISA and Western blot assays and thus is an indirect indicator of infection. Eosinophilia and elevated IgE are common in individuals with visceral larva migrans, while lesions in the involved organs are demonstrated by imaging studies-which may include ultrasound or CT studies-and direct examination of the eye by an ophthalmologist may reveal the presence of retinal lesions or larvae in cases of ocular larva migrans</w:t>
      </w:r>
      <w:r w:rsidR="00AE6B6E" w:rsidRPr="0034170A">
        <w:rPr>
          <w:sz w:val="20"/>
          <w:szCs w:val="20"/>
        </w:rPr>
        <w:t>.</w:t>
      </w:r>
    </w:p>
    <w:p w:rsidR="00AE6B6E" w:rsidRPr="0034170A" w:rsidRDefault="00AE6B6E" w:rsidP="009A18F2">
      <w:pPr>
        <w:pStyle w:val="Heading5"/>
        <w:spacing w:before="0"/>
        <w:jc w:val="both"/>
        <w:rPr>
          <w:rFonts w:ascii="Times New Roman" w:hAnsi="Times New Roman" w:cs="Times New Roman"/>
          <w:sz w:val="20"/>
          <w:szCs w:val="20"/>
        </w:rPr>
      </w:pPr>
      <w:r w:rsidRPr="0034170A">
        <w:rPr>
          <w:rStyle w:val="Strong"/>
          <w:rFonts w:ascii="Times New Roman" w:hAnsi="Times New Roman" w:cs="Times New Roman"/>
          <w:b w:val="0"/>
          <w:bCs w:val="0"/>
          <w:sz w:val="20"/>
          <w:szCs w:val="20"/>
        </w:rPr>
        <w:t>Treatment</w:t>
      </w:r>
    </w:p>
    <w:p w:rsidR="00AE6B6E" w:rsidRPr="0034170A" w:rsidRDefault="00C56055" w:rsidP="009A18F2">
      <w:pPr>
        <w:pStyle w:val="NormalWeb"/>
        <w:spacing w:before="0" w:beforeAutospacing="0" w:after="0" w:afterAutospacing="0"/>
        <w:ind w:firstLine="720"/>
        <w:jc w:val="both"/>
        <w:rPr>
          <w:sz w:val="20"/>
          <w:szCs w:val="20"/>
        </w:rPr>
      </w:pPr>
      <w:r w:rsidRPr="0034170A">
        <w:rPr>
          <w:sz w:val="20"/>
          <w:szCs w:val="20"/>
        </w:rPr>
        <w:t xml:space="preserve">The treatment of toxocariasis depends on the severity of the disease and the organs involved. Minor cases of visceral larva migrans may spontaneously resolve without any form of treatment, but antihelminthic therapy is </w:t>
      </w:r>
      <w:r w:rsidRPr="0034170A">
        <w:rPr>
          <w:sz w:val="20"/>
          <w:szCs w:val="20"/>
        </w:rPr>
        <w:lastRenderedPageBreak/>
        <w:t>applied in severe cases through albendazole or mebendazole. In other instances, corticosteroids are used in cases of a severe form of organ involvement or ocular disease in a view to reducing inflammation. In ocular larva migrans, surgery might be required to remove the larvae and prevent damage to the eye</w:t>
      </w:r>
      <w:r w:rsidR="00AE6B6E" w:rsidRPr="0034170A">
        <w:rPr>
          <w:sz w:val="20"/>
          <w:szCs w:val="20"/>
        </w:rPr>
        <w:t>.</w:t>
      </w:r>
    </w:p>
    <w:p w:rsidR="00625C11" w:rsidRPr="0034170A" w:rsidRDefault="00625C11" w:rsidP="009A18F2">
      <w:pPr>
        <w:pStyle w:val="Heading3"/>
        <w:numPr>
          <w:ilvl w:val="1"/>
          <w:numId w:val="8"/>
        </w:numPr>
        <w:spacing w:before="0"/>
        <w:jc w:val="both"/>
        <w:rPr>
          <w:rFonts w:ascii="Times New Roman" w:hAnsi="Times New Roman" w:cs="Times New Roman"/>
          <w:sz w:val="20"/>
          <w:szCs w:val="20"/>
        </w:rPr>
      </w:pPr>
      <w:r w:rsidRPr="0034170A">
        <w:rPr>
          <w:rStyle w:val="Strong"/>
          <w:rFonts w:ascii="Times New Roman" w:hAnsi="Times New Roman" w:cs="Times New Roman"/>
          <w:b/>
          <w:bCs/>
          <w:sz w:val="20"/>
          <w:szCs w:val="20"/>
        </w:rPr>
        <w:t>Hemato Tissue Parasites</w:t>
      </w:r>
    </w:p>
    <w:p w:rsidR="00625C11" w:rsidRPr="0034170A" w:rsidRDefault="00C56055" w:rsidP="009A18F2">
      <w:pPr>
        <w:pStyle w:val="NormalWeb"/>
        <w:spacing w:before="0" w:beforeAutospacing="0" w:after="0" w:afterAutospacing="0"/>
        <w:ind w:firstLine="720"/>
        <w:jc w:val="both"/>
        <w:rPr>
          <w:sz w:val="20"/>
          <w:szCs w:val="20"/>
        </w:rPr>
      </w:pPr>
      <w:r w:rsidRPr="0034170A">
        <w:rPr>
          <w:sz w:val="20"/>
          <w:szCs w:val="20"/>
        </w:rPr>
        <w:t xml:space="preserve">Hemato tissue parasites, which belong to the group of highly diverse parasitic organisms, primarily infect blood and tissues, causing a spectrum of diseases potentially severe and systemic. They include </w:t>
      </w:r>
      <w:r w:rsidRPr="0034170A">
        <w:rPr>
          <w:i/>
          <w:iCs/>
          <w:sz w:val="20"/>
          <w:szCs w:val="20"/>
        </w:rPr>
        <w:t>Toxoplasma gondii</w:t>
      </w:r>
      <w:r w:rsidRPr="0034170A">
        <w:rPr>
          <w:sz w:val="20"/>
          <w:szCs w:val="20"/>
        </w:rPr>
        <w:t xml:space="preserve">, species of </w:t>
      </w:r>
      <w:r w:rsidRPr="0034170A">
        <w:rPr>
          <w:i/>
          <w:iCs/>
          <w:sz w:val="20"/>
          <w:szCs w:val="20"/>
        </w:rPr>
        <w:t>Leishmania</w:t>
      </w:r>
      <w:r w:rsidRPr="0034170A">
        <w:rPr>
          <w:sz w:val="20"/>
          <w:szCs w:val="20"/>
        </w:rPr>
        <w:t xml:space="preserve">, and </w:t>
      </w:r>
      <w:r w:rsidRPr="0034170A">
        <w:rPr>
          <w:i/>
          <w:iCs/>
          <w:sz w:val="20"/>
          <w:szCs w:val="20"/>
        </w:rPr>
        <w:t>Plasmodium</w:t>
      </w:r>
      <w:r w:rsidRPr="0034170A">
        <w:rPr>
          <w:sz w:val="20"/>
          <w:szCs w:val="20"/>
        </w:rPr>
        <w:t xml:space="preserve"> responsible for malaria, whose life cycles are usually elaborate and involve multiple hosts and vectors that may be as inconspicuous as a mosquito or as notorious as a sandfly. Such infections due to tissue parasites from hemato may lead to chronic disease and severe morbidity and even death in the affected, particularly the immunocompromised individual or a person in an endemic area. Generally, a diagnosis for these infections will need clinical assessment, laboratory testing, and sometimes imaging studies. Following is an elaboration on three of the main diseases of tissue parasites of the hemato type: toxoplasmosis, leishmaniasis, and malaria.</w:t>
      </w:r>
    </w:p>
    <w:p w:rsidR="00625C11" w:rsidRPr="0034170A" w:rsidRDefault="00625C11" w:rsidP="009A18F2">
      <w:pPr>
        <w:pStyle w:val="Heading4"/>
        <w:numPr>
          <w:ilvl w:val="2"/>
          <w:numId w:val="8"/>
        </w:numPr>
        <w:spacing w:before="0"/>
        <w:jc w:val="both"/>
        <w:rPr>
          <w:rFonts w:ascii="Times New Roman" w:hAnsi="Times New Roman" w:cs="Times New Roman"/>
          <w:i w:val="0"/>
          <w:iCs w:val="0"/>
          <w:sz w:val="20"/>
          <w:szCs w:val="20"/>
        </w:rPr>
      </w:pPr>
      <w:r w:rsidRPr="0034170A">
        <w:rPr>
          <w:rStyle w:val="Strong"/>
          <w:rFonts w:ascii="Times New Roman" w:hAnsi="Times New Roman" w:cs="Times New Roman"/>
          <w:b/>
          <w:bCs/>
          <w:i w:val="0"/>
          <w:iCs w:val="0"/>
          <w:sz w:val="20"/>
          <w:szCs w:val="20"/>
        </w:rPr>
        <w:t>Toxoplasmosis</w:t>
      </w:r>
    </w:p>
    <w:p w:rsidR="00625C11" w:rsidRPr="0034170A" w:rsidRDefault="00C56055" w:rsidP="009A18F2">
      <w:pPr>
        <w:pStyle w:val="NormalWeb"/>
        <w:spacing w:before="0" w:beforeAutospacing="0" w:after="0" w:afterAutospacing="0"/>
        <w:ind w:firstLine="720"/>
        <w:jc w:val="both"/>
        <w:rPr>
          <w:sz w:val="20"/>
          <w:szCs w:val="20"/>
        </w:rPr>
      </w:pPr>
      <w:r w:rsidRPr="0034170A">
        <w:rPr>
          <w:i/>
          <w:iCs/>
          <w:sz w:val="20"/>
          <w:szCs w:val="20"/>
        </w:rPr>
        <w:t>Toxoplasma gondii</w:t>
      </w:r>
      <w:r w:rsidRPr="0034170A">
        <w:rPr>
          <w:sz w:val="20"/>
          <w:szCs w:val="20"/>
        </w:rPr>
        <w:t>, one of the most prevalent parasites affecting people globally, is the cause of the zoonotic parasitic disease toxoplasmosis</w:t>
      </w:r>
      <w:r w:rsidR="00625C11" w:rsidRPr="0034170A">
        <w:rPr>
          <w:sz w:val="20"/>
          <w:szCs w:val="20"/>
        </w:rPr>
        <w:t xml:space="preserve">. The parasite can infect virtually any warm-blooded animal, but cats are the definitive hosts, shedding </w:t>
      </w:r>
      <w:r w:rsidR="00625C11" w:rsidRPr="0034170A">
        <w:rPr>
          <w:rStyle w:val="Emphasis"/>
          <w:sz w:val="20"/>
          <w:szCs w:val="20"/>
        </w:rPr>
        <w:t>T. gondii</w:t>
      </w:r>
      <w:r w:rsidR="00625C11" w:rsidRPr="0034170A">
        <w:rPr>
          <w:sz w:val="20"/>
          <w:szCs w:val="20"/>
        </w:rPr>
        <w:t xml:space="preserve"> oocysts in their feces. Human infection occurs primarily through the ingestion of undercooked or contaminated meat, food, or water, or by accidental ingestion of oocysts from cat feces. While toxoplasmosis is usually asymptomatic in healthy individuals, it can cause severe disease in immunocompromised patients, such as those with HIV/AIDS, and in pregnant women, where it poses a serious risk of congenital infection.</w:t>
      </w:r>
    </w:p>
    <w:p w:rsidR="00625C11" w:rsidRPr="0034170A" w:rsidRDefault="00625C11" w:rsidP="009A18F2">
      <w:pPr>
        <w:pStyle w:val="Heading5"/>
        <w:spacing w:before="0"/>
        <w:jc w:val="both"/>
        <w:rPr>
          <w:rFonts w:ascii="Times New Roman" w:hAnsi="Times New Roman" w:cs="Times New Roman"/>
          <w:sz w:val="20"/>
          <w:szCs w:val="20"/>
        </w:rPr>
      </w:pPr>
      <w:r w:rsidRPr="0034170A">
        <w:rPr>
          <w:rStyle w:val="Strong"/>
          <w:rFonts w:ascii="Times New Roman" w:hAnsi="Times New Roman" w:cs="Times New Roman"/>
          <w:b w:val="0"/>
          <w:bCs w:val="0"/>
          <w:sz w:val="20"/>
          <w:szCs w:val="20"/>
        </w:rPr>
        <w:t>Epidemiology</w:t>
      </w:r>
    </w:p>
    <w:p w:rsidR="00625C11" w:rsidRPr="0034170A" w:rsidRDefault="009B65EE" w:rsidP="009A18F2">
      <w:pPr>
        <w:pStyle w:val="NormalWeb"/>
        <w:spacing w:before="0" w:beforeAutospacing="0" w:after="0" w:afterAutospacing="0"/>
        <w:jc w:val="both"/>
        <w:rPr>
          <w:sz w:val="20"/>
          <w:szCs w:val="20"/>
        </w:rPr>
      </w:pPr>
      <w:r w:rsidRPr="0034170A">
        <w:rPr>
          <w:sz w:val="20"/>
          <w:szCs w:val="20"/>
        </w:rPr>
        <w:t xml:space="preserve">          </w:t>
      </w:r>
      <w:r w:rsidR="00625C11" w:rsidRPr="0034170A">
        <w:rPr>
          <w:sz w:val="20"/>
          <w:szCs w:val="20"/>
        </w:rPr>
        <w:t>Toxoplasmosis is globally prevalent, with seropositivity rates varying between 10% and 90% depending on geographic region, climate, dietary habits, and exposure to cats. In tropical and subtropical regions, the prevalence tends to be higher due to optimal conditions for oocyst survival in the environment. In developed countries, most infections are acquired through the consumption of undercooked meat, particularly pork and lamb, which harbor tissue cysts. In contrast, in rural areas or developing nations, direct contact with contaminated soil or water, or exposure to infected cats, is a more common source of infection.</w:t>
      </w:r>
    </w:p>
    <w:p w:rsidR="00625C11" w:rsidRPr="0034170A" w:rsidRDefault="00625C11" w:rsidP="009A18F2">
      <w:pPr>
        <w:pStyle w:val="Heading5"/>
        <w:spacing w:before="0"/>
        <w:jc w:val="both"/>
        <w:rPr>
          <w:rFonts w:ascii="Times New Roman" w:hAnsi="Times New Roman" w:cs="Times New Roman"/>
          <w:sz w:val="20"/>
          <w:szCs w:val="20"/>
        </w:rPr>
      </w:pPr>
      <w:r w:rsidRPr="0034170A">
        <w:rPr>
          <w:rStyle w:val="Strong"/>
          <w:rFonts w:ascii="Times New Roman" w:hAnsi="Times New Roman" w:cs="Times New Roman"/>
          <w:b w:val="0"/>
          <w:bCs w:val="0"/>
          <w:sz w:val="20"/>
          <w:szCs w:val="20"/>
        </w:rPr>
        <w:t>Clinical Symptoms</w:t>
      </w:r>
    </w:p>
    <w:p w:rsidR="00625C11" w:rsidRPr="0034170A" w:rsidRDefault="00C56055" w:rsidP="009A18F2">
      <w:pPr>
        <w:pStyle w:val="NormalWeb"/>
        <w:spacing w:before="0" w:beforeAutospacing="0" w:after="0" w:afterAutospacing="0"/>
        <w:ind w:firstLine="720"/>
        <w:jc w:val="both"/>
        <w:rPr>
          <w:sz w:val="20"/>
          <w:szCs w:val="20"/>
        </w:rPr>
      </w:pPr>
      <w:r w:rsidRPr="0034170A">
        <w:rPr>
          <w:sz w:val="20"/>
          <w:szCs w:val="20"/>
        </w:rPr>
        <w:t xml:space="preserve">In most immunocompetent individuals, the infections remain asymptomatic or are associated with mild, flu-like symptoms: fever, headache, myalgia, and fatigue. In contrast, toxoplasmosis poses significant risk in immunocompromised persons, such as HIV/AIDS, chemotherapy, and organ transplant patients, leading to serious complications: encephalitis, pneumonitis, and chorioretinitis. In pregnant women, acute infection with </w:t>
      </w:r>
      <w:r w:rsidRPr="0034170A">
        <w:rPr>
          <w:i/>
          <w:iCs/>
          <w:sz w:val="20"/>
          <w:szCs w:val="20"/>
        </w:rPr>
        <w:t>T. gondii</w:t>
      </w:r>
      <w:r w:rsidRPr="0034170A">
        <w:rPr>
          <w:sz w:val="20"/>
          <w:szCs w:val="20"/>
        </w:rPr>
        <w:t xml:space="preserve"> may lead to devastating consequences for the fetus. </w:t>
      </w:r>
      <w:r w:rsidRPr="0034170A">
        <w:rPr>
          <w:i/>
          <w:iCs/>
          <w:sz w:val="20"/>
          <w:szCs w:val="20"/>
        </w:rPr>
        <w:t>gondii</w:t>
      </w:r>
      <w:r w:rsidRPr="0034170A">
        <w:rPr>
          <w:sz w:val="20"/>
          <w:szCs w:val="20"/>
        </w:rPr>
        <w:t xml:space="preserve"> can lead to congenital toxoplasmosis, and the consequences in the fetus may be severe and include miscarriage, stillbirth, or neurological disorders such as hydrocephalus, epilepsy, or mental retardation.</w:t>
      </w:r>
      <w:r w:rsidR="00625C11" w:rsidRPr="0034170A">
        <w:rPr>
          <w:sz w:val="20"/>
          <w:szCs w:val="20"/>
        </w:rPr>
        <w:t>.</w:t>
      </w:r>
    </w:p>
    <w:p w:rsidR="00625C11" w:rsidRPr="0034170A" w:rsidRDefault="00625C11" w:rsidP="009A18F2">
      <w:pPr>
        <w:pStyle w:val="Heading5"/>
        <w:spacing w:before="0"/>
        <w:jc w:val="both"/>
        <w:rPr>
          <w:rFonts w:ascii="Times New Roman" w:hAnsi="Times New Roman" w:cs="Times New Roman"/>
          <w:sz w:val="20"/>
          <w:szCs w:val="20"/>
        </w:rPr>
      </w:pPr>
      <w:r w:rsidRPr="0034170A">
        <w:rPr>
          <w:rStyle w:val="Strong"/>
          <w:rFonts w:ascii="Times New Roman" w:hAnsi="Times New Roman" w:cs="Times New Roman"/>
          <w:b w:val="0"/>
          <w:bCs w:val="0"/>
          <w:sz w:val="20"/>
          <w:szCs w:val="20"/>
        </w:rPr>
        <w:t>Laboratory Diagnosis</w:t>
      </w:r>
    </w:p>
    <w:p w:rsidR="00625C11" w:rsidRPr="0034170A" w:rsidRDefault="00C56055" w:rsidP="009A18F2">
      <w:pPr>
        <w:pStyle w:val="NormalWeb"/>
        <w:spacing w:before="0" w:beforeAutospacing="0" w:after="0" w:afterAutospacing="0"/>
        <w:ind w:firstLine="720"/>
        <w:jc w:val="both"/>
        <w:rPr>
          <w:sz w:val="20"/>
          <w:szCs w:val="20"/>
        </w:rPr>
      </w:pPr>
      <w:r w:rsidRPr="0034170A">
        <w:rPr>
          <w:sz w:val="20"/>
          <w:szCs w:val="20"/>
        </w:rPr>
        <w:t xml:space="preserve">Diagnosis of toxoplasmosis usually involves serological tests that measure antibodies against </w:t>
      </w:r>
      <w:r w:rsidRPr="0034170A">
        <w:rPr>
          <w:i/>
          <w:iCs/>
          <w:sz w:val="20"/>
          <w:szCs w:val="20"/>
        </w:rPr>
        <w:t>T. gondii</w:t>
      </w:r>
      <w:r w:rsidRPr="0034170A">
        <w:rPr>
          <w:sz w:val="20"/>
          <w:szCs w:val="20"/>
        </w:rPr>
        <w:t xml:space="preserve">. The presence of immunoglobulin G (IgG) antibodies implies a past infection, while immunoglobulin M (IgM) antibodies suggest recent or active infection. IgM can persist for several months after the infection and sometimes poses difficulties in interpreting results. Amniocentesis for detecting </w:t>
      </w:r>
      <w:r w:rsidRPr="0034170A">
        <w:rPr>
          <w:i/>
          <w:iCs/>
          <w:sz w:val="20"/>
          <w:szCs w:val="20"/>
        </w:rPr>
        <w:t>T. gondii</w:t>
      </w:r>
      <w:r w:rsidRPr="0034170A">
        <w:rPr>
          <w:sz w:val="20"/>
          <w:szCs w:val="20"/>
        </w:rPr>
        <w:t xml:space="preserve">. The presence of </w:t>
      </w:r>
      <w:r w:rsidR="005D7B99" w:rsidRPr="0034170A">
        <w:rPr>
          <w:i/>
          <w:iCs/>
          <w:sz w:val="20"/>
          <w:szCs w:val="20"/>
        </w:rPr>
        <w:t xml:space="preserve">T. </w:t>
      </w:r>
      <w:r w:rsidRPr="0034170A">
        <w:rPr>
          <w:i/>
          <w:iCs/>
          <w:sz w:val="20"/>
          <w:szCs w:val="20"/>
        </w:rPr>
        <w:t>gondii</w:t>
      </w:r>
      <w:r w:rsidRPr="0034170A">
        <w:rPr>
          <w:sz w:val="20"/>
          <w:szCs w:val="20"/>
        </w:rPr>
        <w:t xml:space="preserve"> DNA in amniotic fluid is detected using PCR, which forms the basis of the present diagnostic technique. Although usually asymptomatic, in immunocompromised patients, lesions in the brain might be characteristic on imaging with CT or MRI, and PCR or direct observation of tachyzoites in cerebrospinal fluid will be considered diagnostic.</w:t>
      </w:r>
    </w:p>
    <w:p w:rsidR="00625C11" w:rsidRPr="0034170A" w:rsidRDefault="00625C11" w:rsidP="009A18F2">
      <w:pPr>
        <w:pStyle w:val="Heading5"/>
        <w:spacing w:before="0"/>
        <w:jc w:val="both"/>
        <w:rPr>
          <w:rFonts w:ascii="Times New Roman" w:hAnsi="Times New Roman" w:cs="Times New Roman"/>
          <w:sz w:val="20"/>
          <w:szCs w:val="20"/>
        </w:rPr>
      </w:pPr>
      <w:r w:rsidRPr="0034170A">
        <w:rPr>
          <w:rStyle w:val="Strong"/>
          <w:rFonts w:ascii="Times New Roman" w:hAnsi="Times New Roman" w:cs="Times New Roman"/>
          <w:b w:val="0"/>
          <w:bCs w:val="0"/>
          <w:sz w:val="20"/>
          <w:szCs w:val="20"/>
        </w:rPr>
        <w:t>Treatment</w:t>
      </w:r>
    </w:p>
    <w:p w:rsidR="00625C11" w:rsidRPr="0034170A" w:rsidRDefault="005D7B99" w:rsidP="009A18F2">
      <w:pPr>
        <w:pStyle w:val="NormalWeb"/>
        <w:spacing w:before="0" w:beforeAutospacing="0" w:after="0" w:afterAutospacing="0"/>
        <w:ind w:firstLine="720"/>
        <w:jc w:val="both"/>
        <w:rPr>
          <w:sz w:val="20"/>
          <w:szCs w:val="20"/>
        </w:rPr>
      </w:pPr>
      <w:r w:rsidRPr="0034170A">
        <w:rPr>
          <w:sz w:val="20"/>
          <w:szCs w:val="20"/>
        </w:rPr>
        <w:t>Treatment of toxoplasmosis depends on the patient's immune status and severity of the disease. In a healthy individual, with mild manifestations, treatment might not be required; however, in severely affected patients and immunosuppressed patients, the standard regimen is a combination of pyrimethamine with sulfadiazine and folinic acid for the prevention of bone marrow suppression. Spiramycin has been used during pregnancy to minimize the risk of transmission to the fetus, particularly when the first trimester has been involved by the infection. Early diagnosis and treatment are critical to reduce the chance of long-term sequelae of congenital toxoplasmosis.</w:t>
      </w:r>
    </w:p>
    <w:p w:rsidR="00625C11" w:rsidRPr="0034170A" w:rsidRDefault="00625C11" w:rsidP="009A18F2">
      <w:pPr>
        <w:pStyle w:val="Heading4"/>
        <w:numPr>
          <w:ilvl w:val="2"/>
          <w:numId w:val="8"/>
        </w:numPr>
        <w:spacing w:before="0"/>
        <w:jc w:val="both"/>
        <w:rPr>
          <w:rFonts w:ascii="Times New Roman" w:hAnsi="Times New Roman" w:cs="Times New Roman"/>
          <w:i w:val="0"/>
          <w:iCs w:val="0"/>
          <w:sz w:val="20"/>
          <w:szCs w:val="20"/>
        </w:rPr>
      </w:pPr>
      <w:r w:rsidRPr="0034170A">
        <w:rPr>
          <w:rStyle w:val="Strong"/>
          <w:rFonts w:ascii="Times New Roman" w:hAnsi="Times New Roman" w:cs="Times New Roman"/>
          <w:b/>
          <w:bCs/>
          <w:i w:val="0"/>
          <w:iCs w:val="0"/>
          <w:sz w:val="20"/>
          <w:szCs w:val="20"/>
        </w:rPr>
        <w:t>Leishmaniasis</w:t>
      </w:r>
    </w:p>
    <w:p w:rsidR="00625C11" w:rsidRPr="0034170A" w:rsidRDefault="005D7B99" w:rsidP="009A18F2">
      <w:pPr>
        <w:pStyle w:val="NormalWeb"/>
        <w:spacing w:before="0" w:beforeAutospacing="0" w:after="0" w:afterAutospacing="0"/>
        <w:ind w:firstLine="720"/>
        <w:jc w:val="both"/>
        <w:rPr>
          <w:sz w:val="20"/>
          <w:szCs w:val="20"/>
        </w:rPr>
      </w:pPr>
      <w:r w:rsidRPr="0034170A">
        <w:rPr>
          <w:sz w:val="20"/>
          <w:szCs w:val="20"/>
        </w:rPr>
        <w:t xml:space="preserve">Leishmaniasis are parasitic diseases that are a group of disease-causing parasites by protozoan parasites. The transference of such disease-causing agents to man occurs through a bite from female phlebotomine infected sandflies. Three main forms of clinical disease present themselves clinically in the form of VL, cutaneous leishmaniasis (CL) and mucocutaneous leishmaniasis (MCL). Each form of the disease has a different degree of severity, geographic distribution, and the species of </w:t>
      </w:r>
      <w:r w:rsidRPr="0034170A">
        <w:rPr>
          <w:i/>
          <w:iCs/>
          <w:sz w:val="20"/>
          <w:szCs w:val="20"/>
        </w:rPr>
        <w:t>Leishmania</w:t>
      </w:r>
      <w:r w:rsidRPr="0034170A">
        <w:rPr>
          <w:sz w:val="20"/>
          <w:szCs w:val="20"/>
        </w:rPr>
        <w:t xml:space="preserve"> responsible</w:t>
      </w:r>
      <w:r w:rsidR="00625C11" w:rsidRPr="0034170A">
        <w:rPr>
          <w:sz w:val="20"/>
          <w:szCs w:val="20"/>
        </w:rPr>
        <w:t>.</w:t>
      </w:r>
    </w:p>
    <w:p w:rsidR="00625C11" w:rsidRPr="0034170A" w:rsidRDefault="00625C11" w:rsidP="009A18F2">
      <w:pPr>
        <w:pStyle w:val="Heading5"/>
        <w:spacing w:before="0"/>
        <w:jc w:val="both"/>
        <w:rPr>
          <w:rFonts w:ascii="Times New Roman" w:hAnsi="Times New Roman" w:cs="Times New Roman"/>
          <w:sz w:val="20"/>
          <w:szCs w:val="20"/>
        </w:rPr>
      </w:pPr>
      <w:r w:rsidRPr="0034170A">
        <w:rPr>
          <w:rStyle w:val="Strong"/>
          <w:rFonts w:ascii="Times New Roman" w:hAnsi="Times New Roman" w:cs="Times New Roman"/>
          <w:b w:val="0"/>
          <w:bCs w:val="0"/>
          <w:sz w:val="20"/>
          <w:szCs w:val="20"/>
        </w:rPr>
        <w:lastRenderedPageBreak/>
        <w:t>Epidemiology</w:t>
      </w:r>
    </w:p>
    <w:p w:rsidR="00625C11" w:rsidRPr="0034170A" w:rsidRDefault="005D7B99" w:rsidP="009A18F2">
      <w:pPr>
        <w:pStyle w:val="NormalWeb"/>
        <w:spacing w:before="0" w:beforeAutospacing="0" w:after="0" w:afterAutospacing="0"/>
        <w:ind w:firstLine="720"/>
        <w:jc w:val="both"/>
        <w:rPr>
          <w:sz w:val="20"/>
          <w:szCs w:val="20"/>
        </w:rPr>
      </w:pPr>
      <w:r w:rsidRPr="0034170A">
        <w:rPr>
          <w:sz w:val="20"/>
          <w:szCs w:val="20"/>
        </w:rPr>
        <w:t>Leishmaniasis is endemic in 88 countries throughout tropical and subtropical regions of parts of Asia, Africa, the Americas, and the Mediterranean basin. The largest number of reported cases occurs by far in visceral leishmaniasis: India, Bangladesh, Nepal, Sudan, and Brazil. Cutaneous leishmaniasis predominates in parts of the Middle East, Central Asia, and Latin America. This disease is highly associated with poverty, malnutrition, population displacement, and environmental changes that bring humans closer into contact with infected sandflies</w:t>
      </w:r>
      <w:r w:rsidR="00625C11" w:rsidRPr="0034170A">
        <w:rPr>
          <w:sz w:val="20"/>
          <w:szCs w:val="20"/>
        </w:rPr>
        <w:t>.</w:t>
      </w:r>
    </w:p>
    <w:p w:rsidR="00625C11" w:rsidRPr="0034170A" w:rsidRDefault="00625C11" w:rsidP="009A18F2">
      <w:pPr>
        <w:pStyle w:val="Heading5"/>
        <w:spacing w:before="0"/>
        <w:jc w:val="both"/>
        <w:rPr>
          <w:rFonts w:ascii="Times New Roman" w:hAnsi="Times New Roman" w:cs="Times New Roman"/>
          <w:sz w:val="20"/>
          <w:szCs w:val="20"/>
        </w:rPr>
      </w:pPr>
      <w:r w:rsidRPr="0034170A">
        <w:rPr>
          <w:rStyle w:val="Strong"/>
          <w:rFonts w:ascii="Times New Roman" w:hAnsi="Times New Roman" w:cs="Times New Roman"/>
          <w:b w:val="0"/>
          <w:bCs w:val="0"/>
          <w:sz w:val="20"/>
          <w:szCs w:val="20"/>
        </w:rPr>
        <w:t>Clinical Symptoms</w:t>
      </w:r>
    </w:p>
    <w:p w:rsidR="00625C11" w:rsidRPr="0034170A" w:rsidRDefault="00BF7B52" w:rsidP="009A18F2">
      <w:pPr>
        <w:pStyle w:val="NormalWeb"/>
        <w:spacing w:before="0" w:beforeAutospacing="0" w:after="0" w:afterAutospacing="0"/>
        <w:ind w:firstLine="720"/>
        <w:jc w:val="both"/>
        <w:rPr>
          <w:sz w:val="20"/>
          <w:szCs w:val="20"/>
        </w:rPr>
      </w:pPr>
      <w:r w:rsidRPr="0034170A">
        <w:rPr>
          <w:sz w:val="20"/>
          <w:szCs w:val="20"/>
        </w:rPr>
        <w:t xml:space="preserve">The most severe form of the disease is visceral leishmaniasis, which, if left untreated, is fatal. The main features are fever, weight loss, hepatosplenomegaly, anemia, and pancytopenia. </w:t>
      </w:r>
      <w:r w:rsidR="00112C2B" w:rsidRPr="0034170A">
        <w:rPr>
          <w:sz w:val="20"/>
          <w:szCs w:val="20"/>
        </w:rPr>
        <w:t xml:space="preserve">It infects all macrophages in the reticuloendothelial system. Due to these activities, there are heavy participations of all those organs with these systems which are the liver, spleen, and bone marrow. In Cutaneous Leishmaniasis, which results in cutaneous ulcers; the sizes of ulcers as well as appearances vary on </w:t>
      </w:r>
      <w:r w:rsidR="00112C2B" w:rsidRPr="0034170A">
        <w:rPr>
          <w:i/>
          <w:iCs/>
          <w:sz w:val="20"/>
          <w:szCs w:val="20"/>
        </w:rPr>
        <w:t>Leishmanian</w:t>
      </w:r>
      <w:r w:rsidR="00112C2B" w:rsidRPr="0034170A">
        <w:rPr>
          <w:sz w:val="20"/>
          <w:szCs w:val="20"/>
        </w:rPr>
        <w:t xml:space="preserve"> species producing infection and hosts immune response. Mucocutaneous leishmaniasis (MCL), primarily caused by </w:t>
      </w:r>
      <w:r w:rsidR="00112C2B" w:rsidRPr="0034170A">
        <w:rPr>
          <w:i/>
          <w:iCs/>
          <w:sz w:val="20"/>
          <w:szCs w:val="20"/>
        </w:rPr>
        <w:t>Leishmania</w:t>
      </w:r>
      <w:r w:rsidR="00112C2B" w:rsidRPr="0034170A">
        <w:rPr>
          <w:sz w:val="20"/>
          <w:szCs w:val="20"/>
        </w:rPr>
        <w:t xml:space="preserve"> </w:t>
      </w:r>
      <w:r w:rsidR="00112C2B" w:rsidRPr="0034170A">
        <w:rPr>
          <w:i/>
          <w:iCs/>
          <w:sz w:val="20"/>
          <w:szCs w:val="20"/>
        </w:rPr>
        <w:t>braziliensis</w:t>
      </w:r>
      <w:r w:rsidR="00112C2B" w:rsidRPr="0034170A">
        <w:rPr>
          <w:sz w:val="20"/>
          <w:szCs w:val="20"/>
        </w:rPr>
        <w:t>, is a destructive form of the disease, which involves mucous membranes of the nose, mouth, and throat and can lead to disfigurement if left untreated.</w:t>
      </w:r>
    </w:p>
    <w:p w:rsidR="00625C11" w:rsidRPr="0034170A" w:rsidRDefault="00625C11" w:rsidP="009A18F2">
      <w:pPr>
        <w:pStyle w:val="Heading5"/>
        <w:spacing w:before="0"/>
        <w:jc w:val="both"/>
        <w:rPr>
          <w:rFonts w:ascii="Times New Roman" w:hAnsi="Times New Roman" w:cs="Times New Roman"/>
          <w:sz w:val="20"/>
          <w:szCs w:val="20"/>
        </w:rPr>
      </w:pPr>
      <w:r w:rsidRPr="0034170A">
        <w:rPr>
          <w:rStyle w:val="Strong"/>
          <w:rFonts w:ascii="Times New Roman" w:hAnsi="Times New Roman" w:cs="Times New Roman"/>
          <w:b w:val="0"/>
          <w:bCs w:val="0"/>
          <w:sz w:val="20"/>
          <w:szCs w:val="20"/>
        </w:rPr>
        <w:t>Laboratory Diagnosis</w:t>
      </w:r>
    </w:p>
    <w:p w:rsidR="00625C11" w:rsidRPr="0034170A" w:rsidRDefault="00112C2B" w:rsidP="009A18F2">
      <w:pPr>
        <w:pStyle w:val="NormalWeb"/>
        <w:spacing w:before="0" w:beforeAutospacing="0" w:after="0" w:afterAutospacing="0"/>
        <w:ind w:firstLine="720"/>
        <w:jc w:val="both"/>
        <w:rPr>
          <w:sz w:val="20"/>
          <w:szCs w:val="20"/>
        </w:rPr>
      </w:pPr>
      <w:r w:rsidRPr="0034170A">
        <w:rPr>
          <w:sz w:val="20"/>
          <w:szCs w:val="20"/>
        </w:rPr>
        <w:t xml:space="preserve">Clinical presentations, history of traveling to areas with endemic situations, and evidence through laboratory analysis diagnose leishmaniasis. The observational diagnosis of VL remains the </w:t>
      </w:r>
      <w:r w:rsidRPr="0034170A">
        <w:rPr>
          <w:i/>
          <w:iCs/>
          <w:sz w:val="20"/>
          <w:szCs w:val="20"/>
        </w:rPr>
        <w:t>Leishmania</w:t>
      </w:r>
      <w:r w:rsidRPr="0034170A">
        <w:rPr>
          <w:sz w:val="20"/>
          <w:szCs w:val="20"/>
        </w:rPr>
        <w:t xml:space="preserve"> </w:t>
      </w:r>
      <w:r w:rsidRPr="0034170A">
        <w:rPr>
          <w:i/>
          <w:iCs/>
          <w:sz w:val="20"/>
          <w:szCs w:val="20"/>
        </w:rPr>
        <w:t>amastigote</w:t>
      </w:r>
      <w:r w:rsidRPr="0034170A">
        <w:rPr>
          <w:sz w:val="20"/>
          <w:szCs w:val="20"/>
        </w:rPr>
        <w:t xml:space="preserve"> seen in aspirates from tissue like bone marrow, spleen, or the lymph node. The DNA that has been drawn from the cause-parasite can be indicated by culture as well as by PCR. Diagnosis of cutaneous leishmaniasis is based on the presence of amastigotes in skin scrapings, biopsy specimens, or aspirates. Visceral leishmaniasis diagnosis can be provided through serological tests that are widely available and of very high sensitivity, such as DAT and ELISA. Past exposure can also be detected with the leishmanin skin test in endemic regions.</w:t>
      </w:r>
    </w:p>
    <w:p w:rsidR="00625C11" w:rsidRPr="0034170A" w:rsidRDefault="00625C11" w:rsidP="009A18F2">
      <w:pPr>
        <w:pStyle w:val="Heading5"/>
        <w:spacing w:before="0"/>
        <w:jc w:val="both"/>
        <w:rPr>
          <w:rFonts w:ascii="Times New Roman" w:hAnsi="Times New Roman" w:cs="Times New Roman"/>
          <w:sz w:val="20"/>
          <w:szCs w:val="20"/>
        </w:rPr>
      </w:pPr>
      <w:r w:rsidRPr="0034170A">
        <w:rPr>
          <w:rStyle w:val="Strong"/>
          <w:rFonts w:ascii="Times New Roman" w:hAnsi="Times New Roman" w:cs="Times New Roman"/>
          <w:b w:val="0"/>
          <w:bCs w:val="0"/>
          <w:sz w:val="20"/>
          <w:szCs w:val="20"/>
        </w:rPr>
        <w:t>Treatment</w:t>
      </w:r>
    </w:p>
    <w:p w:rsidR="00625C11" w:rsidRPr="0034170A" w:rsidRDefault="005426F9" w:rsidP="009A18F2">
      <w:pPr>
        <w:pStyle w:val="NormalWeb"/>
        <w:spacing w:before="0" w:beforeAutospacing="0" w:after="0" w:afterAutospacing="0"/>
        <w:ind w:firstLine="720"/>
        <w:jc w:val="both"/>
        <w:rPr>
          <w:sz w:val="20"/>
          <w:szCs w:val="20"/>
        </w:rPr>
      </w:pPr>
      <w:r w:rsidRPr="0034170A">
        <w:rPr>
          <w:sz w:val="20"/>
          <w:szCs w:val="20"/>
        </w:rPr>
        <w:t>The type of leishmaniasis and its geographic location determine how it is treated.</w:t>
      </w:r>
      <w:r w:rsidR="00BF7B52" w:rsidRPr="0034170A">
        <w:rPr>
          <w:sz w:val="20"/>
          <w:szCs w:val="20"/>
        </w:rPr>
        <w:t xml:space="preserve">         Pentavalent antimonial compounds, which are usually administered in the form of sodium stibogluconate or meglumine antimoniate, are the treatment of choice for both visceral and cutaneous leishmaniasis in most parts of the world. Nonetheless, the levels of resistance have been rising, especially within parts of India. Liposomal amphotericin B is the most common first-line treatment for visceral leishmaniasis when there is high resistance to antimonials. Local therapies such as cryotherapy, intralesional antimonials, or topical paromomycin can be used for cutaneous leishmaniasis. Mucocutaneous leishmaniasis is treated by systemic amphotericin B or pentamidine to avoid disease progression.</w:t>
      </w:r>
    </w:p>
    <w:p w:rsidR="00625C11" w:rsidRPr="0034170A" w:rsidRDefault="00625C11" w:rsidP="009A18F2">
      <w:pPr>
        <w:pStyle w:val="Heading4"/>
        <w:numPr>
          <w:ilvl w:val="2"/>
          <w:numId w:val="8"/>
        </w:numPr>
        <w:spacing w:before="0"/>
        <w:jc w:val="both"/>
        <w:rPr>
          <w:rFonts w:ascii="Times New Roman" w:hAnsi="Times New Roman" w:cs="Times New Roman"/>
          <w:i w:val="0"/>
          <w:iCs w:val="0"/>
          <w:sz w:val="20"/>
          <w:szCs w:val="20"/>
        </w:rPr>
      </w:pPr>
      <w:r w:rsidRPr="0034170A">
        <w:rPr>
          <w:rStyle w:val="Strong"/>
          <w:rFonts w:ascii="Times New Roman" w:hAnsi="Times New Roman" w:cs="Times New Roman"/>
          <w:b/>
          <w:bCs/>
          <w:i w:val="0"/>
          <w:iCs w:val="0"/>
          <w:sz w:val="20"/>
          <w:szCs w:val="20"/>
        </w:rPr>
        <w:t>Malaria</w:t>
      </w:r>
    </w:p>
    <w:p w:rsidR="00625C11" w:rsidRPr="0034170A" w:rsidRDefault="00BF7B52" w:rsidP="009A18F2">
      <w:pPr>
        <w:pStyle w:val="NormalWeb"/>
        <w:spacing w:before="0" w:beforeAutospacing="0" w:after="0" w:afterAutospacing="0"/>
        <w:ind w:firstLine="720"/>
        <w:jc w:val="both"/>
        <w:rPr>
          <w:sz w:val="20"/>
          <w:szCs w:val="20"/>
        </w:rPr>
      </w:pPr>
      <w:r w:rsidRPr="0034170A">
        <w:rPr>
          <w:sz w:val="20"/>
          <w:szCs w:val="20"/>
        </w:rPr>
        <w:t xml:space="preserve">Malaria is an acute life-threatening parasitic disease caused by protozoan parasites of the genus </w:t>
      </w:r>
      <w:r w:rsidRPr="0034170A">
        <w:rPr>
          <w:i/>
          <w:iCs/>
          <w:sz w:val="20"/>
          <w:szCs w:val="20"/>
        </w:rPr>
        <w:t>Plasmodium</w:t>
      </w:r>
      <w:r w:rsidRPr="0034170A">
        <w:rPr>
          <w:sz w:val="20"/>
          <w:szCs w:val="20"/>
        </w:rPr>
        <w:t xml:space="preserve">. There are five species of </w:t>
      </w:r>
      <w:r w:rsidRPr="0034170A">
        <w:rPr>
          <w:i/>
          <w:iCs/>
          <w:sz w:val="20"/>
          <w:szCs w:val="20"/>
        </w:rPr>
        <w:t>Plasmodium</w:t>
      </w:r>
      <w:r w:rsidRPr="0034170A">
        <w:rPr>
          <w:sz w:val="20"/>
          <w:szCs w:val="20"/>
        </w:rPr>
        <w:t xml:space="preserve"> that can infect humans: </w:t>
      </w:r>
      <w:r w:rsidRPr="0034170A">
        <w:rPr>
          <w:i/>
          <w:iCs/>
          <w:sz w:val="20"/>
          <w:szCs w:val="20"/>
        </w:rPr>
        <w:t xml:space="preserve">P. falciparum, P. vivax, P. malariae, P. ovale, </w:t>
      </w:r>
      <w:r w:rsidRPr="0034170A">
        <w:rPr>
          <w:sz w:val="20"/>
          <w:szCs w:val="20"/>
        </w:rPr>
        <w:t>and</w:t>
      </w:r>
      <w:r w:rsidRPr="0034170A">
        <w:rPr>
          <w:i/>
          <w:iCs/>
          <w:sz w:val="20"/>
          <w:szCs w:val="20"/>
        </w:rPr>
        <w:t xml:space="preserve"> P. knowlesi.</w:t>
      </w:r>
      <w:r w:rsidRPr="0034170A">
        <w:rPr>
          <w:sz w:val="20"/>
          <w:szCs w:val="20"/>
        </w:rPr>
        <w:t xml:space="preserve"> The disease is transmitted via the bite of an infected female Anopheles mosquito. Malaria is common in tropical and subtropical countries, especially sub-Saharan Africa. Here, the disease remains the number one killer, causing massive morbidity in its endemic settings. </w:t>
      </w:r>
      <w:r w:rsidRPr="0034170A">
        <w:rPr>
          <w:i/>
          <w:iCs/>
          <w:sz w:val="20"/>
          <w:szCs w:val="20"/>
        </w:rPr>
        <w:t>P. falciparum</w:t>
      </w:r>
      <w:r w:rsidRPr="0034170A">
        <w:rPr>
          <w:sz w:val="20"/>
          <w:szCs w:val="20"/>
        </w:rPr>
        <w:t xml:space="preserve"> is considered to be responsible for the deadliest form of the disease. It contributes to the major number of malaria-related deaths around the globe.</w:t>
      </w:r>
    </w:p>
    <w:p w:rsidR="00625C11" w:rsidRPr="0034170A" w:rsidRDefault="00625C11" w:rsidP="009A18F2">
      <w:pPr>
        <w:pStyle w:val="Heading5"/>
        <w:spacing w:before="0"/>
        <w:jc w:val="both"/>
        <w:rPr>
          <w:rFonts w:ascii="Times New Roman" w:hAnsi="Times New Roman" w:cs="Times New Roman"/>
          <w:sz w:val="20"/>
          <w:szCs w:val="20"/>
        </w:rPr>
      </w:pPr>
      <w:r w:rsidRPr="0034170A">
        <w:rPr>
          <w:rStyle w:val="Strong"/>
          <w:rFonts w:ascii="Times New Roman" w:hAnsi="Times New Roman" w:cs="Times New Roman"/>
          <w:b w:val="0"/>
          <w:bCs w:val="0"/>
          <w:sz w:val="20"/>
          <w:szCs w:val="20"/>
        </w:rPr>
        <w:t>Epidemiology</w:t>
      </w:r>
    </w:p>
    <w:p w:rsidR="00625C11" w:rsidRPr="0034170A" w:rsidRDefault="00BF7B52" w:rsidP="009A18F2">
      <w:pPr>
        <w:pStyle w:val="NormalWeb"/>
        <w:spacing w:before="0" w:beforeAutospacing="0" w:after="0" w:afterAutospacing="0"/>
        <w:ind w:firstLine="720"/>
        <w:jc w:val="both"/>
        <w:rPr>
          <w:sz w:val="20"/>
          <w:szCs w:val="20"/>
        </w:rPr>
      </w:pPr>
      <w:r w:rsidRPr="0034170A">
        <w:rPr>
          <w:sz w:val="20"/>
          <w:szCs w:val="20"/>
        </w:rPr>
        <w:t>Malaria is an endemic disease to more than 90 countries worldwide, with annual estimated cases exceeding 229 million and deaths that exceed 400,000 cases. The major burden of disease is in sub-Saharan Africa; the most severely affected are under-five children and pregnant women because they are prone to severe forms of the disease and death. Southeast Asia, South Asia, Latin America, and the Western Pacific are the other regions with a presence of malaria. The Anopheles mosquito population density and infectivity vary depending on the environmental factors influencing the malaria transmission, which include temperature, rainfall, and breeding sites of the mosquitoes.</w:t>
      </w:r>
    </w:p>
    <w:p w:rsidR="00625C11" w:rsidRPr="0034170A" w:rsidRDefault="00625C11" w:rsidP="009A18F2">
      <w:pPr>
        <w:pStyle w:val="Heading5"/>
        <w:spacing w:before="0"/>
        <w:jc w:val="both"/>
        <w:rPr>
          <w:rFonts w:ascii="Times New Roman" w:hAnsi="Times New Roman" w:cs="Times New Roman"/>
          <w:sz w:val="20"/>
          <w:szCs w:val="20"/>
        </w:rPr>
      </w:pPr>
      <w:r w:rsidRPr="0034170A">
        <w:rPr>
          <w:rStyle w:val="Strong"/>
          <w:rFonts w:ascii="Times New Roman" w:hAnsi="Times New Roman" w:cs="Times New Roman"/>
          <w:b w:val="0"/>
          <w:bCs w:val="0"/>
          <w:sz w:val="20"/>
          <w:szCs w:val="20"/>
        </w:rPr>
        <w:t>Clinical Symptoms</w:t>
      </w:r>
    </w:p>
    <w:p w:rsidR="00625C11" w:rsidRDefault="00BF7B52" w:rsidP="009A18F2">
      <w:pPr>
        <w:pStyle w:val="NormalWeb"/>
        <w:spacing w:before="0" w:beforeAutospacing="0" w:after="0" w:afterAutospacing="0"/>
        <w:ind w:firstLine="720"/>
        <w:jc w:val="both"/>
        <w:rPr>
          <w:sz w:val="20"/>
          <w:szCs w:val="20"/>
        </w:rPr>
      </w:pPr>
      <w:r w:rsidRPr="0034170A">
        <w:rPr>
          <w:sz w:val="20"/>
          <w:szCs w:val="20"/>
        </w:rPr>
        <w:t xml:space="preserve">Clinical manifestations of malaria are variable and depend on the </w:t>
      </w:r>
      <w:r w:rsidRPr="0034170A">
        <w:rPr>
          <w:i/>
          <w:iCs/>
          <w:sz w:val="20"/>
          <w:szCs w:val="20"/>
        </w:rPr>
        <w:t>Plasmodium</w:t>
      </w:r>
      <w:r w:rsidRPr="0034170A">
        <w:rPr>
          <w:sz w:val="20"/>
          <w:szCs w:val="20"/>
        </w:rPr>
        <w:t xml:space="preserve"> species involved, the level of immunity of the host, and the intensity of transmission in the region.          Periodic fever is the hallmark of malaria; this corresponds to the synchronous rupture of infected red blood cells and the release of merozoites into the bloodstream. Other symptoms are chills, sweats, headache, myalgia, nausea, vomiting, and anemia. High severity of malaria due to the cause </w:t>
      </w:r>
      <w:r w:rsidRPr="0034170A">
        <w:rPr>
          <w:i/>
          <w:iCs/>
          <w:sz w:val="20"/>
          <w:szCs w:val="20"/>
        </w:rPr>
        <w:t>P. falciparum</w:t>
      </w:r>
      <w:r w:rsidRPr="0034170A">
        <w:rPr>
          <w:sz w:val="20"/>
          <w:szCs w:val="20"/>
        </w:rPr>
        <w:t xml:space="preserve"> may bring dangerous complications: cerebral malaria, acute respiratory distress syndrome (ARDS), renal failure, and hypoglycemia. Pregnant women who suffer from malaria have more risk of dying in the gestation period, of delivering before the gestation time is over, and low weight babies</w:t>
      </w:r>
      <w:r w:rsidR="00625C11" w:rsidRPr="0034170A">
        <w:rPr>
          <w:sz w:val="20"/>
          <w:szCs w:val="20"/>
        </w:rPr>
        <w:t>.</w:t>
      </w:r>
    </w:p>
    <w:p w:rsidR="008E50E6" w:rsidRDefault="008E50E6" w:rsidP="008E50E6">
      <w:pPr>
        <w:pStyle w:val="NormalWeb"/>
        <w:spacing w:before="0" w:beforeAutospacing="0" w:after="0" w:afterAutospacing="0"/>
        <w:rPr>
          <w:sz w:val="20"/>
          <w:szCs w:val="20"/>
        </w:rPr>
      </w:pPr>
      <w:r w:rsidRPr="008E50E6">
        <w:rPr>
          <w:b/>
          <w:bCs/>
        </w:rPr>
        <w:t>Figure 1</w:t>
      </w:r>
      <w:r>
        <w:t>: Life Cycle of Plasmodium spp. (Malaria)</w:t>
      </w:r>
    </w:p>
    <w:p w:rsidR="003620BA" w:rsidRPr="0034170A" w:rsidRDefault="008E50E6" w:rsidP="008E50E6">
      <w:pPr>
        <w:pStyle w:val="NormalWeb"/>
        <w:spacing w:before="0" w:beforeAutospacing="0" w:after="0" w:afterAutospacing="0"/>
        <w:jc w:val="center"/>
        <w:rPr>
          <w:sz w:val="20"/>
          <w:szCs w:val="20"/>
        </w:rPr>
      </w:pPr>
      <w:r>
        <w:rPr>
          <w:noProof/>
        </w:rPr>
        <w:lastRenderedPageBreak/>
        <w:drawing>
          <wp:inline distT="0" distB="0" distL="0" distR="0">
            <wp:extent cx="5731510" cy="4663478"/>
            <wp:effectExtent l="0" t="0" r="2540" b="3810"/>
            <wp:docPr id="2" name="Picture 2" descr="https://journals.plos.org/plospathogens/article/figure/image?size=large&amp;id=10.1371/journal.ppat.1002178.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journals.plos.org/plospathogens/article/figure/image?size=large&amp;id=10.1371/journal.ppat.1002178.g0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4663478"/>
                    </a:xfrm>
                    <a:prstGeom prst="rect">
                      <a:avLst/>
                    </a:prstGeom>
                    <a:noFill/>
                    <a:ln>
                      <a:noFill/>
                    </a:ln>
                  </pic:spPr>
                </pic:pic>
              </a:graphicData>
            </a:graphic>
          </wp:inline>
        </w:drawing>
      </w:r>
      <w:bookmarkStart w:id="0" w:name="_GoBack"/>
      <w:bookmarkEnd w:id="0"/>
    </w:p>
    <w:p w:rsidR="00625C11" w:rsidRPr="0034170A" w:rsidRDefault="00625C11" w:rsidP="009A18F2">
      <w:pPr>
        <w:pStyle w:val="Heading5"/>
        <w:spacing w:before="0"/>
        <w:jc w:val="both"/>
        <w:rPr>
          <w:rFonts w:ascii="Times New Roman" w:hAnsi="Times New Roman" w:cs="Times New Roman"/>
          <w:sz w:val="20"/>
          <w:szCs w:val="20"/>
        </w:rPr>
      </w:pPr>
      <w:r w:rsidRPr="0034170A">
        <w:rPr>
          <w:rStyle w:val="Strong"/>
          <w:rFonts w:ascii="Times New Roman" w:hAnsi="Times New Roman" w:cs="Times New Roman"/>
          <w:b w:val="0"/>
          <w:bCs w:val="0"/>
          <w:sz w:val="20"/>
          <w:szCs w:val="20"/>
        </w:rPr>
        <w:t>Laboratory Diagnosis</w:t>
      </w:r>
    </w:p>
    <w:p w:rsidR="00625C11" w:rsidRPr="0034170A" w:rsidRDefault="00BF7B52" w:rsidP="009A18F2">
      <w:pPr>
        <w:pStyle w:val="NormalWeb"/>
        <w:spacing w:before="0" w:beforeAutospacing="0" w:after="0" w:afterAutospacing="0"/>
        <w:ind w:firstLine="720"/>
        <w:jc w:val="both"/>
        <w:rPr>
          <w:sz w:val="20"/>
          <w:szCs w:val="20"/>
        </w:rPr>
      </w:pPr>
      <w:r w:rsidRPr="0034170A">
        <w:rPr>
          <w:sz w:val="20"/>
          <w:szCs w:val="20"/>
        </w:rPr>
        <w:t xml:space="preserve">The gold standard is the microscopic examination of thick and thin blood smears stained with Giemsa, allowing identification of the species of </w:t>
      </w:r>
      <w:r w:rsidRPr="0034170A">
        <w:rPr>
          <w:i/>
          <w:iCs/>
          <w:sz w:val="20"/>
          <w:szCs w:val="20"/>
        </w:rPr>
        <w:t>Plasmodium</w:t>
      </w:r>
      <w:r w:rsidRPr="0034170A">
        <w:rPr>
          <w:sz w:val="20"/>
          <w:szCs w:val="20"/>
        </w:rPr>
        <w:t xml:space="preserve"> as well as the estimation of the parasite density. Rapid diagnostic tests that detect antigens of the </w:t>
      </w:r>
      <w:r w:rsidRPr="0034170A">
        <w:rPr>
          <w:i/>
          <w:iCs/>
          <w:sz w:val="20"/>
          <w:szCs w:val="20"/>
        </w:rPr>
        <w:t>Plasmodium</w:t>
      </w:r>
      <w:r w:rsidRPr="0034170A">
        <w:rPr>
          <w:sz w:val="20"/>
          <w:szCs w:val="20"/>
        </w:rPr>
        <w:t xml:space="preserve"> species from blood samples are also commonly used in the field, in areas with more limited laboratory facilities. These tests are extremely useful in resource-poor distant settings where facilities for microscopy might not be feasible. Molecular approaches, including PCR, are highly sensitive and specific methods for detecting very low levels of parasitemia and mixed infections but are never used routinely in most endemic areas primarily because of financial and infrastructural constraints.</w:t>
      </w:r>
    </w:p>
    <w:p w:rsidR="00625C11" w:rsidRPr="0034170A" w:rsidRDefault="00625C11" w:rsidP="009A18F2">
      <w:pPr>
        <w:pStyle w:val="Heading5"/>
        <w:spacing w:before="0"/>
        <w:jc w:val="both"/>
        <w:rPr>
          <w:rFonts w:ascii="Times New Roman" w:hAnsi="Times New Roman" w:cs="Times New Roman"/>
          <w:sz w:val="20"/>
          <w:szCs w:val="20"/>
        </w:rPr>
      </w:pPr>
      <w:r w:rsidRPr="0034170A">
        <w:rPr>
          <w:rStyle w:val="Strong"/>
          <w:rFonts w:ascii="Times New Roman" w:hAnsi="Times New Roman" w:cs="Times New Roman"/>
          <w:b w:val="0"/>
          <w:bCs w:val="0"/>
          <w:sz w:val="20"/>
          <w:szCs w:val="20"/>
        </w:rPr>
        <w:t>Treatment</w:t>
      </w:r>
    </w:p>
    <w:p w:rsidR="00625C11" w:rsidRPr="0034170A" w:rsidRDefault="00BF7B52" w:rsidP="009A18F2">
      <w:pPr>
        <w:pStyle w:val="NormalWeb"/>
        <w:spacing w:before="0" w:beforeAutospacing="0" w:after="0" w:afterAutospacing="0"/>
        <w:ind w:firstLine="720"/>
        <w:jc w:val="both"/>
        <w:rPr>
          <w:sz w:val="20"/>
          <w:szCs w:val="20"/>
        </w:rPr>
      </w:pPr>
      <w:r w:rsidRPr="0034170A">
        <w:rPr>
          <w:sz w:val="20"/>
          <w:szCs w:val="20"/>
        </w:rPr>
        <w:t xml:space="preserve">The treatment of malaria varies with the species of Plasmodium and the disease severity, such as those transmitted in a different region. The commonly recommended first-line treatment for uncomplicated </w:t>
      </w:r>
      <w:r w:rsidRPr="0034170A">
        <w:rPr>
          <w:i/>
          <w:iCs/>
          <w:sz w:val="20"/>
          <w:szCs w:val="20"/>
        </w:rPr>
        <w:t>P. falciparum</w:t>
      </w:r>
      <w:r w:rsidRPr="0034170A">
        <w:rPr>
          <w:sz w:val="20"/>
          <w:szCs w:val="20"/>
        </w:rPr>
        <w:t xml:space="preserve"> malaria includes artemisinin-based combination therapies. For severe malaria, intravenous artesunate or quinine must be administered and completed by a full course of artemisinin-based combination therapy once the patient is stabilized. In regions where </w:t>
      </w:r>
      <w:r w:rsidRPr="0034170A">
        <w:rPr>
          <w:i/>
          <w:iCs/>
          <w:sz w:val="20"/>
          <w:szCs w:val="20"/>
        </w:rPr>
        <w:t xml:space="preserve">P. vivax </w:t>
      </w:r>
      <w:r w:rsidRPr="0034170A">
        <w:rPr>
          <w:sz w:val="20"/>
          <w:szCs w:val="20"/>
        </w:rPr>
        <w:t>and</w:t>
      </w:r>
      <w:r w:rsidRPr="0034170A">
        <w:rPr>
          <w:i/>
          <w:iCs/>
          <w:sz w:val="20"/>
          <w:szCs w:val="20"/>
        </w:rPr>
        <w:t xml:space="preserve"> P. ovale</w:t>
      </w:r>
      <w:r w:rsidRPr="0034170A">
        <w:rPr>
          <w:sz w:val="20"/>
          <w:szCs w:val="20"/>
        </w:rPr>
        <w:t xml:space="preserve"> are considered endemic, the two drugs are combined to form ACTs with primaquine to prevent the relapse of this disease by targeting hypnozoite parasites remaining dormant in the liver. Preventive measures include insecticide-treated bed nets, indoor residual spraying, and chemoprophylaxis as key components of malaria control initiatives in endemic regions.</w:t>
      </w:r>
    </w:p>
    <w:p w:rsidR="00994965" w:rsidRPr="0034170A" w:rsidRDefault="00994965" w:rsidP="009A18F2">
      <w:pPr>
        <w:pStyle w:val="NormalWeb"/>
        <w:spacing w:before="0" w:beforeAutospacing="0" w:after="0" w:afterAutospacing="0"/>
        <w:jc w:val="both"/>
        <w:rPr>
          <w:sz w:val="20"/>
          <w:szCs w:val="20"/>
        </w:rPr>
      </w:pPr>
    </w:p>
    <w:p w:rsidR="00E938A4" w:rsidRPr="0034170A" w:rsidRDefault="00E938A4" w:rsidP="009A18F2">
      <w:pPr>
        <w:pStyle w:val="NormalWeb"/>
        <w:numPr>
          <w:ilvl w:val="0"/>
          <w:numId w:val="8"/>
        </w:numPr>
        <w:spacing w:before="0" w:beforeAutospacing="0" w:after="0" w:afterAutospacing="0"/>
        <w:jc w:val="center"/>
        <w:rPr>
          <w:rFonts w:eastAsiaTheme="majorEastAsia"/>
          <w:b/>
          <w:bCs/>
          <w:color w:val="4F81BD" w:themeColor="accent1"/>
          <w:sz w:val="20"/>
          <w:szCs w:val="20"/>
          <w:lang w:val="en-US" w:eastAsia="en-US" w:bidi="ar-SA"/>
        </w:rPr>
      </w:pPr>
      <w:r w:rsidRPr="0034170A">
        <w:rPr>
          <w:rFonts w:eastAsiaTheme="majorEastAsia"/>
          <w:b/>
          <w:bCs/>
          <w:color w:val="4F81BD" w:themeColor="accent1"/>
          <w:sz w:val="20"/>
          <w:szCs w:val="20"/>
          <w:lang w:val="en-US" w:eastAsia="en-US" w:bidi="ar-SA"/>
        </w:rPr>
        <w:t>FUNGAL INFECTIONS</w:t>
      </w:r>
    </w:p>
    <w:p w:rsidR="00E938A4" w:rsidRPr="0034170A" w:rsidRDefault="00E938A4" w:rsidP="009A18F2">
      <w:pPr>
        <w:pStyle w:val="Heading3"/>
        <w:numPr>
          <w:ilvl w:val="1"/>
          <w:numId w:val="8"/>
        </w:numPr>
        <w:spacing w:before="0"/>
        <w:rPr>
          <w:rFonts w:ascii="Times New Roman" w:hAnsi="Times New Roman" w:cs="Times New Roman"/>
          <w:sz w:val="20"/>
          <w:szCs w:val="20"/>
        </w:rPr>
      </w:pPr>
      <w:r w:rsidRPr="0034170A">
        <w:rPr>
          <w:rStyle w:val="Strong"/>
          <w:rFonts w:ascii="Times New Roman" w:hAnsi="Times New Roman" w:cs="Times New Roman"/>
          <w:b/>
          <w:bCs/>
          <w:sz w:val="20"/>
          <w:szCs w:val="20"/>
        </w:rPr>
        <w:t>Introduction to Fungal Infections</w:t>
      </w:r>
    </w:p>
    <w:p w:rsidR="00E938A4" w:rsidRPr="0034170A" w:rsidRDefault="00E938A4" w:rsidP="009A18F2">
      <w:pPr>
        <w:pStyle w:val="NormalWeb"/>
        <w:spacing w:before="0" w:beforeAutospacing="0" w:after="0" w:afterAutospacing="0"/>
        <w:ind w:firstLine="720"/>
        <w:jc w:val="both"/>
        <w:rPr>
          <w:sz w:val="20"/>
          <w:szCs w:val="20"/>
        </w:rPr>
      </w:pPr>
      <w:r w:rsidRPr="0034170A">
        <w:rPr>
          <w:sz w:val="20"/>
          <w:szCs w:val="20"/>
        </w:rPr>
        <w:t>Fungal infections (mycoses) are diseases caused by fungi, which are a group of eukaryotic microorganisms that include yeasts, molds, and dimorphic fungi. Fungi are ubiquitous in the environment, serving as essential decomposers in ecosystems. However, a small percentage of the approximately 1.5 million fungal species are pathogenic to humans. Fungal infections are often opportunistic, particularly affecting individuals with weakened immune systems, although some fungi are capable of causing disease in otherwise healthy individuals.</w:t>
      </w:r>
    </w:p>
    <w:p w:rsidR="00E938A4" w:rsidRPr="0034170A" w:rsidRDefault="00E938A4" w:rsidP="009A18F2">
      <w:pPr>
        <w:pStyle w:val="NormalWeb"/>
        <w:spacing w:before="0" w:beforeAutospacing="0" w:after="0" w:afterAutospacing="0"/>
        <w:ind w:firstLine="720"/>
        <w:jc w:val="both"/>
        <w:rPr>
          <w:sz w:val="20"/>
          <w:szCs w:val="20"/>
        </w:rPr>
      </w:pPr>
      <w:r w:rsidRPr="0034170A">
        <w:rPr>
          <w:sz w:val="20"/>
          <w:szCs w:val="20"/>
        </w:rPr>
        <w:t xml:space="preserve">Fungi can invade different parts of the body, leading to a wide range of infections, classified into superficial, subcutaneous, and systemic (or invasive) mycoses. Superficial mycoses are generally limited to the skin, nails, or mucous membranes and are caused by dermatophytes, yeasts, or molds. In contrast, subcutaneous </w:t>
      </w:r>
      <w:r w:rsidRPr="0034170A">
        <w:rPr>
          <w:sz w:val="20"/>
          <w:szCs w:val="20"/>
        </w:rPr>
        <w:lastRenderedPageBreak/>
        <w:t>and systemic mycoses are more severe, as they involve deeper tissues, organs, or even the bloodstream. Systemic fungal infections are particularly dangerous for immunocompromised individuals, such as those with HIV/AIDS, cancer patients undergoing chemotherapy, organ transplant recipients, or individuals on long-term corticosteroid therapy.</w:t>
      </w:r>
    </w:p>
    <w:p w:rsidR="00E938A4" w:rsidRPr="0034170A" w:rsidRDefault="00E938A4" w:rsidP="009A18F2">
      <w:pPr>
        <w:pStyle w:val="NormalWeb"/>
        <w:spacing w:before="0" w:beforeAutospacing="0" w:after="0" w:afterAutospacing="0"/>
        <w:ind w:firstLine="720"/>
        <w:jc w:val="both"/>
        <w:rPr>
          <w:sz w:val="20"/>
          <w:szCs w:val="20"/>
        </w:rPr>
      </w:pPr>
      <w:r w:rsidRPr="0034170A">
        <w:rPr>
          <w:sz w:val="20"/>
          <w:szCs w:val="20"/>
        </w:rPr>
        <w:t xml:space="preserve">The ability of fungi to cause infection is influenced by several factors, including the host’s immune status, the virulence of the fungus, and the environment. For example, opportunistic fungi like </w:t>
      </w:r>
      <w:r w:rsidRPr="0034170A">
        <w:rPr>
          <w:rStyle w:val="Emphasis"/>
          <w:rFonts w:eastAsiaTheme="majorEastAsia"/>
          <w:sz w:val="20"/>
          <w:szCs w:val="20"/>
        </w:rPr>
        <w:t>Candida</w:t>
      </w:r>
      <w:r w:rsidRPr="0034170A">
        <w:rPr>
          <w:sz w:val="20"/>
          <w:szCs w:val="20"/>
        </w:rPr>
        <w:t xml:space="preserve">, </w:t>
      </w:r>
      <w:r w:rsidRPr="0034170A">
        <w:rPr>
          <w:rStyle w:val="Emphasis"/>
          <w:rFonts w:eastAsiaTheme="majorEastAsia"/>
          <w:sz w:val="20"/>
          <w:szCs w:val="20"/>
        </w:rPr>
        <w:t>Aspergillus</w:t>
      </w:r>
      <w:r w:rsidRPr="0034170A">
        <w:rPr>
          <w:sz w:val="20"/>
          <w:szCs w:val="20"/>
        </w:rPr>
        <w:t xml:space="preserve">, and </w:t>
      </w:r>
      <w:r w:rsidRPr="0034170A">
        <w:rPr>
          <w:rStyle w:val="Emphasis"/>
          <w:rFonts w:eastAsiaTheme="majorEastAsia"/>
          <w:sz w:val="20"/>
          <w:szCs w:val="20"/>
        </w:rPr>
        <w:t>Cryptococcus</w:t>
      </w:r>
      <w:r w:rsidRPr="0034170A">
        <w:rPr>
          <w:sz w:val="20"/>
          <w:szCs w:val="20"/>
        </w:rPr>
        <w:t xml:space="preserve"> are typically harmless in immunocompetent individuals but can lead to life-threatening infections in immunocompromised patients. Other fungi, such as </w:t>
      </w:r>
      <w:r w:rsidRPr="0034170A">
        <w:rPr>
          <w:rStyle w:val="Emphasis"/>
          <w:rFonts w:eastAsiaTheme="majorEastAsia"/>
          <w:sz w:val="20"/>
          <w:szCs w:val="20"/>
        </w:rPr>
        <w:t>Histoplasma capsulatum</w:t>
      </w:r>
      <w:r w:rsidRPr="0034170A">
        <w:rPr>
          <w:sz w:val="20"/>
          <w:szCs w:val="20"/>
        </w:rPr>
        <w:t xml:space="preserve"> and </w:t>
      </w:r>
      <w:r w:rsidRPr="0034170A">
        <w:rPr>
          <w:rStyle w:val="Emphasis"/>
          <w:rFonts w:eastAsiaTheme="majorEastAsia"/>
          <w:sz w:val="20"/>
          <w:szCs w:val="20"/>
        </w:rPr>
        <w:t>Coccidioides immitis</w:t>
      </w:r>
      <w:r w:rsidRPr="0034170A">
        <w:rPr>
          <w:sz w:val="20"/>
          <w:szCs w:val="20"/>
        </w:rPr>
        <w:t>, are endemic to specific geographic regions and can cause disease in healthy individuals exposed to fungal spores through inhalation.</w:t>
      </w:r>
    </w:p>
    <w:p w:rsidR="00BF7B52" w:rsidRPr="0034170A" w:rsidRDefault="00BF7B52" w:rsidP="009A18F2">
      <w:pPr>
        <w:pStyle w:val="NormalWeb"/>
        <w:spacing w:before="0" w:beforeAutospacing="0" w:after="0" w:afterAutospacing="0"/>
        <w:ind w:firstLine="720"/>
        <w:jc w:val="both"/>
        <w:rPr>
          <w:sz w:val="20"/>
          <w:szCs w:val="20"/>
        </w:rPr>
      </w:pPr>
      <w:r w:rsidRPr="0034170A">
        <w:rPr>
          <w:sz w:val="20"/>
          <w:szCs w:val="20"/>
        </w:rPr>
        <w:t>This rate has risen dramatically within the last years, mainly attributed to the ever-growing number of immunocompromised patients, increasing use of broad-spectrum antibiotics, and more invasive medical procedures. Adding complexity to treatment of fungal infections is emerging resistance of pathogenic fungi to various drugs, calling for rapid, accurate diagnostics as guides for antifungal therapy.</w:t>
      </w:r>
    </w:p>
    <w:p w:rsidR="00E938A4" w:rsidRPr="0034170A" w:rsidRDefault="00BF7B52" w:rsidP="009A18F2">
      <w:pPr>
        <w:pStyle w:val="NormalWeb"/>
        <w:spacing w:before="0" w:beforeAutospacing="0" w:after="0" w:afterAutospacing="0"/>
        <w:ind w:firstLine="720"/>
        <w:jc w:val="both"/>
        <w:rPr>
          <w:sz w:val="20"/>
          <w:szCs w:val="20"/>
        </w:rPr>
      </w:pPr>
      <w:r w:rsidRPr="0034170A">
        <w:rPr>
          <w:sz w:val="20"/>
          <w:szCs w:val="20"/>
        </w:rPr>
        <w:t>Clinical presentations of fungal infections vary widely and depend on the species of the fungus, site of infection, and immune status of the host. Superficial fungal infections typically cause localized symptoms such as tinea (ringworm) or onychomycosis (fungal nail infection), which results in itching, redness, and scaling of the skin or nail changes. Invasive infections, such as candidemia or invasive aspergillosis, can cause significant symptoms, such as fever, respiratory distress, and multi-organ failure</w:t>
      </w:r>
      <w:r w:rsidR="00E938A4" w:rsidRPr="0034170A">
        <w:rPr>
          <w:sz w:val="20"/>
          <w:szCs w:val="20"/>
        </w:rPr>
        <w:t>.</w:t>
      </w:r>
    </w:p>
    <w:p w:rsidR="00E938A4" w:rsidRPr="0034170A" w:rsidRDefault="00E938A4" w:rsidP="009A18F2">
      <w:pPr>
        <w:pStyle w:val="Heading3"/>
        <w:numPr>
          <w:ilvl w:val="1"/>
          <w:numId w:val="8"/>
        </w:numPr>
        <w:spacing w:before="0"/>
        <w:rPr>
          <w:rFonts w:ascii="Times New Roman" w:hAnsi="Times New Roman" w:cs="Times New Roman"/>
          <w:sz w:val="20"/>
          <w:szCs w:val="20"/>
        </w:rPr>
      </w:pPr>
      <w:r w:rsidRPr="0034170A">
        <w:rPr>
          <w:rStyle w:val="Strong"/>
          <w:rFonts w:ascii="Times New Roman" w:hAnsi="Times New Roman" w:cs="Times New Roman"/>
          <w:b/>
          <w:bCs/>
          <w:sz w:val="20"/>
          <w:szCs w:val="20"/>
        </w:rPr>
        <w:t>Sample Collection and Transport for Fungal Diagnostics</w:t>
      </w:r>
    </w:p>
    <w:p w:rsidR="00E938A4" w:rsidRPr="0034170A" w:rsidRDefault="00862427" w:rsidP="009A18F2">
      <w:pPr>
        <w:pStyle w:val="NormalWeb"/>
        <w:spacing w:before="0" w:beforeAutospacing="0" w:after="0" w:afterAutospacing="0"/>
        <w:ind w:firstLine="720"/>
        <w:jc w:val="both"/>
        <w:rPr>
          <w:sz w:val="20"/>
          <w:szCs w:val="20"/>
        </w:rPr>
      </w:pPr>
      <w:r w:rsidRPr="0034170A">
        <w:rPr>
          <w:sz w:val="20"/>
          <w:szCs w:val="20"/>
        </w:rPr>
        <w:t>Clinical specimens must be collected, transported, and processed correctly in order to provide an accurate diagnosis of fungal infections</w:t>
      </w:r>
      <w:r w:rsidR="00E938A4" w:rsidRPr="0034170A">
        <w:rPr>
          <w:sz w:val="20"/>
          <w:szCs w:val="20"/>
        </w:rPr>
        <w:t>. Since fungi can infect a variety of tissues and organs, the type of sample collected will vary depending on the suspected infection site. The correct handling of samples is critical to avoid contamination and ensure the viability of the fungal organisms, especially in cases where culture is needed for identification.</w:t>
      </w:r>
    </w:p>
    <w:p w:rsidR="00E938A4" w:rsidRPr="0034170A" w:rsidRDefault="00E938A4" w:rsidP="009A18F2">
      <w:pPr>
        <w:pStyle w:val="Heading4"/>
        <w:spacing w:before="0"/>
        <w:rPr>
          <w:rFonts w:ascii="Times New Roman" w:hAnsi="Times New Roman" w:cs="Times New Roman"/>
          <w:i w:val="0"/>
          <w:iCs w:val="0"/>
          <w:sz w:val="20"/>
          <w:szCs w:val="20"/>
        </w:rPr>
      </w:pPr>
      <w:r w:rsidRPr="0034170A">
        <w:rPr>
          <w:rStyle w:val="Strong"/>
          <w:rFonts w:ascii="Times New Roman" w:hAnsi="Times New Roman" w:cs="Times New Roman"/>
          <w:b/>
          <w:bCs/>
          <w:i w:val="0"/>
          <w:iCs w:val="0"/>
          <w:sz w:val="20"/>
          <w:szCs w:val="20"/>
        </w:rPr>
        <w:t>Types of Specimens</w:t>
      </w:r>
    </w:p>
    <w:p w:rsidR="00E938A4" w:rsidRPr="0034170A" w:rsidRDefault="00E938A4" w:rsidP="00151AB1">
      <w:pPr>
        <w:pStyle w:val="NormalWeb"/>
        <w:numPr>
          <w:ilvl w:val="0"/>
          <w:numId w:val="9"/>
        </w:numPr>
        <w:spacing w:before="0" w:beforeAutospacing="0" w:after="0" w:afterAutospacing="0"/>
        <w:jc w:val="both"/>
        <w:rPr>
          <w:sz w:val="20"/>
          <w:szCs w:val="20"/>
        </w:rPr>
      </w:pPr>
      <w:r w:rsidRPr="0034170A">
        <w:rPr>
          <w:rStyle w:val="Strong"/>
          <w:sz w:val="20"/>
          <w:szCs w:val="20"/>
        </w:rPr>
        <w:t>Skin, Hair, and Nail Scraping:</w:t>
      </w:r>
      <w:r w:rsidRPr="0034170A">
        <w:rPr>
          <w:sz w:val="20"/>
          <w:szCs w:val="20"/>
        </w:rPr>
        <w:t xml:space="preserve"> Superficial fungal infections, such as those caused by dermatophytes (</w:t>
      </w:r>
      <w:r w:rsidRPr="0034170A">
        <w:rPr>
          <w:rStyle w:val="Emphasis"/>
          <w:rFonts w:eastAsiaTheme="majorEastAsia"/>
          <w:sz w:val="20"/>
          <w:szCs w:val="20"/>
        </w:rPr>
        <w:t>Trichophyton</w:t>
      </w:r>
      <w:r w:rsidRPr="0034170A">
        <w:rPr>
          <w:sz w:val="20"/>
          <w:szCs w:val="20"/>
        </w:rPr>
        <w:t xml:space="preserve">, </w:t>
      </w:r>
      <w:r w:rsidRPr="0034170A">
        <w:rPr>
          <w:rStyle w:val="Emphasis"/>
          <w:rFonts w:eastAsiaTheme="majorEastAsia"/>
          <w:sz w:val="20"/>
          <w:szCs w:val="20"/>
        </w:rPr>
        <w:t>Microsporum</w:t>
      </w:r>
      <w:r w:rsidRPr="0034170A">
        <w:rPr>
          <w:sz w:val="20"/>
          <w:szCs w:val="20"/>
        </w:rPr>
        <w:t xml:space="preserve">, </w:t>
      </w:r>
      <w:r w:rsidRPr="0034170A">
        <w:rPr>
          <w:rStyle w:val="Emphasis"/>
          <w:rFonts w:eastAsiaTheme="majorEastAsia"/>
          <w:sz w:val="20"/>
          <w:szCs w:val="20"/>
        </w:rPr>
        <w:t>Epidermophyton</w:t>
      </w:r>
      <w:r w:rsidRPr="0034170A">
        <w:rPr>
          <w:sz w:val="20"/>
          <w:szCs w:val="20"/>
        </w:rPr>
        <w:t xml:space="preserve"> species), require scraping or clipping of the affected skin, hair, or nails. Skin scales should be scraped from the edge of an active lesion, where the fungal growth is most likely to be found. Hair should be collected by plucking or cutting affected strands, and nails should be clipped or scraped from the site of discoloration or thickening.</w:t>
      </w:r>
    </w:p>
    <w:p w:rsidR="00E938A4" w:rsidRPr="0034170A" w:rsidRDefault="00E938A4" w:rsidP="00151AB1">
      <w:pPr>
        <w:pStyle w:val="NormalWeb"/>
        <w:numPr>
          <w:ilvl w:val="0"/>
          <w:numId w:val="9"/>
        </w:numPr>
        <w:spacing w:before="0" w:beforeAutospacing="0" w:after="0" w:afterAutospacing="0"/>
        <w:jc w:val="both"/>
        <w:rPr>
          <w:sz w:val="20"/>
          <w:szCs w:val="20"/>
        </w:rPr>
      </w:pPr>
      <w:r w:rsidRPr="0034170A">
        <w:rPr>
          <w:rStyle w:val="Strong"/>
          <w:sz w:val="20"/>
          <w:szCs w:val="20"/>
        </w:rPr>
        <w:t>Blood:</w:t>
      </w:r>
      <w:r w:rsidRPr="0034170A">
        <w:rPr>
          <w:sz w:val="20"/>
          <w:szCs w:val="20"/>
        </w:rPr>
        <w:t xml:space="preserve"> For diagnosing systemic mycoses such as candidemia, blood cultures are often necessary. Blood should be collected aseptically into specialized fungal blood culture bottles or tubes to optimize the growth conditions for fungal pathogens like </w:t>
      </w:r>
      <w:r w:rsidRPr="0034170A">
        <w:rPr>
          <w:rStyle w:val="Emphasis"/>
          <w:rFonts w:eastAsiaTheme="majorEastAsia"/>
          <w:sz w:val="20"/>
          <w:szCs w:val="20"/>
        </w:rPr>
        <w:t>Candida</w:t>
      </w:r>
      <w:r w:rsidRPr="0034170A">
        <w:rPr>
          <w:sz w:val="20"/>
          <w:szCs w:val="20"/>
        </w:rPr>
        <w:t>. Multiple sets of blood cultures may be needed, as fungi often present in low concentrations in the bloodstream.</w:t>
      </w:r>
    </w:p>
    <w:p w:rsidR="00862427" w:rsidRPr="0034170A" w:rsidRDefault="00862427" w:rsidP="00151AB1">
      <w:pPr>
        <w:pStyle w:val="NormalWeb"/>
        <w:numPr>
          <w:ilvl w:val="0"/>
          <w:numId w:val="9"/>
        </w:numPr>
        <w:spacing w:before="0" w:beforeAutospacing="0" w:after="0" w:afterAutospacing="0"/>
        <w:jc w:val="both"/>
        <w:rPr>
          <w:rStyle w:val="Strong"/>
          <w:sz w:val="20"/>
          <w:szCs w:val="20"/>
        </w:rPr>
      </w:pPr>
      <w:r w:rsidRPr="0034170A">
        <w:rPr>
          <w:rStyle w:val="Strong"/>
          <w:sz w:val="20"/>
          <w:szCs w:val="20"/>
        </w:rPr>
        <w:t xml:space="preserve">Specimens: </w:t>
      </w:r>
      <w:r w:rsidRPr="0034170A">
        <w:rPr>
          <w:rStyle w:val="Strong"/>
          <w:b w:val="0"/>
          <w:bCs w:val="0"/>
          <w:sz w:val="20"/>
          <w:szCs w:val="20"/>
        </w:rPr>
        <w:t>Respiratory specimens are used for pulmonary fungal infections like invasive aspergillosis or cryptococcosis. Sputum, BAL, or tracheal aspirates could be collected for sampling, according to the disease state of the patient and the availability of invasive diagnostic techniques. The quality of the respiratory sample needs to be the best, and it should be sent to the laboratory as soon as possible to ensure the viability of the fungal organisms.</w:t>
      </w:r>
    </w:p>
    <w:p w:rsidR="00862427" w:rsidRPr="0034170A" w:rsidRDefault="00862427" w:rsidP="00151AB1">
      <w:pPr>
        <w:pStyle w:val="NormalWeb"/>
        <w:numPr>
          <w:ilvl w:val="0"/>
          <w:numId w:val="9"/>
        </w:numPr>
        <w:spacing w:before="0" w:beforeAutospacing="0" w:after="0" w:afterAutospacing="0"/>
        <w:jc w:val="both"/>
        <w:rPr>
          <w:rStyle w:val="Strong"/>
          <w:sz w:val="20"/>
          <w:szCs w:val="20"/>
        </w:rPr>
      </w:pPr>
      <w:r w:rsidRPr="0034170A">
        <w:rPr>
          <w:rStyle w:val="Strong"/>
          <w:sz w:val="20"/>
          <w:szCs w:val="20"/>
        </w:rPr>
        <w:t xml:space="preserve">CSF: </w:t>
      </w:r>
      <w:r w:rsidRPr="0034170A">
        <w:rPr>
          <w:rStyle w:val="Strong"/>
          <w:b w:val="0"/>
          <w:bCs w:val="0"/>
          <w:sz w:val="20"/>
          <w:szCs w:val="20"/>
        </w:rPr>
        <w:t xml:space="preserve">In cryptococcal meningitis, especially that of </w:t>
      </w:r>
      <w:r w:rsidRPr="0034170A">
        <w:rPr>
          <w:rStyle w:val="Strong"/>
          <w:b w:val="0"/>
          <w:bCs w:val="0"/>
          <w:i/>
          <w:iCs/>
          <w:sz w:val="20"/>
          <w:szCs w:val="20"/>
        </w:rPr>
        <w:t>Cryptococcus neoformans</w:t>
      </w:r>
      <w:r w:rsidRPr="0034170A">
        <w:rPr>
          <w:rStyle w:val="Strong"/>
          <w:b w:val="0"/>
          <w:bCs w:val="0"/>
          <w:sz w:val="20"/>
          <w:szCs w:val="20"/>
        </w:rPr>
        <w:t xml:space="preserve">, CSF is the preferred sample for diagnosing fungal meningitis. The lumbar puncture should be performed under aseptic precautions, and CSF should be taken and transported to the laboratory without delay. Culture of fungi and antigen testing of Cryptococcus is most frequently done in detecting </w:t>
      </w:r>
      <w:r w:rsidRPr="0034170A">
        <w:rPr>
          <w:rStyle w:val="Strong"/>
          <w:b w:val="0"/>
          <w:bCs w:val="0"/>
          <w:i/>
          <w:iCs/>
          <w:sz w:val="20"/>
          <w:szCs w:val="20"/>
        </w:rPr>
        <w:t>Cryptococcus</w:t>
      </w:r>
      <w:r w:rsidRPr="0034170A">
        <w:rPr>
          <w:rStyle w:val="Strong"/>
          <w:b w:val="0"/>
          <w:bCs w:val="0"/>
          <w:sz w:val="20"/>
          <w:szCs w:val="20"/>
        </w:rPr>
        <w:t xml:space="preserve"> in CSF.</w:t>
      </w:r>
    </w:p>
    <w:p w:rsidR="00862427" w:rsidRPr="0034170A" w:rsidRDefault="00862427" w:rsidP="00151AB1">
      <w:pPr>
        <w:pStyle w:val="NormalWeb"/>
        <w:numPr>
          <w:ilvl w:val="0"/>
          <w:numId w:val="9"/>
        </w:numPr>
        <w:spacing w:before="0" w:beforeAutospacing="0" w:after="0" w:afterAutospacing="0"/>
        <w:jc w:val="both"/>
        <w:rPr>
          <w:rStyle w:val="Strong"/>
          <w:sz w:val="20"/>
          <w:szCs w:val="20"/>
        </w:rPr>
      </w:pPr>
      <w:r w:rsidRPr="0034170A">
        <w:rPr>
          <w:rStyle w:val="Strong"/>
          <w:sz w:val="20"/>
          <w:szCs w:val="20"/>
        </w:rPr>
        <w:t xml:space="preserve">Tissue Biopsy: </w:t>
      </w:r>
      <w:r w:rsidRPr="0034170A">
        <w:rPr>
          <w:rStyle w:val="Strong"/>
          <w:b w:val="0"/>
          <w:bCs w:val="0"/>
          <w:sz w:val="20"/>
          <w:szCs w:val="20"/>
        </w:rPr>
        <w:t>For invasive or systemic mycoses, tissue biopsy samples may be needed to establish a diagnosis. Obtain tissue samples at the site of infection; image studies, for example, CT or MRI should guide this and be handled appropriately to avoid contamination. Divide the sample for histopathological examination, fungal culture, and molecular diagnostics.</w:t>
      </w:r>
    </w:p>
    <w:p w:rsidR="00E938A4" w:rsidRPr="0034170A" w:rsidRDefault="00862427" w:rsidP="00151AB1">
      <w:pPr>
        <w:pStyle w:val="NormalWeb"/>
        <w:numPr>
          <w:ilvl w:val="0"/>
          <w:numId w:val="9"/>
        </w:numPr>
        <w:spacing w:before="0" w:beforeAutospacing="0" w:after="0" w:afterAutospacing="0"/>
        <w:jc w:val="both"/>
        <w:rPr>
          <w:sz w:val="20"/>
          <w:szCs w:val="20"/>
        </w:rPr>
      </w:pPr>
      <w:r w:rsidRPr="0034170A">
        <w:rPr>
          <w:rStyle w:val="Strong"/>
          <w:sz w:val="20"/>
          <w:szCs w:val="20"/>
        </w:rPr>
        <w:t xml:space="preserve">Urine and Other Body Fluids: </w:t>
      </w:r>
      <w:r w:rsidRPr="0034170A">
        <w:rPr>
          <w:rStyle w:val="Strong"/>
          <w:b w:val="0"/>
          <w:bCs w:val="0"/>
          <w:sz w:val="20"/>
          <w:szCs w:val="20"/>
        </w:rPr>
        <w:t xml:space="preserve">Candiduria, for example, is a type of urinary tract infection caused by </w:t>
      </w:r>
      <w:r w:rsidRPr="0034170A">
        <w:rPr>
          <w:rStyle w:val="Strong"/>
          <w:b w:val="0"/>
          <w:bCs w:val="0"/>
          <w:i/>
          <w:iCs/>
          <w:sz w:val="20"/>
          <w:szCs w:val="20"/>
        </w:rPr>
        <w:t>Candida</w:t>
      </w:r>
      <w:r w:rsidRPr="0034170A">
        <w:rPr>
          <w:rStyle w:val="Strong"/>
          <w:b w:val="0"/>
          <w:bCs w:val="0"/>
          <w:sz w:val="20"/>
          <w:szCs w:val="20"/>
        </w:rPr>
        <w:t>, which requires urine samples for diagnosis.</w:t>
      </w:r>
      <w:r w:rsidR="00E938A4" w:rsidRPr="0034170A">
        <w:rPr>
          <w:sz w:val="20"/>
          <w:szCs w:val="20"/>
        </w:rPr>
        <w:t xml:space="preserve"> Urine should be collected as a clean-catch, midstream sample in a sterile container. Other body fluids, such as pleural fluid, peritoneal fluid, or joint aspirates, may also be collected in cases of systemic fungal infections affecting those areas.</w:t>
      </w:r>
    </w:p>
    <w:p w:rsidR="00E938A4" w:rsidRPr="0034170A" w:rsidRDefault="00E938A4" w:rsidP="009A18F2">
      <w:pPr>
        <w:pStyle w:val="Heading4"/>
        <w:spacing w:before="0"/>
        <w:rPr>
          <w:rFonts w:ascii="Times New Roman" w:hAnsi="Times New Roman" w:cs="Times New Roman"/>
          <w:i w:val="0"/>
          <w:iCs w:val="0"/>
          <w:sz w:val="20"/>
          <w:szCs w:val="20"/>
        </w:rPr>
      </w:pPr>
      <w:r w:rsidRPr="0034170A">
        <w:rPr>
          <w:rStyle w:val="Strong"/>
          <w:rFonts w:ascii="Times New Roman" w:hAnsi="Times New Roman" w:cs="Times New Roman"/>
          <w:b/>
          <w:bCs/>
          <w:i w:val="0"/>
          <w:iCs w:val="0"/>
          <w:sz w:val="20"/>
          <w:szCs w:val="20"/>
        </w:rPr>
        <w:t>Transport and Storage of Specimens</w:t>
      </w:r>
    </w:p>
    <w:p w:rsidR="00E938A4" w:rsidRPr="0034170A" w:rsidRDefault="00E938A4" w:rsidP="009A18F2">
      <w:pPr>
        <w:pStyle w:val="NormalWeb"/>
        <w:spacing w:before="0" w:beforeAutospacing="0" w:after="0" w:afterAutospacing="0"/>
        <w:ind w:firstLine="720"/>
        <w:jc w:val="both"/>
        <w:rPr>
          <w:sz w:val="20"/>
          <w:szCs w:val="20"/>
        </w:rPr>
      </w:pPr>
      <w:r w:rsidRPr="0034170A">
        <w:rPr>
          <w:sz w:val="20"/>
          <w:szCs w:val="20"/>
        </w:rPr>
        <w:t>Proper transport and storage of specimens are essential to preserve the integrity of the samples and the viability of the fungi. Specimens should be transported to the laboratory as quickly as possible, ideally within a few hours of collection. If immediate transport is not possible, some specimens, such as blood, CSF, or tissue biopsies, should be stored at room temperature, while others, like urine, can be refrigerated at 4°C to delay fungal growth until processing.</w:t>
      </w:r>
    </w:p>
    <w:p w:rsidR="00E938A4" w:rsidRPr="0034170A" w:rsidRDefault="00E938A4" w:rsidP="00151AB1">
      <w:pPr>
        <w:pStyle w:val="NormalWeb"/>
        <w:numPr>
          <w:ilvl w:val="0"/>
          <w:numId w:val="10"/>
        </w:numPr>
        <w:spacing w:before="0" w:beforeAutospacing="0" w:after="0" w:afterAutospacing="0"/>
        <w:jc w:val="both"/>
        <w:rPr>
          <w:sz w:val="20"/>
          <w:szCs w:val="20"/>
        </w:rPr>
      </w:pPr>
      <w:r w:rsidRPr="0034170A">
        <w:rPr>
          <w:rStyle w:val="Strong"/>
          <w:sz w:val="20"/>
          <w:szCs w:val="20"/>
        </w:rPr>
        <w:lastRenderedPageBreak/>
        <w:t>Skin, Hair, and Nail Samples:</w:t>
      </w:r>
      <w:r w:rsidRPr="0034170A">
        <w:rPr>
          <w:sz w:val="20"/>
          <w:szCs w:val="20"/>
        </w:rPr>
        <w:t xml:space="preserve"> These should be kept dry and transported in sterile containers, avoiding moisture, which can promote bacterial overgrowth. Samples should be processed as soon as possible to prevent degradation.</w:t>
      </w:r>
    </w:p>
    <w:p w:rsidR="00E938A4" w:rsidRPr="0034170A" w:rsidRDefault="00E938A4" w:rsidP="00151AB1">
      <w:pPr>
        <w:pStyle w:val="NormalWeb"/>
        <w:numPr>
          <w:ilvl w:val="0"/>
          <w:numId w:val="10"/>
        </w:numPr>
        <w:spacing w:before="0" w:beforeAutospacing="0" w:after="0" w:afterAutospacing="0"/>
        <w:jc w:val="both"/>
        <w:rPr>
          <w:sz w:val="20"/>
          <w:szCs w:val="20"/>
        </w:rPr>
      </w:pPr>
      <w:r w:rsidRPr="0034170A">
        <w:rPr>
          <w:rStyle w:val="Strong"/>
          <w:sz w:val="20"/>
          <w:szCs w:val="20"/>
        </w:rPr>
        <w:t>Blood and Other Fluids:</w:t>
      </w:r>
      <w:r w:rsidRPr="0034170A">
        <w:rPr>
          <w:sz w:val="20"/>
          <w:szCs w:val="20"/>
        </w:rPr>
        <w:t xml:space="preserve"> Blood cultures should be incubated in fungal-specific culture media and transported to the laboratory promptly. For CSF, immediate processing is necessary, especially for critically ill patients suspected of fungal meningitis.</w:t>
      </w:r>
    </w:p>
    <w:p w:rsidR="00E938A4" w:rsidRPr="0034170A" w:rsidRDefault="00E938A4" w:rsidP="00151AB1">
      <w:pPr>
        <w:pStyle w:val="NormalWeb"/>
        <w:numPr>
          <w:ilvl w:val="0"/>
          <w:numId w:val="10"/>
        </w:numPr>
        <w:spacing w:before="0" w:beforeAutospacing="0" w:after="0" w:afterAutospacing="0"/>
        <w:jc w:val="both"/>
        <w:rPr>
          <w:sz w:val="20"/>
          <w:szCs w:val="20"/>
        </w:rPr>
      </w:pPr>
      <w:r w:rsidRPr="0034170A">
        <w:rPr>
          <w:rStyle w:val="Strong"/>
          <w:sz w:val="20"/>
          <w:szCs w:val="20"/>
        </w:rPr>
        <w:t>Respiratory Samples:</w:t>
      </w:r>
      <w:r w:rsidRPr="0034170A">
        <w:rPr>
          <w:sz w:val="20"/>
          <w:szCs w:val="20"/>
        </w:rPr>
        <w:t xml:space="preserve"> Respiratory specimens, including sputum and BAL, should be transported in sterile, leak-proof containers. Prompt transport is important, as delays may lead to contamination or overgrowth of saprophytic fungi from the upper respiratory tract.</w:t>
      </w:r>
    </w:p>
    <w:p w:rsidR="00E938A4" w:rsidRPr="0034170A" w:rsidRDefault="00E938A4" w:rsidP="00151AB1">
      <w:pPr>
        <w:pStyle w:val="NormalWeb"/>
        <w:numPr>
          <w:ilvl w:val="0"/>
          <w:numId w:val="10"/>
        </w:numPr>
        <w:spacing w:before="0" w:beforeAutospacing="0" w:after="0" w:afterAutospacing="0"/>
        <w:jc w:val="both"/>
        <w:rPr>
          <w:sz w:val="20"/>
          <w:szCs w:val="20"/>
        </w:rPr>
      </w:pPr>
      <w:r w:rsidRPr="0034170A">
        <w:rPr>
          <w:rStyle w:val="Strong"/>
          <w:sz w:val="20"/>
          <w:szCs w:val="20"/>
        </w:rPr>
        <w:t>Tissue Biopsies:</w:t>
      </w:r>
      <w:r w:rsidRPr="0034170A">
        <w:rPr>
          <w:sz w:val="20"/>
          <w:szCs w:val="20"/>
        </w:rPr>
        <w:t xml:space="preserve"> Tissue samples should be kept moist with sterile saline or transport media and processed immediately. If delays are unavoidable, they should be refrigerated to maintain fungal viability but not frozen, as freezing can destroy fungal structures, making identification difficult.</w:t>
      </w:r>
    </w:p>
    <w:p w:rsidR="00E938A4" w:rsidRPr="0034170A" w:rsidRDefault="00E938A4" w:rsidP="009A18F2">
      <w:pPr>
        <w:pStyle w:val="Heading4"/>
        <w:spacing w:before="0"/>
        <w:rPr>
          <w:rFonts w:ascii="Times New Roman" w:hAnsi="Times New Roman" w:cs="Times New Roman"/>
          <w:i w:val="0"/>
          <w:iCs w:val="0"/>
          <w:sz w:val="20"/>
          <w:szCs w:val="20"/>
        </w:rPr>
      </w:pPr>
      <w:r w:rsidRPr="0034170A">
        <w:rPr>
          <w:rStyle w:val="Strong"/>
          <w:rFonts w:ascii="Times New Roman" w:hAnsi="Times New Roman" w:cs="Times New Roman"/>
          <w:b/>
          <w:bCs/>
          <w:i w:val="0"/>
          <w:iCs w:val="0"/>
          <w:sz w:val="20"/>
          <w:szCs w:val="20"/>
        </w:rPr>
        <w:t>Precautions to Avoid Contamination</w:t>
      </w:r>
    </w:p>
    <w:p w:rsidR="00E938A4" w:rsidRPr="0034170A" w:rsidRDefault="00E938A4" w:rsidP="009A18F2">
      <w:pPr>
        <w:pStyle w:val="NormalWeb"/>
        <w:spacing w:before="0" w:beforeAutospacing="0" w:after="0" w:afterAutospacing="0"/>
        <w:ind w:firstLine="720"/>
        <w:jc w:val="both"/>
        <w:rPr>
          <w:sz w:val="20"/>
          <w:szCs w:val="20"/>
        </w:rPr>
      </w:pPr>
      <w:r w:rsidRPr="0034170A">
        <w:rPr>
          <w:sz w:val="20"/>
          <w:szCs w:val="20"/>
        </w:rPr>
        <w:t xml:space="preserve">Contamination of specimens with environmental fungi or normal flora can lead to false-positive results and complicate the diagnosis. Strict aseptic techniques should be followed during sample collection, and the use of sterile equipment is essential. Proper </w:t>
      </w:r>
      <w:r w:rsidR="002812EF" w:rsidRPr="0034170A">
        <w:rPr>
          <w:sz w:val="20"/>
          <w:szCs w:val="20"/>
        </w:rPr>
        <w:t>labelling</w:t>
      </w:r>
      <w:r w:rsidRPr="0034170A">
        <w:rPr>
          <w:sz w:val="20"/>
          <w:szCs w:val="20"/>
        </w:rPr>
        <w:t xml:space="preserve"> and documentation, including the type of specimen, the collection site, and any relevant clinical information, should accompany the sample to assist the laboratory in selecting appropriate diagnostic tests.</w:t>
      </w:r>
    </w:p>
    <w:p w:rsidR="002812EF" w:rsidRPr="0034170A" w:rsidRDefault="002812EF" w:rsidP="009A18F2">
      <w:pPr>
        <w:pStyle w:val="Heading3"/>
        <w:numPr>
          <w:ilvl w:val="1"/>
          <w:numId w:val="8"/>
        </w:numPr>
        <w:spacing w:before="0"/>
        <w:rPr>
          <w:rFonts w:ascii="Times New Roman" w:hAnsi="Times New Roman" w:cs="Times New Roman"/>
          <w:sz w:val="20"/>
          <w:szCs w:val="20"/>
        </w:rPr>
      </w:pPr>
      <w:r w:rsidRPr="0034170A">
        <w:rPr>
          <w:rStyle w:val="Strong"/>
          <w:rFonts w:ascii="Times New Roman" w:hAnsi="Times New Roman" w:cs="Times New Roman"/>
          <w:b/>
          <w:bCs/>
          <w:sz w:val="20"/>
          <w:szCs w:val="20"/>
        </w:rPr>
        <w:t>Systemic Mycoses</w:t>
      </w:r>
    </w:p>
    <w:p w:rsidR="002812EF" w:rsidRPr="0034170A" w:rsidRDefault="00862427" w:rsidP="009A18F2">
      <w:pPr>
        <w:pStyle w:val="NormalWeb"/>
        <w:spacing w:before="0" w:beforeAutospacing="0" w:after="0" w:afterAutospacing="0"/>
        <w:ind w:firstLine="720"/>
        <w:jc w:val="both"/>
        <w:rPr>
          <w:sz w:val="20"/>
          <w:szCs w:val="20"/>
        </w:rPr>
      </w:pPr>
      <w:r w:rsidRPr="0034170A">
        <w:rPr>
          <w:sz w:val="20"/>
          <w:szCs w:val="20"/>
        </w:rPr>
        <w:t>Systemic mycoses are fungal infections that affect inner organs and tissues, often life-threatening, especially among immunocompromised patients. The causative fungi can cause infections in internal organs and tissues, such as the lungs, brain, liver, kidneys, and bloodstream, by disseminating throughout the body.</w:t>
      </w:r>
      <w:r w:rsidR="002812EF" w:rsidRPr="0034170A">
        <w:rPr>
          <w:sz w:val="20"/>
          <w:szCs w:val="20"/>
        </w:rPr>
        <w:t xml:space="preserve"> The fungi responsible for systemic infections can either be opportunistic pathogens, which typically affect those with weakened immune systems, or primary pathogens, capable of causing disease in healthy individuals. The most clinically significant systemic mycoses include candidiasis, cryptococcosis, and aspergillosis.</w:t>
      </w:r>
    </w:p>
    <w:p w:rsidR="002812EF" w:rsidRPr="0034170A" w:rsidRDefault="002812EF" w:rsidP="009A18F2">
      <w:pPr>
        <w:pStyle w:val="NormalWeb"/>
        <w:spacing w:before="0" w:beforeAutospacing="0" w:after="0" w:afterAutospacing="0"/>
        <w:ind w:firstLine="720"/>
        <w:jc w:val="both"/>
        <w:rPr>
          <w:sz w:val="20"/>
          <w:szCs w:val="20"/>
        </w:rPr>
      </w:pPr>
      <w:r w:rsidRPr="0034170A">
        <w:rPr>
          <w:sz w:val="20"/>
          <w:szCs w:val="20"/>
        </w:rPr>
        <w:t>Diagnosis of systemic mycoses is challenging because symptoms are often nonspecific, and the fungi involved can be difficult to detect in clinical specimens. Accurate diagnosis requires a combination of clinical suspicion, laboratory tests, and imaging studies. Early diagnosis and appropriate treatment are critical to improving patient outcomes, as systemic fungal infections can progress rapidly and are often associated with high mortality rates.</w:t>
      </w:r>
    </w:p>
    <w:p w:rsidR="002812EF" w:rsidRPr="0034170A" w:rsidRDefault="002812EF" w:rsidP="009A18F2">
      <w:pPr>
        <w:pStyle w:val="Heading4"/>
        <w:numPr>
          <w:ilvl w:val="2"/>
          <w:numId w:val="8"/>
        </w:numPr>
        <w:spacing w:before="0"/>
        <w:rPr>
          <w:rFonts w:ascii="Times New Roman" w:hAnsi="Times New Roman" w:cs="Times New Roman"/>
          <w:i w:val="0"/>
          <w:iCs w:val="0"/>
          <w:sz w:val="20"/>
          <w:szCs w:val="20"/>
        </w:rPr>
      </w:pPr>
      <w:r w:rsidRPr="0034170A">
        <w:rPr>
          <w:rStyle w:val="Strong"/>
          <w:rFonts w:ascii="Times New Roman" w:hAnsi="Times New Roman" w:cs="Times New Roman"/>
          <w:b/>
          <w:bCs/>
          <w:i w:val="0"/>
          <w:iCs w:val="0"/>
          <w:sz w:val="20"/>
          <w:szCs w:val="20"/>
        </w:rPr>
        <w:t>Candidiasis</w:t>
      </w:r>
    </w:p>
    <w:p w:rsidR="002812EF" w:rsidRPr="0034170A" w:rsidRDefault="002812EF" w:rsidP="009A18F2">
      <w:pPr>
        <w:pStyle w:val="NormalWeb"/>
        <w:spacing w:before="0" w:beforeAutospacing="0" w:after="0" w:afterAutospacing="0"/>
        <w:ind w:firstLine="720"/>
        <w:jc w:val="both"/>
        <w:rPr>
          <w:sz w:val="20"/>
          <w:szCs w:val="20"/>
        </w:rPr>
      </w:pPr>
      <w:r w:rsidRPr="0034170A">
        <w:rPr>
          <w:sz w:val="20"/>
          <w:szCs w:val="20"/>
        </w:rPr>
        <w:t xml:space="preserve">Candidiasis is a systemic or mucocutaneous infection caused by yeasts of the genus </w:t>
      </w:r>
      <w:r w:rsidRPr="0034170A">
        <w:rPr>
          <w:rStyle w:val="Emphasis"/>
          <w:rFonts w:eastAsiaTheme="majorEastAsia"/>
          <w:sz w:val="20"/>
          <w:szCs w:val="20"/>
        </w:rPr>
        <w:t>Candida</w:t>
      </w:r>
      <w:r w:rsidRPr="0034170A">
        <w:rPr>
          <w:sz w:val="20"/>
          <w:szCs w:val="20"/>
        </w:rPr>
        <w:t xml:space="preserve">, with </w:t>
      </w:r>
      <w:r w:rsidRPr="0034170A">
        <w:rPr>
          <w:rStyle w:val="Emphasis"/>
          <w:rFonts w:eastAsiaTheme="majorEastAsia"/>
          <w:sz w:val="20"/>
          <w:szCs w:val="20"/>
        </w:rPr>
        <w:t>Candida albicans</w:t>
      </w:r>
      <w:r w:rsidRPr="0034170A">
        <w:rPr>
          <w:sz w:val="20"/>
          <w:szCs w:val="20"/>
        </w:rPr>
        <w:t xml:space="preserve"> being the most common species responsible for human infections. While </w:t>
      </w:r>
      <w:r w:rsidRPr="0034170A">
        <w:rPr>
          <w:rStyle w:val="Emphasis"/>
          <w:rFonts w:eastAsiaTheme="majorEastAsia"/>
          <w:sz w:val="20"/>
          <w:szCs w:val="20"/>
        </w:rPr>
        <w:t>Candida</w:t>
      </w:r>
      <w:r w:rsidRPr="0034170A">
        <w:rPr>
          <w:sz w:val="20"/>
          <w:szCs w:val="20"/>
        </w:rPr>
        <w:t xml:space="preserve"> species are part of the normal flora of the skin, mouth, gastrointestinal tract, and vagina, they can cause invasive disease in immunocompromised individuals or those with disruptions to their normal microbiota. Invasive candidiasis, including candidemia, is a major cause of morbidity and mortality in hospitalized patients, especially those in intensive care units (ICUs), patients undergoing chemotherapy, and organ transplant recipients.</w:t>
      </w:r>
    </w:p>
    <w:p w:rsidR="002812EF" w:rsidRPr="0034170A" w:rsidRDefault="002812EF" w:rsidP="009A18F2">
      <w:pPr>
        <w:pStyle w:val="Heading5"/>
        <w:spacing w:before="0"/>
        <w:rPr>
          <w:rFonts w:ascii="Times New Roman" w:hAnsi="Times New Roman" w:cs="Times New Roman"/>
          <w:sz w:val="20"/>
          <w:szCs w:val="20"/>
        </w:rPr>
      </w:pPr>
      <w:r w:rsidRPr="0034170A">
        <w:rPr>
          <w:rStyle w:val="Strong"/>
          <w:rFonts w:ascii="Times New Roman" w:hAnsi="Times New Roman" w:cs="Times New Roman"/>
          <w:b w:val="0"/>
          <w:bCs w:val="0"/>
          <w:sz w:val="20"/>
          <w:szCs w:val="20"/>
        </w:rPr>
        <w:t>Epidemiology</w:t>
      </w:r>
    </w:p>
    <w:p w:rsidR="002812EF" w:rsidRPr="0034170A" w:rsidRDefault="002812EF" w:rsidP="009A18F2">
      <w:pPr>
        <w:pStyle w:val="NormalWeb"/>
        <w:spacing w:before="0" w:beforeAutospacing="0" w:after="0" w:afterAutospacing="0"/>
        <w:ind w:firstLine="720"/>
        <w:jc w:val="both"/>
        <w:rPr>
          <w:sz w:val="20"/>
          <w:szCs w:val="20"/>
        </w:rPr>
      </w:pPr>
      <w:r w:rsidRPr="0034170A">
        <w:rPr>
          <w:rStyle w:val="Emphasis"/>
          <w:rFonts w:eastAsiaTheme="majorEastAsia"/>
          <w:sz w:val="20"/>
          <w:szCs w:val="20"/>
        </w:rPr>
        <w:t>C. albicans</w:t>
      </w:r>
      <w:r w:rsidRPr="0034170A">
        <w:rPr>
          <w:sz w:val="20"/>
          <w:szCs w:val="20"/>
        </w:rPr>
        <w:t xml:space="preserve"> accounts for the majority of invasive candidiasis cases, but non-</w:t>
      </w:r>
      <w:r w:rsidRPr="0034170A">
        <w:rPr>
          <w:rStyle w:val="Emphasis"/>
          <w:rFonts w:eastAsiaTheme="majorEastAsia"/>
          <w:sz w:val="20"/>
          <w:szCs w:val="20"/>
        </w:rPr>
        <w:t>albicans</w:t>
      </w:r>
      <w:r w:rsidRPr="0034170A">
        <w:rPr>
          <w:sz w:val="20"/>
          <w:szCs w:val="20"/>
        </w:rPr>
        <w:t xml:space="preserve"> species, such as </w:t>
      </w:r>
      <w:r w:rsidRPr="0034170A">
        <w:rPr>
          <w:rStyle w:val="Emphasis"/>
          <w:rFonts w:eastAsiaTheme="majorEastAsia"/>
          <w:sz w:val="20"/>
          <w:szCs w:val="20"/>
        </w:rPr>
        <w:t>C. glabrata</w:t>
      </w:r>
      <w:r w:rsidRPr="0034170A">
        <w:rPr>
          <w:sz w:val="20"/>
          <w:szCs w:val="20"/>
        </w:rPr>
        <w:t xml:space="preserve">, </w:t>
      </w:r>
      <w:r w:rsidRPr="0034170A">
        <w:rPr>
          <w:rStyle w:val="Emphasis"/>
          <w:rFonts w:eastAsiaTheme="majorEastAsia"/>
          <w:sz w:val="20"/>
          <w:szCs w:val="20"/>
        </w:rPr>
        <w:t>C. parapsilosis</w:t>
      </w:r>
      <w:r w:rsidRPr="0034170A">
        <w:rPr>
          <w:sz w:val="20"/>
          <w:szCs w:val="20"/>
        </w:rPr>
        <w:t xml:space="preserve">, </w:t>
      </w:r>
      <w:r w:rsidRPr="0034170A">
        <w:rPr>
          <w:rStyle w:val="Emphasis"/>
          <w:rFonts w:eastAsiaTheme="majorEastAsia"/>
          <w:sz w:val="20"/>
          <w:szCs w:val="20"/>
        </w:rPr>
        <w:t>C. tropicalis</w:t>
      </w:r>
      <w:r w:rsidRPr="0034170A">
        <w:rPr>
          <w:sz w:val="20"/>
          <w:szCs w:val="20"/>
        </w:rPr>
        <w:t xml:space="preserve">, and </w:t>
      </w:r>
      <w:r w:rsidRPr="0034170A">
        <w:rPr>
          <w:rStyle w:val="Emphasis"/>
          <w:rFonts w:eastAsiaTheme="majorEastAsia"/>
          <w:sz w:val="20"/>
          <w:szCs w:val="20"/>
        </w:rPr>
        <w:t>C. krusei</w:t>
      </w:r>
      <w:r w:rsidRPr="0034170A">
        <w:rPr>
          <w:sz w:val="20"/>
          <w:szCs w:val="20"/>
        </w:rPr>
        <w:t>, are increasingly being reported, especially in patients with prior exposure to antifungal agents. These non-</w:t>
      </w:r>
      <w:r w:rsidRPr="0034170A">
        <w:rPr>
          <w:rStyle w:val="Emphasis"/>
          <w:rFonts w:eastAsiaTheme="majorEastAsia"/>
          <w:sz w:val="20"/>
          <w:szCs w:val="20"/>
        </w:rPr>
        <w:t>albicans</w:t>
      </w:r>
      <w:r w:rsidRPr="0034170A">
        <w:rPr>
          <w:sz w:val="20"/>
          <w:szCs w:val="20"/>
        </w:rPr>
        <w:t xml:space="preserve"> species often exhibit intrinsic resistance to certain antifungal medications, complicating treatment. Invasive candidiasis is most commonly seen in patients with risk factors such as prolonged hospital stays, central venous catheters, broad-spectrum antibiotic use, total parenteral nutrition, and immunosuppressive therapies.</w:t>
      </w:r>
    </w:p>
    <w:p w:rsidR="002812EF" w:rsidRPr="0034170A" w:rsidRDefault="002812EF" w:rsidP="009A18F2">
      <w:pPr>
        <w:pStyle w:val="Heading5"/>
        <w:spacing w:before="0"/>
        <w:rPr>
          <w:rFonts w:ascii="Times New Roman" w:hAnsi="Times New Roman" w:cs="Times New Roman"/>
          <w:sz w:val="20"/>
          <w:szCs w:val="20"/>
        </w:rPr>
      </w:pPr>
      <w:r w:rsidRPr="0034170A">
        <w:rPr>
          <w:rStyle w:val="Strong"/>
          <w:rFonts w:ascii="Times New Roman" w:hAnsi="Times New Roman" w:cs="Times New Roman"/>
          <w:b w:val="0"/>
          <w:bCs w:val="0"/>
          <w:sz w:val="20"/>
          <w:szCs w:val="20"/>
        </w:rPr>
        <w:t>Clinical Symptoms</w:t>
      </w:r>
    </w:p>
    <w:p w:rsidR="002812EF" w:rsidRPr="0034170A" w:rsidRDefault="002812EF" w:rsidP="009A18F2">
      <w:pPr>
        <w:pStyle w:val="NormalWeb"/>
        <w:spacing w:before="0" w:beforeAutospacing="0" w:after="0" w:afterAutospacing="0"/>
        <w:ind w:firstLine="720"/>
        <w:jc w:val="both"/>
        <w:rPr>
          <w:sz w:val="20"/>
          <w:szCs w:val="20"/>
        </w:rPr>
      </w:pPr>
      <w:r w:rsidRPr="0034170A">
        <w:rPr>
          <w:sz w:val="20"/>
          <w:szCs w:val="20"/>
        </w:rPr>
        <w:t xml:space="preserve">Candidemia, the presence of </w:t>
      </w:r>
      <w:r w:rsidRPr="0034170A">
        <w:rPr>
          <w:rStyle w:val="Emphasis"/>
          <w:rFonts w:eastAsiaTheme="majorEastAsia"/>
          <w:sz w:val="20"/>
          <w:szCs w:val="20"/>
        </w:rPr>
        <w:t>Candida</w:t>
      </w:r>
      <w:r w:rsidRPr="0034170A">
        <w:rPr>
          <w:sz w:val="20"/>
          <w:szCs w:val="20"/>
        </w:rPr>
        <w:t xml:space="preserve"> in the bloodstream, is the most common form of invasive candidiasis and is associated with a wide range of nonspecific symptoms, including fever, chills, hypotension, and multi-organ failure. Without appropriate treatment, candidemia can disseminate to other organs, leading to complications such as endocarditis, hepatosplenic candidiasis, and osteomyelitis. Disseminated candidiasis can also affect the eyes, leading to endophthalmitis, and the central nervous system (CNS), particularly in neonates and immunocompromised adults.</w:t>
      </w:r>
    </w:p>
    <w:p w:rsidR="002812EF" w:rsidRPr="0034170A" w:rsidRDefault="002812EF" w:rsidP="009A18F2">
      <w:pPr>
        <w:pStyle w:val="Heading5"/>
        <w:spacing w:before="0"/>
        <w:rPr>
          <w:rFonts w:ascii="Times New Roman" w:hAnsi="Times New Roman" w:cs="Times New Roman"/>
          <w:sz w:val="20"/>
          <w:szCs w:val="20"/>
        </w:rPr>
      </w:pPr>
      <w:r w:rsidRPr="0034170A">
        <w:rPr>
          <w:rStyle w:val="Strong"/>
          <w:rFonts w:ascii="Times New Roman" w:hAnsi="Times New Roman" w:cs="Times New Roman"/>
          <w:b w:val="0"/>
          <w:bCs w:val="0"/>
          <w:sz w:val="20"/>
          <w:szCs w:val="20"/>
        </w:rPr>
        <w:t>Laboratory Diagnosis</w:t>
      </w:r>
    </w:p>
    <w:p w:rsidR="002812EF" w:rsidRPr="0034170A" w:rsidRDefault="00163469" w:rsidP="009A18F2">
      <w:pPr>
        <w:pStyle w:val="NormalWeb"/>
        <w:spacing w:before="0" w:beforeAutospacing="0" w:after="0" w:afterAutospacing="0"/>
        <w:ind w:firstLine="720"/>
        <w:jc w:val="both"/>
        <w:rPr>
          <w:sz w:val="20"/>
          <w:szCs w:val="20"/>
        </w:rPr>
      </w:pPr>
      <w:r w:rsidRPr="0034170A">
        <w:rPr>
          <w:sz w:val="20"/>
          <w:szCs w:val="20"/>
        </w:rPr>
        <w:t xml:space="preserve">Diagnosis of candidiasis relies solely on the isolation of </w:t>
      </w:r>
      <w:r w:rsidRPr="0034170A">
        <w:rPr>
          <w:i/>
          <w:iCs/>
          <w:sz w:val="20"/>
          <w:szCs w:val="20"/>
        </w:rPr>
        <w:t>Candida</w:t>
      </w:r>
      <w:r w:rsidRPr="0034170A">
        <w:rPr>
          <w:sz w:val="20"/>
          <w:szCs w:val="20"/>
        </w:rPr>
        <w:t xml:space="preserve"> from clinical specimens such as blood, urine, or tissue. The sensitivity of blood cultures as a means to diagnose candidemia remains poor for patients who receive antifungal therapy. In automated blood culture systems, although it might slightly improve the sensitivity, detection often lags significantly because of </w:t>
      </w:r>
      <w:r w:rsidRPr="0034170A">
        <w:rPr>
          <w:i/>
          <w:iCs/>
          <w:sz w:val="20"/>
          <w:szCs w:val="20"/>
        </w:rPr>
        <w:t>Candida's</w:t>
      </w:r>
      <w:r w:rsidRPr="0034170A">
        <w:rPr>
          <w:sz w:val="20"/>
          <w:szCs w:val="20"/>
        </w:rPr>
        <w:t xml:space="preserve"> slow growth in the culture.</w:t>
      </w:r>
      <w:r w:rsidR="002812EF" w:rsidRPr="0034170A">
        <w:rPr>
          <w:sz w:val="20"/>
          <w:szCs w:val="20"/>
        </w:rPr>
        <w:t xml:space="preserve"> Non-culture-based diagnostic methods, such as the detection of </w:t>
      </w:r>
      <w:r w:rsidR="002812EF" w:rsidRPr="0034170A">
        <w:rPr>
          <w:rStyle w:val="Emphasis"/>
          <w:rFonts w:eastAsiaTheme="majorEastAsia"/>
          <w:sz w:val="20"/>
          <w:szCs w:val="20"/>
        </w:rPr>
        <w:t>Candida</w:t>
      </w:r>
      <w:r w:rsidR="002812EF" w:rsidRPr="0034170A">
        <w:rPr>
          <w:sz w:val="20"/>
          <w:szCs w:val="20"/>
        </w:rPr>
        <w:t xml:space="preserve"> antigens (e.g., beta-D-glucan) or molecular tests (e.g., PCR), offer improved sensitivity and faster results but are not universally available in all clinical settings.</w:t>
      </w:r>
    </w:p>
    <w:p w:rsidR="002812EF" w:rsidRPr="0034170A" w:rsidRDefault="002812EF" w:rsidP="009A18F2">
      <w:pPr>
        <w:pStyle w:val="NormalWeb"/>
        <w:spacing w:before="0" w:beforeAutospacing="0" w:after="0" w:afterAutospacing="0"/>
        <w:ind w:firstLine="720"/>
        <w:jc w:val="both"/>
        <w:rPr>
          <w:sz w:val="20"/>
          <w:szCs w:val="20"/>
        </w:rPr>
      </w:pPr>
      <w:r w:rsidRPr="0034170A">
        <w:rPr>
          <w:sz w:val="20"/>
          <w:szCs w:val="20"/>
        </w:rPr>
        <w:lastRenderedPageBreak/>
        <w:t xml:space="preserve">Histopathological examination of tissue biopsies can reveal the presence of budding yeasts and pseudohyphae, characteristic of invasive </w:t>
      </w:r>
      <w:r w:rsidRPr="0034170A">
        <w:rPr>
          <w:rStyle w:val="Emphasis"/>
          <w:rFonts w:eastAsiaTheme="majorEastAsia"/>
          <w:sz w:val="20"/>
          <w:szCs w:val="20"/>
        </w:rPr>
        <w:t>Candida</w:t>
      </w:r>
      <w:r w:rsidRPr="0034170A">
        <w:rPr>
          <w:sz w:val="20"/>
          <w:szCs w:val="20"/>
        </w:rPr>
        <w:t xml:space="preserve"> infection. Serological tests, such as anti-</w:t>
      </w:r>
      <w:r w:rsidRPr="0034170A">
        <w:rPr>
          <w:rStyle w:val="Emphasis"/>
          <w:rFonts w:eastAsiaTheme="majorEastAsia"/>
          <w:sz w:val="20"/>
          <w:szCs w:val="20"/>
        </w:rPr>
        <w:t>Candida</w:t>
      </w:r>
      <w:r w:rsidRPr="0034170A">
        <w:rPr>
          <w:sz w:val="20"/>
          <w:szCs w:val="20"/>
        </w:rPr>
        <w:t xml:space="preserve"> antibodies, are less useful for diagnosing invasive disease because they do not distinguish between colonization and infection.</w:t>
      </w:r>
    </w:p>
    <w:p w:rsidR="002812EF" w:rsidRPr="0034170A" w:rsidRDefault="002812EF" w:rsidP="009A18F2">
      <w:pPr>
        <w:pStyle w:val="Heading5"/>
        <w:spacing w:before="0"/>
        <w:rPr>
          <w:rFonts w:ascii="Times New Roman" w:hAnsi="Times New Roman" w:cs="Times New Roman"/>
          <w:sz w:val="20"/>
          <w:szCs w:val="20"/>
        </w:rPr>
      </w:pPr>
      <w:r w:rsidRPr="0034170A">
        <w:rPr>
          <w:rStyle w:val="Strong"/>
          <w:rFonts w:ascii="Times New Roman" w:hAnsi="Times New Roman" w:cs="Times New Roman"/>
          <w:b w:val="0"/>
          <w:bCs w:val="0"/>
          <w:sz w:val="20"/>
          <w:szCs w:val="20"/>
        </w:rPr>
        <w:t>Treatment</w:t>
      </w:r>
    </w:p>
    <w:p w:rsidR="002812EF" w:rsidRPr="0034170A" w:rsidRDefault="002812EF" w:rsidP="009A18F2">
      <w:pPr>
        <w:pStyle w:val="NormalWeb"/>
        <w:spacing w:before="0" w:beforeAutospacing="0" w:after="0" w:afterAutospacing="0"/>
        <w:ind w:firstLine="720"/>
        <w:jc w:val="both"/>
        <w:rPr>
          <w:sz w:val="20"/>
          <w:szCs w:val="20"/>
        </w:rPr>
      </w:pPr>
      <w:r w:rsidRPr="0034170A">
        <w:rPr>
          <w:sz w:val="20"/>
          <w:szCs w:val="20"/>
        </w:rPr>
        <w:t xml:space="preserve">The treatment of candidiasis depends on the severity of the infection, the species of </w:t>
      </w:r>
      <w:r w:rsidRPr="0034170A">
        <w:rPr>
          <w:rStyle w:val="Emphasis"/>
          <w:rFonts w:eastAsiaTheme="majorEastAsia"/>
          <w:sz w:val="20"/>
          <w:szCs w:val="20"/>
        </w:rPr>
        <w:t>Candida</w:t>
      </w:r>
      <w:r w:rsidRPr="0034170A">
        <w:rPr>
          <w:sz w:val="20"/>
          <w:szCs w:val="20"/>
        </w:rPr>
        <w:t xml:space="preserve"> involved, and the patient’s overall health. For uncomplicated cases of candidemia, echinocandins (e.g., caspofungin, micafungin, or anidulafungin) are the first-line treatment due to their excellent efficacy and low toxicity profile. For patients with disseminated candidiasis or infections caused by fluconazole-resistant species, liposomal amphotericin B or azoles such as voriconazole or posaconazole may be used. Source control, such as removal of central venous catheters, is critical in managing invasive candidiasis, as it reduces the risk of persistent infection.</w:t>
      </w:r>
    </w:p>
    <w:p w:rsidR="002812EF" w:rsidRPr="0034170A" w:rsidRDefault="002812EF" w:rsidP="009A18F2">
      <w:pPr>
        <w:pStyle w:val="Heading4"/>
        <w:numPr>
          <w:ilvl w:val="2"/>
          <w:numId w:val="8"/>
        </w:numPr>
        <w:spacing w:before="0"/>
        <w:rPr>
          <w:rFonts w:ascii="Times New Roman" w:hAnsi="Times New Roman" w:cs="Times New Roman"/>
          <w:i w:val="0"/>
          <w:iCs w:val="0"/>
          <w:sz w:val="20"/>
          <w:szCs w:val="20"/>
        </w:rPr>
      </w:pPr>
      <w:r w:rsidRPr="0034170A">
        <w:rPr>
          <w:rStyle w:val="Strong"/>
          <w:rFonts w:ascii="Times New Roman" w:hAnsi="Times New Roman" w:cs="Times New Roman"/>
          <w:b/>
          <w:bCs/>
          <w:i w:val="0"/>
          <w:iCs w:val="0"/>
          <w:sz w:val="20"/>
          <w:szCs w:val="20"/>
        </w:rPr>
        <w:t>Cryptococcosis</w:t>
      </w:r>
    </w:p>
    <w:p w:rsidR="002812EF" w:rsidRPr="0034170A" w:rsidRDefault="002812EF" w:rsidP="009A18F2">
      <w:pPr>
        <w:pStyle w:val="NormalWeb"/>
        <w:spacing w:before="0" w:beforeAutospacing="0" w:after="0" w:afterAutospacing="0"/>
        <w:ind w:firstLine="720"/>
        <w:jc w:val="both"/>
        <w:rPr>
          <w:sz w:val="20"/>
          <w:szCs w:val="20"/>
        </w:rPr>
      </w:pPr>
      <w:r w:rsidRPr="0034170A">
        <w:rPr>
          <w:sz w:val="20"/>
          <w:szCs w:val="20"/>
        </w:rPr>
        <w:t xml:space="preserve">Cryptococcosis is a systemic fungal infection caused primarily by </w:t>
      </w:r>
      <w:r w:rsidRPr="0034170A">
        <w:rPr>
          <w:rStyle w:val="Emphasis"/>
          <w:rFonts w:eastAsiaTheme="majorEastAsia"/>
          <w:sz w:val="20"/>
          <w:szCs w:val="20"/>
        </w:rPr>
        <w:t>Cryptococcus neoformans</w:t>
      </w:r>
      <w:r w:rsidRPr="0034170A">
        <w:rPr>
          <w:sz w:val="20"/>
          <w:szCs w:val="20"/>
        </w:rPr>
        <w:t xml:space="preserve"> and, less commonly, </w:t>
      </w:r>
      <w:r w:rsidRPr="0034170A">
        <w:rPr>
          <w:rStyle w:val="Emphasis"/>
          <w:rFonts w:eastAsiaTheme="majorEastAsia"/>
          <w:sz w:val="20"/>
          <w:szCs w:val="20"/>
        </w:rPr>
        <w:t>Cryptococcus gattii</w:t>
      </w:r>
      <w:r w:rsidRPr="0034170A">
        <w:rPr>
          <w:sz w:val="20"/>
          <w:szCs w:val="20"/>
        </w:rPr>
        <w:t xml:space="preserve">. These encapsulated yeasts are found in soil contaminated with bird droppings, especially pigeon droppings, and in decaying wood. Cryptococcosis most commonly affects individuals with weakened immune systems, particularly those with advanced HIV/AIDS, but it can also occur in immunocompetent individuals exposed to </w:t>
      </w:r>
      <w:r w:rsidRPr="0034170A">
        <w:rPr>
          <w:rStyle w:val="Emphasis"/>
          <w:rFonts w:eastAsiaTheme="majorEastAsia"/>
          <w:sz w:val="20"/>
          <w:szCs w:val="20"/>
        </w:rPr>
        <w:t>C. gattii</w:t>
      </w:r>
      <w:r w:rsidRPr="0034170A">
        <w:rPr>
          <w:sz w:val="20"/>
          <w:szCs w:val="20"/>
        </w:rPr>
        <w:t>.</w:t>
      </w:r>
    </w:p>
    <w:p w:rsidR="002812EF" w:rsidRPr="0034170A" w:rsidRDefault="002812EF" w:rsidP="009A18F2">
      <w:pPr>
        <w:pStyle w:val="Heading5"/>
        <w:spacing w:before="0"/>
        <w:rPr>
          <w:rFonts w:ascii="Times New Roman" w:hAnsi="Times New Roman" w:cs="Times New Roman"/>
          <w:sz w:val="20"/>
          <w:szCs w:val="20"/>
        </w:rPr>
      </w:pPr>
      <w:r w:rsidRPr="0034170A">
        <w:rPr>
          <w:rStyle w:val="Strong"/>
          <w:rFonts w:ascii="Times New Roman" w:hAnsi="Times New Roman" w:cs="Times New Roman"/>
          <w:b w:val="0"/>
          <w:bCs w:val="0"/>
          <w:sz w:val="20"/>
          <w:szCs w:val="20"/>
        </w:rPr>
        <w:t>Epidemiology</w:t>
      </w:r>
    </w:p>
    <w:p w:rsidR="002812EF" w:rsidRPr="0034170A" w:rsidRDefault="002812EF" w:rsidP="009A18F2">
      <w:pPr>
        <w:pStyle w:val="NormalWeb"/>
        <w:spacing w:before="0" w:beforeAutospacing="0" w:after="0" w:afterAutospacing="0"/>
        <w:ind w:firstLine="720"/>
        <w:jc w:val="both"/>
        <w:rPr>
          <w:sz w:val="20"/>
          <w:szCs w:val="20"/>
        </w:rPr>
      </w:pPr>
      <w:r w:rsidRPr="0034170A">
        <w:rPr>
          <w:rStyle w:val="Emphasis"/>
          <w:rFonts w:eastAsiaTheme="majorEastAsia"/>
          <w:sz w:val="20"/>
          <w:szCs w:val="20"/>
        </w:rPr>
        <w:t>Cryptococcus neoformans</w:t>
      </w:r>
      <w:r w:rsidRPr="0034170A">
        <w:rPr>
          <w:sz w:val="20"/>
          <w:szCs w:val="20"/>
        </w:rPr>
        <w:t xml:space="preserve"> is found worldwide and is a major cause of fungal meningitis in HIV-infected individuals, particularly in sub-Saharan Africa and Southeast Asia. </w:t>
      </w:r>
      <w:r w:rsidRPr="0034170A">
        <w:rPr>
          <w:rStyle w:val="Emphasis"/>
          <w:rFonts w:eastAsiaTheme="majorEastAsia"/>
          <w:sz w:val="20"/>
          <w:szCs w:val="20"/>
        </w:rPr>
        <w:t>Cryptococcus gattii</w:t>
      </w:r>
      <w:r w:rsidRPr="0034170A">
        <w:rPr>
          <w:sz w:val="20"/>
          <w:szCs w:val="20"/>
        </w:rPr>
        <w:t xml:space="preserve"> infections, while rarer, are typically seen in tropical and subtropical regions and are associated with infections in both immunocompromised and immunocompetent individuals. The global burden of cryptococcal meningitis remains high, with an estimated 220,000 new cases and 181,000 deaths annually, mostly among HIV-positive patients.</w:t>
      </w:r>
    </w:p>
    <w:p w:rsidR="002812EF" w:rsidRPr="0034170A" w:rsidRDefault="002812EF" w:rsidP="009A18F2">
      <w:pPr>
        <w:pStyle w:val="Heading5"/>
        <w:spacing w:before="0"/>
        <w:rPr>
          <w:rFonts w:ascii="Times New Roman" w:hAnsi="Times New Roman" w:cs="Times New Roman"/>
          <w:sz w:val="20"/>
          <w:szCs w:val="20"/>
        </w:rPr>
      </w:pPr>
      <w:r w:rsidRPr="0034170A">
        <w:rPr>
          <w:rStyle w:val="Strong"/>
          <w:rFonts w:ascii="Times New Roman" w:hAnsi="Times New Roman" w:cs="Times New Roman"/>
          <w:b w:val="0"/>
          <w:bCs w:val="0"/>
          <w:sz w:val="20"/>
          <w:szCs w:val="20"/>
        </w:rPr>
        <w:t>Clinical Symptoms</w:t>
      </w:r>
    </w:p>
    <w:p w:rsidR="002812EF" w:rsidRPr="0034170A" w:rsidRDefault="002812EF" w:rsidP="009A18F2">
      <w:pPr>
        <w:pStyle w:val="NormalWeb"/>
        <w:spacing w:before="0" w:beforeAutospacing="0" w:after="0" w:afterAutospacing="0"/>
        <w:ind w:firstLine="720"/>
        <w:jc w:val="both"/>
        <w:rPr>
          <w:sz w:val="20"/>
          <w:szCs w:val="20"/>
        </w:rPr>
      </w:pPr>
      <w:r w:rsidRPr="0034170A">
        <w:rPr>
          <w:sz w:val="20"/>
          <w:szCs w:val="20"/>
        </w:rPr>
        <w:t xml:space="preserve">Cryptococcosis most commonly manifests as cryptococcal meningitis, characterized by fever, headache, neck stiffness, and altered mental status. </w:t>
      </w:r>
      <w:r w:rsidR="005426F9" w:rsidRPr="0034170A">
        <w:rPr>
          <w:sz w:val="20"/>
          <w:szCs w:val="20"/>
        </w:rPr>
        <w:t xml:space="preserve">The infection can progress slowly in immunocompromised patients and lead to a chronic meningoencephalitis with subtle neurological signs that may be mistaken for other CNS conditions. Another common presentation of pulmonary cryptococcosis occurs in patients exposed to the </w:t>
      </w:r>
      <w:r w:rsidR="005426F9" w:rsidRPr="0034170A">
        <w:rPr>
          <w:i/>
          <w:iCs/>
          <w:sz w:val="20"/>
          <w:szCs w:val="20"/>
        </w:rPr>
        <w:t>Cryptococcus</w:t>
      </w:r>
      <w:r w:rsidR="005426F9" w:rsidRPr="0034170A">
        <w:rPr>
          <w:sz w:val="20"/>
          <w:szCs w:val="20"/>
        </w:rPr>
        <w:t xml:space="preserve"> </w:t>
      </w:r>
      <w:r w:rsidR="005426F9" w:rsidRPr="0034170A">
        <w:rPr>
          <w:i/>
          <w:iCs/>
          <w:sz w:val="20"/>
          <w:szCs w:val="20"/>
        </w:rPr>
        <w:t>gattii</w:t>
      </w:r>
      <w:r w:rsidR="005426F9" w:rsidRPr="0034170A">
        <w:rPr>
          <w:sz w:val="20"/>
          <w:szCs w:val="20"/>
        </w:rPr>
        <w:t>, which may mimic bacterial pneumonia with symptoms such as cough, chest pain, and shortness of breath. Other systemic organs, such as the skin, bones, and prostate, are affected by disseminated cryptococcosis in severely immunocompromised patients.</w:t>
      </w:r>
    </w:p>
    <w:p w:rsidR="002812EF" w:rsidRPr="0034170A" w:rsidRDefault="002812EF" w:rsidP="009A18F2">
      <w:pPr>
        <w:pStyle w:val="Heading5"/>
        <w:spacing w:before="0"/>
        <w:rPr>
          <w:rFonts w:ascii="Times New Roman" w:hAnsi="Times New Roman" w:cs="Times New Roman"/>
          <w:sz w:val="20"/>
          <w:szCs w:val="20"/>
        </w:rPr>
      </w:pPr>
      <w:r w:rsidRPr="0034170A">
        <w:rPr>
          <w:rStyle w:val="Strong"/>
          <w:rFonts w:ascii="Times New Roman" w:hAnsi="Times New Roman" w:cs="Times New Roman"/>
          <w:b w:val="0"/>
          <w:bCs w:val="0"/>
          <w:sz w:val="20"/>
          <w:szCs w:val="20"/>
        </w:rPr>
        <w:t>Laboratory Diagnosis</w:t>
      </w:r>
    </w:p>
    <w:p w:rsidR="002812EF" w:rsidRPr="0034170A" w:rsidRDefault="005426F9" w:rsidP="009A18F2">
      <w:pPr>
        <w:pStyle w:val="NormalWeb"/>
        <w:spacing w:before="0" w:beforeAutospacing="0" w:after="0" w:afterAutospacing="0"/>
        <w:ind w:firstLine="720"/>
        <w:jc w:val="both"/>
        <w:rPr>
          <w:sz w:val="20"/>
          <w:szCs w:val="20"/>
        </w:rPr>
      </w:pPr>
      <w:r w:rsidRPr="0034170A">
        <w:rPr>
          <w:sz w:val="20"/>
          <w:szCs w:val="20"/>
        </w:rPr>
        <w:t xml:space="preserve">The diagnosis of cryptococcosis is usually done by the identification of </w:t>
      </w:r>
      <w:r w:rsidRPr="0034170A">
        <w:rPr>
          <w:i/>
          <w:iCs/>
          <w:sz w:val="20"/>
          <w:szCs w:val="20"/>
        </w:rPr>
        <w:t>Cryptococcus</w:t>
      </w:r>
      <w:r w:rsidRPr="0034170A">
        <w:rPr>
          <w:sz w:val="20"/>
          <w:szCs w:val="20"/>
        </w:rPr>
        <w:t xml:space="preserve"> in CSF or respiratory specimens. The characteristic encapsulated yeast can be identified by staining CSF with India ink; however, its sensitivity is less in patients who have low burdens of fungi. The detection of cryptococcal antigen (CrAg) in the CSF or serum through latex agglutination or lateral flow assays has become the standard method of diagnosing cryptococcal meningitis, and it has very high sensitivity and specificity.</w:t>
      </w:r>
    </w:p>
    <w:p w:rsidR="002812EF" w:rsidRPr="0034170A" w:rsidRDefault="002812EF" w:rsidP="009A18F2">
      <w:pPr>
        <w:pStyle w:val="NormalWeb"/>
        <w:spacing w:before="0" w:beforeAutospacing="0" w:after="0" w:afterAutospacing="0"/>
        <w:ind w:firstLine="720"/>
        <w:jc w:val="both"/>
        <w:rPr>
          <w:sz w:val="20"/>
          <w:szCs w:val="20"/>
        </w:rPr>
      </w:pPr>
      <w:r w:rsidRPr="0034170A">
        <w:rPr>
          <w:sz w:val="20"/>
          <w:szCs w:val="20"/>
        </w:rPr>
        <w:t xml:space="preserve">Fungal culture remains important for definitive diagnosis, particularly in respiratory specimens, where other fungal or bacterial pathogens may be present. Molecular methods, such as PCR, are also used in some laboratories to detect </w:t>
      </w:r>
      <w:r w:rsidRPr="0034170A">
        <w:rPr>
          <w:rStyle w:val="Emphasis"/>
          <w:rFonts w:eastAsiaTheme="majorEastAsia"/>
          <w:sz w:val="20"/>
          <w:szCs w:val="20"/>
        </w:rPr>
        <w:t>Cryptococcus</w:t>
      </w:r>
      <w:r w:rsidRPr="0034170A">
        <w:rPr>
          <w:sz w:val="20"/>
          <w:szCs w:val="20"/>
        </w:rPr>
        <w:t xml:space="preserve"> DNA in clinical specimens, particularly in cases where conventional tests are inconclusive.</w:t>
      </w:r>
    </w:p>
    <w:p w:rsidR="002812EF" w:rsidRPr="0034170A" w:rsidRDefault="002812EF" w:rsidP="009A18F2">
      <w:pPr>
        <w:pStyle w:val="Heading5"/>
        <w:spacing w:before="0"/>
        <w:rPr>
          <w:rFonts w:ascii="Times New Roman" w:hAnsi="Times New Roman" w:cs="Times New Roman"/>
          <w:sz w:val="20"/>
          <w:szCs w:val="20"/>
        </w:rPr>
      </w:pPr>
      <w:r w:rsidRPr="0034170A">
        <w:rPr>
          <w:rStyle w:val="Strong"/>
          <w:rFonts w:ascii="Times New Roman" w:hAnsi="Times New Roman" w:cs="Times New Roman"/>
          <w:b w:val="0"/>
          <w:bCs w:val="0"/>
          <w:sz w:val="20"/>
          <w:szCs w:val="20"/>
        </w:rPr>
        <w:t>Treatment</w:t>
      </w:r>
    </w:p>
    <w:p w:rsidR="002812EF" w:rsidRPr="0034170A" w:rsidRDefault="002812EF" w:rsidP="009A18F2">
      <w:pPr>
        <w:pStyle w:val="NormalWeb"/>
        <w:spacing w:before="0" w:beforeAutospacing="0" w:after="0" w:afterAutospacing="0"/>
        <w:ind w:firstLine="720"/>
        <w:jc w:val="both"/>
        <w:rPr>
          <w:sz w:val="20"/>
          <w:szCs w:val="20"/>
        </w:rPr>
      </w:pPr>
      <w:r w:rsidRPr="0034170A">
        <w:rPr>
          <w:sz w:val="20"/>
          <w:szCs w:val="20"/>
        </w:rPr>
        <w:t>The treatment of cryptococcosis depends on the site of infection and the patient’s immune status. For cryptococcal meningitis, the standard treatment is a combination of amphotericin B (either deoxycholate or liposomal formulations) and flucytosine for at least two weeks, followed by fluconazole for consolidation and maintenance therapy. In resource-limited settings where flucytosine is unavailable, fluconazole can be used in combination with amphotericin B. For patients with non-meningeal cryptococcosis, such as pulmonary cryptococcosis, fluconazole monotherapy may be sufficient, particularly in immunocompetent individuals.</w:t>
      </w:r>
    </w:p>
    <w:p w:rsidR="002812EF" w:rsidRPr="0034170A" w:rsidRDefault="002812EF" w:rsidP="009A18F2">
      <w:pPr>
        <w:pStyle w:val="Heading4"/>
        <w:numPr>
          <w:ilvl w:val="2"/>
          <w:numId w:val="8"/>
        </w:numPr>
        <w:spacing w:before="0"/>
        <w:rPr>
          <w:rFonts w:ascii="Times New Roman" w:hAnsi="Times New Roman" w:cs="Times New Roman"/>
          <w:i w:val="0"/>
          <w:iCs w:val="0"/>
          <w:sz w:val="20"/>
          <w:szCs w:val="20"/>
        </w:rPr>
      </w:pPr>
      <w:r w:rsidRPr="0034170A">
        <w:rPr>
          <w:rStyle w:val="Strong"/>
          <w:rFonts w:ascii="Times New Roman" w:hAnsi="Times New Roman" w:cs="Times New Roman"/>
          <w:b/>
          <w:bCs/>
          <w:i w:val="0"/>
          <w:iCs w:val="0"/>
          <w:sz w:val="20"/>
          <w:szCs w:val="20"/>
        </w:rPr>
        <w:t>Aspergillosis</w:t>
      </w:r>
    </w:p>
    <w:p w:rsidR="002812EF" w:rsidRPr="0034170A" w:rsidRDefault="002812EF" w:rsidP="009A18F2">
      <w:pPr>
        <w:pStyle w:val="NormalWeb"/>
        <w:spacing w:before="0" w:beforeAutospacing="0" w:after="0" w:afterAutospacing="0"/>
        <w:ind w:firstLine="720"/>
        <w:jc w:val="both"/>
        <w:rPr>
          <w:sz w:val="20"/>
          <w:szCs w:val="20"/>
        </w:rPr>
      </w:pPr>
      <w:r w:rsidRPr="0034170A">
        <w:rPr>
          <w:sz w:val="20"/>
          <w:szCs w:val="20"/>
        </w:rPr>
        <w:t xml:space="preserve">Aspergillosis is a systemic fungal infection caused by </w:t>
      </w:r>
      <w:r w:rsidRPr="0034170A">
        <w:rPr>
          <w:rStyle w:val="Emphasis"/>
          <w:rFonts w:eastAsiaTheme="majorEastAsia"/>
          <w:sz w:val="20"/>
          <w:szCs w:val="20"/>
        </w:rPr>
        <w:t>Aspergillus</w:t>
      </w:r>
      <w:r w:rsidRPr="0034170A">
        <w:rPr>
          <w:sz w:val="20"/>
          <w:szCs w:val="20"/>
        </w:rPr>
        <w:t xml:space="preserve"> species, with </w:t>
      </w:r>
      <w:r w:rsidRPr="0034170A">
        <w:rPr>
          <w:rStyle w:val="Emphasis"/>
          <w:rFonts w:eastAsiaTheme="majorEastAsia"/>
          <w:sz w:val="20"/>
          <w:szCs w:val="20"/>
        </w:rPr>
        <w:t>Aspergillus fumigatus</w:t>
      </w:r>
      <w:r w:rsidRPr="0034170A">
        <w:rPr>
          <w:sz w:val="20"/>
          <w:szCs w:val="20"/>
        </w:rPr>
        <w:t xml:space="preserve"> being the most common pathogen. </w:t>
      </w:r>
      <w:r w:rsidR="00163469" w:rsidRPr="0034170A">
        <w:rPr>
          <w:rStyle w:val="Emphasis"/>
          <w:rFonts w:eastAsiaTheme="majorEastAsia"/>
          <w:sz w:val="20"/>
          <w:szCs w:val="20"/>
        </w:rPr>
        <w:t>Aspergillus</w:t>
      </w:r>
      <w:r w:rsidR="00163469" w:rsidRPr="0034170A">
        <w:rPr>
          <w:rStyle w:val="Emphasis"/>
          <w:rFonts w:eastAsiaTheme="majorEastAsia"/>
          <w:i w:val="0"/>
          <w:iCs w:val="0"/>
          <w:sz w:val="20"/>
          <w:szCs w:val="20"/>
        </w:rPr>
        <w:t xml:space="preserve"> species are widespread in the environment, having been isolated from soil, decaying vegetation, and household dust. Although </w:t>
      </w:r>
      <w:r w:rsidR="00163469" w:rsidRPr="0034170A">
        <w:rPr>
          <w:rStyle w:val="Emphasis"/>
          <w:rFonts w:eastAsiaTheme="majorEastAsia"/>
          <w:sz w:val="20"/>
          <w:szCs w:val="20"/>
        </w:rPr>
        <w:t>Aspergillus</w:t>
      </w:r>
      <w:r w:rsidR="00163469" w:rsidRPr="0034170A">
        <w:rPr>
          <w:rStyle w:val="Emphasis"/>
          <w:rFonts w:eastAsiaTheme="majorEastAsia"/>
          <w:i w:val="0"/>
          <w:iCs w:val="0"/>
          <w:sz w:val="20"/>
          <w:szCs w:val="20"/>
        </w:rPr>
        <w:t xml:space="preserve"> is usually an opportunistic pathogen, IA is seen mainly in immunocompromised hosts, including patients with prolonged neutropenia, haematologic malignancies, or recipients of solid organ or stem cell transplantation</w:t>
      </w:r>
      <w:r w:rsidR="00163469" w:rsidRPr="0034170A">
        <w:rPr>
          <w:rStyle w:val="Emphasis"/>
          <w:rFonts w:eastAsiaTheme="majorEastAsia"/>
          <w:sz w:val="20"/>
          <w:szCs w:val="20"/>
        </w:rPr>
        <w:t>.</w:t>
      </w:r>
    </w:p>
    <w:p w:rsidR="002812EF" w:rsidRPr="0034170A" w:rsidRDefault="002812EF" w:rsidP="009A18F2">
      <w:pPr>
        <w:pStyle w:val="Heading5"/>
        <w:spacing w:before="0"/>
        <w:rPr>
          <w:rFonts w:ascii="Times New Roman" w:hAnsi="Times New Roman" w:cs="Times New Roman"/>
          <w:sz w:val="20"/>
          <w:szCs w:val="20"/>
        </w:rPr>
      </w:pPr>
      <w:r w:rsidRPr="0034170A">
        <w:rPr>
          <w:rStyle w:val="Strong"/>
          <w:rFonts w:ascii="Times New Roman" w:hAnsi="Times New Roman" w:cs="Times New Roman"/>
          <w:b w:val="0"/>
          <w:bCs w:val="0"/>
          <w:sz w:val="20"/>
          <w:szCs w:val="20"/>
        </w:rPr>
        <w:t>Epidemiology</w:t>
      </w:r>
    </w:p>
    <w:p w:rsidR="002812EF" w:rsidRPr="0034170A" w:rsidRDefault="00163469" w:rsidP="009A18F2">
      <w:pPr>
        <w:pStyle w:val="NormalWeb"/>
        <w:spacing w:before="0" w:beforeAutospacing="0" w:after="0" w:afterAutospacing="0"/>
        <w:ind w:firstLine="720"/>
        <w:jc w:val="both"/>
        <w:rPr>
          <w:sz w:val="20"/>
          <w:szCs w:val="20"/>
        </w:rPr>
      </w:pPr>
      <w:r w:rsidRPr="0034170A">
        <w:rPr>
          <w:sz w:val="20"/>
          <w:szCs w:val="20"/>
        </w:rPr>
        <w:t xml:space="preserve">Invasive aspergillosis accounts for a significant proportion of morbidity and mortality among immunocompromised patients. The illness affects patients who receive immunosuppressive therapies for cancer, organ transplants, or autoimmune diseases. Other manifestations of aspergillosis are CPA and ABPA in patients with chronic lung diseases, including asthma and cystic fibrosis. Aspergillosis outbreaks also occur in healthcare </w:t>
      </w:r>
      <w:r w:rsidRPr="0034170A">
        <w:rPr>
          <w:sz w:val="20"/>
          <w:szCs w:val="20"/>
        </w:rPr>
        <w:lastRenderedPageBreak/>
        <w:t>settings, especially during building construction or renovation when Aspergillus spores are disturbed and consequently become airborne.</w:t>
      </w:r>
    </w:p>
    <w:p w:rsidR="002812EF" w:rsidRPr="0034170A" w:rsidRDefault="002812EF" w:rsidP="009A18F2">
      <w:pPr>
        <w:pStyle w:val="Heading5"/>
        <w:spacing w:before="0"/>
        <w:rPr>
          <w:rFonts w:ascii="Times New Roman" w:hAnsi="Times New Roman" w:cs="Times New Roman"/>
          <w:sz w:val="20"/>
          <w:szCs w:val="20"/>
        </w:rPr>
      </w:pPr>
      <w:r w:rsidRPr="0034170A">
        <w:rPr>
          <w:rStyle w:val="Strong"/>
          <w:rFonts w:ascii="Times New Roman" w:hAnsi="Times New Roman" w:cs="Times New Roman"/>
          <w:b w:val="0"/>
          <w:bCs w:val="0"/>
          <w:sz w:val="20"/>
          <w:szCs w:val="20"/>
        </w:rPr>
        <w:t>Clinical Symptoms</w:t>
      </w:r>
    </w:p>
    <w:p w:rsidR="002812EF" w:rsidRPr="0034170A" w:rsidRDefault="00163469" w:rsidP="009A18F2">
      <w:pPr>
        <w:pStyle w:val="NormalWeb"/>
        <w:spacing w:before="0" w:beforeAutospacing="0" w:after="0" w:afterAutospacing="0"/>
        <w:ind w:firstLine="720"/>
        <w:jc w:val="both"/>
        <w:rPr>
          <w:sz w:val="20"/>
          <w:szCs w:val="20"/>
        </w:rPr>
      </w:pPr>
      <w:r w:rsidRPr="0034170A">
        <w:rPr>
          <w:sz w:val="20"/>
          <w:szCs w:val="20"/>
        </w:rPr>
        <w:t xml:space="preserve">Invasive aspergillosis predominantly occurs in the lungs; it presents as fever, cough, chest pain, and hemoptysis among immunocompromised patients. If left untreated, it easily can develop from these organs and spread to other parts, causing multi-organ failure and death. Chronic pulmonary aspergillosis comes out as a more indolent infection; the patient commonly presents with cavitary lung lesions, weight loss, and respiratory symptoms. ABPA refers to an allergic reaction in persons with asthma or cystic fibrosis caused by an </w:t>
      </w:r>
      <w:r w:rsidRPr="0034170A">
        <w:rPr>
          <w:i/>
          <w:iCs/>
          <w:sz w:val="20"/>
          <w:szCs w:val="20"/>
        </w:rPr>
        <w:t>Aspergillus</w:t>
      </w:r>
      <w:r w:rsidRPr="0034170A">
        <w:rPr>
          <w:sz w:val="20"/>
          <w:szCs w:val="20"/>
        </w:rPr>
        <w:t xml:space="preserve"> allergy which results in wheezing, bronchospasm, and mucus plugging.</w:t>
      </w:r>
    </w:p>
    <w:p w:rsidR="002812EF" w:rsidRPr="0034170A" w:rsidRDefault="002812EF" w:rsidP="009A18F2">
      <w:pPr>
        <w:pStyle w:val="Heading5"/>
        <w:spacing w:before="0"/>
        <w:rPr>
          <w:rFonts w:ascii="Times New Roman" w:hAnsi="Times New Roman" w:cs="Times New Roman"/>
          <w:sz w:val="20"/>
          <w:szCs w:val="20"/>
        </w:rPr>
      </w:pPr>
      <w:r w:rsidRPr="0034170A">
        <w:rPr>
          <w:rStyle w:val="Strong"/>
          <w:rFonts w:ascii="Times New Roman" w:hAnsi="Times New Roman" w:cs="Times New Roman"/>
          <w:b w:val="0"/>
          <w:bCs w:val="0"/>
          <w:sz w:val="20"/>
          <w:szCs w:val="20"/>
        </w:rPr>
        <w:t>Laboratory Diagnosis</w:t>
      </w:r>
    </w:p>
    <w:p w:rsidR="00163469" w:rsidRPr="0034170A" w:rsidRDefault="00163469" w:rsidP="009A18F2">
      <w:pPr>
        <w:pStyle w:val="NormalWeb"/>
        <w:spacing w:before="0" w:beforeAutospacing="0" w:after="0" w:afterAutospacing="0"/>
        <w:ind w:firstLine="720"/>
        <w:jc w:val="both"/>
        <w:rPr>
          <w:sz w:val="20"/>
          <w:szCs w:val="20"/>
        </w:rPr>
      </w:pPr>
      <w:r w:rsidRPr="0034170A">
        <w:rPr>
          <w:sz w:val="20"/>
          <w:szCs w:val="20"/>
        </w:rPr>
        <w:t xml:space="preserve">The nonspecific nature of the symptoms and impossibility of recovering </w:t>
      </w:r>
      <w:r w:rsidRPr="0034170A">
        <w:rPr>
          <w:i/>
          <w:iCs/>
          <w:sz w:val="20"/>
          <w:szCs w:val="20"/>
        </w:rPr>
        <w:t>Aspergillus</w:t>
      </w:r>
      <w:r w:rsidRPr="0034170A">
        <w:rPr>
          <w:sz w:val="20"/>
          <w:szCs w:val="20"/>
        </w:rPr>
        <w:t xml:space="preserve"> from clinical specimens make it difficult to diagnose invasive aspergillosis. Diagnostic methods include the use of antigen detection such as galactomannan or beta-D-glucan in serum and bronchoalveolar lavage fluid. This detection presents good sensitivity for invasive aspergillosis, especially in patients with hematologic malignancies and neutropenia. Fungal culture from respiratory specimens or tissue biopsies continues to be considered the gold standard for the detection of </w:t>
      </w:r>
      <w:r w:rsidRPr="0034170A">
        <w:rPr>
          <w:i/>
          <w:iCs/>
          <w:sz w:val="20"/>
          <w:szCs w:val="20"/>
        </w:rPr>
        <w:t>Aspergillus</w:t>
      </w:r>
      <w:r w:rsidRPr="0034170A">
        <w:rPr>
          <w:sz w:val="20"/>
          <w:szCs w:val="20"/>
        </w:rPr>
        <w:t xml:space="preserve"> but is often slow and may sometimes fail to grow.</w:t>
      </w:r>
    </w:p>
    <w:p w:rsidR="002812EF" w:rsidRPr="0034170A" w:rsidRDefault="00163469" w:rsidP="009A18F2">
      <w:pPr>
        <w:pStyle w:val="NormalWeb"/>
        <w:spacing w:before="0" w:beforeAutospacing="0" w:after="0" w:afterAutospacing="0"/>
        <w:ind w:firstLine="720"/>
        <w:jc w:val="both"/>
        <w:rPr>
          <w:sz w:val="20"/>
          <w:szCs w:val="20"/>
        </w:rPr>
      </w:pPr>
      <w:r w:rsidRPr="0034170A">
        <w:rPr>
          <w:sz w:val="20"/>
          <w:szCs w:val="20"/>
        </w:rPr>
        <w:t xml:space="preserve">Histopathologic examination of a lung or tissue biopsy specimen may sometimes demonstrate the classical septate hyphae with acute-angle branches of Aspergillus. Molecular techniques also include PCR amplification of respiratory samples to find </w:t>
      </w:r>
      <w:r w:rsidRPr="0034170A">
        <w:rPr>
          <w:i/>
          <w:iCs/>
          <w:sz w:val="20"/>
          <w:szCs w:val="20"/>
        </w:rPr>
        <w:t>Aspergillus</w:t>
      </w:r>
      <w:r w:rsidRPr="0034170A">
        <w:rPr>
          <w:sz w:val="20"/>
          <w:szCs w:val="20"/>
        </w:rPr>
        <w:t xml:space="preserve"> DNA as a rapid, sensitive diagnosis tool, especially if cultures are negative.</w:t>
      </w:r>
    </w:p>
    <w:p w:rsidR="002812EF" w:rsidRPr="0034170A" w:rsidRDefault="002812EF" w:rsidP="009A18F2">
      <w:pPr>
        <w:pStyle w:val="Heading5"/>
        <w:spacing w:before="0"/>
        <w:rPr>
          <w:rFonts w:ascii="Times New Roman" w:hAnsi="Times New Roman" w:cs="Times New Roman"/>
          <w:sz w:val="20"/>
          <w:szCs w:val="20"/>
        </w:rPr>
      </w:pPr>
      <w:r w:rsidRPr="0034170A">
        <w:rPr>
          <w:rStyle w:val="Strong"/>
          <w:rFonts w:ascii="Times New Roman" w:hAnsi="Times New Roman" w:cs="Times New Roman"/>
          <w:b w:val="0"/>
          <w:bCs w:val="0"/>
          <w:sz w:val="20"/>
          <w:szCs w:val="20"/>
        </w:rPr>
        <w:t>Treatment</w:t>
      </w:r>
    </w:p>
    <w:p w:rsidR="002812EF" w:rsidRPr="0034170A" w:rsidRDefault="00163469" w:rsidP="009A18F2">
      <w:pPr>
        <w:pStyle w:val="NormalWeb"/>
        <w:spacing w:before="0" w:beforeAutospacing="0" w:after="0" w:afterAutospacing="0"/>
        <w:ind w:firstLine="720"/>
        <w:jc w:val="both"/>
        <w:rPr>
          <w:sz w:val="20"/>
          <w:szCs w:val="20"/>
        </w:rPr>
      </w:pPr>
      <w:r w:rsidRPr="0034170A">
        <w:rPr>
          <w:sz w:val="20"/>
          <w:szCs w:val="20"/>
        </w:rPr>
        <w:t xml:space="preserve">Invasive aspergillosis treatment involves immediate initiation of antifungal treatment. Voriconazole is the first-line agent for this disease because of the superior activity and safety compared to all other antifungal drugs. Alternative therapy should be recommended to patients who cannot tolerate voriconazole or if infections caused by drug-resistant </w:t>
      </w:r>
      <w:r w:rsidRPr="0034170A">
        <w:rPr>
          <w:i/>
          <w:iCs/>
          <w:sz w:val="20"/>
          <w:szCs w:val="20"/>
        </w:rPr>
        <w:t>Aspergillus</w:t>
      </w:r>
      <w:r w:rsidRPr="0034170A">
        <w:rPr>
          <w:sz w:val="20"/>
          <w:szCs w:val="20"/>
        </w:rPr>
        <w:t xml:space="preserve"> are encountered in the form of liposomal amphotericin B or isavuconazole. For chronic pulmonary aspergillosis, long-term antifungal therapy with itraconazole or voriconazole is recommended, whereas ABPA is treated with corticosteroids and antifungal agents to control the allergic response and reduce fungal burden.</w:t>
      </w:r>
    </w:p>
    <w:p w:rsidR="007F0A0F" w:rsidRPr="0034170A" w:rsidRDefault="007F0A0F" w:rsidP="009A18F2">
      <w:pPr>
        <w:pStyle w:val="Heading3"/>
        <w:numPr>
          <w:ilvl w:val="1"/>
          <w:numId w:val="8"/>
        </w:numPr>
        <w:spacing w:before="0"/>
        <w:jc w:val="both"/>
        <w:rPr>
          <w:rFonts w:ascii="Times New Roman" w:hAnsi="Times New Roman" w:cs="Times New Roman"/>
          <w:sz w:val="20"/>
          <w:szCs w:val="20"/>
        </w:rPr>
      </w:pPr>
      <w:r w:rsidRPr="0034170A">
        <w:rPr>
          <w:rStyle w:val="Strong"/>
          <w:rFonts w:ascii="Times New Roman" w:hAnsi="Times New Roman" w:cs="Times New Roman"/>
          <w:b/>
          <w:bCs/>
          <w:sz w:val="20"/>
          <w:szCs w:val="20"/>
        </w:rPr>
        <w:t>Superficial Mycoses</w:t>
      </w:r>
    </w:p>
    <w:p w:rsidR="00163469" w:rsidRPr="0034170A" w:rsidRDefault="00163469" w:rsidP="009A18F2">
      <w:pPr>
        <w:pStyle w:val="NormalWeb"/>
        <w:spacing w:before="0" w:beforeAutospacing="0" w:after="0" w:afterAutospacing="0"/>
        <w:ind w:firstLine="720"/>
        <w:jc w:val="both"/>
        <w:rPr>
          <w:sz w:val="20"/>
          <w:szCs w:val="20"/>
        </w:rPr>
      </w:pPr>
      <w:r w:rsidRPr="0034170A">
        <w:rPr>
          <w:sz w:val="20"/>
          <w:szCs w:val="20"/>
        </w:rPr>
        <w:t>Superficial mycoses are those mycoses that affect only the outermost layers of the skin, hair, and nails. They do not penetrate deeper tissues or organs, but they may be very troublesome and cause great cosmetic concern; sometimes, there are secondary bacterial infections. Superficial mycoses are caused by fungi such as dermatophytes and yeasts. Dermatophytes are special in that they can digest keratin, which is a protein found in the skin, hair, and nails, and thus can colonize these areas.</w:t>
      </w:r>
    </w:p>
    <w:p w:rsidR="00163469" w:rsidRPr="0034170A" w:rsidRDefault="00163469" w:rsidP="009A18F2">
      <w:pPr>
        <w:pStyle w:val="NormalWeb"/>
        <w:spacing w:before="0" w:beforeAutospacing="0" w:after="0" w:afterAutospacing="0"/>
        <w:ind w:firstLine="720"/>
        <w:jc w:val="both"/>
        <w:rPr>
          <w:sz w:val="20"/>
          <w:szCs w:val="20"/>
        </w:rPr>
      </w:pPr>
      <w:r w:rsidRPr="0034170A">
        <w:rPr>
          <w:sz w:val="20"/>
          <w:szCs w:val="20"/>
        </w:rPr>
        <w:t>Superficial mycoses are common all over the world and have varied prevalence because of many factors, such as climate, hygiene, and socio-economic status. Warm and humid climates offer a more favorable atmosphere for the growth of both dermatophytes and yeasts, making it more common in the tropical and subtropical region. However, infections through poor hygiene habits, crowded dwelling, and regular visitation to public places such as the gym or swimming pools are also contributory factors to these infections. Though superficial mycoses are generally not virulent, it may be chronic, especially for patients whose immunity is already weak due to disease conditions such as diabetes.</w:t>
      </w:r>
    </w:p>
    <w:p w:rsidR="007F0A0F" w:rsidRPr="0034170A" w:rsidRDefault="00163469" w:rsidP="009A18F2">
      <w:pPr>
        <w:pStyle w:val="NormalWeb"/>
        <w:spacing w:before="0" w:beforeAutospacing="0" w:after="0" w:afterAutospacing="0"/>
        <w:ind w:firstLine="720"/>
        <w:jc w:val="both"/>
        <w:rPr>
          <w:sz w:val="20"/>
          <w:szCs w:val="20"/>
        </w:rPr>
      </w:pPr>
      <w:r w:rsidRPr="0034170A">
        <w:rPr>
          <w:sz w:val="20"/>
          <w:szCs w:val="20"/>
        </w:rPr>
        <w:t>Superficial mycoses are relatively easy to diagnose, especially with clinical features such as scaling, erythema, itching, and nail changes. Laboratory tests, such as microscopy, culture, and molecular diagnostics, may be necessary for accurate identification and species differentiation. Treatment usually involves topical antifungal agents, although systemic therapy may be required in cases of extensive or resistant infection.</w:t>
      </w:r>
    </w:p>
    <w:p w:rsidR="007F0A0F" w:rsidRPr="0034170A" w:rsidRDefault="007F0A0F" w:rsidP="009A18F2">
      <w:pPr>
        <w:pStyle w:val="Heading4"/>
        <w:numPr>
          <w:ilvl w:val="2"/>
          <w:numId w:val="8"/>
        </w:numPr>
        <w:spacing w:before="0"/>
        <w:jc w:val="both"/>
        <w:rPr>
          <w:rFonts w:ascii="Times New Roman" w:hAnsi="Times New Roman" w:cs="Times New Roman"/>
          <w:i w:val="0"/>
          <w:iCs w:val="0"/>
          <w:sz w:val="20"/>
          <w:szCs w:val="20"/>
        </w:rPr>
      </w:pPr>
      <w:r w:rsidRPr="0034170A">
        <w:rPr>
          <w:rStyle w:val="Strong"/>
          <w:rFonts w:ascii="Times New Roman" w:hAnsi="Times New Roman" w:cs="Times New Roman"/>
          <w:b/>
          <w:bCs/>
          <w:i w:val="0"/>
          <w:iCs w:val="0"/>
          <w:sz w:val="20"/>
          <w:szCs w:val="20"/>
        </w:rPr>
        <w:t>Dermatophytes</w:t>
      </w:r>
    </w:p>
    <w:p w:rsidR="007F0A0F" w:rsidRPr="0034170A" w:rsidRDefault="00163469" w:rsidP="009A18F2">
      <w:pPr>
        <w:pStyle w:val="NormalWeb"/>
        <w:spacing w:before="0" w:beforeAutospacing="0" w:after="0" w:afterAutospacing="0"/>
        <w:ind w:firstLine="720"/>
        <w:jc w:val="both"/>
        <w:rPr>
          <w:sz w:val="20"/>
          <w:szCs w:val="20"/>
        </w:rPr>
      </w:pPr>
      <w:r w:rsidRPr="0034170A">
        <w:rPr>
          <w:sz w:val="20"/>
          <w:szCs w:val="20"/>
        </w:rPr>
        <w:t xml:space="preserve">Dermatophytes are closely related fungi infecting keratinized tissues of the human skin, hair, and nails to cause dermatophytosis or tinea in general. </w:t>
      </w:r>
      <w:r w:rsidRPr="0034170A">
        <w:rPr>
          <w:i/>
          <w:iCs/>
          <w:sz w:val="20"/>
          <w:szCs w:val="20"/>
        </w:rPr>
        <w:t>Trichophyton</w:t>
      </w:r>
      <w:r w:rsidRPr="0034170A">
        <w:rPr>
          <w:sz w:val="20"/>
          <w:szCs w:val="20"/>
        </w:rPr>
        <w:t xml:space="preserve">, </w:t>
      </w:r>
      <w:r w:rsidRPr="0034170A">
        <w:rPr>
          <w:i/>
          <w:iCs/>
          <w:sz w:val="20"/>
          <w:szCs w:val="20"/>
        </w:rPr>
        <w:t>Microsporum</w:t>
      </w:r>
      <w:r w:rsidRPr="0034170A">
        <w:rPr>
          <w:sz w:val="20"/>
          <w:szCs w:val="20"/>
        </w:rPr>
        <w:t xml:space="preserve">, and </w:t>
      </w:r>
      <w:r w:rsidRPr="0034170A">
        <w:rPr>
          <w:i/>
          <w:iCs/>
          <w:sz w:val="20"/>
          <w:szCs w:val="20"/>
        </w:rPr>
        <w:t>Epidermophyton</w:t>
      </w:r>
      <w:r w:rsidRPr="0034170A">
        <w:rPr>
          <w:sz w:val="20"/>
          <w:szCs w:val="20"/>
        </w:rPr>
        <w:t xml:space="preserve"> are the commonest genera among these fungi. There are different classifications based on ecological niches. They may be classified into species infecting only humans as anthropophilic species, only animals as zoophilic species, and others dwelling in the soil as geophilic species. The most common routes of human-to-human transmission of anthropophilic species are associated with zoophilic species from contact with the infected animals, while geophilic dermatophytes are also acquired through direct contact with infected soil.</w:t>
      </w:r>
    </w:p>
    <w:p w:rsidR="007F0A0F" w:rsidRPr="0034170A" w:rsidRDefault="007F0A0F" w:rsidP="009A18F2">
      <w:pPr>
        <w:pStyle w:val="Heading5"/>
        <w:spacing w:before="0"/>
        <w:jc w:val="both"/>
        <w:rPr>
          <w:rFonts w:ascii="Times New Roman" w:hAnsi="Times New Roman" w:cs="Times New Roman"/>
          <w:sz w:val="20"/>
          <w:szCs w:val="20"/>
        </w:rPr>
      </w:pPr>
      <w:r w:rsidRPr="0034170A">
        <w:rPr>
          <w:rStyle w:val="Strong"/>
          <w:rFonts w:ascii="Times New Roman" w:hAnsi="Times New Roman" w:cs="Times New Roman"/>
          <w:b w:val="0"/>
          <w:bCs w:val="0"/>
          <w:sz w:val="20"/>
          <w:szCs w:val="20"/>
        </w:rPr>
        <w:t>Epidemiology</w:t>
      </w:r>
    </w:p>
    <w:p w:rsidR="007F0A0F" w:rsidRPr="0034170A" w:rsidRDefault="00163469" w:rsidP="009A18F2">
      <w:pPr>
        <w:pStyle w:val="NormalWeb"/>
        <w:spacing w:before="0" w:beforeAutospacing="0" w:after="0" w:afterAutospacing="0"/>
        <w:ind w:firstLine="720"/>
        <w:jc w:val="both"/>
        <w:rPr>
          <w:sz w:val="20"/>
          <w:szCs w:val="20"/>
        </w:rPr>
      </w:pPr>
      <w:r w:rsidRPr="0034170A">
        <w:rPr>
          <w:sz w:val="20"/>
          <w:szCs w:val="20"/>
        </w:rPr>
        <w:t xml:space="preserve">One of the most prevalent superficial mycoses in the world, dermatophytosis is more common in tropical and subtropical areas where humidity and heat encourage the growth of fungi. </w:t>
      </w:r>
      <w:r w:rsidR="007F0A0F" w:rsidRPr="0034170A">
        <w:rPr>
          <w:sz w:val="20"/>
          <w:szCs w:val="20"/>
        </w:rPr>
        <w:t xml:space="preserve">In developed countries, dermatophytosis is frequently associated with the use of communal facilities, such as swimming pools, gyms, and locker rooms. In rural areas, zoophilic species are more commonly encountered due to close contact with livestock </w:t>
      </w:r>
      <w:r w:rsidR="007F0A0F" w:rsidRPr="0034170A">
        <w:rPr>
          <w:sz w:val="20"/>
          <w:szCs w:val="20"/>
        </w:rPr>
        <w:lastRenderedPageBreak/>
        <w:t>or pets. Children are particularly prone to scalp infections (tinea capitis), while adults are more likely to develop infections of the feet (tinea pedis) and nails (onychomycosis).</w:t>
      </w:r>
    </w:p>
    <w:p w:rsidR="007F0A0F" w:rsidRPr="0034170A" w:rsidRDefault="007F0A0F" w:rsidP="009A18F2">
      <w:pPr>
        <w:pStyle w:val="Heading5"/>
        <w:spacing w:before="0"/>
        <w:jc w:val="both"/>
        <w:rPr>
          <w:rFonts w:ascii="Times New Roman" w:hAnsi="Times New Roman" w:cs="Times New Roman"/>
          <w:sz w:val="20"/>
          <w:szCs w:val="20"/>
        </w:rPr>
      </w:pPr>
      <w:r w:rsidRPr="0034170A">
        <w:rPr>
          <w:rStyle w:val="Strong"/>
          <w:rFonts w:ascii="Times New Roman" w:hAnsi="Times New Roman" w:cs="Times New Roman"/>
          <w:b w:val="0"/>
          <w:bCs w:val="0"/>
          <w:sz w:val="20"/>
          <w:szCs w:val="20"/>
        </w:rPr>
        <w:t>Clinical Symptoms</w:t>
      </w:r>
    </w:p>
    <w:p w:rsidR="007F0A0F" w:rsidRPr="0034170A" w:rsidRDefault="007F0A0F" w:rsidP="009A18F2">
      <w:pPr>
        <w:pStyle w:val="NormalWeb"/>
        <w:spacing w:before="0" w:beforeAutospacing="0" w:after="0" w:afterAutospacing="0"/>
        <w:ind w:firstLine="720"/>
        <w:jc w:val="both"/>
        <w:rPr>
          <w:sz w:val="20"/>
          <w:szCs w:val="20"/>
        </w:rPr>
      </w:pPr>
      <w:r w:rsidRPr="0034170A">
        <w:rPr>
          <w:sz w:val="20"/>
          <w:szCs w:val="20"/>
        </w:rPr>
        <w:t>The clinical presentation of dermatophytosis varies depending on the site of infection. Common forms of dermatophytosis include:</w:t>
      </w:r>
    </w:p>
    <w:p w:rsidR="007F0A0F" w:rsidRPr="0034170A" w:rsidRDefault="007F0A0F" w:rsidP="00151AB1">
      <w:pPr>
        <w:pStyle w:val="NormalWeb"/>
        <w:numPr>
          <w:ilvl w:val="0"/>
          <w:numId w:val="11"/>
        </w:numPr>
        <w:spacing w:before="0" w:beforeAutospacing="0" w:after="0" w:afterAutospacing="0"/>
        <w:jc w:val="both"/>
        <w:rPr>
          <w:sz w:val="20"/>
          <w:szCs w:val="20"/>
        </w:rPr>
      </w:pPr>
      <w:r w:rsidRPr="0034170A">
        <w:rPr>
          <w:rStyle w:val="Strong"/>
          <w:sz w:val="20"/>
          <w:szCs w:val="20"/>
        </w:rPr>
        <w:t>Tinea Capitis (Scalp Ringworm):</w:t>
      </w:r>
      <w:r w:rsidRPr="0034170A">
        <w:rPr>
          <w:sz w:val="20"/>
          <w:szCs w:val="20"/>
        </w:rPr>
        <w:t xml:space="preserve"> Characterized by scaling, hair loss, and sometimes pustules on the scalp. It primarily affects children and is often caused by </w:t>
      </w:r>
      <w:r w:rsidRPr="0034170A">
        <w:rPr>
          <w:rStyle w:val="Emphasis"/>
          <w:rFonts w:eastAsiaTheme="majorEastAsia"/>
          <w:sz w:val="20"/>
          <w:szCs w:val="20"/>
        </w:rPr>
        <w:t>Trichophyton</w:t>
      </w:r>
      <w:r w:rsidRPr="0034170A">
        <w:rPr>
          <w:sz w:val="20"/>
          <w:szCs w:val="20"/>
        </w:rPr>
        <w:t xml:space="preserve"> or </w:t>
      </w:r>
      <w:r w:rsidRPr="0034170A">
        <w:rPr>
          <w:rStyle w:val="Emphasis"/>
          <w:rFonts w:eastAsiaTheme="majorEastAsia"/>
          <w:sz w:val="20"/>
          <w:szCs w:val="20"/>
        </w:rPr>
        <w:t>Microsporum</w:t>
      </w:r>
      <w:r w:rsidRPr="0034170A">
        <w:rPr>
          <w:sz w:val="20"/>
          <w:szCs w:val="20"/>
        </w:rPr>
        <w:t xml:space="preserve"> species.</w:t>
      </w:r>
    </w:p>
    <w:p w:rsidR="007F0A0F" w:rsidRPr="0034170A" w:rsidRDefault="007F0A0F" w:rsidP="00151AB1">
      <w:pPr>
        <w:pStyle w:val="NormalWeb"/>
        <w:numPr>
          <w:ilvl w:val="0"/>
          <w:numId w:val="11"/>
        </w:numPr>
        <w:spacing w:before="0" w:beforeAutospacing="0" w:after="0" w:afterAutospacing="0"/>
        <w:jc w:val="both"/>
        <w:rPr>
          <w:sz w:val="20"/>
          <w:szCs w:val="20"/>
        </w:rPr>
      </w:pPr>
      <w:r w:rsidRPr="0034170A">
        <w:rPr>
          <w:rStyle w:val="Strong"/>
          <w:sz w:val="20"/>
          <w:szCs w:val="20"/>
        </w:rPr>
        <w:t>Tinea Pedis (Athlete’s Foot):</w:t>
      </w:r>
      <w:r w:rsidRPr="0034170A">
        <w:rPr>
          <w:sz w:val="20"/>
          <w:szCs w:val="20"/>
        </w:rPr>
        <w:t xml:space="preserve"> A common fungal infection of the feet, particularly the spaces between the toes. Symptoms include itching, burning, and scaling, and in some cases, fissuring or maceration of the skin.</w:t>
      </w:r>
    </w:p>
    <w:p w:rsidR="007F0A0F" w:rsidRPr="0034170A" w:rsidRDefault="007F0A0F" w:rsidP="00151AB1">
      <w:pPr>
        <w:pStyle w:val="NormalWeb"/>
        <w:numPr>
          <w:ilvl w:val="0"/>
          <w:numId w:val="11"/>
        </w:numPr>
        <w:spacing w:before="0" w:beforeAutospacing="0" w:after="0" w:afterAutospacing="0"/>
        <w:jc w:val="both"/>
        <w:rPr>
          <w:sz w:val="20"/>
          <w:szCs w:val="20"/>
        </w:rPr>
      </w:pPr>
      <w:r w:rsidRPr="0034170A">
        <w:rPr>
          <w:rStyle w:val="Strong"/>
          <w:sz w:val="20"/>
          <w:szCs w:val="20"/>
        </w:rPr>
        <w:t>Tinea Corporis (Ringworm of the Body):</w:t>
      </w:r>
      <w:r w:rsidRPr="0034170A">
        <w:rPr>
          <w:sz w:val="20"/>
          <w:szCs w:val="20"/>
        </w:rPr>
        <w:t xml:space="preserve"> Affects the trunk, arms, or legs and presents as circular, red, scaly patches with a central clearing and a raised, advancing border.</w:t>
      </w:r>
    </w:p>
    <w:p w:rsidR="007F0A0F" w:rsidRPr="0034170A" w:rsidRDefault="007F0A0F" w:rsidP="00151AB1">
      <w:pPr>
        <w:pStyle w:val="NormalWeb"/>
        <w:numPr>
          <w:ilvl w:val="0"/>
          <w:numId w:val="11"/>
        </w:numPr>
        <w:spacing w:before="0" w:beforeAutospacing="0" w:after="0" w:afterAutospacing="0"/>
        <w:jc w:val="both"/>
        <w:rPr>
          <w:sz w:val="20"/>
          <w:szCs w:val="20"/>
        </w:rPr>
      </w:pPr>
      <w:r w:rsidRPr="0034170A">
        <w:rPr>
          <w:rStyle w:val="Strong"/>
          <w:sz w:val="20"/>
          <w:szCs w:val="20"/>
        </w:rPr>
        <w:t>Tinea Cruris (Jock Itch):</w:t>
      </w:r>
      <w:r w:rsidRPr="0034170A">
        <w:rPr>
          <w:sz w:val="20"/>
          <w:szCs w:val="20"/>
        </w:rPr>
        <w:t xml:space="preserve"> A fungal infection of the groin area, more common in men, characterized by itching, redness, and scaling.</w:t>
      </w:r>
    </w:p>
    <w:p w:rsidR="007F0A0F" w:rsidRPr="0034170A" w:rsidRDefault="007F0A0F" w:rsidP="00151AB1">
      <w:pPr>
        <w:pStyle w:val="NormalWeb"/>
        <w:numPr>
          <w:ilvl w:val="0"/>
          <w:numId w:val="11"/>
        </w:numPr>
        <w:spacing w:before="0" w:beforeAutospacing="0" w:after="0" w:afterAutospacing="0"/>
        <w:jc w:val="both"/>
        <w:rPr>
          <w:sz w:val="20"/>
          <w:szCs w:val="20"/>
        </w:rPr>
      </w:pPr>
      <w:r w:rsidRPr="0034170A">
        <w:rPr>
          <w:rStyle w:val="Strong"/>
          <w:sz w:val="20"/>
          <w:szCs w:val="20"/>
        </w:rPr>
        <w:t>Onychomycosis (Fungal Nail Infection):</w:t>
      </w:r>
      <w:r w:rsidRPr="0034170A">
        <w:rPr>
          <w:sz w:val="20"/>
          <w:szCs w:val="20"/>
        </w:rPr>
        <w:t xml:space="preserve"> Affects the toenails or fingernails, causing discoloration, thickening, and crumbling of the nail plate. Dermatophytes are the most common cause, though yeasts and non-dermatophyte molds may also contribute.</w:t>
      </w:r>
    </w:p>
    <w:p w:rsidR="007F0A0F" w:rsidRPr="0034170A" w:rsidRDefault="007F0A0F" w:rsidP="009A18F2">
      <w:pPr>
        <w:pStyle w:val="Heading5"/>
        <w:spacing w:before="0"/>
        <w:jc w:val="both"/>
        <w:rPr>
          <w:rFonts w:ascii="Times New Roman" w:hAnsi="Times New Roman" w:cs="Times New Roman"/>
          <w:sz w:val="20"/>
          <w:szCs w:val="20"/>
        </w:rPr>
      </w:pPr>
      <w:r w:rsidRPr="0034170A">
        <w:rPr>
          <w:rStyle w:val="Strong"/>
          <w:rFonts w:ascii="Times New Roman" w:hAnsi="Times New Roman" w:cs="Times New Roman"/>
          <w:b w:val="0"/>
          <w:bCs w:val="0"/>
          <w:sz w:val="20"/>
          <w:szCs w:val="20"/>
        </w:rPr>
        <w:t>Laboratory Diagnosis</w:t>
      </w:r>
    </w:p>
    <w:p w:rsidR="007F0A0F" w:rsidRPr="0034170A" w:rsidRDefault="007F0A0F" w:rsidP="009A18F2">
      <w:pPr>
        <w:pStyle w:val="NormalWeb"/>
        <w:spacing w:before="0" w:beforeAutospacing="0" w:after="0" w:afterAutospacing="0"/>
        <w:ind w:firstLine="720"/>
        <w:jc w:val="both"/>
        <w:rPr>
          <w:sz w:val="20"/>
          <w:szCs w:val="20"/>
        </w:rPr>
      </w:pPr>
      <w:r w:rsidRPr="0034170A">
        <w:rPr>
          <w:sz w:val="20"/>
          <w:szCs w:val="20"/>
        </w:rPr>
        <w:t>The diagnosis of dermatophytosis is primarily clinical, but laboratory confirmation is often necessary to differentiate dermatophytes from other causes of skin, hair, or nail infections. Skin scrapings, hair pluckings, or nail clippings can be examined under a microscope using potassium hydroxide (KOH) to dissolve keratin and reveal fungal elements such as hyphae and spores.</w:t>
      </w:r>
    </w:p>
    <w:p w:rsidR="007F0A0F" w:rsidRPr="0034170A" w:rsidRDefault="00163469" w:rsidP="009A18F2">
      <w:pPr>
        <w:pStyle w:val="NormalWeb"/>
        <w:spacing w:before="0" w:beforeAutospacing="0" w:after="0" w:afterAutospacing="0"/>
        <w:ind w:firstLine="720"/>
        <w:jc w:val="both"/>
        <w:rPr>
          <w:sz w:val="20"/>
          <w:szCs w:val="20"/>
        </w:rPr>
      </w:pPr>
      <w:r w:rsidRPr="0034170A">
        <w:rPr>
          <w:sz w:val="20"/>
          <w:szCs w:val="20"/>
        </w:rPr>
        <w:t>Culture for fungi remains the gold standard, as it also allows species identification and antifungal susceptibility testing. The specimen is plated onto selective media like Sabouraud dextrose agar, allowed to incubate for a period of several weeks to ensure visible fungal growth. Recent advances include using molecular techniques like PCR to determine the identity of the species for rapid and precise identification.</w:t>
      </w:r>
    </w:p>
    <w:p w:rsidR="007F0A0F" w:rsidRPr="0034170A" w:rsidRDefault="007F0A0F" w:rsidP="009A18F2">
      <w:pPr>
        <w:pStyle w:val="Heading5"/>
        <w:spacing w:before="0"/>
        <w:jc w:val="both"/>
        <w:rPr>
          <w:rFonts w:ascii="Times New Roman" w:hAnsi="Times New Roman" w:cs="Times New Roman"/>
          <w:sz w:val="20"/>
          <w:szCs w:val="20"/>
        </w:rPr>
      </w:pPr>
      <w:r w:rsidRPr="0034170A">
        <w:rPr>
          <w:rStyle w:val="Strong"/>
          <w:rFonts w:ascii="Times New Roman" w:hAnsi="Times New Roman" w:cs="Times New Roman"/>
          <w:b w:val="0"/>
          <w:bCs w:val="0"/>
          <w:sz w:val="20"/>
          <w:szCs w:val="20"/>
        </w:rPr>
        <w:t>Treatment</w:t>
      </w:r>
    </w:p>
    <w:p w:rsidR="004B336B" w:rsidRPr="0034170A" w:rsidRDefault="004B336B" w:rsidP="009A18F2">
      <w:pPr>
        <w:pStyle w:val="NormalWeb"/>
        <w:spacing w:before="0" w:beforeAutospacing="0" w:after="0" w:afterAutospacing="0"/>
        <w:ind w:firstLine="720"/>
        <w:jc w:val="both"/>
        <w:rPr>
          <w:sz w:val="20"/>
          <w:szCs w:val="20"/>
        </w:rPr>
      </w:pPr>
      <w:r w:rsidRPr="0034170A">
        <w:rPr>
          <w:sz w:val="20"/>
          <w:szCs w:val="20"/>
        </w:rPr>
        <w:t>The treatment of dermatophytosis varies with the localization and spread of the disease. Topical antifungal agents like clotrimazole, terbinafine, or miconazole are generally enough for localized cases. Such an agent should be applied for a period of two to four weeks to eliminate all the fungi in the area completely. More serious or resistant cases may require systemic antifungal treatment with oral preparations of terbinafine, itraconazole, or fluconazole. Oral antifungal therapy generally is required due to the relatively poor penetration of topical medication into the matrix of the nail in cases of onychomycosis.</w:t>
      </w:r>
    </w:p>
    <w:p w:rsidR="007F0A0F" w:rsidRPr="0034170A" w:rsidRDefault="004B336B" w:rsidP="009A18F2">
      <w:pPr>
        <w:pStyle w:val="NormalWeb"/>
        <w:spacing w:before="0" w:beforeAutospacing="0" w:after="0" w:afterAutospacing="0"/>
        <w:ind w:firstLine="720"/>
        <w:jc w:val="both"/>
        <w:rPr>
          <w:sz w:val="20"/>
          <w:szCs w:val="20"/>
        </w:rPr>
      </w:pPr>
      <w:r w:rsidRPr="0034170A">
        <w:rPr>
          <w:sz w:val="20"/>
          <w:szCs w:val="20"/>
        </w:rPr>
        <w:t>Preventing reinfection and spread is important in the management of dermatophytosis. Patients should be educated to maintain good hygiene, avoid sharing personal items like towels or hairbrushes, and disinfect shoes and other clothing that may harbor fungal spores.</w:t>
      </w:r>
    </w:p>
    <w:p w:rsidR="007F0A0F" w:rsidRPr="0034170A" w:rsidRDefault="007F0A0F" w:rsidP="009A18F2">
      <w:pPr>
        <w:pStyle w:val="Heading4"/>
        <w:numPr>
          <w:ilvl w:val="2"/>
          <w:numId w:val="8"/>
        </w:numPr>
        <w:spacing w:before="0"/>
        <w:jc w:val="both"/>
        <w:rPr>
          <w:rFonts w:ascii="Times New Roman" w:hAnsi="Times New Roman" w:cs="Times New Roman"/>
          <w:i w:val="0"/>
          <w:iCs w:val="0"/>
          <w:sz w:val="20"/>
          <w:szCs w:val="20"/>
        </w:rPr>
      </w:pPr>
      <w:r w:rsidRPr="0034170A">
        <w:rPr>
          <w:rStyle w:val="Strong"/>
          <w:rFonts w:ascii="Times New Roman" w:hAnsi="Times New Roman" w:cs="Times New Roman"/>
          <w:b/>
          <w:bCs/>
          <w:i w:val="0"/>
          <w:iCs w:val="0"/>
          <w:sz w:val="20"/>
          <w:szCs w:val="20"/>
        </w:rPr>
        <w:t>Yeasts (Non-Candida)</w:t>
      </w:r>
    </w:p>
    <w:p w:rsidR="007F0A0F" w:rsidRPr="0034170A" w:rsidRDefault="004B336B" w:rsidP="009A18F2">
      <w:pPr>
        <w:pStyle w:val="NormalWeb"/>
        <w:spacing w:before="0" w:beforeAutospacing="0" w:after="0" w:afterAutospacing="0"/>
        <w:ind w:firstLine="720"/>
        <w:jc w:val="both"/>
        <w:rPr>
          <w:sz w:val="20"/>
          <w:szCs w:val="20"/>
        </w:rPr>
      </w:pPr>
      <w:r w:rsidRPr="0034170A">
        <w:rPr>
          <w:sz w:val="20"/>
          <w:szCs w:val="20"/>
        </w:rPr>
        <w:t xml:space="preserve">The most well-known yeasts causing infections in humans belong to </w:t>
      </w:r>
      <w:r w:rsidRPr="0034170A">
        <w:rPr>
          <w:i/>
          <w:iCs/>
          <w:sz w:val="20"/>
          <w:szCs w:val="20"/>
        </w:rPr>
        <w:t>Candida</w:t>
      </w:r>
      <w:r w:rsidRPr="0034170A">
        <w:rPr>
          <w:sz w:val="20"/>
          <w:szCs w:val="20"/>
        </w:rPr>
        <w:t xml:space="preserve"> species. However, the other nongroup C yeast may cause superficial mycoses, for example, species </w:t>
      </w:r>
      <w:r w:rsidRPr="0034170A">
        <w:rPr>
          <w:i/>
          <w:iCs/>
          <w:sz w:val="20"/>
          <w:szCs w:val="20"/>
        </w:rPr>
        <w:t>Malassezia</w:t>
      </w:r>
      <w:r w:rsidRPr="0034170A">
        <w:rPr>
          <w:sz w:val="20"/>
          <w:szCs w:val="20"/>
        </w:rPr>
        <w:t xml:space="preserve">, </w:t>
      </w:r>
      <w:r w:rsidRPr="0034170A">
        <w:rPr>
          <w:i/>
          <w:iCs/>
          <w:sz w:val="20"/>
          <w:szCs w:val="20"/>
        </w:rPr>
        <w:t>Trichosporon</w:t>
      </w:r>
      <w:r w:rsidRPr="0034170A">
        <w:rPr>
          <w:sz w:val="20"/>
          <w:szCs w:val="20"/>
        </w:rPr>
        <w:t xml:space="preserve">, and </w:t>
      </w:r>
      <w:r w:rsidRPr="0034170A">
        <w:rPr>
          <w:i/>
          <w:iCs/>
          <w:sz w:val="20"/>
          <w:szCs w:val="20"/>
        </w:rPr>
        <w:t>Rhodotorula</w:t>
      </w:r>
      <w:r w:rsidRPr="0034170A">
        <w:rPr>
          <w:sz w:val="20"/>
          <w:szCs w:val="20"/>
        </w:rPr>
        <w:t>. They are all generally saprophytes on human skin and, in particular circumstances, they may turn pathogenic - such as high humidity, antibiotics broad spectrum or immunosuppression.</w:t>
      </w:r>
    </w:p>
    <w:p w:rsidR="007F0A0F" w:rsidRPr="0034170A" w:rsidRDefault="007F0A0F" w:rsidP="009A18F2">
      <w:pPr>
        <w:pStyle w:val="Heading5"/>
        <w:spacing w:before="0"/>
        <w:jc w:val="both"/>
        <w:rPr>
          <w:rFonts w:ascii="Times New Roman" w:hAnsi="Times New Roman" w:cs="Times New Roman"/>
          <w:sz w:val="20"/>
          <w:szCs w:val="20"/>
        </w:rPr>
      </w:pPr>
      <w:r w:rsidRPr="0034170A">
        <w:rPr>
          <w:rStyle w:val="Strong"/>
          <w:rFonts w:ascii="Times New Roman" w:hAnsi="Times New Roman" w:cs="Times New Roman"/>
          <w:b w:val="0"/>
          <w:bCs w:val="0"/>
          <w:sz w:val="20"/>
          <w:szCs w:val="20"/>
        </w:rPr>
        <w:t>Malassezia Infections</w:t>
      </w:r>
    </w:p>
    <w:p w:rsidR="004B336B" w:rsidRPr="0034170A" w:rsidRDefault="004B336B" w:rsidP="009A18F2">
      <w:pPr>
        <w:pStyle w:val="NormalWeb"/>
        <w:spacing w:before="0" w:beforeAutospacing="0" w:after="0" w:afterAutospacing="0"/>
        <w:ind w:firstLine="720"/>
        <w:jc w:val="both"/>
        <w:rPr>
          <w:rStyle w:val="Emphasis"/>
          <w:rFonts w:eastAsiaTheme="majorEastAsia"/>
          <w:i w:val="0"/>
          <w:iCs w:val="0"/>
          <w:sz w:val="20"/>
          <w:szCs w:val="20"/>
        </w:rPr>
      </w:pPr>
      <w:r w:rsidRPr="0034170A">
        <w:rPr>
          <w:rStyle w:val="Emphasis"/>
          <w:rFonts w:eastAsiaTheme="majorEastAsia"/>
          <w:i w:val="0"/>
          <w:iCs w:val="0"/>
          <w:sz w:val="20"/>
          <w:szCs w:val="20"/>
        </w:rPr>
        <w:t>The genus is characterized by species that are lipophilic yeasts part of the normal skin and scalp microbiota, although these same microorganisms cause superficial infections including pityriasis versicolor and seborrheic dermatitis. These infections prefer oily areas rich in sebaceous glands and tend to flourish there, and it seems to predispose such patients with infection.</w:t>
      </w:r>
    </w:p>
    <w:p w:rsidR="004B336B" w:rsidRPr="0034170A" w:rsidRDefault="004B336B" w:rsidP="00151AB1">
      <w:pPr>
        <w:pStyle w:val="NormalWeb"/>
        <w:numPr>
          <w:ilvl w:val="0"/>
          <w:numId w:val="12"/>
        </w:numPr>
        <w:spacing w:before="0" w:beforeAutospacing="0" w:after="0" w:afterAutospacing="0"/>
        <w:jc w:val="both"/>
        <w:rPr>
          <w:rStyle w:val="Emphasis"/>
          <w:rFonts w:eastAsiaTheme="majorEastAsia"/>
          <w:i w:val="0"/>
          <w:iCs w:val="0"/>
          <w:sz w:val="20"/>
          <w:szCs w:val="20"/>
        </w:rPr>
      </w:pPr>
      <w:r w:rsidRPr="0034170A">
        <w:rPr>
          <w:rStyle w:val="Emphasis"/>
          <w:rFonts w:eastAsiaTheme="majorEastAsia"/>
          <w:b/>
          <w:bCs/>
          <w:i w:val="0"/>
          <w:iCs w:val="0"/>
          <w:sz w:val="20"/>
          <w:szCs w:val="20"/>
        </w:rPr>
        <w:t>Tinea Versicolor (Pityriasis Versicolor)</w:t>
      </w:r>
      <w:r w:rsidRPr="0034170A">
        <w:rPr>
          <w:rStyle w:val="Emphasis"/>
          <w:rFonts w:eastAsiaTheme="majorEastAsia"/>
          <w:i w:val="0"/>
          <w:iCs w:val="0"/>
          <w:sz w:val="20"/>
          <w:szCs w:val="20"/>
        </w:rPr>
        <w:t xml:space="preserve">: Superficial infection due to fungi belonging to </w:t>
      </w:r>
      <w:r w:rsidRPr="0034170A">
        <w:rPr>
          <w:rStyle w:val="Emphasis"/>
          <w:rFonts w:eastAsiaTheme="majorEastAsia"/>
          <w:sz w:val="20"/>
          <w:szCs w:val="20"/>
        </w:rPr>
        <w:t>Malassezia</w:t>
      </w:r>
      <w:r w:rsidRPr="0034170A">
        <w:rPr>
          <w:rStyle w:val="Emphasis"/>
          <w:rFonts w:eastAsiaTheme="majorEastAsia"/>
          <w:i w:val="0"/>
          <w:iCs w:val="0"/>
          <w:sz w:val="20"/>
          <w:szCs w:val="20"/>
        </w:rPr>
        <w:t xml:space="preserve"> furfur and others. The condition consists of hypo- or hyperpigmented macules and patches involving the trunk, neck, and upper arms. The infection has a strong prediction for tropical environments and commonly strikes young adults. It is normally asymptomatic, but the disfigurement affects skin pigmentation and thus, can cause significant cosmetic distress.</w:t>
      </w:r>
    </w:p>
    <w:p w:rsidR="007F0A0F" w:rsidRPr="0034170A" w:rsidRDefault="004B336B" w:rsidP="00151AB1">
      <w:pPr>
        <w:pStyle w:val="NormalWeb"/>
        <w:numPr>
          <w:ilvl w:val="0"/>
          <w:numId w:val="12"/>
        </w:numPr>
        <w:spacing w:before="0" w:beforeAutospacing="0" w:after="0" w:afterAutospacing="0"/>
        <w:jc w:val="both"/>
        <w:rPr>
          <w:i/>
          <w:iCs/>
          <w:sz w:val="20"/>
          <w:szCs w:val="20"/>
        </w:rPr>
      </w:pPr>
      <w:r w:rsidRPr="0034170A">
        <w:rPr>
          <w:rStyle w:val="Emphasis"/>
          <w:rFonts w:eastAsiaTheme="majorEastAsia"/>
          <w:b/>
          <w:bCs/>
          <w:i w:val="0"/>
          <w:iCs w:val="0"/>
          <w:sz w:val="20"/>
          <w:szCs w:val="20"/>
        </w:rPr>
        <w:t>Seborrheic Dermatitis</w:t>
      </w:r>
      <w:r w:rsidRPr="0034170A">
        <w:rPr>
          <w:rStyle w:val="Emphasis"/>
          <w:rFonts w:eastAsiaTheme="majorEastAsia"/>
          <w:i w:val="0"/>
          <w:iCs w:val="0"/>
          <w:sz w:val="20"/>
          <w:szCs w:val="20"/>
        </w:rPr>
        <w:t xml:space="preserve">: This is a chronic, inflammatory skin disorder that affects locations with a higher concentration of sebaceous glands like the scalp, face, and upper trunk. The cause for this condition has not been definitely established, though </w:t>
      </w:r>
      <w:r w:rsidRPr="0034170A">
        <w:rPr>
          <w:rStyle w:val="Emphasis"/>
          <w:rFonts w:eastAsiaTheme="majorEastAsia"/>
          <w:sz w:val="20"/>
          <w:szCs w:val="20"/>
        </w:rPr>
        <w:t>Malassezia</w:t>
      </w:r>
      <w:r w:rsidRPr="0034170A">
        <w:rPr>
          <w:rStyle w:val="Emphasis"/>
          <w:rFonts w:eastAsiaTheme="majorEastAsia"/>
          <w:i w:val="0"/>
          <w:iCs w:val="0"/>
          <w:sz w:val="20"/>
          <w:szCs w:val="20"/>
        </w:rPr>
        <w:t xml:space="preserve"> species are associated with its development. The appearance of the flaky, scaling, and sometimes itchy skin gives way to very severe cases spreading to the eyebrow, ears, and nasolabial folds.</w:t>
      </w:r>
    </w:p>
    <w:p w:rsidR="007F0A0F" w:rsidRPr="0034170A" w:rsidRDefault="007F0A0F" w:rsidP="009A18F2">
      <w:pPr>
        <w:pStyle w:val="Heading5"/>
        <w:spacing w:before="0"/>
        <w:jc w:val="both"/>
        <w:rPr>
          <w:rFonts w:ascii="Times New Roman" w:hAnsi="Times New Roman" w:cs="Times New Roman"/>
          <w:sz w:val="20"/>
          <w:szCs w:val="20"/>
        </w:rPr>
      </w:pPr>
      <w:r w:rsidRPr="0034170A">
        <w:rPr>
          <w:rStyle w:val="Strong"/>
          <w:rFonts w:ascii="Times New Roman" w:hAnsi="Times New Roman" w:cs="Times New Roman"/>
          <w:b w:val="0"/>
          <w:bCs w:val="0"/>
          <w:sz w:val="20"/>
          <w:szCs w:val="20"/>
        </w:rPr>
        <w:t>Trichosporon Infections</w:t>
      </w:r>
    </w:p>
    <w:p w:rsidR="007F0A0F" w:rsidRPr="0034170A" w:rsidRDefault="004B336B" w:rsidP="009A18F2">
      <w:pPr>
        <w:pStyle w:val="NormalWeb"/>
        <w:spacing w:before="0" w:beforeAutospacing="0" w:after="0" w:afterAutospacing="0"/>
        <w:ind w:firstLine="720"/>
        <w:jc w:val="both"/>
        <w:rPr>
          <w:i/>
          <w:iCs/>
          <w:sz w:val="20"/>
          <w:szCs w:val="20"/>
        </w:rPr>
      </w:pPr>
      <w:r w:rsidRPr="0034170A">
        <w:rPr>
          <w:rStyle w:val="Emphasis"/>
          <w:rFonts w:eastAsiaTheme="majorEastAsia"/>
          <w:sz w:val="20"/>
          <w:szCs w:val="20"/>
        </w:rPr>
        <w:t>Trichosporon</w:t>
      </w:r>
      <w:r w:rsidRPr="0034170A">
        <w:rPr>
          <w:rStyle w:val="Emphasis"/>
          <w:rFonts w:eastAsiaTheme="majorEastAsia"/>
          <w:i w:val="0"/>
          <w:iCs w:val="0"/>
          <w:sz w:val="20"/>
          <w:szCs w:val="20"/>
        </w:rPr>
        <w:t xml:space="preserve"> is a type of yeast-like fungi that produces superficial and invasive infection. Some examples of superficial infections caused by </w:t>
      </w:r>
      <w:r w:rsidRPr="0034170A">
        <w:rPr>
          <w:rStyle w:val="Emphasis"/>
          <w:rFonts w:eastAsiaTheme="majorEastAsia"/>
          <w:sz w:val="20"/>
          <w:szCs w:val="20"/>
        </w:rPr>
        <w:t>Trichosporon</w:t>
      </w:r>
      <w:r w:rsidRPr="0034170A">
        <w:rPr>
          <w:rStyle w:val="Emphasis"/>
          <w:rFonts w:eastAsiaTheme="majorEastAsia"/>
          <w:i w:val="0"/>
          <w:iCs w:val="0"/>
          <w:sz w:val="20"/>
          <w:szCs w:val="20"/>
        </w:rPr>
        <w:t xml:space="preserve"> include white piedra. It is the hair shaft infection due </w:t>
      </w:r>
      <w:r w:rsidRPr="0034170A">
        <w:rPr>
          <w:rStyle w:val="Emphasis"/>
          <w:rFonts w:eastAsiaTheme="majorEastAsia"/>
          <w:i w:val="0"/>
          <w:iCs w:val="0"/>
          <w:sz w:val="20"/>
          <w:szCs w:val="20"/>
        </w:rPr>
        <w:lastRenderedPageBreak/>
        <w:t>to nodules that have the appearance of being soft, whitish. Most commonly these appear in the scalp, beard, and pubic region, with a high connection to bad hygiene and damp areas.</w:t>
      </w:r>
    </w:p>
    <w:p w:rsidR="007F0A0F" w:rsidRPr="0034170A" w:rsidRDefault="007F0A0F" w:rsidP="009A18F2">
      <w:pPr>
        <w:pStyle w:val="Heading5"/>
        <w:spacing w:before="0"/>
        <w:jc w:val="both"/>
        <w:rPr>
          <w:rFonts w:ascii="Times New Roman" w:hAnsi="Times New Roman" w:cs="Times New Roman"/>
          <w:sz w:val="20"/>
          <w:szCs w:val="20"/>
        </w:rPr>
      </w:pPr>
      <w:r w:rsidRPr="0034170A">
        <w:rPr>
          <w:rStyle w:val="Strong"/>
          <w:rFonts w:ascii="Times New Roman" w:hAnsi="Times New Roman" w:cs="Times New Roman"/>
          <w:b w:val="0"/>
          <w:bCs w:val="0"/>
          <w:sz w:val="20"/>
          <w:szCs w:val="20"/>
        </w:rPr>
        <w:t>Rhodotorula Infections</w:t>
      </w:r>
    </w:p>
    <w:p w:rsidR="007F0A0F" w:rsidRPr="0034170A" w:rsidRDefault="004B336B" w:rsidP="009A18F2">
      <w:pPr>
        <w:pStyle w:val="NormalWeb"/>
        <w:spacing w:before="0" w:beforeAutospacing="0" w:after="0" w:afterAutospacing="0"/>
        <w:jc w:val="both"/>
        <w:rPr>
          <w:sz w:val="20"/>
          <w:szCs w:val="20"/>
        </w:rPr>
      </w:pPr>
      <w:r w:rsidRPr="0034170A">
        <w:rPr>
          <w:rStyle w:val="Emphasis"/>
          <w:rFonts w:eastAsiaTheme="majorEastAsia"/>
          <w:sz w:val="20"/>
          <w:szCs w:val="20"/>
        </w:rPr>
        <w:t>Rhodotorula</w:t>
      </w:r>
      <w:r w:rsidRPr="0034170A">
        <w:rPr>
          <w:rStyle w:val="Emphasis"/>
          <w:rFonts w:eastAsiaTheme="majorEastAsia"/>
          <w:i w:val="0"/>
          <w:iCs w:val="0"/>
          <w:sz w:val="20"/>
          <w:szCs w:val="20"/>
        </w:rPr>
        <w:t xml:space="preserve"> species are generally environmental yeasts, but it could cause skin infections when deep infections compromise the immune system. </w:t>
      </w:r>
      <w:r w:rsidRPr="0034170A">
        <w:rPr>
          <w:rStyle w:val="Emphasis"/>
          <w:rFonts w:eastAsiaTheme="majorEastAsia"/>
          <w:sz w:val="20"/>
          <w:szCs w:val="20"/>
        </w:rPr>
        <w:t>Rhodotorula</w:t>
      </w:r>
      <w:r w:rsidRPr="0034170A">
        <w:rPr>
          <w:rStyle w:val="Emphasis"/>
          <w:rFonts w:eastAsiaTheme="majorEastAsia"/>
          <w:i w:val="0"/>
          <w:iCs w:val="0"/>
          <w:sz w:val="20"/>
          <w:szCs w:val="20"/>
        </w:rPr>
        <w:t xml:space="preserve"> species are also characterized by red or pink pigmentation. These yeasts appear to cause skin or nail infections, though these infections are less frequent than those caused by </w:t>
      </w:r>
      <w:r w:rsidRPr="0034170A">
        <w:rPr>
          <w:rStyle w:val="Emphasis"/>
          <w:rFonts w:eastAsiaTheme="majorEastAsia"/>
          <w:sz w:val="20"/>
          <w:szCs w:val="20"/>
        </w:rPr>
        <w:t>Candida</w:t>
      </w:r>
      <w:r w:rsidRPr="0034170A">
        <w:rPr>
          <w:rStyle w:val="Emphasis"/>
          <w:rFonts w:eastAsiaTheme="majorEastAsia"/>
          <w:i w:val="0"/>
          <w:iCs w:val="0"/>
          <w:sz w:val="20"/>
          <w:szCs w:val="20"/>
        </w:rPr>
        <w:t xml:space="preserve"> or </w:t>
      </w:r>
      <w:r w:rsidRPr="0034170A">
        <w:rPr>
          <w:rStyle w:val="Emphasis"/>
          <w:rFonts w:eastAsiaTheme="majorEastAsia"/>
          <w:sz w:val="20"/>
          <w:szCs w:val="20"/>
        </w:rPr>
        <w:t>Malassezia.</w:t>
      </w:r>
    </w:p>
    <w:p w:rsidR="007F0A0F" w:rsidRPr="0034170A" w:rsidRDefault="007F0A0F" w:rsidP="009A18F2">
      <w:pPr>
        <w:pStyle w:val="Heading5"/>
        <w:spacing w:before="0"/>
        <w:jc w:val="both"/>
        <w:rPr>
          <w:rFonts w:ascii="Times New Roman" w:hAnsi="Times New Roman" w:cs="Times New Roman"/>
          <w:sz w:val="20"/>
          <w:szCs w:val="20"/>
        </w:rPr>
      </w:pPr>
      <w:r w:rsidRPr="0034170A">
        <w:rPr>
          <w:rStyle w:val="Strong"/>
          <w:rFonts w:ascii="Times New Roman" w:hAnsi="Times New Roman" w:cs="Times New Roman"/>
          <w:b w:val="0"/>
          <w:bCs w:val="0"/>
          <w:sz w:val="20"/>
          <w:szCs w:val="20"/>
        </w:rPr>
        <w:t>Laboratory Diagnosis</w:t>
      </w:r>
    </w:p>
    <w:p w:rsidR="007F0A0F" w:rsidRPr="0034170A" w:rsidRDefault="004B336B" w:rsidP="009A18F2">
      <w:pPr>
        <w:pStyle w:val="NormalWeb"/>
        <w:spacing w:before="0" w:beforeAutospacing="0" w:after="0" w:afterAutospacing="0"/>
        <w:ind w:firstLine="720"/>
        <w:jc w:val="both"/>
        <w:rPr>
          <w:sz w:val="20"/>
          <w:szCs w:val="20"/>
        </w:rPr>
      </w:pPr>
      <w:r w:rsidRPr="0034170A">
        <w:rPr>
          <w:sz w:val="20"/>
          <w:szCs w:val="20"/>
        </w:rPr>
        <w:t xml:space="preserve">A direct examination of the skin scrapings, hair, or nails of a patient affected by superficial yeast infections using either KOH mounts or calcofluor white staining allows for the view of yeast cells. Fungal cultures can grow and identify yeast species involved, and for </w:t>
      </w:r>
      <w:r w:rsidRPr="0034170A">
        <w:rPr>
          <w:i/>
          <w:iCs/>
          <w:sz w:val="20"/>
          <w:szCs w:val="20"/>
        </w:rPr>
        <w:t>malassezia</w:t>
      </w:r>
      <w:r w:rsidRPr="0034170A">
        <w:rPr>
          <w:sz w:val="20"/>
          <w:szCs w:val="20"/>
        </w:rPr>
        <w:t xml:space="preserve"> infection, lipid to the culture medium may be required because these are the organisms that are lipophilic; they require the presence of fatty acids for them to grow.</w:t>
      </w:r>
    </w:p>
    <w:p w:rsidR="007F0A0F" w:rsidRPr="0034170A" w:rsidRDefault="007F0A0F" w:rsidP="009A18F2">
      <w:pPr>
        <w:pStyle w:val="Heading5"/>
        <w:spacing w:before="0"/>
        <w:jc w:val="both"/>
        <w:rPr>
          <w:rFonts w:ascii="Times New Roman" w:hAnsi="Times New Roman" w:cs="Times New Roman"/>
          <w:sz w:val="20"/>
          <w:szCs w:val="20"/>
        </w:rPr>
      </w:pPr>
      <w:r w:rsidRPr="0034170A">
        <w:rPr>
          <w:rStyle w:val="Strong"/>
          <w:rFonts w:ascii="Times New Roman" w:hAnsi="Times New Roman" w:cs="Times New Roman"/>
          <w:b w:val="0"/>
          <w:bCs w:val="0"/>
          <w:sz w:val="20"/>
          <w:szCs w:val="20"/>
        </w:rPr>
        <w:t>Treatment</w:t>
      </w:r>
    </w:p>
    <w:p w:rsidR="007F0A0F" w:rsidRPr="0034170A" w:rsidRDefault="002C5140" w:rsidP="009A18F2">
      <w:pPr>
        <w:pStyle w:val="NormalWeb"/>
        <w:spacing w:before="0" w:beforeAutospacing="0" w:after="0" w:afterAutospacing="0"/>
        <w:ind w:firstLine="720"/>
        <w:jc w:val="both"/>
        <w:rPr>
          <w:sz w:val="20"/>
          <w:szCs w:val="20"/>
        </w:rPr>
      </w:pPr>
      <w:r w:rsidRPr="0034170A">
        <w:rPr>
          <w:sz w:val="20"/>
          <w:szCs w:val="20"/>
        </w:rPr>
        <w:t>The treatment of superificial yeast infection is usually topically applied topical antifungal therapy, such as ketoconazole, terbinafine, or selenium sulfide; for pityriasis versicolor and seborrheic dermatitis; oral antifungal therapy becomes necessary for wider or recurrently occurring infections as fluconazole or itraconazole is used. Preventive measures Patients should be provided with education for proper hygiene habits and the employment of antifungal shampoos or body washes so that the likelihood of recurrence of the infection becomes minimal.</w:t>
      </w:r>
    </w:p>
    <w:p w:rsidR="007F0A0F" w:rsidRPr="0034170A" w:rsidRDefault="007F0A0F" w:rsidP="009A18F2">
      <w:pPr>
        <w:pStyle w:val="Heading3"/>
        <w:numPr>
          <w:ilvl w:val="1"/>
          <w:numId w:val="8"/>
        </w:numPr>
        <w:spacing w:before="0"/>
        <w:jc w:val="both"/>
        <w:rPr>
          <w:rFonts w:ascii="Times New Roman" w:hAnsi="Times New Roman" w:cs="Times New Roman"/>
          <w:sz w:val="20"/>
          <w:szCs w:val="20"/>
        </w:rPr>
      </w:pPr>
      <w:r w:rsidRPr="0034170A">
        <w:rPr>
          <w:rStyle w:val="Strong"/>
          <w:rFonts w:ascii="Times New Roman" w:hAnsi="Times New Roman" w:cs="Times New Roman"/>
          <w:b/>
          <w:bCs/>
          <w:sz w:val="20"/>
          <w:szCs w:val="20"/>
        </w:rPr>
        <w:t>Opportunistic Mycoses</w:t>
      </w:r>
    </w:p>
    <w:p w:rsidR="002C5140" w:rsidRPr="0034170A" w:rsidRDefault="002C5140" w:rsidP="009A18F2">
      <w:pPr>
        <w:pStyle w:val="NormalWeb"/>
        <w:spacing w:before="0" w:beforeAutospacing="0" w:after="0" w:afterAutospacing="0"/>
        <w:ind w:firstLine="720"/>
        <w:jc w:val="both"/>
        <w:rPr>
          <w:sz w:val="20"/>
          <w:szCs w:val="20"/>
        </w:rPr>
      </w:pPr>
      <w:r w:rsidRPr="0034170A">
        <w:rPr>
          <w:sz w:val="20"/>
          <w:szCs w:val="20"/>
        </w:rPr>
        <w:t>Opportunistic mycoses are mycoses of fungi which appear generally to be a source of opportunistic infections among compromised individuals. Typically, the causative fungi generally do not have a pathogenic role for healthy immunized patients but could precipitate severe potentially life-threatening mycoses for immunocompromised patients with HIV/AIDS and organ transplanted, in cancer patients exposed to chemotherapy drugs, or taking immunosuppressive treatments. Opportunistic fungi are pervasive in the environment, and generally, mycoses often appear as an aftermath of inhalation of spores or the outgrowth of otherwise commensal organisms within a host's system.</w:t>
      </w:r>
    </w:p>
    <w:p w:rsidR="007F0A0F" w:rsidRPr="0034170A" w:rsidRDefault="002C5140" w:rsidP="009A18F2">
      <w:pPr>
        <w:pStyle w:val="NormalWeb"/>
        <w:spacing w:before="0" w:beforeAutospacing="0" w:after="0" w:afterAutospacing="0"/>
        <w:ind w:firstLine="720"/>
        <w:jc w:val="both"/>
        <w:rPr>
          <w:sz w:val="20"/>
          <w:szCs w:val="20"/>
        </w:rPr>
      </w:pPr>
      <w:r w:rsidRPr="0034170A">
        <w:rPr>
          <w:sz w:val="20"/>
          <w:szCs w:val="20"/>
        </w:rPr>
        <w:t>The two most clinically significant opportunistic mycoses to be discussed in this section are Pneumocystis pneumonia, or PCP, and zygomycosis, more commonly known as mucormycosis. Both of these infections are very aggressive, progress rapidly, and have high mortality rates that often occur at the time of diagnosis or even after treatment is initiated.</w:t>
      </w:r>
    </w:p>
    <w:p w:rsidR="007F0A0F" w:rsidRPr="0034170A" w:rsidRDefault="007F0A0F" w:rsidP="009A18F2">
      <w:pPr>
        <w:pStyle w:val="Heading4"/>
        <w:numPr>
          <w:ilvl w:val="2"/>
          <w:numId w:val="8"/>
        </w:numPr>
        <w:spacing w:before="0"/>
        <w:jc w:val="both"/>
        <w:rPr>
          <w:rFonts w:ascii="Times New Roman" w:hAnsi="Times New Roman" w:cs="Times New Roman"/>
          <w:i w:val="0"/>
          <w:iCs w:val="0"/>
          <w:sz w:val="20"/>
          <w:szCs w:val="20"/>
        </w:rPr>
      </w:pPr>
      <w:r w:rsidRPr="0034170A">
        <w:rPr>
          <w:rStyle w:val="Strong"/>
          <w:rFonts w:ascii="Times New Roman" w:hAnsi="Times New Roman" w:cs="Times New Roman"/>
          <w:b/>
          <w:bCs/>
          <w:i w:val="0"/>
          <w:iCs w:val="0"/>
          <w:sz w:val="20"/>
          <w:szCs w:val="20"/>
        </w:rPr>
        <w:t>Pneumocystis Pneumonia (PCP)</w:t>
      </w:r>
    </w:p>
    <w:p w:rsidR="002C5140" w:rsidRPr="0034170A" w:rsidRDefault="002C5140" w:rsidP="009A18F2">
      <w:pPr>
        <w:pStyle w:val="NormalWeb"/>
        <w:spacing w:before="0" w:beforeAutospacing="0" w:after="0" w:afterAutospacing="0"/>
        <w:ind w:firstLine="720"/>
        <w:jc w:val="both"/>
        <w:rPr>
          <w:sz w:val="20"/>
          <w:szCs w:val="20"/>
        </w:rPr>
      </w:pPr>
      <w:r w:rsidRPr="0034170A">
        <w:rPr>
          <w:sz w:val="20"/>
          <w:szCs w:val="20"/>
        </w:rPr>
        <w:t xml:space="preserve">Pneumocystis pneumonia, caused by the fungus </w:t>
      </w:r>
      <w:r w:rsidRPr="0034170A">
        <w:rPr>
          <w:i/>
          <w:iCs/>
          <w:sz w:val="20"/>
          <w:szCs w:val="20"/>
        </w:rPr>
        <w:t>Pneumocystis jirovecii</w:t>
      </w:r>
      <w:r w:rsidRPr="0034170A">
        <w:rPr>
          <w:sz w:val="20"/>
          <w:szCs w:val="20"/>
        </w:rPr>
        <w:t xml:space="preserve">, primarily affects the lungs and is a significant cause of morbidity and mortality in immunocompromised patients. </w:t>
      </w:r>
      <w:r w:rsidRPr="0034170A">
        <w:rPr>
          <w:i/>
          <w:iCs/>
          <w:sz w:val="20"/>
          <w:szCs w:val="20"/>
        </w:rPr>
        <w:t>P. jirovecii</w:t>
      </w:r>
      <w:r w:rsidRPr="0034170A">
        <w:rPr>
          <w:sz w:val="20"/>
          <w:szCs w:val="20"/>
        </w:rPr>
        <w:t xml:space="preserve"> was once considered a protozoan based on its characteristics, but molecular studies have classified it as a fungus. It is still quite different from most other fungi in its biology and pathogenesis.</w:t>
      </w:r>
    </w:p>
    <w:p w:rsidR="007F0A0F" w:rsidRPr="0034170A" w:rsidRDefault="002C5140" w:rsidP="009A18F2">
      <w:pPr>
        <w:pStyle w:val="NormalWeb"/>
        <w:spacing w:before="0" w:beforeAutospacing="0" w:after="0" w:afterAutospacing="0"/>
        <w:ind w:firstLine="720"/>
        <w:jc w:val="both"/>
        <w:rPr>
          <w:sz w:val="20"/>
          <w:szCs w:val="20"/>
        </w:rPr>
      </w:pPr>
      <w:r w:rsidRPr="0034170A">
        <w:rPr>
          <w:sz w:val="20"/>
          <w:szCs w:val="20"/>
        </w:rPr>
        <w:t>PCP is most often identified with patients who have HIV/AIDS, especially patients whose CD4 counts are less than 200 cells/μL. It is also commonly observed in patients who are on immunosuppressive therapy for cancer or organ transplantation. In the absence of adequate prophylaxis and treatment, PCP can be very deadly.</w:t>
      </w:r>
    </w:p>
    <w:p w:rsidR="007F0A0F" w:rsidRPr="0034170A" w:rsidRDefault="007F0A0F" w:rsidP="009A18F2">
      <w:pPr>
        <w:pStyle w:val="Heading5"/>
        <w:spacing w:before="0"/>
        <w:jc w:val="both"/>
        <w:rPr>
          <w:rFonts w:ascii="Times New Roman" w:hAnsi="Times New Roman" w:cs="Times New Roman"/>
          <w:sz w:val="20"/>
          <w:szCs w:val="20"/>
        </w:rPr>
      </w:pPr>
      <w:r w:rsidRPr="0034170A">
        <w:rPr>
          <w:rStyle w:val="Strong"/>
          <w:rFonts w:ascii="Times New Roman" w:hAnsi="Times New Roman" w:cs="Times New Roman"/>
          <w:b w:val="0"/>
          <w:bCs w:val="0"/>
          <w:sz w:val="20"/>
          <w:szCs w:val="20"/>
        </w:rPr>
        <w:t>Epidemiology</w:t>
      </w:r>
    </w:p>
    <w:p w:rsidR="002C5140" w:rsidRPr="0034170A" w:rsidRDefault="002C5140" w:rsidP="009A18F2">
      <w:pPr>
        <w:pStyle w:val="NormalWeb"/>
        <w:spacing w:before="0" w:beforeAutospacing="0" w:after="0" w:afterAutospacing="0"/>
        <w:ind w:firstLine="720"/>
        <w:jc w:val="both"/>
        <w:rPr>
          <w:sz w:val="20"/>
          <w:szCs w:val="20"/>
        </w:rPr>
      </w:pPr>
      <w:r w:rsidRPr="0034170A">
        <w:rPr>
          <w:sz w:val="20"/>
          <w:szCs w:val="20"/>
        </w:rPr>
        <w:t>PCP primarily affects immunocompromised patients, especially HIV-infected patients, with the burden being high in resource-poor settings where ART is not available. In the pre-ART era, PCP was among the leading causes of death among HIV/AIDS patients; however, in areas where ART is widely available, its incidence has greatly reduced. Still, PCP is a major problem in the non-HIV immunocompromised population, such as cancer patients, transplant recipients, and patients on corticosteroid therapy.</w:t>
      </w:r>
    </w:p>
    <w:p w:rsidR="007F0A0F" w:rsidRPr="0034170A" w:rsidRDefault="002C5140" w:rsidP="009A18F2">
      <w:pPr>
        <w:pStyle w:val="NormalWeb"/>
        <w:spacing w:before="0" w:beforeAutospacing="0" w:after="0" w:afterAutospacing="0"/>
        <w:ind w:firstLine="720"/>
        <w:jc w:val="both"/>
        <w:rPr>
          <w:sz w:val="20"/>
          <w:szCs w:val="20"/>
        </w:rPr>
      </w:pPr>
      <w:r w:rsidRPr="0034170A">
        <w:rPr>
          <w:i/>
          <w:iCs/>
          <w:sz w:val="20"/>
          <w:szCs w:val="20"/>
        </w:rPr>
        <w:t>P. jirovecii</w:t>
      </w:r>
      <w:r w:rsidRPr="0034170A">
        <w:rPr>
          <w:sz w:val="20"/>
          <w:szCs w:val="20"/>
        </w:rPr>
        <w:t xml:space="preserve"> is considered an airborne spore transmissible pathogen; most individuals encounter the organism when they are exposed to it in their early childhood as part of asymptomatically colonization. The infectious agent can become very aggressive with immunocompromised individuals and may provoke fatal pneumonia because, in such hosts, control by the host immune system may be lacking.</w:t>
      </w:r>
    </w:p>
    <w:p w:rsidR="007F0A0F" w:rsidRPr="0034170A" w:rsidRDefault="007F0A0F" w:rsidP="009A18F2">
      <w:pPr>
        <w:pStyle w:val="Heading5"/>
        <w:spacing w:before="0"/>
        <w:jc w:val="both"/>
        <w:rPr>
          <w:rFonts w:ascii="Times New Roman" w:hAnsi="Times New Roman" w:cs="Times New Roman"/>
          <w:sz w:val="20"/>
          <w:szCs w:val="20"/>
        </w:rPr>
      </w:pPr>
      <w:r w:rsidRPr="0034170A">
        <w:rPr>
          <w:rStyle w:val="Strong"/>
          <w:rFonts w:ascii="Times New Roman" w:hAnsi="Times New Roman" w:cs="Times New Roman"/>
          <w:b w:val="0"/>
          <w:bCs w:val="0"/>
          <w:sz w:val="20"/>
          <w:szCs w:val="20"/>
        </w:rPr>
        <w:t>Clinical Symptoms</w:t>
      </w:r>
    </w:p>
    <w:p w:rsidR="00E0608C" w:rsidRPr="0034170A" w:rsidRDefault="00E0608C" w:rsidP="009A18F2">
      <w:pPr>
        <w:pStyle w:val="NormalWeb"/>
        <w:spacing w:before="0" w:beforeAutospacing="0" w:after="0" w:afterAutospacing="0"/>
        <w:ind w:firstLine="720"/>
        <w:jc w:val="both"/>
        <w:rPr>
          <w:sz w:val="20"/>
          <w:szCs w:val="20"/>
        </w:rPr>
      </w:pPr>
      <w:r w:rsidRPr="0034170A">
        <w:rPr>
          <w:sz w:val="20"/>
          <w:szCs w:val="20"/>
        </w:rPr>
        <w:t xml:space="preserve">The slow emergence of vague respiratory symptoms that characterise PCP's clinical presentation might make early diagnosis challenging. The most typical symptoms are fever, chest pain, nonproductive coughing, and increasing dyspnoea. One of the main characteristics of PCP is hypoxaemia, which is frequently more severe than would be predicted based on clinical or radiological evidence. </w:t>
      </w:r>
    </w:p>
    <w:p w:rsidR="007F0A0F" w:rsidRPr="0034170A" w:rsidRDefault="00E0608C" w:rsidP="009A18F2">
      <w:pPr>
        <w:pStyle w:val="NormalWeb"/>
        <w:spacing w:before="0" w:beforeAutospacing="0" w:after="0" w:afterAutospacing="0"/>
        <w:ind w:firstLine="720"/>
        <w:jc w:val="both"/>
        <w:rPr>
          <w:sz w:val="20"/>
          <w:szCs w:val="20"/>
        </w:rPr>
      </w:pPr>
      <w:r w:rsidRPr="0034170A">
        <w:rPr>
          <w:sz w:val="20"/>
          <w:szCs w:val="20"/>
        </w:rPr>
        <w:t>Acute respiratory failure brought on by severe PCP may necessitate mechanical ventilation. The condition usually develops over a few weeks in HIV-infected people, although it can develop more quickly and fulminantly in non-HIV immunocompromised patients.</w:t>
      </w:r>
    </w:p>
    <w:p w:rsidR="007F0A0F" w:rsidRPr="0034170A" w:rsidRDefault="007F0A0F" w:rsidP="009A18F2">
      <w:pPr>
        <w:pStyle w:val="Heading5"/>
        <w:spacing w:before="0"/>
        <w:jc w:val="both"/>
        <w:rPr>
          <w:rFonts w:ascii="Times New Roman" w:hAnsi="Times New Roman" w:cs="Times New Roman"/>
          <w:sz w:val="20"/>
          <w:szCs w:val="20"/>
        </w:rPr>
      </w:pPr>
      <w:r w:rsidRPr="0034170A">
        <w:rPr>
          <w:rStyle w:val="Strong"/>
          <w:rFonts w:ascii="Times New Roman" w:hAnsi="Times New Roman" w:cs="Times New Roman"/>
          <w:b w:val="0"/>
          <w:bCs w:val="0"/>
          <w:sz w:val="20"/>
          <w:szCs w:val="20"/>
        </w:rPr>
        <w:lastRenderedPageBreak/>
        <w:t>Laboratory Diagnosis</w:t>
      </w:r>
    </w:p>
    <w:p w:rsidR="00E0608C" w:rsidRPr="0034170A" w:rsidRDefault="00E0608C" w:rsidP="009A18F2">
      <w:pPr>
        <w:pStyle w:val="NormalWeb"/>
        <w:spacing w:before="0" w:beforeAutospacing="0" w:after="0" w:afterAutospacing="0"/>
        <w:ind w:firstLine="720"/>
        <w:jc w:val="both"/>
        <w:rPr>
          <w:sz w:val="20"/>
          <w:szCs w:val="20"/>
        </w:rPr>
      </w:pPr>
      <w:r w:rsidRPr="0034170A">
        <w:rPr>
          <w:sz w:val="20"/>
          <w:szCs w:val="20"/>
        </w:rPr>
        <w:t xml:space="preserve">Imaging investigations, laboratory testing, and clinical suspicion are all necessary for the diagnosis of PCP. Although they are not unique to PCP, diffuse, bilateral ground-glass opacities are frequently seen on chest high-resolution computed tomography (HRCT) images. Normal radiographs do not rule out PCP, however chest X-rays may show diffuse interstitial infiltrates. </w:t>
      </w:r>
    </w:p>
    <w:p w:rsidR="007F0A0F" w:rsidRPr="0034170A" w:rsidRDefault="00E0608C" w:rsidP="009A18F2">
      <w:pPr>
        <w:pStyle w:val="NormalWeb"/>
        <w:spacing w:before="0" w:beforeAutospacing="0" w:after="0" w:afterAutospacing="0"/>
        <w:ind w:firstLine="720"/>
        <w:jc w:val="both"/>
        <w:rPr>
          <w:sz w:val="20"/>
          <w:szCs w:val="20"/>
        </w:rPr>
      </w:pPr>
      <w:r w:rsidRPr="0034170A">
        <w:rPr>
          <w:sz w:val="20"/>
          <w:szCs w:val="20"/>
        </w:rPr>
        <w:t>Finding P. jirovecii in respiratory samples—usually acquired by bronchoalveolar lavage (BAL), induced sputum, or, in rare instances, lung biopsy—makes the final diagnosis. The trophic and cystic forms of the fungus are frequently visualised using staining methods as Giemsa stain, silver stain, and immunofluorescence tests. More recently, P. jirovecii DNA has been found in respiratory samples using molecular techniques including polymerase chain reaction (PCR).</w:t>
      </w:r>
      <w:r w:rsidR="007F0A0F" w:rsidRPr="0034170A">
        <w:rPr>
          <w:sz w:val="20"/>
          <w:szCs w:val="20"/>
        </w:rPr>
        <w:t>, offering increased sensitivity.</w:t>
      </w:r>
    </w:p>
    <w:p w:rsidR="007F0A0F" w:rsidRPr="0034170A" w:rsidRDefault="007F0A0F" w:rsidP="009A18F2">
      <w:pPr>
        <w:pStyle w:val="Heading5"/>
        <w:spacing w:before="0"/>
        <w:jc w:val="both"/>
        <w:rPr>
          <w:rFonts w:ascii="Times New Roman" w:hAnsi="Times New Roman" w:cs="Times New Roman"/>
          <w:sz w:val="20"/>
          <w:szCs w:val="20"/>
        </w:rPr>
      </w:pPr>
      <w:r w:rsidRPr="0034170A">
        <w:rPr>
          <w:rStyle w:val="Strong"/>
          <w:rFonts w:ascii="Times New Roman" w:hAnsi="Times New Roman" w:cs="Times New Roman"/>
          <w:b w:val="0"/>
          <w:bCs w:val="0"/>
          <w:sz w:val="20"/>
          <w:szCs w:val="20"/>
        </w:rPr>
        <w:t>Treatment</w:t>
      </w:r>
    </w:p>
    <w:p w:rsidR="007F0A0F" w:rsidRPr="0034170A" w:rsidRDefault="00E0608C" w:rsidP="009A18F2">
      <w:pPr>
        <w:pStyle w:val="NormalWeb"/>
        <w:spacing w:before="0" w:beforeAutospacing="0" w:after="0" w:afterAutospacing="0"/>
        <w:ind w:firstLine="720"/>
        <w:jc w:val="both"/>
        <w:rPr>
          <w:sz w:val="20"/>
          <w:szCs w:val="20"/>
        </w:rPr>
      </w:pPr>
      <w:r w:rsidRPr="0034170A">
        <w:rPr>
          <w:sz w:val="20"/>
          <w:szCs w:val="20"/>
        </w:rPr>
        <w:t>The severity of the illness and the patient's immunological condition determine how PCP is treated. Oral trimethoprim-sulfamethoxazole (TMP-SMX) is the first-line therapy for mild to moderate PCP. It is also used as a prophylactic in high-risk individuals, especially those with HIV/AIDS. Intravenous TMP-SMX is the recommended treatment for severe instances. Although they are often less effective, substitutes such pentamidine, atovaquone, or clindamycin-primaquine can be used in people with sulfa allergies.</w:t>
      </w:r>
    </w:p>
    <w:p w:rsidR="007F0A0F" w:rsidRPr="0034170A" w:rsidRDefault="00E0608C" w:rsidP="009A18F2">
      <w:pPr>
        <w:pStyle w:val="NormalWeb"/>
        <w:spacing w:before="0" w:beforeAutospacing="0" w:after="0" w:afterAutospacing="0"/>
        <w:ind w:firstLine="720"/>
        <w:jc w:val="both"/>
        <w:rPr>
          <w:sz w:val="20"/>
          <w:szCs w:val="20"/>
        </w:rPr>
      </w:pPr>
      <w:r w:rsidRPr="0034170A">
        <w:rPr>
          <w:sz w:val="20"/>
          <w:szCs w:val="20"/>
        </w:rPr>
        <w:t>Since adjunctive corticosteroid medication has been demonstrated to lower inflammation and enhance results, it is advised for patients with moderate to severe PCP, especially those with substantial hypoxaemia. For people whose CD4 counts are less than 200 cells/μL or who are on long-term corticosteroid therapy or other immunosuppressive treatments, prophylactic TMP-SMX treatment is recommended.</w:t>
      </w:r>
    </w:p>
    <w:p w:rsidR="007F0A0F" w:rsidRPr="0034170A" w:rsidRDefault="007F0A0F" w:rsidP="009A18F2">
      <w:pPr>
        <w:pStyle w:val="Heading4"/>
        <w:numPr>
          <w:ilvl w:val="2"/>
          <w:numId w:val="8"/>
        </w:numPr>
        <w:spacing w:before="0"/>
        <w:jc w:val="both"/>
        <w:rPr>
          <w:rFonts w:ascii="Times New Roman" w:hAnsi="Times New Roman" w:cs="Times New Roman"/>
          <w:i w:val="0"/>
          <w:iCs w:val="0"/>
          <w:sz w:val="20"/>
          <w:szCs w:val="20"/>
        </w:rPr>
      </w:pPr>
      <w:r w:rsidRPr="0034170A">
        <w:rPr>
          <w:rStyle w:val="Strong"/>
          <w:rFonts w:ascii="Times New Roman" w:hAnsi="Times New Roman" w:cs="Times New Roman"/>
          <w:b/>
          <w:bCs/>
          <w:i w:val="0"/>
          <w:iCs w:val="0"/>
          <w:sz w:val="20"/>
          <w:szCs w:val="20"/>
        </w:rPr>
        <w:t>Zygomycosis (Mucormycosis)</w:t>
      </w:r>
    </w:p>
    <w:p w:rsidR="007F0A0F" w:rsidRPr="0034170A" w:rsidRDefault="00E0608C" w:rsidP="009A18F2">
      <w:pPr>
        <w:pStyle w:val="NormalWeb"/>
        <w:spacing w:before="0" w:beforeAutospacing="0" w:after="0" w:afterAutospacing="0"/>
        <w:ind w:firstLine="720"/>
        <w:jc w:val="both"/>
        <w:rPr>
          <w:sz w:val="20"/>
          <w:szCs w:val="20"/>
        </w:rPr>
      </w:pPr>
      <w:r w:rsidRPr="0034170A">
        <w:rPr>
          <w:sz w:val="20"/>
          <w:szCs w:val="20"/>
        </w:rPr>
        <w:t>The rare but dangerous fungal infection known as zygomycosis, or mucormycosis, is brought on by moulds belonging to the order Mucorales, namely the genera Rhizopus, Mucor, and Rhizomucor. The soil, decomposing organic debris, and air all contain these fungus, which are widely distributed in the environment. They rarely cause illness in healthy people, but in immunocompromised patients, especially those with uncontrolled diabetes, neutropenia, or after organ transplantation, they can cause life-threatening infections.</w:t>
      </w:r>
    </w:p>
    <w:p w:rsidR="007F0A0F" w:rsidRPr="0034170A" w:rsidRDefault="00E0608C" w:rsidP="009A18F2">
      <w:pPr>
        <w:pStyle w:val="NormalWeb"/>
        <w:spacing w:before="0" w:beforeAutospacing="0" w:after="0" w:afterAutospacing="0"/>
        <w:ind w:firstLine="720"/>
        <w:jc w:val="both"/>
        <w:rPr>
          <w:sz w:val="20"/>
          <w:szCs w:val="20"/>
        </w:rPr>
      </w:pPr>
      <w:r w:rsidRPr="0034170A">
        <w:rPr>
          <w:sz w:val="20"/>
          <w:szCs w:val="20"/>
        </w:rPr>
        <w:t>The fast and aggressive progression of zygomycosis frequently results in widespread tissue necrosis and significant fatality rates if treatment is delayed. Depending on how it entered the body and the patient's underlying medical condition, the infection frequently affects the sinuses, lungs, skin, and brain.</w:t>
      </w:r>
    </w:p>
    <w:p w:rsidR="007F0A0F" w:rsidRPr="0034170A" w:rsidRDefault="007F0A0F" w:rsidP="009A18F2">
      <w:pPr>
        <w:pStyle w:val="Heading5"/>
        <w:spacing w:before="0"/>
        <w:jc w:val="both"/>
        <w:rPr>
          <w:rFonts w:ascii="Times New Roman" w:hAnsi="Times New Roman" w:cs="Times New Roman"/>
          <w:sz w:val="20"/>
          <w:szCs w:val="20"/>
        </w:rPr>
      </w:pPr>
      <w:r w:rsidRPr="0034170A">
        <w:rPr>
          <w:rStyle w:val="Strong"/>
          <w:rFonts w:ascii="Times New Roman" w:hAnsi="Times New Roman" w:cs="Times New Roman"/>
          <w:b w:val="0"/>
          <w:bCs w:val="0"/>
          <w:sz w:val="20"/>
          <w:szCs w:val="20"/>
        </w:rPr>
        <w:t>Epidemiology</w:t>
      </w:r>
    </w:p>
    <w:p w:rsidR="007F0A0F" w:rsidRPr="0034170A" w:rsidRDefault="00E0608C" w:rsidP="009A18F2">
      <w:pPr>
        <w:pStyle w:val="NormalWeb"/>
        <w:spacing w:before="0" w:beforeAutospacing="0" w:after="0" w:afterAutospacing="0"/>
        <w:ind w:firstLine="720"/>
        <w:jc w:val="both"/>
        <w:rPr>
          <w:sz w:val="20"/>
          <w:szCs w:val="20"/>
        </w:rPr>
      </w:pPr>
      <w:r w:rsidRPr="0034170A">
        <w:rPr>
          <w:sz w:val="20"/>
          <w:szCs w:val="20"/>
        </w:rPr>
        <w:t>Although zygomycosis is a fungal infection that is found all over the world, it is still very uncommon. But in recent years, its prevalence has gone up, especially in individuals with risk factors such organ transplants, haematologic malignancies, and uncontrolled diabetes mellitus, especially diabetic ketoacidosis. Patients with diabetes are more vulnerable to invasive fungal infections because the acidic environment produced by ketoacidosis encourages fungal development and diminishes the effectiveness of the host immune response.</w:t>
      </w:r>
    </w:p>
    <w:p w:rsidR="007F0A0F" w:rsidRPr="0034170A" w:rsidRDefault="00E102D4" w:rsidP="009A18F2">
      <w:pPr>
        <w:pStyle w:val="NormalWeb"/>
        <w:spacing w:before="0" w:beforeAutospacing="0" w:after="0" w:afterAutospacing="0"/>
        <w:ind w:firstLine="720"/>
        <w:jc w:val="both"/>
        <w:rPr>
          <w:sz w:val="20"/>
          <w:szCs w:val="20"/>
        </w:rPr>
      </w:pPr>
      <w:r w:rsidRPr="0034170A">
        <w:rPr>
          <w:sz w:val="20"/>
          <w:szCs w:val="20"/>
        </w:rPr>
        <w:t>In hospitals, mucormycosis outbreaks have also been documented, especially during remodelling or building projects that disrupt fungal spores. Furthermore, mucormycosis instances have significantly increased during the COVID-19 pandemic, especially in patients on corticosteroids for severe COVID-19 infection.</w:t>
      </w:r>
    </w:p>
    <w:p w:rsidR="007F0A0F" w:rsidRPr="0034170A" w:rsidRDefault="007F0A0F" w:rsidP="009A18F2">
      <w:pPr>
        <w:pStyle w:val="Heading5"/>
        <w:spacing w:before="0"/>
        <w:jc w:val="both"/>
        <w:rPr>
          <w:rFonts w:ascii="Times New Roman" w:hAnsi="Times New Roman" w:cs="Times New Roman"/>
          <w:sz w:val="20"/>
          <w:szCs w:val="20"/>
        </w:rPr>
      </w:pPr>
      <w:r w:rsidRPr="0034170A">
        <w:rPr>
          <w:rStyle w:val="Strong"/>
          <w:rFonts w:ascii="Times New Roman" w:hAnsi="Times New Roman" w:cs="Times New Roman"/>
          <w:b w:val="0"/>
          <w:bCs w:val="0"/>
          <w:sz w:val="20"/>
          <w:szCs w:val="20"/>
        </w:rPr>
        <w:t>Clinical Symptoms</w:t>
      </w:r>
    </w:p>
    <w:p w:rsidR="007F0A0F" w:rsidRPr="0034170A" w:rsidRDefault="00E102D4" w:rsidP="009A18F2">
      <w:pPr>
        <w:pStyle w:val="NormalWeb"/>
        <w:spacing w:before="0" w:beforeAutospacing="0" w:after="0" w:afterAutospacing="0"/>
        <w:ind w:firstLine="720"/>
        <w:jc w:val="both"/>
        <w:rPr>
          <w:sz w:val="20"/>
          <w:szCs w:val="20"/>
        </w:rPr>
      </w:pPr>
      <w:r w:rsidRPr="0034170A">
        <w:rPr>
          <w:sz w:val="20"/>
          <w:szCs w:val="20"/>
        </w:rPr>
        <w:t>Depending on the infection site, zygomycosis can manifest in a variety of clinical ways. Among the most prevalent types are:</w:t>
      </w:r>
    </w:p>
    <w:p w:rsidR="007F0A0F" w:rsidRPr="0034170A" w:rsidRDefault="007F0A0F" w:rsidP="00151AB1">
      <w:pPr>
        <w:pStyle w:val="NormalWeb"/>
        <w:numPr>
          <w:ilvl w:val="0"/>
          <w:numId w:val="13"/>
        </w:numPr>
        <w:spacing w:before="0" w:beforeAutospacing="0" w:after="0" w:afterAutospacing="0"/>
        <w:jc w:val="both"/>
        <w:rPr>
          <w:sz w:val="20"/>
          <w:szCs w:val="20"/>
        </w:rPr>
      </w:pPr>
      <w:r w:rsidRPr="0034170A">
        <w:rPr>
          <w:rStyle w:val="Strong"/>
          <w:sz w:val="20"/>
          <w:szCs w:val="20"/>
        </w:rPr>
        <w:t>Rhinocerebral Mucormycosis:</w:t>
      </w:r>
      <w:r w:rsidRPr="0034170A">
        <w:rPr>
          <w:sz w:val="20"/>
          <w:szCs w:val="20"/>
        </w:rPr>
        <w:t xml:space="preserve"> </w:t>
      </w:r>
      <w:r w:rsidR="00E102D4" w:rsidRPr="0034170A">
        <w:rPr>
          <w:sz w:val="20"/>
          <w:szCs w:val="20"/>
        </w:rPr>
        <w:t>People with immunosuppression or uncontrolled diabetes are more likely to have this type of the disease. Black necrotic lesions on the palate or nasal mucosa, facial pain, swelling, and nasal discharge are some of the symptoms that can quickly spread from the nasal sinuses to the eyes, brain, and surrounding tissues. It can cause blindness, stroke, or even death if treatment is delayed.</w:t>
      </w:r>
    </w:p>
    <w:p w:rsidR="007F0A0F" w:rsidRPr="0034170A" w:rsidRDefault="007F0A0F" w:rsidP="00151AB1">
      <w:pPr>
        <w:pStyle w:val="NormalWeb"/>
        <w:numPr>
          <w:ilvl w:val="0"/>
          <w:numId w:val="13"/>
        </w:numPr>
        <w:spacing w:before="0" w:beforeAutospacing="0" w:after="0" w:afterAutospacing="0"/>
        <w:jc w:val="both"/>
        <w:rPr>
          <w:sz w:val="20"/>
          <w:szCs w:val="20"/>
        </w:rPr>
      </w:pPr>
      <w:r w:rsidRPr="0034170A">
        <w:rPr>
          <w:rStyle w:val="Strong"/>
          <w:sz w:val="20"/>
          <w:szCs w:val="20"/>
        </w:rPr>
        <w:t>Pulmonary Mucormycosis:</w:t>
      </w:r>
      <w:r w:rsidRPr="0034170A">
        <w:rPr>
          <w:sz w:val="20"/>
          <w:szCs w:val="20"/>
        </w:rPr>
        <w:t xml:space="preserve"> </w:t>
      </w:r>
      <w:r w:rsidR="00E102D4" w:rsidRPr="0034170A">
        <w:rPr>
          <w:sz w:val="20"/>
          <w:szCs w:val="20"/>
        </w:rPr>
        <w:t xml:space="preserve">This type of lung infection is prevalent in people who are neutropenic, such as those receiving chemotherapy for leukaemia or other cancers. Fever, coughing, chest discomfort, and haemoptysis are among the symptoms. </w:t>
      </w:r>
      <w:r w:rsidR="005426F9" w:rsidRPr="0034170A">
        <w:rPr>
          <w:sz w:val="20"/>
          <w:szCs w:val="20"/>
        </w:rPr>
        <w:t>Invasive aspergillosis and pulmonary zygomycosis are often misdiagnosed due to similar clinical and radiological features.</w:t>
      </w:r>
    </w:p>
    <w:p w:rsidR="005426F9" w:rsidRPr="0034170A" w:rsidRDefault="007F0A0F" w:rsidP="00151AB1">
      <w:pPr>
        <w:pStyle w:val="NormalWeb"/>
        <w:numPr>
          <w:ilvl w:val="0"/>
          <w:numId w:val="13"/>
        </w:numPr>
        <w:spacing w:before="0" w:beforeAutospacing="0" w:after="0" w:afterAutospacing="0"/>
        <w:jc w:val="both"/>
        <w:rPr>
          <w:sz w:val="20"/>
          <w:szCs w:val="20"/>
        </w:rPr>
      </w:pPr>
      <w:r w:rsidRPr="0034170A">
        <w:rPr>
          <w:rStyle w:val="Strong"/>
          <w:sz w:val="20"/>
          <w:szCs w:val="20"/>
        </w:rPr>
        <w:t>Cutaneous Mucormycosis:</w:t>
      </w:r>
      <w:r w:rsidRPr="0034170A">
        <w:rPr>
          <w:sz w:val="20"/>
          <w:szCs w:val="20"/>
        </w:rPr>
        <w:t xml:space="preserve"> </w:t>
      </w:r>
      <w:r w:rsidR="005426F9" w:rsidRPr="0034170A">
        <w:rPr>
          <w:sz w:val="20"/>
          <w:szCs w:val="20"/>
        </w:rPr>
        <w:t>Cutaneous mucormycosis can be brought on by fungus spores that enter the body through cuts, burns, or surgical incisions. It is more common in patients who have had trauma or who have compromised skin barriers. The infection causes necrotic lesions, ulceration, and tissue loss; surgical debridement is often required.</w:t>
      </w:r>
    </w:p>
    <w:p w:rsidR="005426F9" w:rsidRPr="0034170A" w:rsidRDefault="007F0A0F" w:rsidP="00151AB1">
      <w:pPr>
        <w:pStyle w:val="NormalWeb"/>
        <w:numPr>
          <w:ilvl w:val="0"/>
          <w:numId w:val="13"/>
        </w:numPr>
        <w:spacing w:before="0" w:beforeAutospacing="0" w:after="0" w:afterAutospacing="0"/>
        <w:jc w:val="both"/>
        <w:rPr>
          <w:sz w:val="20"/>
          <w:szCs w:val="20"/>
        </w:rPr>
      </w:pPr>
      <w:r w:rsidRPr="0034170A">
        <w:rPr>
          <w:rStyle w:val="Strong"/>
          <w:sz w:val="20"/>
          <w:szCs w:val="20"/>
        </w:rPr>
        <w:t>Disseminated Mucormycosis:</w:t>
      </w:r>
      <w:r w:rsidRPr="0034170A">
        <w:rPr>
          <w:sz w:val="20"/>
          <w:szCs w:val="20"/>
        </w:rPr>
        <w:t xml:space="preserve"> </w:t>
      </w:r>
      <w:r w:rsidR="005426F9" w:rsidRPr="0034170A">
        <w:rPr>
          <w:sz w:val="20"/>
          <w:szCs w:val="20"/>
        </w:rPr>
        <w:t>Disseminated mucormycosis, the most severe form of zygomycosis, can spread from the primary infection site to other organs, including the brain, kidneys, and gastrointestinal tract. A disseminated infection usually affects people who are already severely compromised, and the prognosis is usually poor.</w:t>
      </w:r>
    </w:p>
    <w:p w:rsidR="007F0A0F" w:rsidRPr="0034170A" w:rsidRDefault="007F0A0F" w:rsidP="009A18F2">
      <w:pPr>
        <w:pStyle w:val="Heading5"/>
        <w:spacing w:before="0"/>
        <w:jc w:val="both"/>
        <w:rPr>
          <w:rFonts w:ascii="Times New Roman" w:hAnsi="Times New Roman" w:cs="Times New Roman"/>
          <w:sz w:val="20"/>
          <w:szCs w:val="20"/>
        </w:rPr>
      </w:pPr>
      <w:r w:rsidRPr="0034170A">
        <w:rPr>
          <w:rStyle w:val="Strong"/>
          <w:rFonts w:ascii="Times New Roman" w:hAnsi="Times New Roman" w:cs="Times New Roman"/>
          <w:b w:val="0"/>
          <w:bCs w:val="0"/>
          <w:sz w:val="20"/>
          <w:szCs w:val="20"/>
        </w:rPr>
        <w:lastRenderedPageBreak/>
        <w:t>Laboratory Diagnosis</w:t>
      </w:r>
    </w:p>
    <w:p w:rsidR="007F0A0F" w:rsidRPr="0034170A" w:rsidRDefault="005426F9" w:rsidP="009A18F2">
      <w:pPr>
        <w:pStyle w:val="NormalWeb"/>
        <w:spacing w:before="0" w:beforeAutospacing="0" w:after="0" w:afterAutospacing="0"/>
        <w:ind w:firstLine="720"/>
        <w:jc w:val="both"/>
        <w:rPr>
          <w:sz w:val="20"/>
          <w:szCs w:val="20"/>
        </w:rPr>
      </w:pPr>
      <w:r w:rsidRPr="0034170A">
        <w:rPr>
          <w:sz w:val="20"/>
          <w:szCs w:val="20"/>
        </w:rPr>
        <w:t>It is not easy to diagnose zygomycosis since it usually develops rapidly with obscure symptoms. However, through computed tomography (CT) or magnetic resonance imaging (MRI), the amount of tissue that may be invaded could be known; however, this cannot establish with certainty that a particular condition is zygomycosis. Pulmonary zygomycosis can manifest as having cavitary lesions or nodules similar to aspergillosis.Histopathological diagnosis is of particular importance because the tissue biopsies may sometimes exhibit characteristic broad, nonseptate hyphae with right-angle branching, as characteristic of Mucorales.</w:t>
      </w:r>
      <w:r w:rsidR="00E102D4" w:rsidRPr="0034170A">
        <w:rPr>
          <w:sz w:val="20"/>
          <w:szCs w:val="20"/>
        </w:rPr>
        <w:t xml:space="preserve"> Fungal culture is also beneficial, but because these fungi are picky, it can occasionally be harmful. The use of PCR-based techniques to find Mucorales DNA in clinical specimens is growing, although these methods are not yet</w:t>
      </w:r>
      <w:r w:rsidR="007F0A0F" w:rsidRPr="0034170A">
        <w:rPr>
          <w:sz w:val="20"/>
          <w:szCs w:val="20"/>
        </w:rPr>
        <w:t>widely available.</w:t>
      </w:r>
    </w:p>
    <w:p w:rsidR="007F0A0F" w:rsidRPr="0034170A" w:rsidRDefault="007F0A0F" w:rsidP="009A18F2">
      <w:pPr>
        <w:pStyle w:val="Heading5"/>
        <w:spacing w:before="0"/>
        <w:jc w:val="both"/>
        <w:rPr>
          <w:rFonts w:ascii="Times New Roman" w:hAnsi="Times New Roman" w:cs="Times New Roman"/>
          <w:sz w:val="20"/>
          <w:szCs w:val="20"/>
        </w:rPr>
      </w:pPr>
      <w:r w:rsidRPr="0034170A">
        <w:rPr>
          <w:rStyle w:val="Strong"/>
          <w:rFonts w:ascii="Times New Roman" w:hAnsi="Times New Roman" w:cs="Times New Roman"/>
          <w:b w:val="0"/>
          <w:bCs w:val="0"/>
          <w:sz w:val="20"/>
          <w:szCs w:val="20"/>
        </w:rPr>
        <w:t>Treatment</w:t>
      </w:r>
    </w:p>
    <w:p w:rsidR="005426F9" w:rsidRPr="0034170A" w:rsidRDefault="005426F9" w:rsidP="009A18F2">
      <w:pPr>
        <w:pStyle w:val="NormalWeb"/>
        <w:spacing w:before="0" w:beforeAutospacing="0" w:after="0" w:afterAutospacing="0"/>
        <w:ind w:firstLine="720"/>
        <w:jc w:val="both"/>
        <w:rPr>
          <w:sz w:val="20"/>
          <w:szCs w:val="20"/>
        </w:rPr>
      </w:pPr>
      <w:r w:rsidRPr="0034170A">
        <w:rPr>
          <w:sz w:val="20"/>
          <w:szCs w:val="20"/>
        </w:rPr>
        <w:t>The treatment for zygomycosis requires a combination of aggressive surgical debridement with antifungal chemotherapy. Early and complete debridement of necrotic tissue helps to contain the infection because the fungus invades blood vessels quickly, leading to tissue ischemia. Medication with antifungal agents alone is typically insufficient to remove the infection without surgical intervention.</w:t>
      </w:r>
    </w:p>
    <w:p w:rsidR="005426F9" w:rsidRPr="0034170A" w:rsidRDefault="005426F9" w:rsidP="009A18F2">
      <w:pPr>
        <w:pStyle w:val="NormalWeb"/>
        <w:spacing w:before="0" w:beforeAutospacing="0" w:after="0" w:afterAutospacing="0"/>
        <w:ind w:firstLine="720"/>
        <w:jc w:val="both"/>
        <w:rPr>
          <w:sz w:val="20"/>
          <w:szCs w:val="20"/>
        </w:rPr>
      </w:pPr>
      <w:r w:rsidRPr="0034170A">
        <w:rPr>
          <w:sz w:val="20"/>
          <w:szCs w:val="20"/>
        </w:rPr>
        <w:t>Liposomal amphotericin B is the treatment of choice for antifungal in zygomycosis since it has proven effective in treating the infection and reducing mortality. It often requires high dosages of amphotericin B, and sometimes treatment is carried out for weeks or months. For those intolerant to amphotericin B, other salvage therapies of antifungals, including posaconazole or isavuconazole, are used.</w:t>
      </w:r>
    </w:p>
    <w:p w:rsidR="007F0A0F" w:rsidRPr="0034170A" w:rsidRDefault="005426F9" w:rsidP="009A18F2">
      <w:pPr>
        <w:pStyle w:val="NormalWeb"/>
        <w:spacing w:before="0" w:beforeAutospacing="0" w:after="0" w:afterAutospacing="0"/>
        <w:ind w:firstLine="720"/>
        <w:jc w:val="both"/>
        <w:rPr>
          <w:sz w:val="20"/>
          <w:szCs w:val="20"/>
        </w:rPr>
      </w:pPr>
      <w:r w:rsidRPr="0034170A">
        <w:rPr>
          <w:sz w:val="20"/>
          <w:szCs w:val="20"/>
        </w:rPr>
        <w:t>In addition to antifungal medication, it is important to address the underlying risk factors to improve patient outcomes, such as managing diabetes or reversing neutropenia. Posaconazole prophylaxis may be considered for high-risk patients, such as those receiving stem cell transplantation or those with haematologic malignancies.</w:t>
      </w:r>
    </w:p>
    <w:p w:rsidR="00226086" w:rsidRPr="0034170A" w:rsidRDefault="00226086" w:rsidP="009A18F2">
      <w:pPr>
        <w:pStyle w:val="NormalWeb"/>
        <w:numPr>
          <w:ilvl w:val="0"/>
          <w:numId w:val="8"/>
        </w:numPr>
        <w:spacing w:before="0" w:beforeAutospacing="0" w:after="0" w:afterAutospacing="0"/>
        <w:jc w:val="center"/>
        <w:rPr>
          <w:rFonts w:eastAsiaTheme="majorEastAsia"/>
          <w:b/>
          <w:bCs/>
          <w:color w:val="4F81BD" w:themeColor="accent1"/>
          <w:sz w:val="20"/>
          <w:szCs w:val="20"/>
          <w:lang w:val="en-US" w:eastAsia="en-US" w:bidi="ar-SA"/>
        </w:rPr>
      </w:pPr>
      <w:r w:rsidRPr="0034170A">
        <w:rPr>
          <w:rFonts w:eastAsiaTheme="majorEastAsia"/>
          <w:b/>
          <w:bCs/>
          <w:color w:val="4F81BD" w:themeColor="accent1"/>
          <w:sz w:val="20"/>
          <w:szCs w:val="20"/>
          <w:lang w:val="en-US" w:eastAsia="en-US" w:bidi="ar-SA"/>
        </w:rPr>
        <w:t>DIAGNOSTIC TECHNIQUES</w:t>
      </w:r>
    </w:p>
    <w:p w:rsidR="00DA4921" w:rsidRPr="0034170A" w:rsidRDefault="00DA4921" w:rsidP="009A18F2">
      <w:pPr>
        <w:pStyle w:val="Heading3"/>
        <w:numPr>
          <w:ilvl w:val="1"/>
          <w:numId w:val="8"/>
        </w:numPr>
        <w:spacing w:before="0"/>
        <w:jc w:val="both"/>
        <w:rPr>
          <w:rFonts w:ascii="Times New Roman" w:hAnsi="Times New Roman" w:cs="Times New Roman"/>
          <w:sz w:val="20"/>
          <w:szCs w:val="20"/>
        </w:rPr>
      </w:pPr>
      <w:r w:rsidRPr="0034170A">
        <w:rPr>
          <w:rStyle w:val="Strong"/>
          <w:rFonts w:ascii="Times New Roman" w:hAnsi="Times New Roman" w:cs="Times New Roman"/>
          <w:b/>
          <w:bCs/>
          <w:sz w:val="20"/>
          <w:szCs w:val="20"/>
        </w:rPr>
        <w:t>Microscopy in Fungal and Parasitic Diagnostics</w:t>
      </w:r>
    </w:p>
    <w:p w:rsidR="005426F9" w:rsidRPr="0034170A" w:rsidRDefault="005426F9" w:rsidP="009A18F2">
      <w:pPr>
        <w:pStyle w:val="NormalWeb"/>
        <w:spacing w:before="0" w:beforeAutospacing="0" w:after="0" w:afterAutospacing="0"/>
        <w:ind w:firstLine="720"/>
        <w:jc w:val="both"/>
        <w:rPr>
          <w:sz w:val="20"/>
          <w:szCs w:val="20"/>
        </w:rPr>
      </w:pPr>
      <w:r w:rsidRPr="0034170A">
        <w:rPr>
          <w:sz w:val="20"/>
          <w:szCs w:val="20"/>
        </w:rPr>
        <w:t>A basic diagnostic technique for detecting parasitic and fungal infections, microscopy provides a clear visual confirmation of pathogens in clinical samples. Because of its simplicity, speed, and capacity to provide crucial diagnostic information without the need for complex equipment, microscopy continues to be widely used despite advancements in molecular biology and serological testing.</w:t>
      </w:r>
      <w:r w:rsidR="00E102D4" w:rsidRPr="0034170A">
        <w:rPr>
          <w:sz w:val="20"/>
          <w:szCs w:val="20"/>
        </w:rPr>
        <w:t xml:space="preserve"> </w:t>
      </w:r>
      <w:r w:rsidRPr="0034170A">
        <w:rPr>
          <w:sz w:val="20"/>
          <w:szCs w:val="20"/>
        </w:rPr>
        <w:t xml:space="preserve">This technique looks for and identifies fungal elements or parasite stages in a variety of biological samples, such as blood, sputum, skin scrapings, stool, cerebrospinal fluid (CSF), and tissue biopsies. The existence of parasites like helminths and protozoa, as well as their eggs or larvae, and fungi like yeasts and molds, can be confirmed by microscopy. </w:t>
      </w:r>
    </w:p>
    <w:p w:rsidR="00DA4921" w:rsidRPr="0034170A" w:rsidRDefault="005426F9" w:rsidP="009A18F2">
      <w:pPr>
        <w:pStyle w:val="NormalWeb"/>
        <w:spacing w:before="0" w:beforeAutospacing="0" w:after="0" w:afterAutospacing="0"/>
        <w:ind w:firstLine="720"/>
        <w:jc w:val="both"/>
        <w:rPr>
          <w:sz w:val="20"/>
          <w:szCs w:val="20"/>
        </w:rPr>
      </w:pPr>
      <w:r w:rsidRPr="0034170A">
        <w:rPr>
          <w:sz w:val="20"/>
          <w:szCs w:val="20"/>
        </w:rPr>
        <w:t xml:space="preserve">Direct microscopy and stained microscopy are the two types of microscopy used in the diagnosis of fungi and parasites. Examining unstained or wet-mounted specimens under a microscope is known as direct microscopy, and it frequently makes use of methods like potassium hydroxide (KOH) preparation. On the other hand, stained microscopy uses a variety of stains, including periodic acid-Schiff (PAS), Giemsa stain, and Gram stain, to make particular fungal structures or parasitic forms more visible. </w:t>
      </w:r>
    </w:p>
    <w:p w:rsidR="00DA4921" w:rsidRPr="0034170A" w:rsidRDefault="00DA4921" w:rsidP="009A18F2">
      <w:pPr>
        <w:pStyle w:val="Heading4"/>
        <w:numPr>
          <w:ilvl w:val="2"/>
          <w:numId w:val="8"/>
        </w:numPr>
        <w:spacing w:before="0"/>
        <w:jc w:val="both"/>
        <w:rPr>
          <w:rFonts w:ascii="Times New Roman" w:hAnsi="Times New Roman" w:cs="Times New Roman"/>
          <w:i w:val="0"/>
          <w:iCs w:val="0"/>
          <w:sz w:val="20"/>
          <w:szCs w:val="20"/>
        </w:rPr>
      </w:pPr>
      <w:r w:rsidRPr="0034170A">
        <w:rPr>
          <w:rStyle w:val="Strong"/>
          <w:rFonts w:ascii="Times New Roman" w:hAnsi="Times New Roman" w:cs="Times New Roman"/>
          <w:b/>
          <w:bCs/>
          <w:i w:val="0"/>
          <w:iCs w:val="0"/>
          <w:sz w:val="20"/>
          <w:szCs w:val="20"/>
        </w:rPr>
        <w:t>Direct Microscopy</w:t>
      </w:r>
    </w:p>
    <w:p w:rsidR="005426F9" w:rsidRPr="0034170A" w:rsidRDefault="005426F9" w:rsidP="009A18F2">
      <w:pPr>
        <w:pStyle w:val="NormalWeb"/>
        <w:spacing w:before="0" w:beforeAutospacing="0" w:after="0" w:afterAutospacing="0"/>
        <w:ind w:firstLine="720"/>
        <w:jc w:val="both"/>
        <w:rPr>
          <w:sz w:val="20"/>
          <w:szCs w:val="20"/>
        </w:rPr>
      </w:pPr>
      <w:r w:rsidRPr="0034170A">
        <w:rPr>
          <w:sz w:val="20"/>
          <w:szCs w:val="20"/>
        </w:rPr>
        <w:t>Direct microscopy is a quick and affordable way to find parasites and fungi in clinical samples. One of the main benefits of this approach is its instantaneous specimen analysis, which eliminates the need for specialized staining procedures or extensive preparation. However, depending on the type of material, the degree of fungus or parasite infestation, and the microscopist's experience, its sensitivity may vary.</w:t>
      </w:r>
    </w:p>
    <w:p w:rsidR="00DA4921" w:rsidRPr="0034170A" w:rsidRDefault="00DA4921" w:rsidP="009A18F2">
      <w:pPr>
        <w:pStyle w:val="Heading5"/>
        <w:spacing w:before="0"/>
        <w:jc w:val="both"/>
        <w:rPr>
          <w:rFonts w:ascii="Times New Roman" w:hAnsi="Times New Roman" w:cs="Times New Roman"/>
          <w:sz w:val="20"/>
          <w:szCs w:val="20"/>
        </w:rPr>
      </w:pPr>
      <w:r w:rsidRPr="0034170A">
        <w:rPr>
          <w:rStyle w:val="Strong"/>
          <w:rFonts w:ascii="Times New Roman" w:hAnsi="Times New Roman" w:cs="Times New Roman"/>
          <w:b w:val="0"/>
          <w:bCs w:val="0"/>
          <w:sz w:val="20"/>
          <w:szCs w:val="20"/>
        </w:rPr>
        <w:t>Potassium Hydroxide (KOH) Preparation</w:t>
      </w:r>
    </w:p>
    <w:p w:rsidR="00DA4921" w:rsidRPr="0034170A" w:rsidRDefault="00F96D47" w:rsidP="009A18F2">
      <w:pPr>
        <w:pStyle w:val="NormalWeb"/>
        <w:spacing w:before="0" w:beforeAutospacing="0" w:after="0" w:afterAutospacing="0"/>
        <w:ind w:firstLine="720"/>
        <w:jc w:val="both"/>
        <w:rPr>
          <w:sz w:val="20"/>
          <w:szCs w:val="20"/>
        </w:rPr>
      </w:pPr>
      <w:r w:rsidRPr="0034170A">
        <w:rPr>
          <w:sz w:val="20"/>
          <w:szCs w:val="20"/>
          <w:lang w:val="en-US"/>
        </w:rPr>
        <w:t>One widely used direct microscopy technique in fungal diagnostics is potassium hydroxide (KOH) preparation. This method is especially effective for identifying dermatophytes, yeasts, and other fungi in samples taken from skin, hair, and nails. The KOH preparation works on the principle that KOH dissolves keratin found in skin, hair, and nails, while preserving the fungal elements like hyphae and spores. This makes it easier to see the fungal structures when viewed under a microscope.</w:t>
      </w:r>
    </w:p>
    <w:p w:rsidR="007A61FB" w:rsidRPr="0034170A" w:rsidRDefault="007A61FB" w:rsidP="00151AB1">
      <w:pPr>
        <w:pStyle w:val="NormalWeb"/>
        <w:numPr>
          <w:ilvl w:val="0"/>
          <w:numId w:val="14"/>
        </w:numPr>
        <w:spacing w:before="0" w:beforeAutospacing="0" w:after="0" w:afterAutospacing="0"/>
        <w:jc w:val="both"/>
        <w:rPr>
          <w:rStyle w:val="Strong"/>
          <w:b w:val="0"/>
          <w:bCs w:val="0"/>
          <w:sz w:val="20"/>
          <w:szCs w:val="20"/>
        </w:rPr>
      </w:pPr>
      <w:r w:rsidRPr="0034170A">
        <w:rPr>
          <w:rStyle w:val="Strong"/>
          <w:sz w:val="20"/>
          <w:szCs w:val="20"/>
        </w:rPr>
        <w:t>Procedure</w:t>
      </w:r>
      <w:r w:rsidRPr="0034170A">
        <w:rPr>
          <w:rStyle w:val="Strong"/>
          <w:b w:val="0"/>
          <w:bCs w:val="0"/>
          <w:sz w:val="20"/>
          <w:szCs w:val="20"/>
        </w:rPr>
        <w:t>: A few scrapings of skin, hair, or nails are placed on a glass slide and a few drops of 10–20% KOH solution are added. The preparation is gently heated or allowed to stand for 10–15 minutes. During this time, the keratin is dissolved by the solution. The slide is then observed with a light microscope, enabling visualization of the hyphae, spores, or yeast cells of fungi. This is a simple and rapid technique. It is therefore an important diagnostic modality for superficial mycoses like tinea pedis, tinea corporis, and onychomycosis.</w:t>
      </w:r>
    </w:p>
    <w:p w:rsidR="00DA4921" w:rsidRPr="0034170A" w:rsidRDefault="007A61FB" w:rsidP="00151AB1">
      <w:pPr>
        <w:pStyle w:val="NormalWeb"/>
        <w:numPr>
          <w:ilvl w:val="0"/>
          <w:numId w:val="14"/>
        </w:numPr>
        <w:spacing w:before="0" w:beforeAutospacing="0" w:after="0" w:afterAutospacing="0"/>
        <w:jc w:val="both"/>
        <w:rPr>
          <w:b/>
          <w:bCs/>
          <w:sz w:val="20"/>
          <w:szCs w:val="20"/>
        </w:rPr>
      </w:pPr>
      <w:r w:rsidRPr="0034170A">
        <w:rPr>
          <w:rStyle w:val="Strong"/>
          <w:sz w:val="20"/>
          <w:szCs w:val="20"/>
        </w:rPr>
        <w:t>Limitations</w:t>
      </w:r>
      <w:r w:rsidRPr="0034170A">
        <w:rPr>
          <w:rStyle w:val="Strong"/>
          <w:b w:val="0"/>
          <w:bCs w:val="0"/>
          <w:sz w:val="20"/>
          <w:szCs w:val="20"/>
        </w:rPr>
        <w:t>: KOH preparation is a universal technique, yet it has disadvantages. The result of this technique depends on the skill of the examiner and the fungal load of the sample. If the sample contains a very low fungal load or is poor in quality, KOH preparation may give false-negative results. This technique cannot differentiate between species of fungi. Therefore, supplementary testing, like culture or molecular diagnostics, may be necessary to identify the fungi accurately.</w:t>
      </w:r>
    </w:p>
    <w:p w:rsidR="00DA4921" w:rsidRPr="0034170A" w:rsidRDefault="00DA4921" w:rsidP="009A18F2">
      <w:pPr>
        <w:pStyle w:val="Heading5"/>
        <w:spacing w:before="0"/>
        <w:jc w:val="both"/>
        <w:rPr>
          <w:rFonts w:ascii="Times New Roman" w:hAnsi="Times New Roman" w:cs="Times New Roman"/>
          <w:sz w:val="20"/>
          <w:szCs w:val="20"/>
        </w:rPr>
      </w:pPr>
      <w:r w:rsidRPr="0034170A">
        <w:rPr>
          <w:rStyle w:val="Strong"/>
          <w:rFonts w:ascii="Times New Roman" w:hAnsi="Times New Roman" w:cs="Times New Roman"/>
          <w:b w:val="0"/>
          <w:bCs w:val="0"/>
          <w:sz w:val="20"/>
          <w:szCs w:val="20"/>
        </w:rPr>
        <w:lastRenderedPageBreak/>
        <w:t>Saline Wet Mount</w:t>
      </w:r>
    </w:p>
    <w:p w:rsidR="007A61FB" w:rsidRPr="0034170A" w:rsidRDefault="007A61FB" w:rsidP="009A18F2">
      <w:pPr>
        <w:pStyle w:val="NormalWeb"/>
        <w:spacing w:before="0" w:beforeAutospacing="0" w:after="0" w:afterAutospacing="0"/>
        <w:ind w:firstLine="720"/>
        <w:jc w:val="both"/>
        <w:rPr>
          <w:sz w:val="20"/>
          <w:szCs w:val="20"/>
          <w:lang w:val="en-US"/>
        </w:rPr>
      </w:pPr>
      <w:r w:rsidRPr="0034170A">
        <w:rPr>
          <w:sz w:val="20"/>
          <w:szCs w:val="20"/>
          <w:lang w:val="en-US"/>
        </w:rPr>
        <w:t xml:space="preserve">In parasitic diagnostics, direct wet mount microscopy is commonly used to examine stool samples for protozoan trophozoites, cysts, helminth eggs, or larvae. A saline wet mount is prepared by adding a small amount of stool to saline on a glass slide, topped with a coverslip. This slide is then viewed by a microscope for moving trophozoites or the other parasitic forms. This method is very effective for diagnosing intestinal parasitic infections such as giardiasis, amebiasis, and helminthiasis. </w:t>
      </w:r>
    </w:p>
    <w:p w:rsidR="007A61FB" w:rsidRPr="0034170A" w:rsidRDefault="007A61FB" w:rsidP="00151AB1">
      <w:pPr>
        <w:pStyle w:val="NormalWeb"/>
        <w:numPr>
          <w:ilvl w:val="0"/>
          <w:numId w:val="15"/>
        </w:numPr>
        <w:spacing w:before="0" w:beforeAutospacing="0" w:after="0" w:afterAutospacing="0"/>
        <w:jc w:val="both"/>
        <w:rPr>
          <w:sz w:val="20"/>
          <w:szCs w:val="20"/>
          <w:lang w:val="en-US"/>
        </w:rPr>
      </w:pPr>
      <w:r w:rsidRPr="0034170A">
        <w:rPr>
          <w:b/>
          <w:bCs/>
          <w:sz w:val="20"/>
          <w:szCs w:val="20"/>
          <w:lang w:val="en-US"/>
        </w:rPr>
        <w:t>Advantages</w:t>
      </w:r>
      <w:r w:rsidRPr="0034170A">
        <w:rPr>
          <w:sz w:val="20"/>
          <w:szCs w:val="20"/>
          <w:lang w:val="en-US"/>
        </w:rPr>
        <w:t xml:space="preserve">: The wet mount saline test is a very simple and fast method for identifying intestinal parasites in resource-poor settings. The wet mount microscope allows direct examination of the parasite motility. This is useful for the diagnosis of motile trophozoites of </w:t>
      </w:r>
      <w:r w:rsidRPr="0034170A">
        <w:rPr>
          <w:i/>
          <w:iCs/>
          <w:sz w:val="20"/>
          <w:szCs w:val="20"/>
          <w:lang w:val="en-US"/>
        </w:rPr>
        <w:t>Giardia</w:t>
      </w:r>
      <w:r w:rsidRPr="0034170A">
        <w:rPr>
          <w:sz w:val="20"/>
          <w:szCs w:val="20"/>
          <w:lang w:val="en-US"/>
        </w:rPr>
        <w:t xml:space="preserve"> </w:t>
      </w:r>
      <w:r w:rsidRPr="0034170A">
        <w:rPr>
          <w:i/>
          <w:iCs/>
          <w:sz w:val="20"/>
          <w:szCs w:val="20"/>
          <w:lang w:val="en-US"/>
        </w:rPr>
        <w:t>lamblia</w:t>
      </w:r>
      <w:r w:rsidRPr="0034170A">
        <w:rPr>
          <w:sz w:val="20"/>
          <w:szCs w:val="20"/>
          <w:lang w:val="en-US"/>
        </w:rPr>
        <w:t xml:space="preserve"> and </w:t>
      </w:r>
      <w:r w:rsidRPr="0034170A">
        <w:rPr>
          <w:i/>
          <w:iCs/>
          <w:sz w:val="20"/>
          <w:szCs w:val="20"/>
          <w:lang w:val="en-US"/>
        </w:rPr>
        <w:t>Entamoeba</w:t>
      </w:r>
      <w:r w:rsidRPr="0034170A">
        <w:rPr>
          <w:sz w:val="20"/>
          <w:szCs w:val="20"/>
          <w:lang w:val="en-US"/>
        </w:rPr>
        <w:t xml:space="preserve"> </w:t>
      </w:r>
      <w:r w:rsidRPr="0034170A">
        <w:rPr>
          <w:i/>
          <w:iCs/>
          <w:sz w:val="20"/>
          <w:szCs w:val="20"/>
          <w:lang w:val="en-US"/>
        </w:rPr>
        <w:t>histolytica</w:t>
      </w:r>
      <w:r w:rsidRPr="0034170A">
        <w:rPr>
          <w:sz w:val="20"/>
          <w:szCs w:val="20"/>
          <w:lang w:val="en-US"/>
        </w:rPr>
        <w:t xml:space="preserve">. Wet mount microscopy can be used to diagnose helminthic eggs and larvae, which gives an important lead in the infection caused by </w:t>
      </w:r>
      <w:r w:rsidRPr="0034170A">
        <w:rPr>
          <w:i/>
          <w:iCs/>
          <w:sz w:val="20"/>
          <w:szCs w:val="20"/>
          <w:lang w:val="en-US"/>
        </w:rPr>
        <w:t>Ascaris</w:t>
      </w:r>
      <w:r w:rsidRPr="0034170A">
        <w:rPr>
          <w:sz w:val="20"/>
          <w:szCs w:val="20"/>
          <w:lang w:val="en-US"/>
        </w:rPr>
        <w:t xml:space="preserve"> </w:t>
      </w:r>
      <w:r w:rsidRPr="0034170A">
        <w:rPr>
          <w:i/>
          <w:iCs/>
          <w:sz w:val="20"/>
          <w:szCs w:val="20"/>
          <w:lang w:val="en-US"/>
        </w:rPr>
        <w:t>lumbricoides</w:t>
      </w:r>
      <w:r w:rsidRPr="0034170A">
        <w:rPr>
          <w:sz w:val="20"/>
          <w:szCs w:val="20"/>
          <w:lang w:val="en-US"/>
        </w:rPr>
        <w:t xml:space="preserve">, </w:t>
      </w:r>
      <w:r w:rsidRPr="0034170A">
        <w:rPr>
          <w:i/>
          <w:iCs/>
          <w:sz w:val="20"/>
          <w:szCs w:val="20"/>
          <w:lang w:val="en-US"/>
        </w:rPr>
        <w:t>Trichuris</w:t>
      </w:r>
      <w:r w:rsidRPr="0034170A">
        <w:rPr>
          <w:sz w:val="20"/>
          <w:szCs w:val="20"/>
          <w:lang w:val="en-US"/>
        </w:rPr>
        <w:t xml:space="preserve"> </w:t>
      </w:r>
      <w:r w:rsidRPr="0034170A">
        <w:rPr>
          <w:i/>
          <w:iCs/>
          <w:sz w:val="20"/>
          <w:szCs w:val="20"/>
          <w:lang w:val="en-US"/>
        </w:rPr>
        <w:t>trichiura</w:t>
      </w:r>
      <w:r w:rsidRPr="0034170A">
        <w:rPr>
          <w:sz w:val="20"/>
          <w:szCs w:val="20"/>
          <w:lang w:val="en-US"/>
        </w:rPr>
        <w:t>, and hookworms.</w:t>
      </w:r>
    </w:p>
    <w:p w:rsidR="00DA4921" w:rsidRPr="0034170A" w:rsidRDefault="007A61FB" w:rsidP="00151AB1">
      <w:pPr>
        <w:pStyle w:val="NormalWeb"/>
        <w:numPr>
          <w:ilvl w:val="0"/>
          <w:numId w:val="15"/>
        </w:numPr>
        <w:spacing w:before="0" w:beforeAutospacing="0" w:after="0" w:afterAutospacing="0"/>
        <w:jc w:val="both"/>
        <w:rPr>
          <w:sz w:val="20"/>
          <w:szCs w:val="20"/>
        </w:rPr>
      </w:pPr>
      <w:r w:rsidRPr="0034170A">
        <w:rPr>
          <w:b/>
          <w:bCs/>
          <w:sz w:val="20"/>
          <w:szCs w:val="20"/>
          <w:lang w:val="en-US"/>
        </w:rPr>
        <w:t>Limitations</w:t>
      </w:r>
      <w:r w:rsidRPr="0034170A">
        <w:rPr>
          <w:sz w:val="20"/>
          <w:szCs w:val="20"/>
          <w:lang w:val="en-US"/>
        </w:rPr>
        <w:t xml:space="preserve">: As with KOH preparation, the sensitivity of the saline wet mount is dependent on the parasite burden in the stool sample and the skill of the microscopist. In cases of low parasite loads or intermittent shedding, several stool samples may be required to detect the parasite. Moreover, this technique does not allow for species differentiation of morphologically identical organisms, such as </w:t>
      </w:r>
      <w:r w:rsidRPr="0034170A">
        <w:rPr>
          <w:i/>
          <w:iCs/>
          <w:sz w:val="20"/>
          <w:szCs w:val="20"/>
          <w:lang w:val="en-US"/>
        </w:rPr>
        <w:t>Entamoeba</w:t>
      </w:r>
      <w:r w:rsidRPr="0034170A">
        <w:rPr>
          <w:sz w:val="20"/>
          <w:szCs w:val="20"/>
          <w:lang w:val="en-US"/>
        </w:rPr>
        <w:t xml:space="preserve"> </w:t>
      </w:r>
      <w:r w:rsidRPr="0034170A">
        <w:rPr>
          <w:i/>
          <w:iCs/>
          <w:sz w:val="20"/>
          <w:szCs w:val="20"/>
          <w:lang w:val="en-US"/>
        </w:rPr>
        <w:t>histolytica</w:t>
      </w:r>
      <w:r w:rsidRPr="0034170A">
        <w:rPr>
          <w:sz w:val="20"/>
          <w:szCs w:val="20"/>
          <w:lang w:val="en-US"/>
        </w:rPr>
        <w:t xml:space="preserve"> and </w:t>
      </w:r>
      <w:r w:rsidRPr="0034170A">
        <w:rPr>
          <w:i/>
          <w:iCs/>
          <w:sz w:val="20"/>
          <w:szCs w:val="20"/>
          <w:lang w:val="en-US"/>
        </w:rPr>
        <w:t>Entamoeba</w:t>
      </w:r>
      <w:r w:rsidRPr="0034170A">
        <w:rPr>
          <w:sz w:val="20"/>
          <w:szCs w:val="20"/>
          <w:lang w:val="en-US"/>
        </w:rPr>
        <w:t xml:space="preserve"> </w:t>
      </w:r>
      <w:r w:rsidRPr="0034170A">
        <w:rPr>
          <w:i/>
          <w:iCs/>
          <w:sz w:val="20"/>
          <w:szCs w:val="20"/>
          <w:lang w:val="en-US"/>
        </w:rPr>
        <w:t>dispar</w:t>
      </w:r>
      <w:r w:rsidRPr="0034170A">
        <w:rPr>
          <w:sz w:val="20"/>
          <w:szCs w:val="20"/>
          <w:lang w:val="en-US"/>
        </w:rPr>
        <w:t>, which must be confirmed by further testing.</w:t>
      </w:r>
    </w:p>
    <w:p w:rsidR="00DA4921" w:rsidRPr="0034170A" w:rsidRDefault="00DA4921" w:rsidP="009A18F2">
      <w:pPr>
        <w:pStyle w:val="Heading4"/>
        <w:numPr>
          <w:ilvl w:val="2"/>
          <w:numId w:val="8"/>
        </w:numPr>
        <w:spacing w:before="0"/>
        <w:jc w:val="both"/>
        <w:rPr>
          <w:rFonts w:ascii="Times New Roman" w:hAnsi="Times New Roman" w:cs="Times New Roman"/>
          <w:i w:val="0"/>
          <w:iCs w:val="0"/>
          <w:sz w:val="20"/>
          <w:szCs w:val="20"/>
        </w:rPr>
      </w:pPr>
      <w:r w:rsidRPr="0034170A">
        <w:rPr>
          <w:rStyle w:val="Strong"/>
          <w:rFonts w:ascii="Times New Roman" w:hAnsi="Times New Roman" w:cs="Times New Roman"/>
          <w:b/>
          <w:bCs/>
          <w:i w:val="0"/>
          <w:iCs w:val="0"/>
          <w:sz w:val="20"/>
          <w:szCs w:val="20"/>
        </w:rPr>
        <w:t>Stained Microscopy</w:t>
      </w:r>
    </w:p>
    <w:p w:rsidR="00DA4921" w:rsidRPr="0034170A" w:rsidRDefault="007A61FB" w:rsidP="009A18F2">
      <w:pPr>
        <w:pStyle w:val="NormalWeb"/>
        <w:spacing w:before="0" w:beforeAutospacing="0" w:after="0" w:afterAutospacing="0"/>
        <w:ind w:firstLine="720"/>
        <w:jc w:val="both"/>
        <w:rPr>
          <w:sz w:val="20"/>
          <w:szCs w:val="20"/>
        </w:rPr>
      </w:pPr>
      <w:r w:rsidRPr="0034170A">
        <w:rPr>
          <w:sz w:val="20"/>
          <w:szCs w:val="20"/>
          <w:lang w:val="en-US"/>
        </w:rPr>
        <w:t>This is one of the advanced diagnostic approaches where certain structures of fungi or parasitic forms that are hard to identify under direct microscopy can be made prominent. Thus, various stains point out specific parts of fungi and parasites, making them identifiable from the surrounding tissue and cells. It has great diagnostic value in systemic fungal infections such as cryptococcosis and aspergillosis, as well as tissue-invading parasitic infections such as malaria and leishmaniasis.</w:t>
      </w:r>
    </w:p>
    <w:p w:rsidR="00DA4921" w:rsidRPr="0034170A" w:rsidRDefault="00DA4921" w:rsidP="009A18F2">
      <w:pPr>
        <w:pStyle w:val="Heading5"/>
        <w:spacing w:before="0"/>
        <w:jc w:val="both"/>
        <w:rPr>
          <w:rFonts w:ascii="Times New Roman" w:hAnsi="Times New Roman" w:cs="Times New Roman"/>
          <w:sz w:val="20"/>
          <w:szCs w:val="20"/>
        </w:rPr>
      </w:pPr>
      <w:r w:rsidRPr="0034170A">
        <w:rPr>
          <w:rStyle w:val="Strong"/>
          <w:rFonts w:ascii="Times New Roman" w:hAnsi="Times New Roman" w:cs="Times New Roman"/>
          <w:b w:val="0"/>
          <w:bCs w:val="0"/>
          <w:sz w:val="20"/>
          <w:szCs w:val="20"/>
        </w:rPr>
        <w:t>Gram Stain</w:t>
      </w:r>
    </w:p>
    <w:p w:rsidR="007A61FB" w:rsidRPr="0034170A" w:rsidRDefault="007A61FB" w:rsidP="009A18F2">
      <w:pPr>
        <w:pStyle w:val="NormalWeb"/>
        <w:spacing w:before="0" w:beforeAutospacing="0" w:after="0" w:afterAutospacing="0"/>
        <w:ind w:firstLine="720"/>
        <w:jc w:val="both"/>
        <w:rPr>
          <w:sz w:val="20"/>
          <w:szCs w:val="20"/>
          <w:lang w:val="en-US"/>
        </w:rPr>
      </w:pPr>
      <w:r w:rsidRPr="0034170A">
        <w:rPr>
          <w:sz w:val="20"/>
          <w:szCs w:val="20"/>
          <w:lang w:val="en-US"/>
        </w:rPr>
        <w:t>Gram staining is a technique used to separate between different bacterial species; however, it is equally used in diagnosing fungal infections. Most yeasts, which include species of Candida, are Gram-positive, meaning that they retain the crystal violet stain and appear purple when seen under a microscope. It is often used to identify Candida from blood, respiratory, and genital samples.</w:t>
      </w:r>
    </w:p>
    <w:p w:rsidR="007A61FB" w:rsidRPr="0034170A" w:rsidRDefault="007A61FB" w:rsidP="00151AB1">
      <w:pPr>
        <w:pStyle w:val="NormalWeb"/>
        <w:numPr>
          <w:ilvl w:val="0"/>
          <w:numId w:val="16"/>
        </w:numPr>
        <w:spacing w:before="0" w:beforeAutospacing="0" w:after="0" w:afterAutospacing="0"/>
        <w:jc w:val="both"/>
        <w:rPr>
          <w:sz w:val="20"/>
          <w:szCs w:val="20"/>
          <w:lang w:val="en-US"/>
        </w:rPr>
      </w:pPr>
      <w:r w:rsidRPr="0034170A">
        <w:rPr>
          <w:b/>
          <w:bCs/>
          <w:sz w:val="20"/>
          <w:szCs w:val="20"/>
          <w:lang w:val="en-US"/>
        </w:rPr>
        <w:t>Procedure</w:t>
      </w:r>
      <w:r w:rsidRPr="0034170A">
        <w:rPr>
          <w:sz w:val="20"/>
          <w:szCs w:val="20"/>
          <w:lang w:val="en-US"/>
        </w:rPr>
        <w:t>: Start with the heat-fixing of the specimen onto a glass slide. Then stain it with crystal violet followed by iodine and finally decolorize with alcohol. Counterstain such as safranin is used to give Gram-negative organisms red color and Gram-positive organisms, which include fungi, keep purple color.</w:t>
      </w:r>
    </w:p>
    <w:p w:rsidR="00DA4921" w:rsidRPr="0034170A" w:rsidRDefault="007A61FB" w:rsidP="00151AB1">
      <w:pPr>
        <w:pStyle w:val="NormalWeb"/>
        <w:numPr>
          <w:ilvl w:val="0"/>
          <w:numId w:val="16"/>
        </w:numPr>
        <w:spacing w:before="0" w:beforeAutospacing="0" w:after="0" w:afterAutospacing="0"/>
        <w:jc w:val="both"/>
        <w:rPr>
          <w:sz w:val="20"/>
          <w:szCs w:val="20"/>
        </w:rPr>
      </w:pPr>
      <w:r w:rsidRPr="0034170A">
        <w:rPr>
          <w:b/>
          <w:bCs/>
          <w:sz w:val="20"/>
          <w:szCs w:val="20"/>
          <w:lang w:val="en-US"/>
        </w:rPr>
        <w:t>Applications</w:t>
      </w:r>
      <w:r w:rsidRPr="0034170A">
        <w:rPr>
          <w:sz w:val="20"/>
          <w:szCs w:val="20"/>
          <w:lang w:val="en-US"/>
        </w:rPr>
        <w:t>: Gram staining is highly useful for diagnosing infections due to fungi like candidiasis, as the slide shows the presence of budding yeast cells and pseudohyphae. It also helps in detecting bacterial superinfections in the same patient because on the same slide, the observer can identify the presence of bacteria and fungi. However, it is not applicable for identifying filamentous fungi such as Aspergillus because they are identified by using different staining procedures.</w:t>
      </w:r>
    </w:p>
    <w:p w:rsidR="00DA4921" w:rsidRPr="0034170A" w:rsidRDefault="00DA4921" w:rsidP="009A18F2">
      <w:pPr>
        <w:pStyle w:val="Heading5"/>
        <w:spacing w:before="0"/>
        <w:jc w:val="both"/>
        <w:rPr>
          <w:rFonts w:ascii="Times New Roman" w:hAnsi="Times New Roman" w:cs="Times New Roman"/>
          <w:sz w:val="20"/>
          <w:szCs w:val="20"/>
        </w:rPr>
      </w:pPr>
      <w:r w:rsidRPr="0034170A">
        <w:rPr>
          <w:rStyle w:val="Strong"/>
          <w:rFonts w:ascii="Times New Roman" w:hAnsi="Times New Roman" w:cs="Times New Roman"/>
          <w:b w:val="0"/>
          <w:bCs w:val="0"/>
          <w:sz w:val="20"/>
          <w:szCs w:val="20"/>
        </w:rPr>
        <w:t>Giemsa Stain</w:t>
      </w:r>
    </w:p>
    <w:p w:rsidR="007A61FB" w:rsidRPr="0034170A" w:rsidRDefault="007A61FB" w:rsidP="009A18F2">
      <w:pPr>
        <w:pStyle w:val="NormalWeb"/>
        <w:spacing w:before="0" w:beforeAutospacing="0" w:after="0" w:afterAutospacing="0"/>
        <w:ind w:firstLine="720"/>
        <w:jc w:val="both"/>
        <w:rPr>
          <w:sz w:val="20"/>
          <w:szCs w:val="20"/>
          <w:lang w:val="en-US"/>
        </w:rPr>
      </w:pPr>
      <w:r w:rsidRPr="0034170A">
        <w:rPr>
          <w:sz w:val="20"/>
          <w:szCs w:val="20"/>
          <w:lang w:val="en-US"/>
        </w:rPr>
        <w:t>Giemsa stain is one of the most common tools in parasitology for the identification of protozoan parasites in blood smears and various clinical samples. It is particularly useful for diagnosing malaria, leishmaniasis, and trypanosomiasis, as it improves the visibility of intracellular parasites within red blood cells or macrophages.</w:t>
      </w:r>
    </w:p>
    <w:p w:rsidR="007A61FB" w:rsidRPr="0034170A" w:rsidRDefault="007A61FB" w:rsidP="00151AB1">
      <w:pPr>
        <w:pStyle w:val="NormalWeb"/>
        <w:numPr>
          <w:ilvl w:val="0"/>
          <w:numId w:val="17"/>
        </w:numPr>
        <w:spacing w:before="0" w:beforeAutospacing="0" w:after="0" w:afterAutospacing="0"/>
        <w:jc w:val="both"/>
        <w:rPr>
          <w:sz w:val="20"/>
          <w:szCs w:val="20"/>
          <w:lang w:val="en-US"/>
        </w:rPr>
      </w:pPr>
      <w:r w:rsidRPr="0034170A">
        <w:rPr>
          <w:b/>
          <w:bCs/>
          <w:sz w:val="20"/>
          <w:szCs w:val="20"/>
          <w:lang w:val="en-US"/>
        </w:rPr>
        <w:t>Procedure</w:t>
      </w:r>
      <w:r w:rsidRPr="0034170A">
        <w:rPr>
          <w:sz w:val="20"/>
          <w:szCs w:val="20"/>
          <w:lang w:val="en-US"/>
        </w:rPr>
        <w:t xml:space="preserve">: Immediately after fixation, Giemsa stain is added to thin or thick blood films. The staining attaches to the nucleic acid, causing parasites' nuclei to appear blue or purple and their cytoplasm to be a pink color, which enhances good visualization of parasitic forms of </w:t>
      </w:r>
      <w:r w:rsidRPr="0034170A">
        <w:rPr>
          <w:i/>
          <w:iCs/>
          <w:sz w:val="20"/>
          <w:szCs w:val="20"/>
          <w:lang w:val="en-US"/>
        </w:rPr>
        <w:t>Plasmodium</w:t>
      </w:r>
      <w:r w:rsidRPr="0034170A">
        <w:rPr>
          <w:sz w:val="20"/>
          <w:szCs w:val="20"/>
          <w:lang w:val="en-US"/>
        </w:rPr>
        <w:t xml:space="preserve"> species; the agents responsible for malaria- or </w:t>
      </w:r>
      <w:r w:rsidRPr="0034170A">
        <w:rPr>
          <w:i/>
          <w:iCs/>
          <w:sz w:val="20"/>
          <w:szCs w:val="20"/>
          <w:lang w:val="en-US"/>
        </w:rPr>
        <w:t>Leishmania</w:t>
      </w:r>
      <w:r w:rsidRPr="0034170A">
        <w:rPr>
          <w:sz w:val="20"/>
          <w:szCs w:val="20"/>
          <w:lang w:val="en-US"/>
        </w:rPr>
        <w:t xml:space="preserve"> </w:t>
      </w:r>
      <w:r w:rsidRPr="0034170A">
        <w:rPr>
          <w:i/>
          <w:iCs/>
          <w:sz w:val="20"/>
          <w:szCs w:val="20"/>
          <w:lang w:val="en-US"/>
        </w:rPr>
        <w:t>amastigotes</w:t>
      </w:r>
      <w:r w:rsidRPr="0034170A">
        <w:rPr>
          <w:sz w:val="20"/>
          <w:szCs w:val="20"/>
          <w:lang w:val="en-US"/>
        </w:rPr>
        <w:t xml:space="preserve"> of macrophage.</w:t>
      </w:r>
    </w:p>
    <w:p w:rsidR="00DA4921" w:rsidRPr="0034170A" w:rsidRDefault="007A61FB" w:rsidP="00151AB1">
      <w:pPr>
        <w:pStyle w:val="NormalWeb"/>
        <w:numPr>
          <w:ilvl w:val="0"/>
          <w:numId w:val="17"/>
        </w:numPr>
        <w:spacing w:before="0" w:beforeAutospacing="0" w:after="0" w:afterAutospacing="0"/>
        <w:jc w:val="both"/>
        <w:rPr>
          <w:sz w:val="20"/>
          <w:szCs w:val="20"/>
        </w:rPr>
      </w:pPr>
      <w:r w:rsidRPr="0034170A">
        <w:rPr>
          <w:b/>
          <w:bCs/>
          <w:sz w:val="20"/>
          <w:szCs w:val="20"/>
          <w:lang w:val="en-US"/>
        </w:rPr>
        <w:t>Applications</w:t>
      </w:r>
      <w:r w:rsidRPr="0034170A">
        <w:rPr>
          <w:sz w:val="20"/>
          <w:szCs w:val="20"/>
          <w:lang w:val="en-US"/>
        </w:rPr>
        <w:t xml:space="preserve">: Giemsa staining stands as the criterion standard for diagnosis of malaria. In thick smear, it promotes the identification of </w:t>
      </w:r>
      <w:r w:rsidRPr="0034170A">
        <w:rPr>
          <w:i/>
          <w:iCs/>
          <w:sz w:val="20"/>
          <w:szCs w:val="20"/>
          <w:lang w:val="en-US"/>
        </w:rPr>
        <w:t>Plasmodium</w:t>
      </w:r>
      <w:r w:rsidRPr="0034170A">
        <w:rPr>
          <w:sz w:val="20"/>
          <w:szCs w:val="20"/>
          <w:lang w:val="en-US"/>
        </w:rPr>
        <w:t xml:space="preserve"> parasites; the concentration in the blood specimen helps to confirm low levels of parasitemia. In a thin smear, the morphology could be better inspected to identify which species is prevailing, which proves to be valuable for treatment procedures. Giemsa staining is also used in the diagnosis of other parasitic infections, including visceral leishmaniasis, where </w:t>
      </w:r>
      <w:r w:rsidRPr="0034170A">
        <w:rPr>
          <w:i/>
          <w:iCs/>
          <w:sz w:val="20"/>
          <w:szCs w:val="20"/>
          <w:lang w:val="en-US"/>
        </w:rPr>
        <w:t>Leishmania</w:t>
      </w:r>
      <w:r w:rsidRPr="0034170A">
        <w:rPr>
          <w:sz w:val="20"/>
          <w:szCs w:val="20"/>
          <w:lang w:val="en-US"/>
        </w:rPr>
        <w:t xml:space="preserve"> </w:t>
      </w:r>
      <w:r w:rsidRPr="0034170A">
        <w:rPr>
          <w:i/>
          <w:iCs/>
          <w:sz w:val="20"/>
          <w:szCs w:val="20"/>
          <w:lang w:val="en-US"/>
        </w:rPr>
        <w:t>amastigotes</w:t>
      </w:r>
      <w:r w:rsidRPr="0034170A">
        <w:rPr>
          <w:sz w:val="20"/>
          <w:szCs w:val="20"/>
          <w:lang w:val="en-US"/>
        </w:rPr>
        <w:t xml:space="preserve"> are observed inside macrophages in tissue samples or bone marrow.</w:t>
      </w:r>
    </w:p>
    <w:p w:rsidR="00DA4921" w:rsidRPr="0034170A" w:rsidRDefault="00DA4921" w:rsidP="009A18F2">
      <w:pPr>
        <w:pStyle w:val="Heading5"/>
        <w:spacing w:before="0"/>
        <w:jc w:val="both"/>
        <w:rPr>
          <w:rFonts w:ascii="Times New Roman" w:hAnsi="Times New Roman" w:cs="Times New Roman"/>
          <w:sz w:val="20"/>
          <w:szCs w:val="20"/>
        </w:rPr>
      </w:pPr>
      <w:r w:rsidRPr="0034170A">
        <w:rPr>
          <w:rStyle w:val="Strong"/>
          <w:rFonts w:ascii="Times New Roman" w:hAnsi="Times New Roman" w:cs="Times New Roman"/>
          <w:b w:val="0"/>
          <w:bCs w:val="0"/>
          <w:sz w:val="20"/>
          <w:szCs w:val="20"/>
        </w:rPr>
        <w:t>Periodic Acid-Schiff (PAS) Stain</w:t>
      </w:r>
    </w:p>
    <w:p w:rsidR="0055407A" w:rsidRPr="0034170A" w:rsidRDefault="0055407A" w:rsidP="009A18F2">
      <w:pPr>
        <w:pStyle w:val="NormalWeb"/>
        <w:spacing w:before="0" w:beforeAutospacing="0" w:after="0" w:afterAutospacing="0"/>
        <w:ind w:firstLine="720"/>
        <w:jc w:val="both"/>
        <w:rPr>
          <w:sz w:val="20"/>
          <w:szCs w:val="20"/>
          <w:lang w:val="en-US"/>
        </w:rPr>
      </w:pPr>
      <w:r w:rsidRPr="0034170A">
        <w:rPr>
          <w:sz w:val="20"/>
          <w:szCs w:val="20"/>
          <w:lang w:val="en-US"/>
        </w:rPr>
        <w:t xml:space="preserve">The PAS stain is one of the most prominent diagnostic tools especially for the fungal elements in a tissue biopsy; it stains a variety of fungal cell wall's polysaccharides a very vibrant magenta that helps them to be better identified within an infected tissue, which is efficient in the observation of yeasts like </w:t>
      </w:r>
      <w:r w:rsidRPr="0034170A">
        <w:rPr>
          <w:i/>
          <w:iCs/>
          <w:sz w:val="20"/>
          <w:szCs w:val="20"/>
          <w:lang w:val="en-US"/>
        </w:rPr>
        <w:t>Candida</w:t>
      </w:r>
      <w:r w:rsidRPr="0034170A">
        <w:rPr>
          <w:sz w:val="20"/>
          <w:szCs w:val="20"/>
          <w:lang w:val="en-US"/>
        </w:rPr>
        <w:t xml:space="preserve"> and </w:t>
      </w:r>
      <w:r w:rsidRPr="0034170A">
        <w:rPr>
          <w:i/>
          <w:iCs/>
          <w:sz w:val="20"/>
          <w:szCs w:val="20"/>
          <w:lang w:val="en-US"/>
        </w:rPr>
        <w:t>Cryptococcus</w:t>
      </w:r>
      <w:r w:rsidRPr="0034170A">
        <w:rPr>
          <w:sz w:val="20"/>
          <w:szCs w:val="20"/>
          <w:lang w:val="en-US"/>
        </w:rPr>
        <w:t xml:space="preserve"> and more so filamentous fungi like </w:t>
      </w:r>
      <w:r w:rsidRPr="0034170A">
        <w:rPr>
          <w:i/>
          <w:iCs/>
          <w:sz w:val="20"/>
          <w:szCs w:val="20"/>
          <w:lang w:val="en-US"/>
        </w:rPr>
        <w:t>Aspergillus</w:t>
      </w:r>
      <w:r w:rsidRPr="0034170A">
        <w:rPr>
          <w:sz w:val="20"/>
          <w:szCs w:val="20"/>
          <w:lang w:val="en-US"/>
        </w:rPr>
        <w:t>.</w:t>
      </w:r>
    </w:p>
    <w:p w:rsidR="0055407A" w:rsidRPr="0034170A" w:rsidRDefault="0055407A" w:rsidP="00151AB1">
      <w:pPr>
        <w:pStyle w:val="NormalWeb"/>
        <w:numPr>
          <w:ilvl w:val="0"/>
          <w:numId w:val="18"/>
        </w:numPr>
        <w:spacing w:before="0" w:beforeAutospacing="0" w:after="0" w:afterAutospacing="0"/>
        <w:jc w:val="both"/>
        <w:rPr>
          <w:sz w:val="20"/>
          <w:szCs w:val="20"/>
          <w:lang w:val="en-US"/>
        </w:rPr>
      </w:pPr>
      <w:r w:rsidRPr="0034170A">
        <w:rPr>
          <w:b/>
          <w:bCs/>
          <w:sz w:val="20"/>
          <w:szCs w:val="20"/>
          <w:lang w:val="en-US"/>
        </w:rPr>
        <w:t>Procedure</w:t>
      </w:r>
      <w:r w:rsidRPr="0034170A">
        <w:rPr>
          <w:sz w:val="20"/>
          <w:szCs w:val="20"/>
          <w:lang w:val="en-US"/>
        </w:rPr>
        <w:t>: Fix the tissue specimen and then apply periodic acid. This oxidizes the polysaccharides within the fungal cell walls to form aldehydes. These aldehydes will then react with Schiff reagent, producing a magenta color that highlights the fungal elements.</w:t>
      </w:r>
    </w:p>
    <w:p w:rsidR="00DA4921" w:rsidRPr="0034170A" w:rsidRDefault="0055407A" w:rsidP="00151AB1">
      <w:pPr>
        <w:pStyle w:val="NormalWeb"/>
        <w:numPr>
          <w:ilvl w:val="0"/>
          <w:numId w:val="18"/>
        </w:numPr>
        <w:spacing w:before="0" w:beforeAutospacing="0" w:after="0" w:afterAutospacing="0"/>
        <w:jc w:val="both"/>
        <w:rPr>
          <w:sz w:val="20"/>
          <w:szCs w:val="20"/>
        </w:rPr>
      </w:pPr>
      <w:r w:rsidRPr="0034170A">
        <w:rPr>
          <w:b/>
          <w:bCs/>
          <w:sz w:val="20"/>
          <w:szCs w:val="20"/>
          <w:lang w:val="en-US"/>
        </w:rPr>
        <w:t>Applications</w:t>
      </w:r>
      <w:r w:rsidRPr="0034170A">
        <w:rPr>
          <w:sz w:val="20"/>
          <w:szCs w:val="20"/>
          <w:lang w:val="en-US"/>
        </w:rPr>
        <w:t xml:space="preserve">: This PAS staining technique is highly used for the detection of fungal infections in tissue biopsies of patients suspected to have systemic mycoses, such as invasive candidiasis, cryptococcosis, and </w:t>
      </w:r>
      <w:r w:rsidRPr="0034170A">
        <w:rPr>
          <w:sz w:val="20"/>
          <w:szCs w:val="20"/>
          <w:lang w:val="en-US"/>
        </w:rPr>
        <w:lastRenderedPageBreak/>
        <w:t>aspergillosis. The fungal hyphae or yeasts are easily seen against the surrounding tissue that is magenta-stained, allowing for quicker identification. It is particularly useful in cases of undefined fungal culture or when a rapid diagnosis is required to initiate antifungal treatment.</w:t>
      </w:r>
    </w:p>
    <w:p w:rsidR="00DA4921" w:rsidRPr="0034170A" w:rsidRDefault="00DA4921" w:rsidP="009A18F2">
      <w:pPr>
        <w:pStyle w:val="Heading5"/>
        <w:spacing w:before="0"/>
        <w:jc w:val="both"/>
        <w:rPr>
          <w:rFonts w:ascii="Times New Roman" w:hAnsi="Times New Roman" w:cs="Times New Roman"/>
          <w:sz w:val="20"/>
          <w:szCs w:val="20"/>
        </w:rPr>
      </w:pPr>
      <w:r w:rsidRPr="0034170A">
        <w:rPr>
          <w:rStyle w:val="Strong"/>
          <w:rFonts w:ascii="Times New Roman" w:hAnsi="Times New Roman" w:cs="Times New Roman"/>
          <w:b w:val="0"/>
          <w:bCs w:val="0"/>
          <w:sz w:val="20"/>
          <w:szCs w:val="20"/>
        </w:rPr>
        <w:t>Silver Stains (Gomori Methenamine Silver and Calcofluor White)</w:t>
      </w:r>
    </w:p>
    <w:p w:rsidR="00CC1DD3" w:rsidRPr="0034170A" w:rsidRDefault="00CC1DD3" w:rsidP="009A18F2">
      <w:pPr>
        <w:pStyle w:val="NormalWeb"/>
        <w:spacing w:before="0" w:beforeAutospacing="0" w:after="0" w:afterAutospacing="0"/>
        <w:ind w:firstLine="720"/>
        <w:jc w:val="both"/>
        <w:rPr>
          <w:sz w:val="20"/>
          <w:szCs w:val="20"/>
          <w:lang w:val="en-US"/>
        </w:rPr>
      </w:pPr>
      <w:r w:rsidRPr="0034170A">
        <w:rPr>
          <w:sz w:val="20"/>
          <w:szCs w:val="20"/>
          <w:lang w:val="en-US"/>
        </w:rPr>
        <w:t xml:space="preserve">Silver stains like Gomori methenamine silver (GMS) and Calcofluor white staining are very efficient in the detection of fungal elements in tissue specimens and fluids. GMS stain is very efficient in detecting filamentous fungi like </w:t>
      </w:r>
      <w:r w:rsidRPr="0034170A">
        <w:rPr>
          <w:i/>
          <w:iCs/>
          <w:sz w:val="20"/>
          <w:szCs w:val="20"/>
          <w:lang w:val="en-US"/>
        </w:rPr>
        <w:t>Aspergillus</w:t>
      </w:r>
      <w:r w:rsidRPr="0034170A">
        <w:rPr>
          <w:sz w:val="20"/>
          <w:szCs w:val="20"/>
          <w:lang w:val="en-US"/>
        </w:rPr>
        <w:t xml:space="preserve">, </w:t>
      </w:r>
      <w:r w:rsidRPr="0034170A">
        <w:rPr>
          <w:i/>
          <w:iCs/>
          <w:sz w:val="20"/>
          <w:szCs w:val="20"/>
          <w:lang w:val="en-US"/>
        </w:rPr>
        <w:t>Mucor</w:t>
      </w:r>
      <w:r w:rsidRPr="0034170A">
        <w:rPr>
          <w:sz w:val="20"/>
          <w:szCs w:val="20"/>
          <w:lang w:val="en-US"/>
        </w:rPr>
        <w:t xml:space="preserve">, and </w:t>
      </w:r>
      <w:r w:rsidRPr="0034170A">
        <w:rPr>
          <w:i/>
          <w:iCs/>
          <w:sz w:val="20"/>
          <w:szCs w:val="20"/>
          <w:lang w:val="en-US"/>
        </w:rPr>
        <w:t>Histoplasma</w:t>
      </w:r>
      <w:r w:rsidRPr="0034170A">
        <w:rPr>
          <w:sz w:val="20"/>
          <w:szCs w:val="20"/>
          <w:lang w:val="en-US"/>
        </w:rPr>
        <w:t xml:space="preserve"> from tissue biopsies, and Calcofluor white staining helps to see the fungal cell walls with the fluorescent microscope.</w:t>
      </w:r>
    </w:p>
    <w:p w:rsidR="00CC1DD3" w:rsidRPr="0034170A" w:rsidRDefault="00CC1DD3" w:rsidP="00151AB1">
      <w:pPr>
        <w:pStyle w:val="NormalWeb"/>
        <w:numPr>
          <w:ilvl w:val="0"/>
          <w:numId w:val="19"/>
        </w:numPr>
        <w:spacing w:before="0" w:beforeAutospacing="0" w:after="0" w:afterAutospacing="0"/>
        <w:jc w:val="both"/>
        <w:rPr>
          <w:sz w:val="20"/>
          <w:szCs w:val="20"/>
          <w:lang w:val="en-US"/>
        </w:rPr>
      </w:pPr>
      <w:r w:rsidRPr="0034170A">
        <w:rPr>
          <w:b/>
          <w:bCs/>
          <w:sz w:val="20"/>
          <w:szCs w:val="20"/>
          <w:lang w:val="en-US"/>
        </w:rPr>
        <w:t>Procedure (GMS)</w:t>
      </w:r>
      <w:r w:rsidRPr="0034170A">
        <w:rPr>
          <w:sz w:val="20"/>
          <w:szCs w:val="20"/>
          <w:lang w:val="en-US"/>
        </w:rPr>
        <w:t>: In GMS staining, silver nitrate is applied to tissue samples. It binds to the fungal cell wall, giving it black or brown deposits, easily visible under light microscopy. The background tissue is counterstained with hematoxylin for better contrast.</w:t>
      </w:r>
    </w:p>
    <w:p w:rsidR="00CC1DD3" w:rsidRPr="0034170A" w:rsidRDefault="00CC1DD3" w:rsidP="00151AB1">
      <w:pPr>
        <w:pStyle w:val="NormalWeb"/>
        <w:numPr>
          <w:ilvl w:val="0"/>
          <w:numId w:val="19"/>
        </w:numPr>
        <w:spacing w:before="0" w:beforeAutospacing="0" w:after="0" w:afterAutospacing="0"/>
        <w:jc w:val="both"/>
        <w:rPr>
          <w:sz w:val="20"/>
          <w:szCs w:val="20"/>
          <w:lang w:val="en-US"/>
        </w:rPr>
      </w:pPr>
      <w:r w:rsidRPr="0034170A">
        <w:rPr>
          <w:b/>
          <w:bCs/>
          <w:sz w:val="20"/>
          <w:szCs w:val="20"/>
          <w:lang w:val="en-US"/>
        </w:rPr>
        <w:t>Procedure (Calcofluor White)</w:t>
      </w:r>
      <w:r w:rsidRPr="0034170A">
        <w:rPr>
          <w:sz w:val="20"/>
          <w:szCs w:val="20"/>
          <w:lang w:val="en-US"/>
        </w:rPr>
        <w:t>: Calcofluor white is a fluorochrome that binds to chitin within the wall of the fungal cell. Fungi exposed to ultraviolet light fluoresce. This technique has the advantage of allowing for the rapid diagnosis of fungi from clinical specimens, such as sputum, BAL fluid, or tissue.</w:t>
      </w:r>
    </w:p>
    <w:p w:rsidR="00DA4921" w:rsidRPr="0034170A" w:rsidRDefault="00CC1DD3" w:rsidP="00151AB1">
      <w:pPr>
        <w:pStyle w:val="NormalWeb"/>
        <w:numPr>
          <w:ilvl w:val="0"/>
          <w:numId w:val="19"/>
        </w:numPr>
        <w:spacing w:before="0" w:beforeAutospacing="0" w:after="0" w:afterAutospacing="0"/>
        <w:jc w:val="both"/>
        <w:rPr>
          <w:sz w:val="20"/>
          <w:szCs w:val="20"/>
        </w:rPr>
      </w:pPr>
      <w:r w:rsidRPr="0034170A">
        <w:rPr>
          <w:b/>
          <w:bCs/>
          <w:sz w:val="20"/>
          <w:szCs w:val="20"/>
          <w:lang w:val="en-US"/>
        </w:rPr>
        <w:t>Applications</w:t>
      </w:r>
      <w:r w:rsidRPr="0034170A">
        <w:rPr>
          <w:sz w:val="20"/>
          <w:szCs w:val="20"/>
          <w:lang w:val="en-US"/>
        </w:rPr>
        <w:t xml:space="preserve">: GMS staining is most often utilized in the identification of invasive mould infections, </w:t>
      </w:r>
      <w:r w:rsidRPr="0034170A">
        <w:rPr>
          <w:i/>
          <w:iCs/>
          <w:sz w:val="20"/>
          <w:szCs w:val="20"/>
          <w:lang w:val="en-US"/>
        </w:rPr>
        <w:t>Aspergillus</w:t>
      </w:r>
      <w:r w:rsidRPr="0034170A">
        <w:rPr>
          <w:sz w:val="20"/>
          <w:szCs w:val="20"/>
          <w:lang w:val="en-US"/>
        </w:rPr>
        <w:t xml:space="preserve"> and </w:t>
      </w:r>
      <w:r w:rsidRPr="0034170A">
        <w:rPr>
          <w:i/>
          <w:iCs/>
          <w:sz w:val="20"/>
          <w:szCs w:val="20"/>
          <w:lang w:val="en-US"/>
        </w:rPr>
        <w:t>Mucorales</w:t>
      </w:r>
      <w:r w:rsidRPr="0034170A">
        <w:rPr>
          <w:sz w:val="20"/>
          <w:szCs w:val="20"/>
          <w:lang w:val="en-US"/>
        </w:rPr>
        <w:t xml:space="preserve"> amongst them. Since the sensitivity for GMS is high, there can be visual detection of the fungal hyphae in the tissue, thereby diagnosing major serious fungal infection in immunocompromised patients. Calcofluor white staining is one of the widely used rapid diagnostic tools, especially where fluorescence microscopy is available. This is highly effective for isolating fungi from respiratory and cerebrospinal fluid samples as well as tissue biopsies.</w:t>
      </w:r>
    </w:p>
    <w:p w:rsidR="00FF37F7" w:rsidRPr="0034170A" w:rsidRDefault="00FF37F7" w:rsidP="009A18F2">
      <w:pPr>
        <w:pStyle w:val="Heading3"/>
        <w:numPr>
          <w:ilvl w:val="1"/>
          <w:numId w:val="8"/>
        </w:numPr>
        <w:spacing w:before="0"/>
        <w:jc w:val="both"/>
        <w:rPr>
          <w:rFonts w:ascii="Times New Roman" w:hAnsi="Times New Roman" w:cs="Times New Roman"/>
          <w:sz w:val="20"/>
          <w:szCs w:val="20"/>
        </w:rPr>
      </w:pPr>
      <w:r w:rsidRPr="0034170A">
        <w:rPr>
          <w:rStyle w:val="Strong"/>
          <w:rFonts w:ascii="Times New Roman" w:hAnsi="Times New Roman" w:cs="Times New Roman"/>
          <w:b/>
          <w:bCs/>
          <w:sz w:val="20"/>
          <w:szCs w:val="20"/>
        </w:rPr>
        <w:t>Antigen Detection in Fungal and Parasitic Diagnostics</w:t>
      </w:r>
    </w:p>
    <w:p w:rsidR="00CC1DD3" w:rsidRPr="0034170A" w:rsidRDefault="00CC1DD3" w:rsidP="009A18F2">
      <w:pPr>
        <w:pStyle w:val="NormalWeb"/>
        <w:spacing w:before="0" w:beforeAutospacing="0" w:after="0" w:afterAutospacing="0"/>
        <w:ind w:firstLine="720"/>
        <w:jc w:val="both"/>
        <w:rPr>
          <w:sz w:val="20"/>
          <w:szCs w:val="20"/>
          <w:lang w:val="en-US"/>
        </w:rPr>
      </w:pPr>
      <w:r w:rsidRPr="0034170A">
        <w:rPr>
          <w:sz w:val="20"/>
          <w:szCs w:val="20"/>
          <w:lang w:val="en-US"/>
        </w:rPr>
        <w:t xml:space="preserve">The diagnosis of fungal infections and parasitic infections relies on the detection of antigens, thus providing a fast and sensitive alternative for the traditional culture methods. The assays are devised to detect particular proteins or polysaccharides associated with either fungi or parasitic organisms in the main clinical specimens that include blood, cerebrospinal fluid, urine, and respiratory secretions. These methods are particularly useful for diagnosing infections caused by pathogens that are hard to culture or when time is critical because they allow for the direct identification of infectious agents without the need for culture growth. </w:t>
      </w:r>
    </w:p>
    <w:p w:rsidR="00FF37F7" w:rsidRPr="0034170A" w:rsidRDefault="00CC1DD3" w:rsidP="009A18F2">
      <w:pPr>
        <w:pStyle w:val="NormalWeb"/>
        <w:spacing w:before="0" w:beforeAutospacing="0" w:after="0" w:afterAutospacing="0"/>
        <w:jc w:val="both"/>
        <w:rPr>
          <w:sz w:val="20"/>
          <w:szCs w:val="20"/>
        </w:rPr>
      </w:pPr>
      <w:r w:rsidRPr="0034170A">
        <w:rPr>
          <w:sz w:val="20"/>
          <w:szCs w:val="20"/>
          <w:lang w:val="en-US"/>
        </w:rPr>
        <w:t>Unlike microscopy, antigen detection techniques use immunological assays to detect specific molecules present on the surface or secreted by the pathogens. Advances in immunoassay technologies have greatly improved the sensitivity and specificity of these assays, allowing for faster and more reliable diagnostics. This section will cover antigen detection in diagnosing major fungal and parasitic infections, including methodologies, clinical applications, and benefits of this diagnostic approach.</w:t>
      </w:r>
    </w:p>
    <w:p w:rsidR="00FF37F7" w:rsidRPr="0034170A" w:rsidRDefault="00FF37F7" w:rsidP="009A18F2">
      <w:pPr>
        <w:pStyle w:val="Heading4"/>
        <w:numPr>
          <w:ilvl w:val="2"/>
          <w:numId w:val="8"/>
        </w:numPr>
        <w:spacing w:before="0"/>
        <w:jc w:val="both"/>
        <w:rPr>
          <w:rFonts w:ascii="Times New Roman" w:hAnsi="Times New Roman" w:cs="Times New Roman"/>
          <w:i w:val="0"/>
          <w:iCs w:val="0"/>
          <w:sz w:val="20"/>
          <w:szCs w:val="20"/>
        </w:rPr>
      </w:pPr>
      <w:r w:rsidRPr="0034170A">
        <w:rPr>
          <w:rStyle w:val="Strong"/>
          <w:rFonts w:ascii="Times New Roman" w:hAnsi="Times New Roman" w:cs="Times New Roman"/>
          <w:b/>
          <w:bCs/>
          <w:i w:val="0"/>
          <w:iCs w:val="0"/>
          <w:sz w:val="20"/>
          <w:szCs w:val="20"/>
        </w:rPr>
        <w:t>Antigen Detection in Fungal Diagnostics</w:t>
      </w:r>
    </w:p>
    <w:p w:rsidR="00FF37F7" w:rsidRPr="0034170A" w:rsidRDefault="00CC1DD3" w:rsidP="009A18F2">
      <w:pPr>
        <w:pStyle w:val="NormalWeb"/>
        <w:spacing w:before="0" w:beforeAutospacing="0" w:after="0" w:afterAutospacing="0"/>
        <w:ind w:firstLine="720"/>
        <w:jc w:val="both"/>
        <w:rPr>
          <w:sz w:val="20"/>
          <w:szCs w:val="20"/>
        </w:rPr>
      </w:pPr>
      <w:r w:rsidRPr="0034170A">
        <w:rPr>
          <w:sz w:val="20"/>
          <w:szCs w:val="20"/>
          <w:lang w:val="en-US"/>
        </w:rPr>
        <w:t>Fungal infections, especially invasive fungal diseases, are challenging to diagnose because of their nonspecific clinical presentations and slow growth in culture. Detection assays for antigens have proven to be an essential tool in the rapid diagnosis of several severe fungal infections, including cryptococcosis, invasive aspergillosis, and histoplasmosis. Immunocompromised patients benefit more from these detection assays because diagnosis and treatment in a timely manner improve the chances of recovery.</w:t>
      </w:r>
    </w:p>
    <w:p w:rsidR="00FF37F7" w:rsidRPr="0034170A" w:rsidRDefault="00FF37F7" w:rsidP="009A18F2">
      <w:pPr>
        <w:pStyle w:val="Heading5"/>
        <w:spacing w:before="0"/>
        <w:jc w:val="both"/>
        <w:rPr>
          <w:rFonts w:ascii="Times New Roman" w:hAnsi="Times New Roman" w:cs="Times New Roman"/>
          <w:sz w:val="20"/>
          <w:szCs w:val="20"/>
        </w:rPr>
      </w:pPr>
      <w:r w:rsidRPr="0034170A">
        <w:rPr>
          <w:rStyle w:val="Strong"/>
          <w:rFonts w:ascii="Times New Roman" w:hAnsi="Times New Roman" w:cs="Times New Roman"/>
          <w:b w:val="0"/>
          <w:bCs w:val="0"/>
          <w:sz w:val="20"/>
          <w:szCs w:val="20"/>
        </w:rPr>
        <w:t>Cryptococcal Antigen Detection</w:t>
      </w:r>
    </w:p>
    <w:p w:rsidR="00CC1DD3" w:rsidRPr="0034170A" w:rsidRDefault="00CC1DD3" w:rsidP="009A18F2">
      <w:pPr>
        <w:pStyle w:val="NormalWeb"/>
        <w:spacing w:before="0" w:beforeAutospacing="0" w:after="0" w:afterAutospacing="0"/>
        <w:ind w:firstLine="720"/>
        <w:jc w:val="both"/>
        <w:rPr>
          <w:sz w:val="20"/>
          <w:szCs w:val="20"/>
          <w:lang w:val="en-US"/>
        </w:rPr>
      </w:pPr>
      <w:r w:rsidRPr="0034170A">
        <w:rPr>
          <w:sz w:val="20"/>
          <w:szCs w:val="20"/>
          <w:lang w:val="en-US"/>
        </w:rPr>
        <w:t xml:space="preserve">Cryptococcal antigen (CrAg) detection is one of the most common antigen-based assays used in fungal diagnostics. It is essential for diagnosing cryptococcosis, which is an infection caused by the fungi </w:t>
      </w:r>
      <w:r w:rsidRPr="0034170A">
        <w:rPr>
          <w:i/>
          <w:iCs/>
          <w:sz w:val="20"/>
          <w:szCs w:val="20"/>
          <w:lang w:val="en-US"/>
        </w:rPr>
        <w:t>Cryptococcus</w:t>
      </w:r>
      <w:r w:rsidRPr="0034170A">
        <w:rPr>
          <w:sz w:val="20"/>
          <w:szCs w:val="20"/>
          <w:lang w:val="en-US"/>
        </w:rPr>
        <w:t xml:space="preserve"> </w:t>
      </w:r>
      <w:r w:rsidRPr="0034170A">
        <w:rPr>
          <w:i/>
          <w:iCs/>
          <w:sz w:val="20"/>
          <w:szCs w:val="20"/>
          <w:lang w:val="en-US"/>
        </w:rPr>
        <w:t>neoformans</w:t>
      </w:r>
      <w:r w:rsidRPr="0034170A">
        <w:rPr>
          <w:sz w:val="20"/>
          <w:szCs w:val="20"/>
          <w:lang w:val="en-US"/>
        </w:rPr>
        <w:t xml:space="preserve"> and </w:t>
      </w:r>
      <w:r w:rsidRPr="0034170A">
        <w:rPr>
          <w:i/>
          <w:iCs/>
          <w:sz w:val="20"/>
          <w:szCs w:val="20"/>
          <w:lang w:val="en-US"/>
        </w:rPr>
        <w:t>Cryptococcus</w:t>
      </w:r>
      <w:r w:rsidRPr="0034170A">
        <w:rPr>
          <w:sz w:val="20"/>
          <w:szCs w:val="20"/>
          <w:lang w:val="en-US"/>
        </w:rPr>
        <w:t xml:space="preserve"> </w:t>
      </w:r>
      <w:r w:rsidRPr="0034170A">
        <w:rPr>
          <w:i/>
          <w:iCs/>
          <w:sz w:val="20"/>
          <w:szCs w:val="20"/>
          <w:lang w:val="en-US"/>
        </w:rPr>
        <w:t>gattii</w:t>
      </w:r>
      <w:r w:rsidRPr="0034170A">
        <w:rPr>
          <w:sz w:val="20"/>
          <w:szCs w:val="20"/>
          <w:lang w:val="en-US"/>
        </w:rPr>
        <w:t>. It often presents as cryptococcal meningitis, especially in immunocompromised patients, including those suffering from HIV/AIDS.</w:t>
      </w:r>
    </w:p>
    <w:p w:rsidR="00CC1DD3" w:rsidRPr="0034170A" w:rsidRDefault="00CC1DD3" w:rsidP="009A18F2">
      <w:pPr>
        <w:pStyle w:val="NormalWeb"/>
        <w:spacing w:before="0" w:beforeAutospacing="0" w:after="0" w:afterAutospacing="0"/>
        <w:ind w:firstLine="720"/>
        <w:jc w:val="both"/>
        <w:rPr>
          <w:sz w:val="20"/>
          <w:szCs w:val="20"/>
          <w:lang w:val="en-US"/>
        </w:rPr>
      </w:pPr>
      <w:r w:rsidRPr="0034170A">
        <w:rPr>
          <w:sz w:val="20"/>
          <w:szCs w:val="20"/>
          <w:lang w:val="en-US"/>
        </w:rPr>
        <w:t xml:space="preserve">The CrAg assay detects capsular polysaccharide antigens that </w:t>
      </w:r>
      <w:r w:rsidRPr="0034170A">
        <w:rPr>
          <w:i/>
          <w:iCs/>
          <w:sz w:val="20"/>
          <w:szCs w:val="20"/>
          <w:lang w:val="en-US"/>
        </w:rPr>
        <w:t>Cryptococcus</w:t>
      </w:r>
      <w:r w:rsidRPr="0034170A">
        <w:rPr>
          <w:sz w:val="20"/>
          <w:szCs w:val="20"/>
          <w:lang w:val="en-US"/>
        </w:rPr>
        <w:t xml:space="preserve"> species release into the bloodstream and cerebrospinal fluid following an infection. This has already become renowned for its high sensitivity, allowing for even the most minimal antigen in serum, CSF, or urine to be detected, hence incredibly essential in making very early diagnoses and monitoring the onset of responses to treatment.</w:t>
      </w:r>
    </w:p>
    <w:p w:rsidR="00CC1DD3" w:rsidRPr="0034170A" w:rsidRDefault="00CC1DD3" w:rsidP="00151AB1">
      <w:pPr>
        <w:pStyle w:val="NormalWeb"/>
        <w:numPr>
          <w:ilvl w:val="0"/>
          <w:numId w:val="20"/>
        </w:numPr>
        <w:spacing w:before="0" w:beforeAutospacing="0" w:after="0" w:afterAutospacing="0"/>
        <w:jc w:val="both"/>
        <w:rPr>
          <w:sz w:val="20"/>
          <w:szCs w:val="20"/>
          <w:lang w:val="en-US"/>
        </w:rPr>
      </w:pPr>
      <w:r w:rsidRPr="0034170A">
        <w:rPr>
          <w:b/>
          <w:bCs/>
          <w:sz w:val="20"/>
          <w:szCs w:val="20"/>
          <w:lang w:val="en-US"/>
        </w:rPr>
        <w:t>Techniques</w:t>
      </w:r>
      <w:r w:rsidRPr="0034170A">
        <w:rPr>
          <w:sz w:val="20"/>
          <w:szCs w:val="20"/>
          <w:lang w:val="en-US"/>
        </w:rPr>
        <w:t xml:space="preserve">: The latex agglutination, ELISA, or LFA can be employed to detect CrAg. Latex agglutination test is a simple and rapid method in which the patient samples are mixed with latex particles that are coated with antibodies specific to cryptococcal antigens. The antigen will stick to the antibodies if it exists, causing the latex particles to clump up visibly. ELISA and LFA provide more sensitive and quantitative results, with LFAs being especially preferred for their ease of use and portability, making them suitable for point-of-care testing. </w:t>
      </w:r>
    </w:p>
    <w:p w:rsidR="00CC1DD3" w:rsidRPr="0034170A" w:rsidRDefault="00CC1DD3" w:rsidP="00151AB1">
      <w:pPr>
        <w:pStyle w:val="NormalWeb"/>
        <w:numPr>
          <w:ilvl w:val="0"/>
          <w:numId w:val="20"/>
        </w:numPr>
        <w:spacing w:before="0" w:beforeAutospacing="0" w:after="0" w:afterAutospacing="0"/>
        <w:jc w:val="both"/>
        <w:rPr>
          <w:sz w:val="20"/>
          <w:szCs w:val="20"/>
          <w:lang w:val="en-US"/>
        </w:rPr>
      </w:pPr>
      <w:r w:rsidRPr="0034170A">
        <w:rPr>
          <w:b/>
          <w:bCs/>
          <w:sz w:val="20"/>
          <w:szCs w:val="20"/>
          <w:lang w:val="en-US"/>
        </w:rPr>
        <w:t>Clinical Applications</w:t>
      </w:r>
      <w:r w:rsidRPr="0034170A">
        <w:rPr>
          <w:sz w:val="20"/>
          <w:szCs w:val="20"/>
          <w:lang w:val="en-US"/>
        </w:rPr>
        <w:t xml:space="preserve">: Detection of CrAg in blood or CSF is diagnostic for cryptococcosis and is particularly important for diagnosing cryptococcal meningitis. In HIV-infected patients suspected of cryptococcal meningitis, CSF CrAg testing offers a highly sensitive and specific method for diagnosis. In some cases, serum may contain CrAg before the first manifestation of symptoms can be controlled, initiating early treatment to prevent severe disease progression. Moreover, the test of CrAg is performed to follow the response of patients to antifungal treatment and to diagnose reoccurrence in treated patients. </w:t>
      </w:r>
    </w:p>
    <w:p w:rsidR="00FF37F7" w:rsidRPr="0034170A" w:rsidRDefault="00CC1DD3" w:rsidP="00151AB1">
      <w:pPr>
        <w:pStyle w:val="NormalWeb"/>
        <w:numPr>
          <w:ilvl w:val="0"/>
          <w:numId w:val="20"/>
        </w:numPr>
        <w:spacing w:before="0" w:beforeAutospacing="0" w:after="0" w:afterAutospacing="0"/>
        <w:jc w:val="both"/>
        <w:rPr>
          <w:sz w:val="20"/>
          <w:szCs w:val="20"/>
          <w:lang w:val="en-US"/>
        </w:rPr>
      </w:pPr>
      <w:r w:rsidRPr="0034170A">
        <w:rPr>
          <w:b/>
          <w:bCs/>
          <w:sz w:val="20"/>
          <w:szCs w:val="20"/>
          <w:lang w:val="en-US"/>
        </w:rPr>
        <w:lastRenderedPageBreak/>
        <w:t>Advantages</w:t>
      </w:r>
      <w:r w:rsidRPr="0034170A">
        <w:rPr>
          <w:sz w:val="20"/>
          <w:szCs w:val="20"/>
          <w:lang w:val="en-US"/>
        </w:rPr>
        <w:t>: CrAg testing is rapid, sensitive, and specific. It allows for early cryptococcosis diagnosis that can initiate timely antifungal treatment and improve patient prognosis. The lateral flow assay in particular can yield results in as little as minutes, thus best suited for low-resource settings and point-of-care testing.</w:t>
      </w:r>
    </w:p>
    <w:p w:rsidR="00FF37F7" w:rsidRPr="0034170A" w:rsidRDefault="00FF37F7" w:rsidP="009A18F2">
      <w:pPr>
        <w:pStyle w:val="Heading5"/>
        <w:spacing w:before="0"/>
        <w:jc w:val="both"/>
        <w:rPr>
          <w:rFonts w:ascii="Times New Roman" w:hAnsi="Times New Roman" w:cs="Times New Roman"/>
          <w:sz w:val="20"/>
          <w:szCs w:val="20"/>
        </w:rPr>
      </w:pPr>
      <w:r w:rsidRPr="0034170A">
        <w:rPr>
          <w:rStyle w:val="Strong"/>
          <w:rFonts w:ascii="Times New Roman" w:hAnsi="Times New Roman" w:cs="Times New Roman"/>
          <w:b w:val="0"/>
          <w:bCs w:val="0"/>
          <w:sz w:val="20"/>
          <w:szCs w:val="20"/>
        </w:rPr>
        <w:t>Galactomannan Detection in Invasive Aspergillosis</w:t>
      </w:r>
    </w:p>
    <w:p w:rsidR="00CC1DD3" w:rsidRPr="0034170A" w:rsidRDefault="00CC1DD3" w:rsidP="009A18F2">
      <w:pPr>
        <w:pStyle w:val="NormalWeb"/>
        <w:spacing w:before="0" w:beforeAutospacing="0" w:after="0" w:afterAutospacing="0"/>
        <w:ind w:firstLine="720"/>
        <w:jc w:val="both"/>
        <w:rPr>
          <w:sz w:val="20"/>
          <w:szCs w:val="20"/>
          <w:lang w:val="en-US"/>
        </w:rPr>
      </w:pPr>
      <w:r w:rsidRPr="0034170A">
        <w:rPr>
          <w:i/>
          <w:iCs/>
          <w:sz w:val="20"/>
          <w:szCs w:val="20"/>
          <w:lang w:val="en-US"/>
        </w:rPr>
        <w:t>Aspergillus</w:t>
      </w:r>
      <w:r w:rsidRPr="0034170A">
        <w:rPr>
          <w:sz w:val="20"/>
          <w:szCs w:val="20"/>
          <w:lang w:val="en-US"/>
        </w:rPr>
        <w:t xml:space="preserve"> species, primarily </w:t>
      </w:r>
      <w:r w:rsidRPr="0034170A">
        <w:rPr>
          <w:i/>
          <w:iCs/>
          <w:sz w:val="20"/>
          <w:szCs w:val="20"/>
          <w:lang w:val="en-US"/>
        </w:rPr>
        <w:t>A. fumigatus</w:t>
      </w:r>
      <w:r w:rsidRPr="0034170A">
        <w:rPr>
          <w:sz w:val="20"/>
          <w:szCs w:val="20"/>
          <w:lang w:val="en-US"/>
        </w:rPr>
        <w:t>, cause invasive aspergillosis, and this infection presents a serious challenge to patients whose immune systems have been compromised. These include people with neutropenia, those with hematologic cancers, or those who have undergone hematopoietic stem cell transplants. The difficulty in diagnosing this infection often arises from nonspecific clinical presentations and the problems associated with isolating Aspergillus from clinical specimens.</w:t>
      </w:r>
    </w:p>
    <w:p w:rsidR="00CC1DD3" w:rsidRPr="0034170A" w:rsidRDefault="00CC1DD3" w:rsidP="009A18F2">
      <w:pPr>
        <w:pStyle w:val="NormalWeb"/>
        <w:spacing w:before="0" w:beforeAutospacing="0" w:after="0" w:afterAutospacing="0"/>
        <w:ind w:firstLine="720"/>
        <w:jc w:val="both"/>
        <w:rPr>
          <w:sz w:val="20"/>
          <w:szCs w:val="20"/>
          <w:lang w:val="en-US"/>
        </w:rPr>
      </w:pPr>
      <w:r w:rsidRPr="0034170A">
        <w:rPr>
          <w:sz w:val="20"/>
          <w:szCs w:val="20"/>
          <w:lang w:val="en-US"/>
        </w:rPr>
        <w:t xml:space="preserve">A polysaccharide present in the cell wall of </w:t>
      </w:r>
      <w:r w:rsidRPr="0034170A">
        <w:rPr>
          <w:i/>
          <w:iCs/>
          <w:sz w:val="20"/>
          <w:szCs w:val="20"/>
          <w:lang w:val="en-US"/>
        </w:rPr>
        <w:t>Aspergillus</w:t>
      </w:r>
      <w:r w:rsidRPr="0034170A">
        <w:rPr>
          <w:sz w:val="20"/>
          <w:szCs w:val="20"/>
          <w:lang w:val="en-US"/>
        </w:rPr>
        <w:t xml:space="preserve"> is released during the process of growth by the fungus, and its identification can be traced in blood, serum, or bronchoalveolar lavage (BAL) fluid. Detection of galactomannan is established as a valuable tool for diagnosis, especially for high-risk patients.</w:t>
      </w:r>
    </w:p>
    <w:p w:rsidR="00CC1DD3" w:rsidRPr="0034170A" w:rsidRDefault="00CC1DD3" w:rsidP="00151AB1">
      <w:pPr>
        <w:pStyle w:val="NormalWeb"/>
        <w:numPr>
          <w:ilvl w:val="0"/>
          <w:numId w:val="21"/>
        </w:numPr>
        <w:spacing w:before="0" w:beforeAutospacing="0" w:after="0" w:afterAutospacing="0"/>
        <w:jc w:val="both"/>
        <w:rPr>
          <w:sz w:val="20"/>
          <w:szCs w:val="20"/>
          <w:lang w:val="en-US"/>
        </w:rPr>
      </w:pPr>
      <w:r w:rsidRPr="0034170A">
        <w:rPr>
          <w:b/>
          <w:bCs/>
          <w:sz w:val="20"/>
          <w:szCs w:val="20"/>
          <w:lang w:val="en-US"/>
        </w:rPr>
        <w:t>Methods</w:t>
      </w:r>
      <w:r w:rsidRPr="0034170A">
        <w:rPr>
          <w:sz w:val="20"/>
          <w:szCs w:val="20"/>
          <w:lang w:val="en-US"/>
        </w:rPr>
        <w:t>: Galactomannan is usually detected through EIAs. In the tests, patient serum or BAL fluid is mixed with antibodies targeting the galactomannan antigen. A colorimetric reaction is a positive indicator of the presence of galactomannan, which can be quantified to assess the level of the antigen in the sample. The EIA for the detection of galactomannan is sensitive and specific for diagnosing invasive aspergillosis, especially when using BAL fluid.</w:t>
      </w:r>
    </w:p>
    <w:p w:rsidR="00CC1DD3" w:rsidRPr="0034170A" w:rsidRDefault="00CC1DD3" w:rsidP="00151AB1">
      <w:pPr>
        <w:pStyle w:val="NormalWeb"/>
        <w:numPr>
          <w:ilvl w:val="0"/>
          <w:numId w:val="21"/>
        </w:numPr>
        <w:spacing w:before="0" w:beforeAutospacing="0" w:after="0" w:afterAutospacing="0"/>
        <w:jc w:val="both"/>
        <w:rPr>
          <w:sz w:val="20"/>
          <w:szCs w:val="20"/>
          <w:lang w:val="en-US"/>
        </w:rPr>
      </w:pPr>
      <w:r w:rsidRPr="0034170A">
        <w:rPr>
          <w:b/>
          <w:bCs/>
          <w:sz w:val="20"/>
          <w:szCs w:val="20"/>
          <w:lang w:val="en-US"/>
        </w:rPr>
        <w:t>Clinical Applications</w:t>
      </w:r>
      <w:r w:rsidRPr="0034170A">
        <w:rPr>
          <w:sz w:val="20"/>
          <w:szCs w:val="20"/>
          <w:lang w:val="en-US"/>
        </w:rPr>
        <w:t>: The detection of galactomannan is essential in the diagnosis of invasive pulmonary aspergillosis, especially in neutropenic patients or those on treatment for hematologic malignancies. It is often used in conjunction with other diagnostic methods, such as imaging studies (CT scans) and fungal cultures, to confirm the diagnosis of invasive aspergillosis. Furthermore, the assay can be used to monitor the effectiveness of treatment since a decrease in galactomannan levels usually corresponds to clinical improvement. Conversely, elevated or increasing levels may suggest treatment failure or disease progression.</w:t>
      </w:r>
    </w:p>
    <w:p w:rsidR="00FF37F7" w:rsidRPr="0034170A" w:rsidRDefault="00B313F6" w:rsidP="00151AB1">
      <w:pPr>
        <w:pStyle w:val="NormalWeb"/>
        <w:numPr>
          <w:ilvl w:val="0"/>
          <w:numId w:val="21"/>
        </w:numPr>
        <w:spacing w:before="0" w:beforeAutospacing="0" w:after="0" w:afterAutospacing="0"/>
        <w:jc w:val="both"/>
        <w:rPr>
          <w:sz w:val="20"/>
          <w:szCs w:val="20"/>
        </w:rPr>
      </w:pPr>
      <w:r w:rsidRPr="0034170A">
        <w:rPr>
          <w:b/>
          <w:bCs/>
          <w:sz w:val="20"/>
          <w:szCs w:val="20"/>
          <w:lang w:val="en-US"/>
        </w:rPr>
        <w:t>Procedure</w:t>
      </w:r>
      <w:r w:rsidR="00CC1DD3" w:rsidRPr="0034170A">
        <w:rPr>
          <w:sz w:val="20"/>
          <w:szCs w:val="20"/>
          <w:lang w:val="en-US"/>
        </w:rPr>
        <w:t>: The test of galactomannan antigen is the most non-invasive, speedy, and reliable technique to ascertain the presence of invasive aspergillosis. This has special benefits during conditions when the isolation of Aspergillus is difficult to perform or through an invasive approach such as through lung biopsy as not feasible for practicality purposes. Use of BAL fluid is added sensitivity, particularly in pulmonary aspergillosis with a suspicion to this condition.</w:t>
      </w:r>
    </w:p>
    <w:p w:rsidR="00FF37F7" w:rsidRPr="0034170A" w:rsidRDefault="00FF37F7" w:rsidP="009A18F2">
      <w:pPr>
        <w:pStyle w:val="Heading5"/>
        <w:spacing w:before="0"/>
        <w:jc w:val="both"/>
        <w:rPr>
          <w:rFonts w:ascii="Times New Roman" w:hAnsi="Times New Roman" w:cs="Times New Roman"/>
          <w:sz w:val="20"/>
          <w:szCs w:val="20"/>
        </w:rPr>
      </w:pPr>
      <w:r w:rsidRPr="0034170A">
        <w:rPr>
          <w:rStyle w:val="Strong"/>
          <w:rFonts w:ascii="Times New Roman" w:hAnsi="Times New Roman" w:cs="Times New Roman"/>
          <w:b w:val="0"/>
          <w:bCs w:val="0"/>
          <w:sz w:val="20"/>
          <w:szCs w:val="20"/>
        </w:rPr>
        <w:t>1</w:t>
      </w:r>
      <w:r w:rsidR="001C1FB2" w:rsidRPr="0034170A">
        <w:rPr>
          <w:rStyle w:val="Strong"/>
          <w:rFonts w:ascii="Times New Roman" w:hAnsi="Times New Roman" w:cs="Times New Roman"/>
          <w:b w:val="0"/>
          <w:bCs w:val="0"/>
          <w:sz w:val="20"/>
          <w:szCs w:val="20"/>
        </w:rPr>
        <w:t>, 3</w:t>
      </w:r>
      <w:r w:rsidRPr="0034170A">
        <w:rPr>
          <w:rStyle w:val="Strong"/>
          <w:rFonts w:ascii="Times New Roman" w:hAnsi="Times New Roman" w:cs="Times New Roman"/>
          <w:b w:val="0"/>
          <w:bCs w:val="0"/>
          <w:sz w:val="20"/>
          <w:szCs w:val="20"/>
        </w:rPr>
        <w:t>-Beta-D-Glucan Detection</w:t>
      </w:r>
    </w:p>
    <w:p w:rsidR="00B313F6" w:rsidRPr="0034170A" w:rsidRDefault="00B313F6" w:rsidP="009A18F2">
      <w:pPr>
        <w:pStyle w:val="NormalWeb"/>
        <w:spacing w:before="0" w:beforeAutospacing="0" w:after="0" w:afterAutospacing="0"/>
        <w:ind w:firstLine="720"/>
        <w:jc w:val="both"/>
        <w:rPr>
          <w:sz w:val="20"/>
          <w:szCs w:val="20"/>
          <w:lang w:val="en-US"/>
        </w:rPr>
      </w:pPr>
      <w:r w:rsidRPr="0034170A">
        <w:rPr>
          <w:sz w:val="20"/>
          <w:szCs w:val="20"/>
          <w:lang w:val="en-US"/>
        </w:rPr>
        <w:t xml:space="preserve">1, 3-Beta-D-glucan is a polysaccharide found in the cell walls of many pathogenic fungi, including </w:t>
      </w:r>
      <w:r w:rsidRPr="0034170A">
        <w:rPr>
          <w:i/>
          <w:iCs/>
          <w:sz w:val="20"/>
          <w:szCs w:val="20"/>
          <w:lang w:val="en-US"/>
        </w:rPr>
        <w:t>Candida</w:t>
      </w:r>
      <w:r w:rsidRPr="0034170A">
        <w:rPr>
          <w:sz w:val="20"/>
          <w:szCs w:val="20"/>
          <w:lang w:val="en-US"/>
        </w:rPr>
        <w:t xml:space="preserve">, </w:t>
      </w:r>
      <w:r w:rsidRPr="0034170A">
        <w:rPr>
          <w:i/>
          <w:iCs/>
          <w:sz w:val="20"/>
          <w:szCs w:val="20"/>
          <w:lang w:val="en-US"/>
        </w:rPr>
        <w:t>Aspergillus</w:t>
      </w:r>
      <w:r w:rsidRPr="0034170A">
        <w:rPr>
          <w:sz w:val="20"/>
          <w:szCs w:val="20"/>
          <w:lang w:val="en-US"/>
        </w:rPr>
        <w:t xml:space="preserve">, and </w:t>
      </w:r>
      <w:r w:rsidRPr="0034170A">
        <w:rPr>
          <w:i/>
          <w:iCs/>
          <w:sz w:val="20"/>
          <w:szCs w:val="20"/>
          <w:lang w:val="en-US"/>
        </w:rPr>
        <w:t>Pneumocystis</w:t>
      </w:r>
      <w:r w:rsidRPr="0034170A">
        <w:rPr>
          <w:sz w:val="20"/>
          <w:szCs w:val="20"/>
          <w:lang w:val="en-US"/>
        </w:rPr>
        <w:t xml:space="preserve"> </w:t>
      </w:r>
      <w:r w:rsidRPr="0034170A">
        <w:rPr>
          <w:i/>
          <w:iCs/>
          <w:sz w:val="20"/>
          <w:szCs w:val="20"/>
          <w:lang w:val="en-US"/>
        </w:rPr>
        <w:t>jirovecii</w:t>
      </w:r>
      <w:r w:rsidRPr="0034170A">
        <w:rPr>
          <w:sz w:val="20"/>
          <w:szCs w:val="20"/>
          <w:lang w:val="en-US"/>
        </w:rPr>
        <w:t>. Once invasive fungal infections take place, this antigen is released into the blood. It is, thus, used as an important marker for the diagnosis of IFDs.</w:t>
      </w:r>
    </w:p>
    <w:p w:rsidR="00B313F6" w:rsidRPr="0034170A" w:rsidRDefault="00B313F6" w:rsidP="00151AB1">
      <w:pPr>
        <w:pStyle w:val="NormalWeb"/>
        <w:numPr>
          <w:ilvl w:val="0"/>
          <w:numId w:val="22"/>
        </w:numPr>
        <w:spacing w:before="0" w:beforeAutospacing="0" w:after="0" w:afterAutospacing="0"/>
        <w:jc w:val="both"/>
        <w:rPr>
          <w:sz w:val="20"/>
          <w:szCs w:val="20"/>
          <w:lang w:val="en-US"/>
        </w:rPr>
      </w:pPr>
      <w:r w:rsidRPr="0034170A">
        <w:rPr>
          <w:b/>
          <w:bCs/>
          <w:sz w:val="20"/>
          <w:szCs w:val="20"/>
          <w:lang w:val="en-US"/>
        </w:rPr>
        <w:t>Methods</w:t>
      </w:r>
      <w:r w:rsidRPr="0034170A">
        <w:rPr>
          <w:sz w:val="20"/>
          <w:szCs w:val="20"/>
          <w:lang w:val="en-US"/>
        </w:rPr>
        <w:t>: The assessment for the presence of 1, 3-beta-D-glucan is done with a colorimetric test that is termed as the Fungitell assay. Here, the patient serum is mixed with some reagents that, upon encountering beta-D-glucan, activate a chain reaction, which, through spectrophotometry, causes a color change that is measurable. It gives a semi-quantitative estimation of the degree of infection by reflecting the load of fungi in the serum.</w:t>
      </w:r>
    </w:p>
    <w:p w:rsidR="00B313F6" w:rsidRPr="0034170A" w:rsidRDefault="00B313F6" w:rsidP="00151AB1">
      <w:pPr>
        <w:pStyle w:val="NormalWeb"/>
        <w:numPr>
          <w:ilvl w:val="0"/>
          <w:numId w:val="22"/>
        </w:numPr>
        <w:spacing w:before="0" w:beforeAutospacing="0" w:after="0" w:afterAutospacing="0"/>
        <w:jc w:val="both"/>
        <w:rPr>
          <w:sz w:val="20"/>
          <w:szCs w:val="20"/>
          <w:lang w:val="en-US"/>
        </w:rPr>
      </w:pPr>
      <w:r w:rsidRPr="0034170A">
        <w:rPr>
          <w:b/>
          <w:bCs/>
          <w:sz w:val="20"/>
          <w:szCs w:val="20"/>
          <w:lang w:val="en-US"/>
        </w:rPr>
        <w:t>Clinical</w:t>
      </w:r>
      <w:r w:rsidRPr="0034170A">
        <w:rPr>
          <w:sz w:val="20"/>
          <w:szCs w:val="20"/>
          <w:lang w:val="en-US"/>
        </w:rPr>
        <w:t xml:space="preserve"> </w:t>
      </w:r>
      <w:r w:rsidRPr="0034170A">
        <w:rPr>
          <w:b/>
          <w:bCs/>
          <w:sz w:val="20"/>
          <w:szCs w:val="20"/>
          <w:lang w:val="en-US"/>
        </w:rPr>
        <w:t>Applications</w:t>
      </w:r>
      <w:r w:rsidRPr="0034170A">
        <w:rPr>
          <w:sz w:val="20"/>
          <w:szCs w:val="20"/>
          <w:lang w:val="en-US"/>
        </w:rPr>
        <w:t>: It is used as a 1, 3-beta-D-glucan test for detecting diverse invasive fungal diseases like candidemia, invasive aspergillosis, or pneumocystis pneumonia. This test seems very helpful where the patients come up with a non-specific infection and for a patient whose the culture and fungal microscopy does not help. Assay 1, 3-beta-D glucan test tends to be given as a constituent part of total diagnosis including these other tests-galactomannan testing or culture studies for a finer accuracy.</w:t>
      </w:r>
    </w:p>
    <w:p w:rsidR="00FF37F7" w:rsidRPr="0034170A" w:rsidRDefault="00B313F6" w:rsidP="00151AB1">
      <w:pPr>
        <w:pStyle w:val="NormalWeb"/>
        <w:numPr>
          <w:ilvl w:val="0"/>
          <w:numId w:val="22"/>
        </w:numPr>
        <w:spacing w:before="0" w:beforeAutospacing="0" w:after="0" w:afterAutospacing="0"/>
        <w:jc w:val="both"/>
        <w:rPr>
          <w:sz w:val="20"/>
          <w:szCs w:val="20"/>
        </w:rPr>
      </w:pPr>
      <w:r w:rsidRPr="0034170A">
        <w:rPr>
          <w:b/>
          <w:bCs/>
          <w:sz w:val="20"/>
          <w:szCs w:val="20"/>
          <w:lang w:val="en-US"/>
        </w:rPr>
        <w:t>Advantages</w:t>
      </w:r>
      <w:r w:rsidRPr="0034170A">
        <w:rPr>
          <w:sz w:val="20"/>
          <w:szCs w:val="20"/>
          <w:lang w:val="en-US"/>
        </w:rPr>
        <w:t xml:space="preserve">: The advantages of the 1, 3-beta-D-glucan assay are high sensitivity and the ability to diagnose a variety of fungal infections with a single test. It is particularly advantageous in PCP cases in which direct identification of </w:t>
      </w:r>
      <w:r w:rsidRPr="0034170A">
        <w:rPr>
          <w:i/>
          <w:iCs/>
          <w:sz w:val="20"/>
          <w:szCs w:val="20"/>
          <w:lang w:val="en-US"/>
        </w:rPr>
        <w:t>P</w:t>
      </w:r>
      <w:r w:rsidRPr="0034170A">
        <w:rPr>
          <w:sz w:val="20"/>
          <w:szCs w:val="20"/>
          <w:lang w:val="en-US"/>
        </w:rPr>
        <w:t xml:space="preserve">. </w:t>
      </w:r>
      <w:r w:rsidRPr="0034170A">
        <w:rPr>
          <w:i/>
          <w:iCs/>
          <w:sz w:val="20"/>
          <w:szCs w:val="20"/>
          <w:lang w:val="en-US"/>
        </w:rPr>
        <w:t>jirovecii</w:t>
      </w:r>
      <w:r w:rsidRPr="0034170A">
        <w:rPr>
          <w:sz w:val="20"/>
          <w:szCs w:val="20"/>
          <w:lang w:val="en-US"/>
        </w:rPr>
        <w:t xml:space="preserve"> in respiratory specimens can be problematic. Results are quick, and antifungal treatment can begin rapidly. However, it should be noted that beta-D-glucan does not specifically correspond to any certain fungus, thus positive results need to be taken into consideration along with clinical evidence and other investigations.</w:t>
      </w:r>
    </w:p>
    <w:p w:rsidR="00FF37F7" w:rsidRPr="0034170A" w:rsidRDefault="00FF37F7" w:rsidP="009A18F2">
      <w:pPr>
        <w:pStyle w:val="Heading4"/>
        <w:numPr>
          <w:ilvl w:val="2"/>
          <w:numId w:val="8"/>
        </w:numPr>
        <w:spacing w:before="0"/>
        <w:jc w:val="both"/>
        <w:rPr>
          <w:rFonts w:ascii="Times New Roman" w:hAnsi="Times New Roman" w:cs="Times New Roman"/>
          <w:i w:val="0"/>
          <w:iCs w:val="0"/>
          <w:sz w:val="20"/>
          <w:szCs w:val="20"/>
        </w:rPr>
      </w:pPr>
      <w:r w:rsidRPr="0034170A">
        <w:rPr>
          <w:rStyle w:val="Strong"/>
          <w:rFonts w:ascii="Times New Roman" w:hAnsi="Times New Roman" w:cs="Times New Roman"/>
          <w:b/>
          <w:bCs/>
          <w:i w:val="0"/>
          <w:iCs w:val="0"/>
          <w:sz w:val="20"/>
          <w:szCs w:val="20"/>
        </w:rPr>
        <w:t>Antigen Detection in Parasitic Diagnostics</w:t>
      </w:r>
    </w:p>
    <w:p w:rsidR="00FF37F7" w:rsidRPr="0034170A" w:rsidRDefault="001C1FB2" w:rsidP="009A18F2">
      <w:pPr>
        <w:pStyle w:val="NormalWeb"/>
        <w:spacing w:before="0" w:beforeAutospacing="0" w:after="0" w:afterAutospacing="0"/>
        <w:ind w:firstLine="720"/>
        <w:jc w:val="both"/>
        <w:rPr>
          <w:sz w:val="20"/>
          <w:szCs w:val="20"/>
        </w:rPr>
      </w:pPr>
      <w:r w:rsidRPr="0034170A">
        <w:rPr>
          <w:sz w:val="20"/>
          <w:szCs w:val="20"/>
          <w:lang w:val="en-US"/>
        </w:rPr>
        <w:t>Antigen detection assays have transformed the diagnosis of parasitic infections by offering quick and sensitive alternatives to traditional microscopy and serological tests. These assays identify specific antigens related to parasites in blood, stool, or other bodily fluids, providing notable benefits such as faster results, user-friendliness, and the capability to diagnose infections in asymptomatic individuals or those with low levels of parasites.</w:t>
      </w:r>
    </w:p>
    <w:p w:rsidR="00FF37F7" w:rsidRPr="0034170A" w:rsidRDefault="00FF37F7" w:rsidP="009A18F2">
      <w:pPr>
        <w:pStyle w:val="Heading5"/>
        <w:spacing w:before="0"/>
        <w:jc w:val="both"/>
        <w:rPr>
          <w:rFonts w:ascii="Times New Roman" w:hAnsi="Times New Roman" w:cs="Times New Roman"/>
          <w:sz w:val="20"/>
          <w:szCs w:val="20"/>
        </w:rPr>
      </w:pPr>
      <w:r w:rsidRPr="0034170A">
        <w:rPr>
          <w:rStyle w:val="Strong"/>
          <w:rFonts w:ascii="Times New Roman" w:hAnsi="Times New Roman" w:cs="Times New Roman"/>
          <w:b w:val="0"/>
          <w:bCs w:val="0"/>
          <w:sz w:val="20"/>
          <w:szCs w:val="20"/>
        </w:rPr>
        <w:t>Malaria Antigen Detection</w:t>
      </w:r>
    </w:p>
    <w:p w:rsidR="00FF37F7" w:rsidRPr="0034170A" w:rsidRDefault="001C1FB2" w:rsidP="009A18F2">
      <w:pPr>
        <w:pStyle w:val="NormalWeb"/>
        <w:spacing w:before="0" w:beforeAutospacing="0" w:after="0" w:afterAutospacing="0"/>
        <w:ind w:firstLine="720"/>
        <w:jc w:val="both"/>
        <w:rPr>
          <w:sz w:val="20"/>
          <w:szCs w:val="20"/>
        </w:rPr>
      </w:pPr>
      <w:r w:rsidRPr="0034170A">
        <w:rPr>
          <w:sz w:val="20"/>
          <w:szCs w:val="20"/>
          <w:lang w:val="en-US"/>
        </w:rPr>
        <w:t xml:space="preserve">Malaria, which is caused by protozoan parasites from the genus </w:t>
      </w:r>
      <w:r w:rsidRPr="0034170A">
        <w:rPr>
          <w:i/>
          <w:iCs/>
          <w:sz w:val="20"/>
          <w:szCs w:val="20"/>
          <w:lang w:val="en-US"/>
        </w:rPr>
        <w:t>Plasmodium</w:t>
      </w:r>
      <w:r w:rsidRPr="0034170A">
        <w:rPr>
          <w:sz w:val="20"/>
          <w:szCs w:val="20"/>
          <w:lang w:val="en-US"/>
        </w:rPr>
        <w:t>, continues to be one of the most important parasitic diseases globally, especially in tropical and subtropical areas. Although blood smear microscopy has been the standard method for diagnosing malaria, antigen detection assays have become increasingly popular because they are quick, user-friendly, and capable of identifying low levels of parasitemia.</w:t>
      </w:r>
    </w:p>
    <w:p w:rsidR="00B313F6" w:rsidRPr="0034170A" w:rsidRDefault="00FF37F7" w:rsidP="00151AB1">
      <w:pPr>
        <w:pStyle w:val="NormalWeb"/>
        <w:numPr>
          <w:ilvl w:val="0"/>
          <w:numId w:val="23"/>
        </w:numPr>
        <w:spacing w:before="0" w:beforeAutospacing="0" w:after="0" w:afterAutospacing="0"/>
        <w:jc w:val="both"/>
        <w:rPr>
          <w:sz w:val="20"/>
          <w:szCs w:val="20"/>
          <w:lang w:val="en-US"/>
        </w:rPr>
      </w:pPr>
      <w:r w:rsidRPr="0034170A">
        <w:rPr>
          <w:rStyle w:val="Strong"/>
          <w:sz w:val="20"/>
          <w:szCs w:val="20"/>
        </w:rPr>
        <w:lastRenderedPageBreak/>
        <w:t>Methods:</w:t>
      </w:r>
      <w:r w:rsidRPr="0034170A">
        <w:rPr>
          <w:sz w:val="20"/>
          <w:szCs w:val="20"/>
        </w:rPr>
        <w:t xml:space="preserve"> </w:t>
      </w:r>
      <w:r w:rsidR="001C1FB2" w:rsidRPr="0034170A">
        <w:rPr>
          <w:sz w:val="20"/>
          <w:szCs w:val="20"/>
          <w:lang w:val="en-US"/>
        </w:rPr>
        <w:t xml:space="preserve">Malaria antigen detection is usually carried out with rapid diagnostic tests (RDTs) that identify specific antigens produced by </w:t>
      </w:r>
      <w:r w:rsidR="001C1FB2" w:rsidRPr="0034170A">
        <w:rPr>
          <w:i/>
          <w:iCs/>
          <w:sz w:val="20"/>
          <w:szCs w:val="20"/>
          <w:lang w:val="en-US"/>
        </w:rPr>
        <w:t>Plasmodium</w:t>
      </w:r>
      <w:r w:rsidR="001C1FB2" w:rsidRPr="0034170A">
        <w:rPr>
          <w:sz w:val="20"/>
          <w:szCs w:val="20"/>
          <w:lang w:val="en-US"/>
        </w:rPr>
        <w:t xml:space="preserve"> species during the erythrocytic phase of the infection. </w:t>
      </w:r>
      <w:r w:rsidR="00B313F6" w:rsidRPr="0034170A">
        <w:rPr>
          <w:sz w:val="20"/>
          <w:szCs w:val="20"/>
          <w:lang w:val="en-US"/>
        </w:rPr>
        <w:t xml:space="preserve">The most common antigens identified are histidine-rich protein 2 (HRP-2), specific to </w:t>
      </w:r>
      <w:r w:rsidR="00B313F6" w:rsidRPr="0034170A">
        <w:rPr>
          <w:i/>
          <w:iCs/>
          <w:sz w:val="20"/>
          <w:szCs w:val="20"/>
          <w:lang w:val="en-US"/>
        </w:rPr>
        <w:t>Plasmodium</w:t>
      </w:r>
      <w:r w:rsidR="00B313F6" w:rsidRPr="0034170A">
        <w:rPr>
          <w:sz w:val="20"/>
          <w:szCs w:val="20"/>
          <w:lang w:val="en-US"/>
        </w:rPr>
        <w:t xml:space="preserve"> </w:t>
      </w:r>
      <w:r w:rsidR="00B313F6" w:rsidRPr="0034170A">
        <w:rPr>
          <w:i/>
          <w:iCs/>
          <w:sz w:val="20"/>
          <w:szCs w:val="20"/>
          <w:lang w:val="en-US"/>
        </w:rPr>
        <w:t>falciparum</w:t>
      </w:r>
      <w:r w:rsidR="00B313F6" w:rsidRPr="0034170A">
        <w:rPr>
          <w:sz w:val="20"/>
          <w:szCs w:val="20"/>
          <w:lang w:val="en-US"/>
        </w:rPr>
        <w:t xml:space="preserve">, and lactate dehydrogenase (pLDH), which are present in all </w:t>
      </w:r>
      <w:r w:rsidR="00B313F6" w:rsidRPr="0034170A">
        <w:rPr>
          <w:i/>
          <w:iCs/>
          <w:sz w:val="20"/>
          <w:szCs w:val="20"/>
          <w:lang w:val="en-US"/>
        </w:rPr>
        <w:t>Plasmodium</w:t>
      </w:r>
      <w:r w:rsidR="00B313F6" w:rsidRPr="0034170A">
        <w:rPr>
          <w:sz w:val="20"/>
          <w:szCs w:val="20"/>
          <w:lang w:val="en-US"/>
        </w:rPr>
        <w:t xml:space="preserve"> species. RDTs are lateral flow assays that make use of antibodies to capture and visualize these antigens, producing a qualitative result within 15 to 30 minutes.</w:t>
      </w:r>
    </w:p>
    <w:p w:rsidR="00B313F6" w:rsidRPr="0034170A" w:rsidRDefault="00B313F6" w:rsidP="00151AB1">
      <w:pPr>
        <w:pStyle w:val="NormalWeb"/>
        <w:numPr>
          <w:ilvl w:val="0"/>
          <w:numId w:val="23"/>
        </w:numPr>
        <w:spacing w:before="0" w:beforeAutospacing="0" w:after="0" w:afterAutospacing="0"/>
        <w:jc w:val="both"/>
        <w:rPr>
          <w:sz w:val="20"/>
          <w:szCs w:val="20"/>
          <w:lang w:val="en-US"/>
        </w:rPr>
      </w:pPr>
      <w:r w:rsidRPr="0034170A">
        <w:rPr>
          <w:b/>
          <w:bCs/>
          <w:sz w:val="20"/>
          <w:szCs w:val="20"/>
          <w:lang w:val="en-US"/>
        </w:rPr>
        <w:t>Clinical Use</w:t>
      </w:r>
      <w:r w:rsidRPr="0034170A">
        <w:rPr>
          <w:sz w:val="20"/>
          <w:szCs w:val="20"/>
          <w:lang w:val="en-US"/>
        </w:rPr>
        <w:t xml:space="preserve">: Malaria RDTs are widely used for diagnosing malaria in endemic areas, especially in areas with limited laboratory facilities. They are very useful for the diagnosis of P. falciparum malaria since HRP-2-based RDTs have high sensitivity for this species. RDTs are also used in non-endemic areas to diagnose malaria cases in travelers returning from endemic areas. RDTs, however, have limited reliability for detecting </w:t>
      </w:r>
      <w:r w:rsidRPr="0034170A">
        <w:rPr>
          <w:i/>
          <w:iCs/>
          <w:sz w:val="20"/>
          <w:szCs w:val="20"/>
          <w:lang w:val="en-US"/>
        </w:rPr>
        <w:t>non</w:t>
      </w:r>
      <w:r w:rsidRPr="0034170A">
        <w:rPr>
          <w:sz w:val="20"/>
          <w:szCs w:val="20"/>
          <w:lang w:val="en-US"/>
        </w:rPr>
        <w:t>-</w:t>
      </w:r>
      <w:r w:rsidRPr="0034170A">
        <w:rPr>
          <w:i/>
          <w:iCs/>
          <w:sz w:val="20"/>
          <w:szCs w:val="20"/>
          <w:lang w:val="en-US"/>
        </w:rPr>
        <w:t>falciparum</w:t>
      </w:r>
      <w:r w:rsidRPr="0034170A">
        <w:rPr>
          <w:sz w:val="20"/>
          <w:szCs w:val="20"/>
          <w:lang w:val="en-US"/>
        </w:rPr>
        <w:t xml:space="preserve"> species and the gold standard still remains microscopy in the differentiation between species.</w:t>
      </w:r>
    </w:p>
    <w:p w:rsidR="00FF37F7" w:rsidRPr="0034170A" w:rsidRDefault="00B313F6" w:rsidP="00151AB1">
      <w:pPr>
        <w:pStyle w:val="NormalWeb"/>
        <w:numPr>
          <w:ilvl w:val="0"/>
          <w:numId w:val="23"/>
        </w:numPr>
        <w:spacing w:before="0" w:beforeAutospacing="0" w:after="0" w:afterAutospacing="0"/>
        <w:jc w:val="both"/>
        <w:rPr>
          <w:sz w:val="20"/>
          <w:szCs w:val="20"/>
        </w:rPr>
      </w:pPr>
      <w:r w:rsidRPr="0034170A">
        <w:rPr>
          <w:b/>
          <w:bCs/>
          <w:sz w:val="20"/>
          <w:szCs w:val="20"/>
          <w:lang w:val="en-US"/>
        </w:rPr>
        <w:t>Advantages</w:t>
      </w:r>
      <w:r w:rsidRPr="0034170A">
        <w:rPr>
          <w:sz w:val="20"/>
          <w:szCs w:val="20"/>
          <w:lang w:val="en-US"/>
        </w:rPr>
        <w:t>: Malaria RDTs are easy to use in the field without much training. While microscopy may not be used, among other things, in poor-resource settings, RDTs are the best alternative tool for malaria diagnosis. However, RDTs are not nearly as sensitive as microscopy for diagnosing a low-density infection, and false-negative results can occur in cases of low-density infections or HRP-2 deletions.</w:t>
      </w:r>
    </w:p>
    <w:p w:rsidR="00FF37F7" w:rsidRPr="0034170A" w:rsidRDefault="00FF37F7" w:rsidP="009A18F2">
      <w:pPr>
        <w:pStyle w:val="Heading5"/>
        <w:spacing w:before="0"/>
        <w:jc w:val="both"/>
        <w:rPr>
          <w:rFonts w:ascii="Times New Roman" w:hAnsi="Times New Roman" w:cs="Times New Roman"/>
          <w:sz w:val="20"/>
          <w:szCs w:val="20"/>
        </w:rPr>
      </w:pPr>
      <w:r w:rsidRPr="0034170A">
        <w:rPr>
          <w:rStyle w:val="Strong"/>
          <w:rFonts w:ascii="Times New Roman" w:hAnsi="Times New Roman" w:cs="Times New Roman"/>
          <w:b w:val="0"/>
          <w:bCs w:val="0"/>
          <w:sz w:val="20"/>
          <w:szCs w:val="20"/>
        </w:rPr>
        <w:t>Amoebiasis and Giardiasis Antigen Detection</w:t>
      </w:r>
    </w:p>
    <w:p w:rsidR="006D5C92" w:rsidRPr="0034170A" w:rsidRDefault="006D5C92" w:rsidP="009A18F2">
      <w:pPr>
        <w:pStyle w:val="NormalWeb"/>
        <w:spacing w:before="0" w:beforeAutospacing="0" w:after="0" w:afterAutospacing="0"/>
        <w:ind w:firstLine="720"/>
        <w:jc w:val="both"/>
        <w:rPr>
          <w:sz w:val="20"/>
          <w:szCs w:val="20"/>
          <w:lang w:val="en-US"/>
        </w:rPr>
      </w:pPr>
      <w:r w:rsidRPr="0034170A">
        <w:rPr>
          <w:sz w:val="20"/>
          <w:szCs w:val="20"/>
          <w:lang w:val="en-US"/>
        </w:rPr>
        <w:t xml:space="preserve">Amoebiasis and giardiasis are two of the most common parasitic infections affecting the gastrointestinal tract. They are caused by </w:t>
      </w:r>
      <w:r w:rsidRPr="0034170A">
        <w:rPr>
          <w:i/>
          <w:iCs/>
          <w:sz w:val="20"/>
          <w:szCs w:val="20"/>
          <w:lang w:val="en-US"/>
        </w:rPr>
        <w:t>Entamoeba histolytica</w:t>
      </w:r>
      <w:r w:rsidRPr="0034170A">
        <w:rPr>
          <w:sz w:val="20"/>
          <w:szCs w:val="20"/>
          <w:lang w:val="en-US"/>
        </w:rPr>
        <w:t xml:space="preserve"> and </w:t>
      </w:r>
      <w:r w:rsidRPr="0034170A">
        <w:rPr>
          <w:i/>
          <w:iCs/>
          <w:sz w:val="20"/>
          <w:szCs w:val="20"/>
          <w:lang w:val="en-US"/>
        </w:rPr>
        <w:t>Giardia lamblia</w:t>
      </w:r>
      <w:r w:rsidRPr="0034170A">
        <w:rPr>
          <w:sz w:val="20"/>
          <w:szCs w:val="20"/>
          <w:lang w:val="en-US"/>
        </w:rPr>
        <w:t>, respectively. Traditionally, microscopy of stool samples has been the standard method of diagnosing these infections. However, antigen detection assays have emerged as more sensitive and specific alternatives, especially when the parasites are present in low quantities.</w:t>
      </w:r>
    </w:p>
    <w:p w:rsidR="006D5C92" w:rsidRPr="0034170A" w:rsidRDefault="006D5C92" w:rsidP="00151AB1">
      <w:pPr>
        <w:pStyle w:val="NormalWeb"/>
        <w:numPr>
          <w:ilvl w:val="0"/>
          <w:numId w:val="24"/>
        </w:numPr>
        <w:spacing w:before="0" w:beforeAutospacing="0" w:after="0" w:afterAutospacing="0"/>
        <w:jc w:val="both"/>
        <w:rPr>
          <w:sz w:val="20"/>
          <w:szCs w:val="20"/>
          <w:lang w:val="en-US"/>
        </w:rPr>
      </w:pPr>
      <w:r w:rsidRPr="0034170A">
        <w:rPr>
          <w:b/>
          <w:bCs/>
          <w:sz w:val="20"/>
          <w:szCs w:val="20"/>
          <w:lang w:val="en-US"/>
        </w:rPr>
        <w:t>Methods</w:t>
      </w:r>
      <w:r w:rsidRPr="0034170A">
        <w:rPr>
          <w:sz w:val="20"/>
          <w:szCs w:val="20"/>
          <w:lang w:val="en-US"/>
        </w:rPr>
        <w:t xml:space="preserve">: Amoebiasis and giardiasis antigen detection is generally performed using ELISA or ICTs, which detect specific antigens of </w:t>
      </w:r>
      <w:r w:rsidRPr="0034170A">
        <w:rPr>
          <w:i/>
          <w:iCs/>
          <w:sz w:val="20"/>
          <w:szCs w:val="20"/>
          <w:lang w:val="en-US"/>
        </w:rPr>
        <w:t>E. histolytica</w:t>
      </w:r>
      <w:r w:rsidRPr="0034170A">
        <w:rPr>
          <w:sz w:val="20"/>
          <w:szCs w:val="20"/>
          <w:lang w:val="en-US"/>
        </w:rPr>
        <w:t xml:space="preserve"> or </w:t>
      </w:r>
      <w:r w:rsidRPr="0034170A">
        <w:rPr>
          <w:i/>
          <w:iCs/>
          <w:sz w:val="20"/>
          <w:szCs w:val="20"/>
          <w:lang w:val="en-US"/>
        </w:rPr>
        <w:t>G. lamblia</w:t>
      </w:r>
      <w:r w:rsidRPr="0034170A">
        <w:rPr>
          <w:sz w:val="20"/>
          <w:szCs w:val="20"/>
          <w:lang w:val="en-US"/>
        </w:rPr>
        <w:t xml:space="preserve"> in stool samples. These tests are highly sensitive and specific and give rapid results without the need for multiple stool samples or the skills of trained microscopists.</w:t>
      </w:r>
    </w:p>
    <w:p w:rsidR="006D5C92" w:rsidRPr="0034170A" w:rsidRDefault="006D5C92" w:rsidP="00151AB1">
      <w:pPr>
        <w:pStyle w:val="NormalWeb"/>
        <w:numPr>
          <w:ilvl w:val="0"/>
          <w:numId w:val="24"/>
        </w:numPr>
        <w:spacing w:before="0" w:beforeAutospacing="0" w:after="0" w:afterAutospacing="0"/>
        <w:jc w:val="both"/>
        <w:rPr>
          <w:sz w:val="20"/>
          <w:szCs w:val="20"/>
          <w:lang w:val="en-US"/>
        </w:rPr>
      </w:pPr>
      <w:r w:rsidRPr="0034170A">
        <w:rPr>
          <w:b/>
          <w:bCs/>
          <w:sz w:val="20"/>
          <w:szCs w:val="20"/>
          <w:lang w:val="en-US"/>
        </w:rPr>
        <w:t>Clinical Applications</w:t>
      </w:r>
      <w:r w:rsidRPr="0034170A">
        <w:rPr>
          <w:sz w:val="20"/>
          <w:szCs w:val="20"/>
          <w:lang w:val="en-US"/>
        </w:rPr>
        <w:t xml:space="preserve">: The antigen detection tests are used for the diagnosis of symptomatic as well as asymptomatic cases of amoebiasis and giardiasis, particularly when microscopy cannot be performed or relied upon. These tests are quite useful in differentiating pathogenic </w:t>
      </w:r>
      <w:r w:rsidRPr="0034170A">
        <w:rPr>
          <w:i/>
          <w:iCs/>
          <w:sz w:val="20"/>
          <w:szCs w:val="20"/>
          <w:lang w:val="en-US"/>
        </w:rPr>
        <w:t>E. histolytica</w:t>
      </w:r>
      <w:r w:rsidRPr="0034170A">
        <w:rPr>
          <w:sz w:val="20"/>
          <w:szCs w:val="20"/>
          <w:lang w:val="en-US"/>
        </w:rPr>
        <w:t xml:space="preserve"> from non-pathogenic </w:t>
      </w:r>
      <w:r w:rsidRPr="0034170A">
        <w:rPr>
          <w:i/>
          <w:iCs/>
          <w:sz w:val="20"/>
          <w:szCs w:val="20"/>
          <w:lang w:val="en-US"/>
        </w:rPr>
        <w:t>E. dispar</w:t>
      </w:r>
      <w:r w:rsidRPr="0034170A">
        <w:rPr>
          <w:sz w:val="20"/>
          <w:szCs w:val="20"/>
          <w:lang w:val="en-US"/>
        </w:rPr>
        <w:t xml:space="preserve">, which cannot be distinguished morphologically by microscope. The differentiation is very important because only </w:t>
      </w:r>
      <w:r w:rsidRPr="0034170A">
        <w:rPr>
          <w:i/>
          <w:iCs/>
          <w:sz w:val="20"/>
          <w:szCs w:val="20"/>
          <w:lang w:val="en-US"/>
        </w:rPr>
        <w:t>E. histolytica</w:t>
      </w:r>
      <w:r w:rsidRPr="0034170A">
        <w:rPr>
          <w:sz w:val="20"/>
          <w:szCs w:val="20"/>
          <w:lang w:val="en-US"/>
        </w:rPr>
        <w:t xml:space="preserve"> causes invasive disease and should be treated accordingly.</w:t>
      </w:r>
    </w:p>
    <w:p w:rsidR="00FF37F7" w:rsidRPr="0034170A" w:rsidRDefault="006D5C92" w:rsidP="00151AB1">
      <w:pPr>
        <w:pStyle w:val="NormalWeb"/>
        <w:numPr>
          <w:ilvl w:val="0"/>
          <w:numId w:val="24"/>
        </w:numPr>
        <w:spacing w:before="0" w:beforeAutospacing="0" w:after="0" w:afterAutospacing="0"/>
        <w:jc w:val="both"/>
        <w:rPr>
          <w:sz w:val="20"/>
          <w:szCs w:val="20"/>
        </w:rPr>
      </w:pPr>
      <w:r w:rsidRPr="0034170A">
        <w:rPr>
          <w:b/>
          <w:bCs/>
          <w:sz w:val="20"/>
          <w:szCs w:val="20"/>
          <w:lang w:val="en-US"/>
        </w:rPr>
        <w:t>Disadvantages</w:t>
      </w:r>
      <w:r w:rsidRPr="0034170A">
        <w:rPr>
          <w:sz w:val="20"/>
          <w:szCs w:val="20"/>
          <w:lang w:val="en-US"/>
        </w:rPr>
        <w:t>: Antigen-detecting immunoassays for amoebiasis and giardiasis are even more sensitive and specific than microscopial examination, specifically in the low-level infections' detection. On the other hand, they tend to be speedier and even easier to accomplish, which facilitates their use during routine diagnostic clinical laboratory and those with limited technological resources.</w:t>
      </w:r>
    </w:p>
    <w:p w:rsidR="00FF37F7" w:rsidRPr="0034170A" w:rsidRDefault="00FF37F7" w:rsidP="009A18F2">
      <w:pPr>
        <w:pStyle w:val="Heading3"/>
        <w:numPr>
          <w:ilvl w:val="1"/>
          <w:numId w:val="8"/>
        </w:numPr>
        <w:spacing w:before="0"/>
        <w:jc w:val="both"/>
        <w:rPr>
          <w:rFonts w:ascii="Times New Roman" w:hAnsi="Times New Roman" w:cs="Times New Roman"/>
          <w:sz w:val="20"/>
          <w:szCs w:val="20"/>
        </w:rPr>
      </w:pPr>
      <w:r w:rsidRPr="0034170A">
        <w:rPr>
          <w:rStyle w:val="Strong"/>
          <w:rFonts w:ascii="Times New Roman" w:hAnsi="Times New Roman" w:cs="Times New Roman"/>
          <w:b/>
          <w:bCs/>
          <w:sz w:val="20"/>
          <w:szCs w:val="20"/>
        </w:rPr>
        <w:t>Molecular Methods in Fungal and Parasitic Diagnostics</w:t>
      </w:r>
    </w:p>
    <w:p w:rsidR="006D5C92" w:rsidRPr="0034170A" w:rsidRDefault="006D5C92" w:rsidP="009A18F2">
      <w:pPr>
        <w:pStyle w:val="NormalWeb"/>
        <w:spacing w:before="0" w:beforeAutospacing="0" w:after="0" w:afterAutospacing="0"/>
        <w:ind w:firstLine="720"/>
        <w:jc w:val="both"/>
        <w:rPr>
          <w:sz w:val="20"/>
          <w:szCs w:val="20"/>
          <w:lang w:val="en-US"/>
        </w:rPr>
      </w:pPr>
      <w:r w:rsidRPr="0034170A">
        <w:rPr>
          <w:sz w:val="20"/>
          <w:szCs w:val="20"/>
          <w:lang w:val="en-US"/>
        </w:rPr>
        <w:t>Molecular methods have greatly revolutionized the diagnosis of fungal and parasitic infections. These techniques have high sensitivity and specificity and allow the detection of very small amounts of genetic material present in fungi or parasites from clinical samples. Molecular diagnostics are particularly useful where conventional methods such as culture, microscopy, or serology cannot be used effectively due to the presence of low pathogen levels, slow-growing organisms, or when distinguishing closely related species is problematic. Furthermore, molecular tests can identify resistance mutations associated with certain drugs and aid outbreak or transmission chain investigations through genotyping. Among the many molecular techniques applied in the diagnostics of fungi and parasites, the most commonly used ones are PCR and its variants along with nucleic acid hybridization techniques.</w:t>
      </w:r>
    </w:p>
    <w:p w:rsidR="00FF37F7" w:rsidRPr="0034170A" w:rsidRDefault="006D5C92" w:rsidP="009A18F2">
      <w:pPr>
        <w:pStyle w:val="NormalWeb"/>
        <w:spacing w:before="0" w:beforeAutospacing="0" w:after="0" w:afterAutospacing="0"/>
        <w:ind w:firstLine="720"/>
        <w:jc w:val="both"/>
        <w:rPr>
          <w:sz w:val="20"/>
          <w:szCs w:val="20"/>
        </w:rPr>
      </w:pPr>
      <w:r w:rsidRPr="0034170A">
        <w:rPr>
          <w:sz w:val="20"/>
          <w:szCs w:val="20"/>
          <w:lang w:val="en-US"/>
        </w:rPr>
        <w:t xml:space="preserve">These have become crucial tools in the diagnosis of a broad group of infections ranging from </w:t>
      </w:r>
      <w:r w:rsidRPr="0034170A">
        <w:rPr>
          <w:i/>
          <w:iCs/>
          <w:sz w:val="20"/>
          <w:szCs w:val="20"/>
          <w:lang w:val="en-US"/>
        </w:rPr>
        <w:t>Aspergillus</w:t>
      </w:r>
      <w:r w:rsidRPr="0034170A">
        <w:rPr>
          <w:sz w:val="20"/>
          <w:szCs w:val="20"/>
          <w:lang w:val="en-US"/>
        </w:rPr>
        <w:t xml:space="preserve">, </w:t>
      </w:r>
      <w:r w:rsidRPr="0034170A">
        <w:rPr>
          <w:i/>
          <w:iCs/>
          <w:sz w:val="20"/>
          <w:szCs w:val="20"/>
          <w:lang w:val="en-US"/>
        </w:rPr>
        <w:t>Candida</w:t>
      </w:r>
      <w:r w:rsidRPr="0034170A">
        <w:rPr>
          <w:sz w:val="20"/>
          <w:szCs w:val="20"/>
          <w:lang w:val="en-US"/>
        </w:rPr>
        <w:t xml:space="preserve">, </w:t>
      </w:r>
      <w:r w:rsidRPr="0034170A">
        <w:rPr>
          <w:i/>
          <w:iCs/>
          <w:sz w:val="20"/>
          <w:szCs w:val="20"/>
          <w:lang w:val="en-US"/>
        </w:rPr>
        <w:t>Plasmodium</w:t>
      </w:r>
      <w:r w:rsidRPr="0034170A">
        <w:rPr>
          <w:sz w:val="20"/>
          <w:szCs w:val="20"/>
          <w:lang w:val="en-US"/>
        </w:rPr>
        <w:t xml:space="preserve">, </w:t>
      </w:r>
      <w:r w:rsidRPr="0034170A">
        <w:rPr>
          <w:i/>
          <w:iCs/>
          <w:sz w:val="20"/>
          <w:szCs w:val="20"/>
          <w:lang w:val="en-US"/>
        </w:rPr>
        <w:t>Leishmania</w:t>
      </w:r>
      <w:r w:rsidRPr="0034170A">
        <w:rPr>
          <w:sz w:val="20"/>
          <w:szCs w:val="20"/>
          <w:lang w:val="en-US"/>
        </w:rPr>
        <w:t xml:space="preserve">, and </w:t>
      </w:r>
      <w:r w:rsidRPr="0034170A">
        <w:rPr>
          <w:i/>
          <w:iCs/>
          <w:sz w:val="20"/>
          <w:szCs w:val="20"/>
          <w:lang w:val="en-US"/>
        </w:rPr>
        <w:t>Toxoplasma</w:t>
      </w:r>
      <w:r w:rsidRPr="0034170A">
        <w:rPr>
          <w:sz w:val="20"/>
          <w:szCs w:val="20"/>
          <w:lang w:val="en-US"/>
        </w:rPr>
        <w:t>, among many others. This chapter will provide a comprehensive overview of molecular methods used for the detection of fungal and parasitic pathogens, including their clinical applications, benefits and limitations.</w:t>
      </w:r>
    </w:p>
    <w:p w:rsidR="00FF37F7" w:rsidRPr="0034170A" w:rsidRDefault="00FF37F7" w:rsidP="009A18F2">
      <w:pPr>
        <w:pStyle w:val="Heading4"/>
        <w:numPr>
          <w:ilvl w:val="2"/>
          <w:numId w:val="8"/>
        </w:numPr>
        <w:spacing w:before="0"/>
        <w:jc w:val="both"/>
        <w:rPr>
          <w:rFonts w:ascii="Times New Roman" w:hAnsi="Times New Roman" w:cs="Times New Roman"/>
          <w:i w:val="0"/>
          <w:iCs w:val="0"/>
          <w:sz w:val="20"/>
          <w:szCs w:val="20"/>
        </w:rPr>
      </w:pPr>
      <w:r w:rsidRPr="0034170A">
        <w:rPr>
          <w:rStyle w:val="Strong"/>
          <w:rFonts w:ascii="Times New Roman" w:hAnsi="Times New Roman" w:cs="Times New Roman"/>
          <w:b/>
          <w:bCs/>
          <w:i w:val="0"/>
          <w:iCs w:val="0"/>
          <w:sz w:val="20"/>
          <w:szCs w:val="20"/>
        </w:rPr>
        <w:t>Polymerase Chain Reaction (PCR) and Variants</w:t>
      </w:r>
    </w:p>
    <w:p w:rsidR="006D5C92" w:rsidRPr="0034170A" w:rsidRDefault="006D5C92" w:rsidP="009A18F2">
      <w:pPr>
        <w:pStyle w:val="NormalWeb"/>
        <w:spacing w:before="0" w:beforeAutospacing="0" w:after="0" w:afterAutospacing="0"/>
        <w:ind w:firstLine="720"/>
        <w:jc w:val="both"/>
        <w:rPr>
          <w:sz w:val="20"/>
          <w:szCs w:val="20"/>
          <w:lang w:val="en-US"/>
        </w:rPr>
      </w:pPr>
      <w:r w:rsidRPr="0034170A">
        <w:rPr>
          <w:sz w:val="20"/>
          <w:szCs w:val="20"/>
          <w:lang w:val="en-US"/>
        </w:rPr>
        <w:t>PCR stands for polymerase chain reaction, which is an extremely potent and popular molecular technique used in the amplification of specific DNA sequences or RNA sequences in clinical samples to detect very minute amounts of pathogens. This technique involves cycles of heating and cooling to denature the DNA, anneal primers to DNA, and extend DNA strands in the presence of a DNA polymerase enzyme. The exponential amplification makes it possible to detect targeted sequences with great sensitivity.</w:t>
      </w:r>
    </w:p>
    <w:p w:rsidR="00FF37F7" w:rsidRPr="0034170A" w:rsidRDefault="006D5C92" w:rsidP="009A18F2">
      <w:pPr>
        <w:pStyle w:val="NormalWeb"/>
        <w:spacing w:before="0" w:beforeAutospacing="0" w:after="0" w:afterAutospacing="0"/>
        <w:ind w:firstLine="720"/>
        <w:jc w:val="both"/>
        <w:rPr>
          <w:sz w:val="20"/>
          <w:szCs w:val="20"/>
        </w:rPr>
      </w:pPr>
      <w:r w:rsidRPr="0034170A">
        <w:rPr>
          <w:sz w:val="20"/>
          <w:szCs w:val="20"/>
          <w:lang w:val="en-US"/>
        </w:rPr>
        <w:t>Several variants of PCR have been developed to enhance its diagnostic capability, including real-time PCR, reverse transcription PCR, and multiplex PCR, each with specific advantages for diagnosing fungal and parasitic infections.</w:t>
      </w:r>
    </w:p>
    <w:p w:rsidR="00FF37F7" w:rsidRPr="0034170A" w:rsidRDefault="00FF37F7" w:rsidP="009A18F2">
      <w:pPr>
        <w:pStyle w:val="Heading5"/>
        <w:spacing w:before="0"/>
        <w:jc w:val="both"/>
        <w:rPr>
          <w:rFonts w:ascii="Times New Roman" w:hAnsi="Times New Roman" w:cs="Times New Roman"/>
          <w:sz w:val="20"/>
          <w:szCs w:val="20"/>
        </w:rPr>
      </w:pPr>
      <w:r w:rsidRPr="0034170A">
        <w:rPr>
          <w:rStyle w:val="Strong"/>
          <w:rFonts w:ascii="Times New Roman" w:hAnsi="Times New Roman" w:cs="Times New Roman"/>
          <w:b w:val="0"/>
          <w:bCs w:val="0"/>
          <w:sz w:val="20"/>
          <w:szCs w:val="20"/>
        </w:rPr>
        <w:lastRenderedPageBreak/>
        <w:t>Conventional PCR</w:t>
      </w:r>
    </w:p>
    <w:p w:rsidR="006D5C92" w:rsidRPr="0034170A" w:rsidRDefault="006D5C92" w:rsidP="009A18F2">
      <w:pPr>
        <w:pStyle w:val="NormalWeb"/>
        <w:spacing w:before="0" w:beforeAutospacing="0" w:after="0" w:afterAutospacing="0"/>
        <w:ind w:firstLine="720"/>
        <w:jc w:val="both"/>
        <w:rPr>
          <w:sz w:val="20"/>
          <w:szCs w:val="20"/>
        </w:rPr>
      </w:pPr>
      <w:r w:rsidRPr="0034170A">
        <w:rPr>
          <w:sz w:val="20"/>
          <w:szCs w:val="20"/>
        </w:rPr>
        <w:t>The basic version of the technique is conventional PCR, wherein the focus is mainly on amplifying a particular DNA sequence along with the identification of an amplified product by gel electrophoresis. After staining it with a dye like ethidium bromide, the bands are visualized under UV light. This is also effective but involves more handling after amplification and may take more time.</w:t>
      </w:r>
    </w:p>
    <w:p w:rsidR="006D5C92" w:rsidRPr="0034170A" w:rsidRDefault="006D5C92" w:rsidP="00151AB1">
      <w:pPr>
        <w:pStyle w:val="NormalWeb"/>
        <w:numPr>
          <w:ilvl w:val="0"/>
          <w:numId w:val="25"/>
        </w:numPr>
        <w:spacing w:before="0" w:beforeAutospacing="0" w:after="0" w:afterAutospacing="0"/>
        <w:jc w:val="both"/>
        <w:rPr>
          <w:sz w:val="20"/>
          <w:szCs w:val="20"/>
        </w:rPr>
      </w:pPr>
      <w:r w:rsidRPr="0034170A">
        <w:rPr>
          <w:b/>
          <w:bCs/>
          <w:sz w:val="20"/>
          <w:szCs w:val="20"/>
        </w:rPr>
        <w:t>Clinical Applications</w:t>
      </w:r>
      <w:r w:rsidRPr="0034170A">
        <w:rPr>
          <w:sz w:val="20"/>
          <w:szCs w:val="20"/>
        </w:rPr>
        <w:t xml:space="preserve">: Conventionally, the PCR is found to be one of the basic tools in parasite infection diagnosis in toxoplasmosis, leishmaniasis, malaria, trypanosomiasis and many more. In fungal pathology, PCR, as well provides a means by which one might identify the organism </w:t>
      </w:r>
      <w:r w:rsidRPr="0034170A">
        <w:rPr>
          <w:i/>
          <w:iCs/>
          <w:sz w:val="20"/>
          <w:szCs w:val="20"/>
        </w:rPr>
        <w:t>Aspergillus</w:t>
      </w:r>
      <w:r w:rsidRPr="0034170A">
        <w:rPr>
          <w:sz w:val="20"/>
          <w:szCs w:val="20"/>
        </w:rPr>
        <w:t xml:space="preserve">, </w:t>
      </w:r>
      <w:r w:rsidRPr="0034170A">
        <w:rPr>
          <w:i/>
          <w:iCs/>
          <w:sz w:val="20"/>
          <w:szCs w:val="20"/>
        </w:rPr>
        <w:t>Candida</w:t>
      </w:r>
      <w:r w:rsidRPr="0034170A">
        <w:rPr>
          <w:sz w:val="20"/>
          <w:szCs w:val="20"/>
        </w:rPr>
        <w:t xml:space="preserve">, </w:t>
      </w:r>
      <w:r w:rsidRPr="0034170A">
        <w:rPr>
          <w:i/>
          <w:iCs/>
          <w:sz w:val="20"/>
          <w:szCs w:val="20"/>
        </w:rPr>
        <w:t>Cryptococcus</w:t>
      </w:r>
      <w:r w:rsidRPr="0034170A">
        <w:rPr>
          <w:sz w:val="20"/>
          <w:szCs w:val="20"/>
        </w:rPr>
        <w:t xml:space="preserve"> species, and </w:t>
      </w:r>
      <w:r w:rsidRPr="0034170A">
        <w:rPr>
          <w:i/>
          <w:iCs/>
          <w:sz w:val="20"/>
          <w:szCs w:val="20"/>
        </w:rPr>
        <w:t>histoplasma</w:t>
      </w:r>
      <w:r w:rsidRPr="0034170A">
        <w:rPr>
          <w:sz w:val="20"/>
          <w:szCs w:val="20"/>
        </w:rPr>
        <w:t xml:space="preserve"> species. </w:t>
      </w:r>
      <w:r w:rsidRPr="0034170A">
        <w:rPr>
          <w:i/>
          <w:iCs/>
          <w:sz w:val="20"/>
          <w:szCs w:val="20"/>
        </w:rPr>
        <w:t>Pneumocystis</w:t>
      </w:r>
      <w:r w:rsidRPr="0034170A">
        <w:rPr>
          <w:sz w:val="20"/>
          <w:szCs w:val="20"/>
        </w:rPr>
        <w:t xml:space="preserve"> </w:t>
      </w:r>
      <w:r w:rsidRPr="0034170A">
        <w:rPr>
          <w:i/>
          <w:iCs/>
          <w:sz w:val="20"/>
          <w:szCs w:val="20"/>
        </w:rPr>
        <w:t>jirovecii</w:t>
      </w:r>
      <w:r w:rsidRPr="0034170A">
        <w:rPr>
          <w:sz w:val="20"/>
          <w:szCs w:val="20"/>
        </w:rPr>
        <w:t xml:space="preserve"> ribosomal PCR assays are basically essential in cases of PCP in immunosuppressed persons.</w:t>
      </w:r>
    </w:p>
    <w:p w:rsidR="00FF37F7" w:rsidRPr="0034170A" w:rsidRDefault="006D5C92" w:rsidP="00151AB1">
      <w:pPr>
        <w:pStyle w:val="NormalWeb"/>
        <w:numPr>
          <w:ilvl w:val="0"/>
          <w:numId w:val="25"/>
        </w:numPr>
        <w:spacing w:before="0" w:beforeAutospacing="0" w:after="0" w:afterAutospacing="0"/>
        <w:jc w:val="both"/>
        <w:rPr>
          <w:sz w:val="20"/>
          <w:szCs w:val="20"/>
        </w:rPr>
      </w:pPr>
      <w:r w:rsidRPr="0034170A">
        <w:rPr>
          <w:b/>
          <w:bCs/>
          <w:sz w:val="20"/>
          <w:szCs w:val="20"/>
        </w:rPr>
        <w:t>Advantages and Limitations</w:t>
      </w:r>
      <w:r w:rsidRPr="0034170A">
        <w:rPr>
          <w:sz w:val="20"/>
          <w:szCs w:val="20"/>
        </w:rPr>
        <w:t xml:space="preserve">: The main advantage of conventional PCR is its high sensitivity, which enables it to detect pathogens that are difficult or slow to grow in culture, such as </w:t>
      </w:r>
      <w:r w:rsidRPr="0034170A">
        <w:rPr>
          <w:i/>
          <w:iCs/>
          <w:sz w:val="20"/>
          <w:szCs w:val="20"/>
        </w:rPr>
        <w:t>Histoplasma</w:t>
      </w:r>
      <w:r w:rsidRPr="0034170A">
        <w:rPr>
          <w:sz w:val="20"/>
          <w:szCs w:val="20"/>
        </w:rPr>
        <w:t xml:space="preserve"> or </w:t>
      </w:r>
      <w:r w:rsidRPr="0034170A">
        <w:rPr>
          <w:i/>
          <w:iCs/>
          <w:sz w:val="20"/>
          <w:szCs w:val="20"/>
        </w:rPr>
        <w:t>Leishmania</w:t>
      </w:r>
      <w:r w:rsidRPr="0034170A">
        <w:rPr>
          <w:sz w:val="20"/>
          <w:szCs w:val="20"/>
        </w:rPr>
        <w:t>. However, conventional PCR can be laborious, prone to contamination, and usually only gives qualitative results unless further modifications are done. For these reasons, it is not as well-suited for routine diagnostics compared to more advanced PCR techniques.</w:t>
      </w:r>
    </w:p>
    <w:p w:rsidR="00FF37F7" w:rsidRPr="0034170A" w:rsidRDefault="00FF37F7" w:rsidP="009A18F2">
      <w:pPr>
        <w:pStyle w:val="Heading5"/>
        <w:spacing w:before="0"/>
        <w:jc w:val="both"/>
        <w:rPr>
          <w:rFonts w:ascii="Times New Roman" w:hAnsi="Times New Roman" w:cs="Times New Roman"/>
          <w:sz w:val="20"/>
          <w:szCs w:val="20"/>
        </w:rPr>
      </w:pPr>
      <w:r w:rsidRPr="0034170A">
        <w:rPr>
          <w:rStyle w:val="Strong"/>
          <w:rFonts w:ascii="Times New Roman" w:hAnsi="Times New Roman" w:cs="Times New Roman"/>
          <w:b w:val="0"/>
          <w:bCs w:val="0"/>
          <w:sz w:val="20"/>
          <w:szCs w:val="20"/>
        </w:rPr>
        <w:t>Real-Time PCR (qPCR)</w:t>
      </w:r>
    </w:p>
    <w:p w:rsidR="009E0A83" w:rsidRPr="0034170A" w:rsidRDefault="009E0A83" w:rsidP="009A18F2">
      <w:pPr>
        <w:pStyle w:val="NormalWeb"/>
        <w:spacing w:before="0" w:beforeAutospacing="0" w:after="0" w:afterAutospacing="0"/>
        <w:ind w:firstLine="720"/>
        <w:jc w:val="both"/>
        <w:rPr>
          <w:sz w:val="20"/>
          <w:szCs w:val="20"/>
          <w:lang w:val="en-US"/>
        </w:rPr>
      </w:pPr>
      <w:r w:rsidRPr="0034170A">
        <w:rPr>
          <w:sz w:val="20"/>
          <w:szCs w:val="20"/>
          <w:lang w:val="en-US"/>
        </w:rPr>
        <w:t>Real-time PCR, or quantitative PCR (qPCR), is an improved version of PCR that allows for the real-time monitoring of DNA amplification. This is achieved by using fluorescent probes or dyes that bind to the amplified DNA throughout the reaction, producing a fluorescent signal that increases with the increase in DNA concentration. The amplification process is monitored in real time with specific equipment, providing both qualitative and quantitative information.</w:t>
      </w:r>
    </w:p>
    <w:p w:rsidR="009E0A83" w:rsidRPr="0034170A" w:rsidRDefault="009E0A83" w:rsidP="00151AB1">
      <w:pPr>
        <w:pStyle w:val="NormalWeb"/>
        <w:numPr>
          <w:ilvl w:val="0"/>
          <w:numId w:val="26"/>
        </w:numPr>
        <w:spacing w:before="0" w:beforeAutospacing="0" w:after="0" w:afterAutospacing="0"/>
        <w:jc w:val="both"/>
        <w:rPr>
          <w:sz w:val="20"/>
          <w:szCs w:val="20"/>
          <w:lang w:val="en-US"/>
        </w:rPr>
      </w:pPr>
      <w:r w:rsidRPr="0034170A">
        <w:rPr>
          <w:b/>
          <w:bCs/>
          <w:sz w:val="20"/>
          <w:szCs w:val="20"/>
          <w:lang w:val="en-US"/>
        </w:rPr>
        <w:t>Clinical Applications</w:t>
      </w:r>
      <w:r w:rsidRPr="0034170A">
        <w:rPr>
          <w:sz w:val="20"/>
          <w:szCs w:val="20"/>
          <w:lang w:val="en-US"/>
        </w:rPr>
        <w:t xml:space="preserve">: Real-time PCR is used in the diagnosis of invasive fungal infections, especially in immunocompromised patients. For example, qPCR tests targeting the </w:t>
      </w:r>
      <w:r w:rsidRPr="0034170A">
        <w:rPr>
          <w:i/>
          <w:iCs/>
          <w:sz w:val="20"/>
          <w:szCs w:val="20"/>
          <w:lang w:val="en-US"/>
        </w:rPr>
        <w:t>Aspergillus</w:t>
      </w:r>
      <w:r w:rsidRPr="0034170A">
        <w:rPr>
          <w:sz w:val="20"/>
          <w:szCs w:val="20"/>
          <w:lang w:val="en-US"/>
        </w:rPr>
        <w:t xml:space="preserve"> 28S ribosomal RNA gene are widely used to diagnose invasive aspergillosis, which is more sensitive than traditional culture methods. In parasitology, qPCR is widely used to detect </w:t>
      </w:r>
      <w:r w:rsidRPr="0034170A">
        <w:rPr>
          <w:i/>
          <w:iCs/>
          <w:sz w:val="20"/>
          <w:szCs w:val="20"/>
          <w:lang w:val="en-US"/>
        </w:rPr>
        <w:t>Plasmodium</w:t>
      </w:r>
      <w:r w:rsidRPr="0034170A">
        <w:rPr>
          <w:sz w:val="20"/>
          <w:szCs w:val="20"/>
          <w:lang w:val="en-US"/>
        </w:rPr>
        <w:t xml:space="preserve"> species in malaria patients. This is when the parasitemia is very low, and microscopic identification can be missed. Tests for </w:t>
      </w:r>
      <w:r w:rsidRPr="0034170A">
        <w:rPr>
          <w:i/>
          <w:iCs/>
          <w:sz w:val="20"/>
          <w:szCs w:val="20"/>
          <w:lang w:val="en-US"/>
        </w:rPr>
        <w:t>Leishmania</w:t>
      </w:r>
      <w:r w:rsidRPr="0034170A">
        <w:rPr>
          <w:sz w:val="20"/>
          <w:szCs w:val="20"/>
          <w:lang w:val="en-US"/>
        </w:rPr>
        <w:t xml:space="preserve"> and </w:t>
      </w:r>
      <w:r w:rsidRPr="0034170A">
        <w:rPr>
          <w:i/>
          <w:iCs/>
          <w:sz w:val="20"/>
          <w:szCs w:val="20"/>
          <w:lang w:val="en-US"/>
        </w:rPr>
        <w:t>Toxoplasma</w:t>
      </w:r>
      <w:r w:rsidRPr="0034170A">
        <w:rPr>
          <w:sz w:val="20"/>
          <w:szCs w:val="20"/>
          <w:lang w:val="en-US"/>
        </w:rPr>
        <w:t xml:space="preserve"> </w:t>
      </w:r>
      <w:r w:rsidRPr="0034170A">
        <w:rPr>
          <w:i/>
          <w:iCs/>
          <w:sz w:val="20"/>
          <w:szCs w:val="20"/>
          <w:lang w:val="en-US"/>
        </w:rPr>
        <w:t>gondii</w:t>
      </w:r>
      <w:r w:rsidRPr="0034170A">
        <w:rPr>
          <w:sz w:val="20"/>
          <w:szCs w:val="20"/>
          <w:lang w:val="en-US"/>
        </w:rPr>
        <w:t xml:space="preserve"> using qPCR have shown high sensitivity for the diagnosis of leishmaniasis and toxoplasmosis.</w:t>
      </w:r>
    </w:p>
    <w:p w:rsidR="009E0A83" w:rsidRPr="0034170A" w:rsidRDefault="009E0A83" w:rsidP="00151AB1">
      <w:pPr>
        <w:pStyle w:val="NormalWeb"/>
        <w:numPr>
          <w:ilvl w:val="0"/>
          <w:numId w:val="26"/>
        </w:numPr>
        <w:spacing w:before="0" w:beforeAutospacing="0" w:after="0" w:afterAutospacing="0"/>
        <w:jc w:val="both"/>
        <w:rPr>
          <w:sz w:val="20"/>
          <w:szCs w:val="20"/>
          <w:lang w:val="en-US"/>
        </w:rPr>
      </w:pPr>
      <w:r w:rsidRPr="0034170A">
        <w:rPr>
          <w:b/>
          <w:bCs/>
          <w:sz w:val="20"/>
          <w:szCs w:val="20"/>
          <w:lang w:val="en-US"/>
        </w:rPr>
        <w:t>Advantages</w:t>
      </w:r>
      <w:r w:rsidRPr="0034170A">
        <w:rPr>
          <w:sz w:val="20"/>
          <w:szCs w:val="20"/>
          <w:lang w:val="en-US"/>
        </w:rPr>
        <w:t>: Real-time PCR has a higher advantage over conventional PCR as it provides results faster and involves less risk of contamination, allows quantification of pathogen load, which can be used for clinical indication of disease progression or treatment response. More automated than traditional PCR, allowing for higher throughput and less hands-on time. In addition, qPCR has the advantage of identifying a wide range of pathogens including mixed infections; thus, being a flexible tool in diagnosing fungal and parasitic infections.</w:t>
      </w:r>
    </w:p>
    <w:p w:rsidR="00FF37F7" w:rsidRPr="0034170A" w:rsidRDefault="009E0A83" w:rsidP="00151AB1">
      <w:pPr>
        <w:pStyle w:val="NormalWeb"/>
        <w:numPr>
          <w:ilvl w:val="0"/>
          <w:numId w:val="26"/>
        </w:numPr>
        <w:spacing w:before="0" w:beforeAutospacing="0" w:after="0" w:afterAutospacing="0"/>
        <w:jc w:val="both"/>
        <w:rPr>
          <w:sz w:val="20"/>
          <w:szCs w:val="20"/>
        </w:rPr>
      </w:pPr>
      <w:r w:rsidRPr="0034170A">
        <w:rPr>
          <w:b/>
          <w:bCs/>
          <w:sz w:val="20"/>
          <w:szCs w:val="20"/>
          <w:lang w:val="en-US"/>
        </w:rPr>
        <w:t>Limitations</w:t>
      </w:r>
      <w:r w:rsidRPr="0034170A">
        <w:rPr>
          <w:sz w:val="20"/>
          <w:szCs w:val="20"/>
          <w:lang w:val="en-US"/>
        </w:rPr>
        <w:t>: The most significant disadvantage of qPCR is that it requires expensive equipment and reagents that may not be accessible in resource-poor settings. In addition, the assay is susceptible to false positives because of contamination or non-specific amplification; however, using specific probes reduces the problem. Lastly, although qPCR provides information on the amount of pathogen load, it does not offer information on the viability of the organisms detected.</w:t>
      </w:r>
    </w:p>
    <w:p w:rsidR="00FF37F7" w:rsidRPr="0034170A" w:rsidRDefault="00FF37F7" w:rsidP="009A18F2">
      <w:pPr>
        <w:pStyle w:val="Heading5"/>
        <w:spacing w:before="0"/>
        <w:jc w:val="both"/>
        <w:rPr>
          <w:rFonts w:ascii="Times New Roman" w:hAnsi="Times New Roman" w:cs="Times New Roman"/>
          <w:sz w:val="20"/>
          <w:szCs w:val="20"/>
        </w:rPr>
      </w:pPr>
      <w:r w:rsidRPr="0034170A">
        <w:rPr>
          <w:rStyle w:val="Strong"/>
          <w:rFonts w:ascii="Times New Roman" w:hAnsi="Times New Roman" w:cs="Times New Roman"/>
          <w:b w:val="0"/>
          <w:bCs w:val="0"/>
          <w:sz w:val="20"/>
          <w:szCs w:val="20"/>
        </w:rPr>
        <w:t>Reverse Transcription PCR (RT-PCR)</w:t>
      </w:r>
    </w:p>
    <w:p w:rsidR="009E0A83" w:rsidRPr="0034170A" w:rsidRDefault="009E0A83" w:rsidP="009A18F2">
      <w:pPr>
        <w:pStyle w:val="NormalWeb"/>
        <w:spacing w:before="0" w:beforeAutospacing="0" w:after="0" w:afterAutospacing="0"/>
        <w:ind w:firstLine="720"/>
        <w:jc w:val="both"/>
        <w:rPr>
          <w:sz w:val="20"/>
          <w:szCs w:val="20"/>
          <w:lang w:val="en-US"/>
        </w:rPr>
      </w:pPr>
      <w:r w:rsidRPr="0034170A">
        <w:rPr>
          <w:sz w:val="20"/>
          <w:szCs w:val="20"/>
          <w:lang w:val="en-US"/>
        </w:rPr>
        <w:t>Reverse transcription PCR (RT-PCR) is a technique for the identification of RNA viruses or RNA-based organisms. It works by first converting RNA into complementary DNA (cDNA) using the enzyme reverse transcriptase and then amplifies it through conventional or real-time PCR methods. RT-PCR is particularly efficient for the detection of RNA viruses and for organisms that produce RNA transcripts during active infections.</w:t>
      </w:r>
    </w:p>
    <w:p w:rsidR="009E0A83" w:rsidRPr="0034170A" w:rsidRDefault="009E0A83" w:rsidP="00151AB1">
      <w:pPr>
        <w:pStyle w:val="NormalWeb"/>
        <w:numPr>
          <w:ilvl w:val="0"/>
          <w:numId w:val="27"/>
        </w:numPr>
        <w:spacing w:before="0" w:beforeAutospacing="0" w:after="0" w:afterAutospacing="0"/>
        <w:jc w:val="both"/>
        <w:rPr>
          <w:sz w:val="20"/>
          <w:szCs w:val="20"/>
          <w:lang w:val="en-US"/>
        </w:rPr>
      </w:pPr>
      <w:r w:rsidRPr="0034170A">
        <w:rPr>
          <w:b/>
          <w:bCs/>
          <w:sz w:val="20"/>
          <w:szCs w:val="20"/>
          <w:lang w:val="en-US"/>
        </w:rPr>
        <w:t>Clinical Applications</w:t>
      </w:r>
      <w:r w:rsidRPr="0034170A">
        <w:rPr>
          <w:sz w:val="20"/>
          <w:szCs w:val="20"/>
          <w:lang w:val="en-US"/>
        </w:rPr>
        <w:t xml:space="preserve">: RT-PCR is especially useful in the diagnosis of parasitic infections where RNA markers provide more informative data as compared to DNA. It is also used in the diagnosis of fungal infections for identifying fungal RNA in tissue or fluid, which indicates active infection. For example, it has been used to detect </w:t>
      </w:r>
      <w:r w:rsidRPr="0034170A">
        <w:rPr>
          <w:i/>
          <w:iCs/>
          <w:sz w:val="20"/>
          <w:szCs w:val="20"/>
          <w:lang w:val="en-US"/>
        </w:rPr>
        <w:t>Leishmania</w:t>
      </w:r>
      <w:r w:rsidRPr="0034170A">
        <w:rPr>
          <w:sz w:val="20"/>
          <w:szCs w:val="20"/>
          <w:lang w:val="en-US"/>
        </w:rPr>
        <w:t xml:space="preserve"> and </w:t>
      </w:r>
      <w:r w:rsidRPr="0034170A">
        <w:rPr>
          <w:i/>
          <w:iCs/>
          <w:sz w:val="20"/>
          <w:szCs w:val="20"/>
          <w:lang w:val="en-US"/>
        </w:rPr>
        <w:t>Toxoplasma</w:t>
      </w:r>
      <w:r w:rsidRPr="0034170A">
        <w:rPr>
          <w:sz w:val="20"/>
          <w:szCs w:val="20"/>
          <w:lang w:val="en-US"/>
        </w:rPr>
        <w:t xml:space="preserve"> infection where RNA markers give an added dimension of diagnostic information.</w:t>
      </w:r>
    </w:p>
    <w:p w:rsidR="009E0A83" w:rsidRPr="0034170A" w:rsidRDefault="009E0A83" w:rsidP="00151AB1">
      <w:pPr>
        <w:pStyle w:val="NormalWeb"/>
        <w:numPr>
          <w:ilvl w:val="0"/>
          <w:numId w:val="27"/>
        </w:numPr>
        <w:spacing w:before="0" w:beforeAutospacing="0" w:after="0" w:afterAutospacing="0"/>
        <w:jc w:val="both"/>
        <w:rPr>
          <w:sz w:val="20"/>
          <w:szCs w:val="20"/>
          <w:lang w:val="en-US"/>
        </w:rPr>
      </w:pPr>
      <w:r w:rsidRPr="0034170A">
        <w:rPr>
          <w:b/>
          <w:bCs/>
          <w:sz w:val="20"/>
          <w:szCs w:val="20"/>
          <w:lang w:val="en-US"/>
        </w:rPr>
        <w:t>Advantages</w:t>
      </w:r>
      <w:r w:rsidRPr="0034170A">
        <w:rPr>
          <w:sz w:val="20"/>
          <w:szCs w:val="20"/>
          <w:lang w:val="en-US"/>
        </w:rPr>
        <w:t>: RT-PCR can detect active infections by identifying RNA transcripts produced by pathogens during their replication phase. This is especially useful in differentiating between active and past infections. Moreover, RT-PCR has high sensitivity and specificity, which makes it a valuable diagnostic tool for early detection of rapidly progressing diseases.</w:t>
      </w:r>
    </w:p>
    <w:p w:rsidR="00FF37F7" w:rsidRPr="0034170A" w:rsidRDefault="009E0A83" w:rsidP="00151AB1">
      <w:pPr>
        <w:pStyle w:val="NormalWeb"/>
        <w:numPr>
          <w:ilvl w:val="0"/>
          <w:numId w:val="27"/>
        </w:numPr>
        <w:spacing w:before="0" w:beforeAutospacing="0" w:after="0" w:afterAutospacing="0"/>
        <w:jc w:val="both"/>
        <w:rPr>
          <w:sz w:val="20"/>
          <w:szCs w:val="20"/>
        </w:rPr>
      </w:pPr>
      <w:r w:rsidRPr="0034170A">
        <w:rPr>
          <w:b/>
          <w:bCs/>
          <w:sz w:val="20"/>
          <w:szCs w:val="20"/>
          <w:lang w:val="en-US"/>
        </w:rPr>
        <w:t>Limitations</w:t>
      </w:r>
      <w:r w:rsidRPr="0034170A">
        <w:rPr>
          <w:sz w:val="20"/>
          <w:szCs w:val="20"/>
          <w:lang w:val="en-US"/>
        </w:rPr>
        <w:t>: Like qPCR, RT-PCR requires expensive equipment and reagents, making it less practical for use in resource-poor settings. The reverse transcription step also makes the process more laborious and more prone to mistakes.</w:t>
      </w:r>
    </w:p>
    <w:p w:rsidR="00FF37F7" w:rsidRPr="0034170A" w:rsidRDefault="00FF37F7" w:rsidP="009A18F2">
      <w:pPr>
        <w:pStyle w:val="Heading5"/>
        <w:spacing w:before="0"/>
        <w:jc w:val="both"/>
        <w:rPr>
          <w:rFonts w:ascii="Times New Roman" w:hAnsi="Times New Roman" w:cs="Times New Roman"/>
          <w:sz w:val="20"/>
          <w:szCs w:val="20"/>
        </w:rPr>
      </w:pPr>
      <w:r w:rsidRPr="0034170A">
        <w:rPr>
          <w:rStyle w:val="Strong"/>
          <w:rFonts w:ascii="Times New Roman" w:hAnsi="Times New Roman" w:cs="Times New Roman"/>
          <w:b w:val="0"/>
          <w:bCs w:val="0"/>
          <w:sz w:val="20"/>
          <w:szCs w:val="20"/>
        </w:rPr>
        <w:t>Multiplex PCR</w:t>
      </w:r>
    </w:p>
    <w:p w:rsidR="009E0A83" w:rsidRPr="0034170A" w:rsidRDefault="009E0A83" w:rsidP="009A18F2">
      <w:pPr>
        <w:pStyle w:val="NormalWeb"/>
        <w:spacing w:before="0" w:beforeAutospacing="0" w:after="0" w:afterAutospacing="0"/>
        <w:ind w:firstLine="720"/>
        <w:jc w:val="both"/>
        <w:rPr>
          <w:sz w:val="20"/>
          <w:szCs w:val="20"/>
          <w:lang w:val="en-US"/>
        </w:rPr>
      </w:pPr>
      <w:r w:rsidRPr="0034170A">
        <w:rPr>
          <w:sz w:val="20"/>
          <w:szCs w:val="20"/>
          <w:lang w:val="en-US"/>
        </w:rPr>
        <w:t>Multiplex PCR is a specialized form of PCR that allows the amplification of several target sequences in a single reaction. This is achieved by using multiple sets of primers, each designed for a specific pathogen or gene of interest, thereby allowing the detection of different organisms or resistance markers in one test.</w:t>
      </w:r>
    </w:p>
    <w:p w:rsidR="009E0A83" w:rsidRPr="0034170A" w:rsidRDefault="009E0A83" w:rsidP="00151AB1">
      <w:pPr>
        <w:pStyle w:val="NormalWeb"/>
        <w:numPr>
          <w:ilvl w:val="0"/>
          <w:numId w:val="28"/>
        </w:numPr>
        <w:spacing w:before="0" w:beforeAutospacing="0" w:after="0" w:afterAutospacing="0"/>
        <w:jc w:val="both"/>
        <w:rPr>
          <w:sz w:val="20"/>
          <w:szCs w:val="20"/>
          <w:lang w:val="en-US"/>
        </w:rPr>
      </w:pPr>
      <w:r w:rsidRPr="0034170A">
        <w:rPr>
          <w:b/>
          <w:bCs/>
          <w:sz w:val="20"/>
          <w:szCs w:val="20"/>
          <w:lang w:val="en-US"/>
        </w:rPr>
        <w:lastRenderedPageBreak/>
        <w:t>Clinical Applications</w:t>
      </w:r>
      <w:r w:rsidRPr="0034170A">
        <w:rPr>
          <w:sz w:val="20"/>
          <w:szCs w:val="20"/>
          <w:lang w:val="en-US"/>
        </w:rPr>
        <w:t xml:space="preserve">: The application of multiplex PCR is more effective for the diagnosis of polymicrobial infections or the discrimination of species showing identical clinical signs. For example, multiplex PCR-based assays are used for the discrimination between </w:t>
      </w:r>
      <w:r w:rsidRPr="0034170A">
        <w:rPr>
          <w:i/>
          <w:iCs/>
          <w:sz w:val="20"/>
          <w:szCs w:val="20"/>
          <w:lang w:val="en-US"/>
        </w:rPr>
        <w:t>Plasmodium</w:t>
      </w:r>
      <w:r w:rsidRPr="0034170A">
        <w:rPr>
          <w:sz w:val="20"/>
          <w:szCs w:val="20"/>
          <w:lang w:val="en-US"/>
        </w:rPr>
        <w:t xml:space="preserve"> species causing malaria, and it can detect more than one fungal pathogen such as </w:t>
      </w:r>
      <w:r w:rsidRPr="0034170A">
        <w:rPr>
          <w:i/>
          <w:iCs/>
          <w:sz w:val="20"/>
          <w:szCs w:val="20"/>
          <w:lang w:val="en-US"/>
        </w:rPr>
        <w:t>Candida</w:t>
      </w:r>
      <w:r w:rsidRPr="0034170A">
        <w:rPr>
          <w:sz w:val="20"/>
          <w:szCs w:val="20"/>
          <w:lang w:val="en-US"/>
        </w:rPr>
        <w:t xml:space="preserve"> and </w:t>
      </w:r>
      <w:r w:rsidRPr="0034170A">
        <w:rPr>
          <w:i/>
          <w:iCs/>
          <w:sz w:val="20"/>
          <w:szCs w:val="20"/>
          <w:lang w:val="en-US"/>
        </w:rPr>
        <w:t>Aspergillus</w:t>
      </w:r>
      <w:r w:rsidRPr="0034170A">
        <w:rPr>
          <w:sz w:val="20"/>
          <w:szCs w:val="20"/>
          <w:lang w:val="en-US"/>
        </w:rPr>
        <w:t xml:space="preserve"> in the cases suspected of having an invasive fungal infection. It is also applied in stool samples to diagnose parasitic infections such as giardiasis, cryptosporidiosis, and amebiasis, thus resulting in a relatively quick and comprehensive analysis.</w:t>
      </w:r>
    </w:p>
    <w:p w:rsidR="009E0A83" w:rsidRPr="0034170A" w:rsidRDefault="009E0A83" w:rsidP="00151AB1">
      <w:pPr>
        <w:pStyle w:val="NormalWeb"/>
        <w:numPr>
          <w:ilvl w:val="0"/>
          <w:numId w:val="28"/>
        </w:numPr>
        <w:spacing w:before="0" w:beforeAutospacing="0" w:after="0" w:afterAutospacing="0"/>
        <w:jc w:val="both"/>
        <w:rPr>
          <w:sz w:val="20"/>
          <w:szCs w:val="20"/>
          <w:lang w:val="en-US"/>
        </w:rPr>
      </w:pPr>
      <w:r w:rsidRPr="0034170A">
        <w:rPr>
          <w:b/>
          <w:bCs/>
          <w:sz w:val="20"/>
          <w:szCs w:val="20"/>
          <w:lang w:val="en-US"/>
        </w:rPr>
        <w:t>Advantages</w:t>
      </w:r>
      <w:r w:rsidRPr="0034170A">
        <w:rPr>
          <w:sz w:val="20"/>
          <w:szCs w:val="20"/>
          <w:lang w:val="en-US"/>
        </w:rPr>
        <w:t>: The multiplex PCR can identify multiple pathogens within a single run, thus reducing the time and cost associated with performing multiple different tests. It is highly valued in clinical conditions where quick diagnosis is crucial, such as sepsis and acute respiratory infections. Another merit of multiplex PCR is its lower sample volume requirement, which is an advantage when dealing with small specimens, such as cerebrospinal fluid or blood.</w:t>
      </w:r>
    </w:p>
    <w:p w:rsidR="00FF37F7" w:rsidRPr="0034170A" w:rsidRDefault="009E0A83" w:rsidP="00151AB1">
      <w:pPr>
        <w:pStyle w:val="NormalWeb"/>
        <w:numPr>
          <w:ilvl w:val="0"/>
          <w:numId w:val="28"/>
        </w:numPr>
        <w:spacing w:before="0" w:beforeAutospacing="0" w:after="0" w:afterAutospacing="0"/>
        <w:jc w:val="both"/>
        <w:rPr>
          <w:sz w:val="20"/>
          <w:szCs w:val="20"/>
        </w:rPr>
      </w:pPr>
      <w:r w:rsidRPr="0034170A">
        <w:rPr>
          <w:b/>
          <w:bCs/>
          <w:sz w:val="20"/>
          <w:szCs w:val="20"/>
          <w:lang w:val="en-US"/>
        </w:rPr>
        <w:t>Limitations</w:t>
      </w:r>
      <w:r w:rsidRPr="0034170A">
        <w:rPr>
          <w:sz w:val="20"/>
          <w:szCs w:val="20"/>
          <w:lang w:val="en-US"/>
        </w:rPr>
        <w:t>: Multiplex PCR is more difficult to optimize compared to single-target PCR because primer interactions and competitions among different amplification reactions are possible. It has a high chance of producing false negatives, especially when one target outcompetes another in amplification. The added complexity of multiplex PCR also likely to increase its cost and the technical difficulties encountered in developing the assay.</w:t>
      </w:r>
    </w:p>
    <w:p w:rsidR="00FF37F7" w:rsidRPr="0034170A" w:rsidRDefault="00FF37F7" w:rsidP="009A18F2">
      <w:pPr>
        <w:pStyle w:val="Heading4"/>
        <w:numPr>
          <w:ilvl w:val="2"/>
          <w:numId w:val="8"/>
        </w:numPr>
        <w:spacing w:before="0"/>
        <w:jc w:val="both"/>
        <w:rPr>
          <w:rFonts w:ascii="Times New Roman" w:hAnsi="Times New Roman" w:cs="Times New Roman"/>
          <w:i w:val="0"/>
          <w:iCs w:val="0"/>
          <w:sz w:val="20"/>
          <w:szCs w:val="20"/>
        </w:rPr>
      </w:pPr>
      <w:r w:rsidRPr="0034170A">
        <w:rPr>
          <w:rStyle w:val="Strong"/>
          <w:rFonts w:ascii="Times New Roman" w:hAnsi="Times New Roman" w:cs="Times New Roman"/>
          <w:b/>
          <w:bCs/>
          <w:i w:val="0"/>
          <w:iCs w:val="0"/>
          <w:sz w:val="20"/>
          <w:szCs w:val="20"/>
        </w:rPr>
        <w:t>Nucleic Acid Hybridization Techniques</w:t>
      </w:r>
    </w:p>
    <w:p w:rsidR="00FF37F7" w:rsidRPr="0034170A" w:rsidRDefault="009E0A83" w:rsidP="009A18F2">
      <w:pPr>
        <w:spacing w:after="0" w:line="240" w:lineRule="auto"/>
        <w:ind w:firstLine="720"/>
        <w:jc w:val="both"/>
        <w:rPr>
          <w:rFonts w:ascii="Times New Roman" w:eastAsia="Times New Roman" w:hAnsi="Times New Roman" w:cs="Times New Roman"/>
          <w:sz w:val="20"/>
          <w:szCs w:val="20"/>
          <w:lang w:val="en-GB" w:eastAsia="en-GB" w:bidi="hi-IN"/>
        </w:rPr>
      </w:pPr>
      <w:r w:rsidRPr="0034170A">
        <w:rPr>
          <w:rFonts w:ascii="Times New Roman" w:eastAsia="Times New Roman" w:hAnsi="Times New Roman" w:cs="Times New Roman"/>
          <w:sz w:val="20"/>
          <w:szCs w:val="20"/>
          <w:lang w:val="en-GB" w:eastAsia="en-GB" w:bidi="hi-IN"/>
        </w:rPr>
        <w:t>Techniques of nucleic acid hybridization are essentially used to diagnose fungal and parasitic infections. Techniques herein depend upon a labelled nucleic acid probe that hybridizes with complementary DNA or RNA sequences that exist within the target organism. The hybridization process is such that it allows a specific genetic sequence that is related to the studied pathogen to be identified.</w:t>
      </w:r>
    </w:p>
    <w:p w:rsidR="00FF37F7" w:rsidRPr="0034170A" w:rsidRDefault="00FF37F7" w:rsidP="009A18F2">
      <w:pPr>
        <w:pStyle w:val="Heading5"/>
        <w:spacing w:before="0"/>
        <w:jc w:val="both"/>
        <w:rPr>
          <w:rFonts w:ascii="Times New Roman" w:hAnsi="Times New Roman" w:cs="Times New Roman"/>
          <w:sz w:val="20"/>
          <w:szCs w:val="20"/>
        </w:rPr>
      </w:pPr>
      <w:r w:rsidRPr="0034170A">
        <w:rPr>
          <w:rStyle w:val="Strong"/>
          <w:rFonts w:ascii="Times New Roman" w:hAnsi="Times New Roman" w:cs="Times New Roman"/>
          <w:b w:val="0"/>
          <w:bCs w:val="0"/>
          <w:sz w:val="20"/>
          <w:szCs w:val="20"/>
        </w:rPr>
        <w:t>Southern Blot and Northern Blot</w:t>
      </w:r>
    </w:p>
    <w:p w:rsidR="009E0A83" w:rsidRPr="0034170A" w:rsidRDefault="009E0A83" w:rsidP="009A18F2">
      <w:pPr>
        <w:spacing w:after="0" w:line="240" w:lineRule="auto"/>
        <w:ind w:firstLine="720"/>
        <w:jc w:val="both"/>
        <w:rPr>
          <w:rFonts w:ascii="Times New Roman" w:eastAsia="Times New Roman" w:hAnsi="Times New Roman" w:cs="Times New Roman"/>
          <w:sz w:val="20"/>
          <w:szCs w:val="20"/>
          <w:lang w:eastAsia="en-GB" w:bidi="hi-IN"/>
        </w:rPr>
      </w:pPr>
      <w:r w:rsidRPr="0034170A">
        <w:rPr>
          <w:rFonts w:ascii="Times New Roman" w:eastAsia="Times New Roman" w:hAnsi="Times New Roman" w:cs="Times New Roman"/>
          <w:sz w:val="20"/>
          <w:szCs w:val="20"/>
          <w:lang w:eastAsia="en-GB" w:bidi="hi-IN"/>
        </w:rPr>
        <w:t>There are two basic classical hybridization techniques used for the detection of DNA and RNA, respectively: Southern blotting and Northern blotting. Here, DNA (for Southern blot) or RNA (for Northern blot) is first extracted from a clinical sample, separated by gel electrophoresis, and then transferred to a membrane. After that, the target sequences are identified on the membrane with the help of a labeled probe.</w:t>
      </w:r>
    </w:p>
    <w:p w:rsidR="004E255B" w:rsidRPr="0034170A" w:rsidRDefault="009E0A83" w:rsidP="009A18F2">
      <w:pPr>
        <w:spacing w:after="0" w:line="240" w:lineRule="auto"/>
        <w:jc w:val="both"/>
        <w:rPr>
          <w:rFonts w:ascii="Times New Roman" w:eastAsia="Times New Roman" w:hAnsi="Times New Roman" w:cs="Times New Roman"/>
          <w:sz w:val="20"/>
          <w:szCs w:val="20"/>
          <w:lang w:val="en-GB" w:eastAsia="en-GB" w:bidi="hi-IN"/>
        </w:rPr>
      </w:pPr>
      <w:r w:rsidRPr="0034170A">
        <w:rPr>
          <w:rFonts w:ascii="Times New Roman" w:eastAsia="Times New Roman" w:hAnsi="Times New Roman" w:cs="Times New Roman"/>
          <w:b/>
          <w:bCs/>
          <w:sz w:val="20"/>
          <w:szCs w:val="20"/>
          <w:lang w:eastAsia="en-GB" w:bidi="hi-IN"/>
        </w:rPr>
        <w:t>Applications</w:t>
      </w:r>
      <w:r w:rsidRPr="0034170A">
        <w:rPr>
          <w:rFonts w:ascii="Times New Roman" w:eastAsia="Times New Roman" w:hAnsi="Times New Roman" w:cs="Times New Roman"/>
          <w:sz w:val="20"/>
          <w:szCs w:val="20"/>
          <w:lang w:eastAsia="en-GB" w:bidi="hi-IN"/>
        </w:rPr>
        <w:t xml:space="preserve">: </w:t>
      </w:r>
      <w:r w:rsidR="004E255B" w:rsidRPr="0034170A">
        <w:rPr>
          <w:rFonts w:ascii="Times New Roman" w:eastAsia="Times New Roman" w:hAnsi="Times New Roman" w:cs="Times New Roman"/>
          <w:sz w:val="20"/>
          <w:szCs w:val="20"/>
          <w:lang w:val="en-GB" w:eastAsia="en-GB" w:bidi="hi-IN"/>
        </w:rPr>
        <w:t>Research on the genetic makeup and expression of parasitic and fungal diseases has employed both Southern and Northern blotting. However, for clinical diagnostics, PCR and qPCR methods—which are quicker and more sensitive—have replaced both approaches.</w:t>
      </w:r>
    </w:p>
    <w:p w:rsidR="00FF37F7" w:rsidRPr="0034170A" w:rsidRDefault="00FF37F7" w:rsidP="009A18F2">
      <w:pPr>
        <w:pStyle w:val="Heading5"/>
        <w:spacing w:before="0"/>
        <w:jc w:val="both"/>
        <w:rPr>
          <w:rFonts w:ascii="Times New Roman" w:hAnsi="Times New Roman" w:cs="Times New Roman"/>
          <w:sz w:val="20"/>
          <w:szCs w:val="20"/>
        </w:rPr>
      </w:pPr>
      <w:r w:rsidRPr="0034170A">
        <w:rPr>
          <w:rStyle w:val="Strong"/>
          <w:rFonts w:ascii="Times New Roman" w:hAnsi="Times New Roman" w:cs="Times New Roman"/>
          <w:b w:val="0"/>
          <w:bCs w:val="0"/>
          <w:sz w:val="20"/>
          <w:szCs w:val="20"/>
        </w:rPr>
        <w:t>Fluorescence In Situ Hybridization (FISH)</w:t>
      </w:r>
    </w:p>
    <w:p w:rsidR="004E255B" w:rsidRPr="0034170A" w:rsidRDefault="004E255B" w:rsidP="009A18F2">
      <w:pPr>
        <w:pStyle w:val="NormalWeb"/>
        <w:spacing w:before="0" w:beforeAutospacing="0" w:after="0" w:afterAutospacing="0"/>
        <w:ind w:firstLine="720"/>
        <w:jc w:val="both"/>
        <w:rPr>
          <w:sz w:val="20"/>
          <w:szCs w:val="20"/>
        </w:rPr>
      </w:pPr>
      <w:r w:rsidRPr="0034170A">
        <w:rPr>
          <w:sz w:val="20"/>
          <w:szCs w:val="20"/>
        </w:rPr>
        <w:t>The technique known as fluorescence in situ hybridization (FISH) uses fluorescently labeled DNA or RNA probes to directly identify particular genetic sequences in clinical samples, like cells or tissue biopsies. This technique is very helpful for identifying infections that are challenging to cultivate or for seeing pathogens within tissues.</w:t>
      </w:r>
    </w:p>
    <w:p w:rsidR="002026E3" w:rsidRPr="0034170A" w:rsidRDefault="002026E3" w:rsidP="00151AB1">
      <w:pPr>
        <w:pStyle w:val="NormalWeb"/>
        <w:numPr>
          <w:ilvl w:val="0"/>
          <w:numId w:val="29"/>
        </w:numPr>
        <w:spacing w:before="0" w:beforeAutospacing="0" w:after="0" w:afterAutospacing="0"/>
        <w:jc w:val="both"/>
        <w:rPr>
          <w:sz w:val="20"/>
          <w:szCs w:val="20"/>
        </w:rPr>
      </w:pPr>
      <w:r w:rsidRPr="0034170A">
        <w:rPr>
          <w:b/>
          <w:bCs/>
          <w:sz w:val="20"/>
          <w:szCs w:val="20"/>
          <w:lang w:val="en-US"/>
        </w:rPr>
        <w:t>Clinical Uses</w:t>
      </w:r>
      <w:r w:rsidRPr="0034170A">
        <w:rPr>
          <w:sz w:val="20"/>
          <w:szCs w:val="20"/>
          <w:lang w:val="en-US"/>
        </w:rPr>
        <w:t xml:space="preserve">: </w:t>
      </w:r>
      <w:r w:rsidR="004E255B" w:rsidRPr="0034170A">
        <w:rPr>
          <w:sz w:val="20"/>
          <w:szCs w:val="20"/>
        </w:rPr>
        <w:t>FISH has proven to be a helpful diagnostic technique for invasive candidiasis, especially when it comes to identifying Candida species in tissue samples and blood cultures.</w:t>
      </w:r>
      <w:r w:rsidRPr="0034170A">
        <w:rPr>
          <w:sz w:val="20"/>
          <w:szCs w:val="20"/>
          <w:lang w:val="en-US"/>
        </w:rPr>
        <w:t xml:space="preserve"> It is also used in parasitology for the detection of protozoan parasites, such as </w:t>
      </w:r>
      <w:r w:rsidRPr="0034170A">
        <w:rPr>
          <w:i/>
          <w:iCs/>
          <w:sz w:val="20"/>
          <w:szCs w:val="20"/>
          <w:lang w:val="en-US"/>
        </w:rPr>
        <w:t>Giardia</w:t>
      </w:r>
      <w:r w:rsidRPr="0034170A">
        <w:rPr>
          <w:sz w:val="20"/>
          <w:szCs w:val="20"/>
          <w:lang w:val="en-US"/>
        </w:rPr>
        <w:t xml:space="preserve"> and </w:t>
      </w:r>
      <w:r w:rsidRPr="0034170A">
        <w:rPr>
          <w:i/>
          <w:iCs/>
          <w:sz w:val="20"/>
          <w:szCs w:val="20"/>
          <w:lang w:val="en-US"/>
        </w:rPr>
        <w:t>Cryptosporidium</w:t>
      </w:r>
      <w:r w:rsidRPr="0034170A">
        <w:rPr>
          <w:sz w:val="20"/>
          <w:szCs w:val="20"/>
          <w:lang w:val="en-US"/>
        </w:rPr>
        <w:t>, from stool samples. Additionally, FISH can be used with microscopy to identify fungal elements in histopathological samples, which may provide both molecular and morphological information.</w:t>
      </w:r>
    </w:p>
    <w:p w:rsidR="00FF37F7" w:rsidRPr="0034170A" w:rsidRDefault="002026E3" w:rsidP="00151AB1">
      <w:pPr>
        <w:pStyle w:val="NormalWeb"/>
        <w:numPr>
          <w:ilvl w:val="0"/>
          <w:numId w:val="29"/>
        </w:numPr>
        <w:spacing w:before="0" w:beforeAutospacing="0" w:after="0" w:afterAutospacing="0"/>
        <w:jc w:val="both"/>
        <w:rPr>
          <w:sz w:val="20"/>
          <w:szCs w:val="20"/>
        </w:rPr>
      </w:pPr>
      <w:r w:rsidRPr="0034170A">
        <w:rPr>
          <w:b/>
          <w:bCs/>
          <w:sz w:val="20"/>
          <w:szCs w:val="20"/>
          <w:lang w:val="en-US"/>
        </w:rPr>
        <w:t>Benefits</w:t>
      </w:r>
      <w:r w:rsidRPr="0034170A">
        <w:rPr>
          <w:sz w:val="20"/>
          <w:szCs w:val="20"/>
          <w:lang w:val="en-US"/>
        </w:rPr>
        <w:t xml:space="preserve">: </w:t>
      </w:r>
      <w:r w:rsidR="004E255B" w:rsidRPr="0034170A">
        <w:rPr>
          <w:sz w:val="20"/>
          <w:szCs w:val="20"/>
        </w:rPr>
        <w:t>Pathogens in tissues can be directly seen thanks to FISH. It gives the essential details on the infection's location. It has a high level of specificity.</w:t>
      </w:r>
      <w:r w:rsidRPr="0034170A">
        <w:rPr>
          <w:sz w:val="20"/>
          <w:szCs w:val="20"/>
          <w:lang w:val="en-US"/>
        </w:rPr>
        <w:t xml:space="preserve"> It can easily detect low amounts of pathogen DNA or RNA, even within complex clinical samples. The union of FISH with microscopy represents a powerful approach to diagnosing invasive fungal infections in tissue biopsies.</w:t>
      </w:r>
    </w:p>
    <w:p w:rsidR="00FF37F7" w:rsidRPr="0034170A" w:rsidRDefault="00FF37F7" w:rsidP="00151AB1">
      <w:pPr>
        <w:pStyle w:val="NormalWeb"/>
        <w:numPr>
          <w:ilvl w:val="0"/>
          <w:numId w:val="29"/>
        </w:numPr>
        <w:spacing w:before="0" w:beforeAutospacing="0" w:after="0" w:afterAutospacing="0"/>
        <w:jc w:val="both"/>
        <w:rPr>
          <w:sz w:val="20"/>
          <w:szCs w:val="20"/>
        </w:rPr>
      </w:pPr>
      <w:r w:rsidRPr="0034170A">
        <w:rPr>
          <w:rStyle w:val="Strong"/>
          <w:sz w:val="20"/>
          <w:szCs w:val="20"/>
        </w:rPr>
        <w:t>Limitations:</w:t>
      </w:r>
      <w:r w:rsidRPr="0034170A">
        <w:rPr>
          <w:sz w:val="20"/>
          <w:szCs w:val="20"/>
        </w:rPr>
        <w:t xml:space="preserve"> </w:t>
      </w:r>
      <w:r w:rsidR="004E255B" w:rsidRPr="0034170A">
        <w:rPr>
          <w:sz w:val="20"/>
          <w:szCs w:val="20"/>
        </w:rPr>
        <w:t>Because FISH involves certain tools, chemicals, and technical know-how—all of which are less readily available in environments with minimal resources—it is therefore less accessible. Although it tends to be less sensitive than PCR for low-level infections, it is also quite specific.</w:t>
      </w:r>
    </w:p>
    <w:p w:rsidR="00FF37F7" w:rsidRPr="0034170A" w:rsidRDefault="00FF37F7" w:rsidP="009A18F2">
      <w:pPr>
        <w:pStyle w:val="Heading4"/>
        <w:numPr>
          <w:ilvl w:val="2"/>
          <w:numId w:val="8"/>
        </w:numPr>
        <w:spacing w:before="0"/>
        <w:jc w:val="both"/>
        <w:rPr>
          <w:rFonts w:ascii="Times New Roman" w:hAnsi="Times New Roman" w:cs="Times New Roman"/>
          <w:i w:val="0"/>
          <w:iCs w:val="0"/>
          <w:sz w:val="20"/>
          <w:szCs w:val="20"/>
        </w:rPr>
      </w:pPr>
      <w:r w:rsidRPr="0034170A">
        <w:rPr>
          <w:rStyle w:val="Strong"/>
          <w:rFonts w:ascii="Times New Roman" w:hAnsi="Times New Roman" w:cs="Times New Roman"/>
          <w:b/>
          <w:bCs/>
          <w:i w:val="0"/>
          <w:iCs w:val="0"/>
          <w:sz w:val="20"/>
          <w:szCs w:val="20"/>
        </w:rPr>
        <w:t>Next-Generation Sequencing (NGS)</w:t>
      </w:r>
    </w:p>
    <w:p w:rsidR="00C95B9C" w:rsidRPr="0034170A" w:rsidRDefault="00C95B9C" w:rsidP="009A18F2">
      <w:pPr>
        <w:pStyle w:val="NormalWeb"/>
        <w:spacing w:before="0" w:beforeAutospacing="0" w:after="0" w:afterAutospacing="0"/>
        <w:ind w:firstLine="720"/>
        <w:jc w:val="both"/>
        <w:rPr>
          <w:sz w:val="20"/>
          <w:szCs w:val="20"/>
        </w:rPr>
      </w:pPr>
      <w:r w:rsidRPr="0034170A">
        <w:rPr>
          <w:sz w:val="20"/>
          <w:szCs w:val="20"/>
        </w:rPr>
        <w:t>A cutting-edge molecular technology called next-generation sequencing makes it possible to sequence whole genomes or certain genomic sections in a single test. Because of its exceptional sensitivity and specificity, NGS can identify rare or novel infections as well as drug-resistant mutations. Because it offers comprehensive pathogen identification and monitoring, its application in the field of fungal and parasitic diagnostics is expanding.</w:t>
      </w:r>
    </w:p>
    <w:p w:rsidR="002026E3" w:rsidRPr="0034170A" w:rsidRDefault="002026E3" w:rsidP="00151AB1">
      <w:pPr>
        <w:pStyle w:val="NormalWeb"/>
        <w:numPr>
          <w:ilvl w:val="0"/>
          <w:numId w:val="30"/>
        </w:numPr>
        <w:spacing w:before="0" w:beforeAutospacing="0" w:after="0" w:afterAutospacing="0"/>
        <w:jc w:val="both"/>
        <w:rPr>
          <w:sz w:val="20"/>
          <w:szCs w:val="20"/>
        </w:rPr>
      </w:pPr>
      <w:r w:rsidRPr="0034170A">
        <w:rPr>
          <w:b/>
          <w:bCs/>
          <w:sz w:val="20"/>
          <w:szCs w:val="20"/>
          <w:lang w:val="en-US"/>
        </w:rPr>
        <w:t>Clinical Applications</w:t>
      </w:r>
      <w:r w:rsidRPr="0034170A">
        <w:rPr>
          <w:sz w:val="20"/>
          <w:szCs w:val="20"/>
          <w:lang w:val="en-US"/>
        </w:rPr>
        <w:t xml:space="preserve">: </w:t>
      </w:r>
      <w:r w:rsidR="00C95B9C" w:rsidRPr="0034170A">
        <w:rPr>
          <w:sz w:val="20"/>
          <w:szCs w:val="20"/>
        </w:rPr>
        <w:t>The identification of novel or uncommon fungal infections, the tracking of fungal outbreaks, and the observation of treatment resistance in fungal populations have all benefited greatly from the use of NGS.</w:t>
      </w:r>
      <w:r w:rsidRPr="0034170A">
        <w:rPr>
          <w:sz w:val="20"/>
          <w:szCs w:val="20"/>
          <w:lang w:val="en-US"/>
        </w:rPr>
        <w:t xml:space="preserve"> In parasitology, NGS has been applied in analyzing the genetic diversity of </w:t>
      </w:r>
      <w:r w:rsidRPr="0034170A">
        <w:rPr>
          <w:i/>
          <w:iCs/>
          <w:sz w:val="20"/>
          <w:szCs w:val="20"/>
          <w:lang w:val="en-US"/>
        </w:rPr>
        <w:t>Plasmodium</w:t>
      </w:r>
      <w:r w:rsidRPr="0034170A">
        <w:rPr>
          <w:sz w:val="20"/>
          <w:szCs w:val="20"/>
          <w:lang w:val="en-US"/>
        </w:rPr>
        <w:t xml:space="preserve"> species, drug resistance monitoring in malaria, and in the study of population genetics of </w:t>
      </w:r>
      <w:r w:rsidRPr="0034170A">
        <w:rPr>
          <w:i/>
          <w:iCs/>
          <w:sz w:val="20"/>
          <w:szCs w:val="20"/>
          <w:lang w:val="en-US"/>
        </w:rPr>
        <w:t>Leishmania</w:t>
      </w:r>
      <w:r w:rsidRPr="0034170A">
        <w:rPr>
          <w:sz w:val="20"/>
          <w:szCs w:val="20"/>
          <w:lang w:val="en-US"/>
        </w:rPr>
        <w:t xml:space="preserve"> and </w:t>
      </w:r>
      <w:r w:rsidRPr="0034170A">
        <w:rPr>
          <w:i/>
          <w:iCs/>
          <w:sz w:val="20"/>
          <w:szCs w:val="20"/>
          <w:lang w:val="en-US"/>
        </w:rPr>
        <w:t>Toxoplasma</w:t>
      </w:r>
      <w:r w:rsidRPr="0034170A">
        <w:rPr>
          <w:sz w:val="20"/>
          <w:szCs w:val="20"/>
          <w:lang w:val="en-US"/>
        </w:rPr>
        <w:t>.</w:t>
      </w:r>
    </w:p>
    <w:p w:rsidR="002026E3" w:rsidRPr="0034170A" w:rsidRDefault="002026E3" w:rsidP="00151AB1">
      <w:pPr>
        <w:pStyle w:val="NormalWeb"/>
        <w:numPr>
          <w:ilvl w:val="0"/>
          <w:numId w:val="30"/>
        </w:numPr>
        <w:spacing w:before="0" w:beforeAutospacing="0" w:after="0" w:afterAutospacing="0"/>
        <w:jc w:val="both"/>
        <w:rPr>
          <w:sz w:val="20"/>
          <w:szCs w:val="20"/>
        </w:rPr>
      </w:pPr>
      <w:r w:rsidRPr="0034170A">
        <w:rPr>
          <w:b/>
          <w:bCs/>
          <w:sz w:val="20"/>
          <w:szCs w:val="20"/>
          <w:lang w:val="en-US"/>
        </w:rPr>
        <w:t>Advantages</w:t>
      </w:r>
      <w:r w:rsidRPr="0034170A">
        <w:rPr>
          <w:sz w:val="20"/>
          <w:szCs w:val="20"/>
          <w:lang w:val="en-US"/>
        </w:rPr>
        <w:t xml:space="preserve">: </w:t>
      </w:r>
      <w:r w:rsidR="00C95B9C" w:rsidRPr="0034170A">
        <w:rPr>
          <w:sz w:val="20"/>
          <w:szCs w:val="20"/>
        </w:rPr>
        <w:t>NGS offers a wealth of information regarding the genetic composition of the pathogen.</w:t>
      </w:r>
      <w:r w:rsidRPr="0034170A">
        <w:rPr>
          <w:sz w:val="20"/>
          <w:szCs w:val="20"/>
          <w:lang w:val="en-US"/>
        </w:rPr>
        <w:t xml:space="preserve"> In cases of infections caused by infrequently seen or uncommon pathogens, the chances are higher for diagnosis than traditional tests may achieve. The presence of drug-resistant genes associated with mutation is another critical </w:t>
      </w:r>
      <w:r w:rsidRPr="0034170A">
        <w:rPr>
          <w:sz w:val="20"/>
          <w:szCs w:val="20"/>
          <w:lang w:val="en-US"/>
        </w:rPr>
        <w:lastRenderedPageBreak/>
        <w:t>finding made through NGS. The use of NGS has helped discover some unknown pathogens to diagnose mysterious infections.</w:t>
      </w:r>
    </w:p>
    <w:p w:rsidR="00FF37F7" w:rsidRPr="0034170A" w:rsidRDefault="002026E3" w:rsidP="00151AB1">
      <w:pPr>
        <w:pStyle w:val="NormalWeb"/>
        <w:numPr>
          <w:ilvl w:val="0"/>
          <w:numId w:val="30"/>
        </w:numPr>
        <w:spacing w:before="0" w:beforeAutospacing="0" w:after="0" w:afterAutospacing="0"/>
        <w:jc w:val="both"/>
        <w:rPr>
          <w:sz w:val="20"/>
          <w:szCs w:val="20"/>
        </w:rPr>
      </w:pPr>
      <w:r w:rsidRPr="0034170A">
        <w:rPr>
          <w:b/>
          <w:bCs/>
          <w:sz w:val="20"/>
          <w:szCs w:val="20"/>
          <w:lang w:val="en-US"/>
        </w:rPr>
        <w:t>Limitation</w:t>
      </w:r>
      <w:r w:rsidRPr="0034170A">
        <w:rPr>
          <w:sz w:val="20"/>
          <w:szCs w:val="20"/>
          <w:lang w:val="en-US"/>
        </w:rPr>
        <w:t>: NGS is relatively expensive, and laboratory requirements of specialized equipment and bioinformatics capabilities can significantly limit the practicality of using NGS for routine diagnostics in a large number of clinical settings. Processing such large amounts of data generated by NGS may require lengthy time and resources for thorough analysis and interpretation. Furthermore, though NGS encompasses the capability of providing comprehensive data, it cannot produce results as fast as PCR-based technologies, which may even provide results in a couple of hours.</w:t>
      </w:r>
    </w:p>
    <w:p w:rsidR="00FF37F7" w:rsidRPr="0034170A" w:rsidRDefault="00FF37F7" w:rsidP="009A18F2">
      <w:pPr>
        <w:pStyle w:val="Heading3"/>
        <w:numPr>
          <w:ilvl w:val="1"/>
          <w:numId w:val="8"/>
        </w:numPr>
        <w:spacing w:before="0"/>
        <w:jc w:val="both"/>
        <w:rPr>
          <w:rFonts w:ascii="Times New Roman" w:hAnsi="Times New Roman" w:cs="Times New Roman"/>
          <w:sz w:val="20"/>
          <w:szCs w:val="20"/>
        </w:rPr>
      </w:pPr>
      <w:r w:rsidRPr="0034170A">
        <w:rPr>
          <w:rStyle w:val="Strong"/>
          <w:rFonts w:ascii="Times New Roman" w:hAnsi="Times New Roman" w:cs="Times New Roman"/>
          <w:b/>
          <w:bCs/>
          <w:sz w:val="20"/>
          <w:szCs w:val="20"/>
        </w:rPr>
        <w:t>Serology in Fungal and Parasitic Diagnostics</w:t>
      </w:r>
    </w:p>
    <w:p w:rsidR="00FB6361" w:rsidRPr="0034170A" w:rsidRDefault="00FB6361" w:rsidP="009A18F2">
      <w:pPr>
        <w:pStyle w:val="NormalWeb"/>
        <w:spacing w:before="0" w:beforeAutospacing="0" w:after="0" w:afterAutospacing="0"/>
        <w:ind w:firstLine="720"/>
        <w:jc w:val="both"/>
        <w:rPr>
          <w:sz w:val="20"/>
          <w:szCs w:val="20"/>
          <w:lang w:val="en-US"/>
        </w:rPr>
      </w:pPr>
      <w:r w:rsidRPr="0034170A">
        <w:rPr>
          <w:sz w:val="20"/>
          <w:szCs w:val="20"/>
          <w:lang w:val="en-US"/>
        </w:rPr>
        <w:t>Serology is one of the best-diagnosed, established diagnostic tests that look into the detection of antibodies or antigens in serum, thereby serving as indirect proof of the infections caused by fungi or parasites. These tests involve the immune reaction of the host to particular pathogens, thus allowing for effective and efficient diagnosis especially in cases when direct methods for detection are unfruitful like culture or microscopic examination. More importantly, serology proves its worth in revealing past infections and monitoring disease processes and monitoring response to immunisation or therapy.</w:t>
      </w:r>
    </w:p>
    <w:p w:rsidR="00FF37F7" w:rsidRPr="0034170A" w:rsidRDefault="00FB6361" w:rsidP="009A18F2">
      <w:pPr>
        <w:pStyle w:val="NormalWeb"/>
        <w:spacing w:before="0" w:beforeAutospacing="0" w:after="0" w:afterAutospacing="0"/>
        <w:ind w:firstLine="720"/>
        <w:jc w:val="both"/>
        <w:rPr>
          <w:sz w:val="20"/>
          <w:szCs w:val="20"/>
        </w:rPr>
      </w:pPr>
      <w:r w:rsidRPr="0034170A">
        <w:rPr>
          <w:sz w:val="20"/>
          <w:szCs w:val="20"/>
          <w:lang w:val="en-US"/>
        </w:rPr>
        <w:t>Serological tests for diagnosing fungal and parasitic infections detect various immunoglobulins: IgM, IgG, and IgA. All these give distinct information on the state and time of an infection. For example, IgM antibodies indicate a recent or acute infection. Generally, the presence of IgG indicates a past or chronic infection. Specific antigens can serve as markers for active infections. Serology is used most commonly for diagnosing systemic mycoses such as histoplasmosis and coccidioidomycosis and parasitic infections such as toxoplasmosis, schistosomiasis, and trypanosomiasis. In general, the serological tests are carried out by using the ELISA technique, indirect fluorescent antibody (IFA) test, and Western blotting. All of these have their advantages and disadvantages regarding sensitivity, specificity, and the nature of infection to be diagnosed.</w:t>
      </w:r>
    </w:p>
    <w:p w:rsidR="00FF37F7" w:rsidRPr="0034170A" w:rsidRDefault="00FF37F7" w:rsidP="009A18F2">
      <w:pPr>
        <w:pStyle w:val="Heading4"/>
        <w:numPr>
          <w:ilvl w:val="2"/>
          <w:numId w:val="8"/>
        </w:numPr>
        <w:spacing w:before="0"/>
        <w:jc w:val="both"/>
        <w:rPr>
          <w:rFonts w:ascii="Times New Roman" w:hAnsi="Times New Roman" w:cs="Times New Roman"/>
          <w:i w:val="0"/>
          <w:iCs w:val="0"/>
          <w:sz w:val="20"/>
          <w:szCs w:val="20"/>
        </w:rPr>
      </w:pPr>
      <w:r w:rsidRPr="0034170A">
        <w:rPr>
          <w:rStyle w:val="Strong"/>
          <w:rFonts w:ascii="Times New Roman" w:hAnsi="Times New Roman" w:cs="Times New Roman"/>
          <w:b/>
          <w:bCs/>
          <w:i w:val="0"/>
          <w:iCs w:val="0"/>
          <w:sz w:val="20"/>
          <w:szCs w:val="20"/>
        </w:rPr>
        <w:t>Serology in Fungal Diagnostics</w:t>
      </w:r>
    </w:p>
    <w:p w:rsidR="008A7D70" w:rsidRPr="0034170A" w:rsidRDefault="008A7D70" w:rsidP="009A18F2">
      <w:pPr>
        <w:pStyle w:val="NormalWeb"/>
        <w:spacing w:before="0" w:beforeAutospacing="0" w:after="0" w:afterAutospacing="0"/>
        <w:ind w:firstLine="720"/>
        <w:jc w:val="both"/>
        <w:rPr>
          <w:sz w:val="20"/>
          <w:szCs w:val="20"/>
        </w:rPr>
      </w:pPr>
      <w:r w:rsidRPr="0034170A">
        <w:rPr>
          <w:sz w:val="20"/>
          <w:szCs w:val="20"/>
        </w:rPr>
        <w:t>Diagnosing fungal infections can be difficult because most of them grow slowly and have nonspecific clinical signs. An alternate diagnostic technique is serological testing, particularly for immunocompromised patients who might not get results via microscopy or culture in a timely manner. When it comes to systemic mycoses, where fungi infiltrate deep tissues or circulate via the circulation, these tests are especially crucial.</w:t>
      </w:r>
    </w:p>
    <w:p w:rsidR="00FF37F7" w:rsidRPr="0034170A" w:rsidRDefault="00FF37F7" w:rsidP="009A18F2">
      <w:pPr>
        <w:pStyle w:val="Heading5"/>
        <w:spacing w:before="0"/>
        <w:jc w:val="both"/>
        <w:rPr>
          <w:rFonts w:ascii="Times New Roman" w:hAnsi="Times New Roman" w:cs="Times New Roman"/>
          <w:sz w:val="20"/>
          <w:szCs w:val="20"/>
        </w:rPr>
      </w:pPr>
      <w:r w:rsidRPr="0034170A">
        <w:rPr>
          <w:rStyle w:val="Strong"/>
          <w:rFonts w:ascii="Times New Roman" w:hAnsi="Times New Roman" w:cs="Times New Roman"/>
          <w:b w:val="0"/>
          <w:bCs w:val="0"/>
          <w:sz w:val="20"/>
          <w:szCs w:val="20"/>
        </w:rPr>
        <w:t>Histoplasmosis Serology</w:t>
      </w:r>
    </w:p>
    <w:p w:rsidR="008A7D70" w:rsidRPr="0034170A" w:rsidRDefault="008A7D70" w:rsidP="009A18F2">
      <w:pPr>
        <w:pStyle w:val="NormalWeb"/>
        <w:spacing w:before="0" w:beforeAutospacing="0" w:after="0" w:afterAutospacing="0"/>
        <w:ind w:firstLine="720"/>
        <w:jc w:val="both"/>
        <w:rPr>
          <w:sz w:val="20"/>
          <w:szCs w:val="20"/>
        </w:rPr>
      </w:pPr>
      <w:r w:rsidRPr="0034170A">
        <w:rPr>
          <w:sz w:val="20"/>
          <w:szCs w:val="20"/>
        </w:rPr>
        <w:t xml:space="preserve">One of the most significant systemic fungal infections caused by a dimorphic fungus is </w:t>
      </w:r>
      <w:r w:rsidRPr="0034170A">
        <w:rPr>
          <w:i/>
          <w:iCs/>
          <w:sz w:val="20"/>
          <w:szCs w:val="20"/>
        </w:rPr>
        <w:t>Histoplasma</w:t>
      </w:r>
      <w:r w:rsidRPr="0034170A">
        <w:rPr>
          <w:sz w:val="20"/>
          <w:szCs w:val="20"/>
        </w:rPr>
        <w:t xml:space="preserve"> </w:t>
      </w:r>
      <w:r w:rsidRPr="0034170A">
        <w:rPr>
          <w:i/>
          <w:iCs/>
          <w:sz w:val="20"/>
          <w:szCs w:val="20"/>
        </w:rPr>
        <w:t>capsulatum</w:t>
      </w:r>
      <w:r w:rsidRPr="0034170A">
        <w:rPr>
          <w:sz w:val="20"/>
          <w:szCs w:val="20"/>
        </w:rPr>
        <w:t>, histoplasmosis. The presentation varies from asymptomatic to severe and even life-threatening in immunocompromised patients. Serological tests are helpful for detecting antibodies and antigens related to histoplasmosis in aiding diagnosis of the acute, chronic, and disseminated types.</w:t>
      </w:r>
    </w:p>
    <w:p w:rsidR="008A7D70" w:rsidRPr="0034170A" w:rsidRDefault="008A7D70" w:rsidP="00151AB1">
      <w:pPr>
        <w:pStyle w:val="NormalWeb"/>
        <w:numPr>
          <w:ilvl w:val="0"/>
          <w:numId w:val="31"/>
        </w:numPr>
        <w:spacing w:before="0" w:beforeAutospacing="0" w:after="0" w:afterAutospacing="0"/>
        <w:jc w:val="both"/>
        <w:rPr>
          <w:sz w:val="20"/>
          <w:szCs w:val="20"/>
        </w:rPr>
      </w:pPr>
      <w:r w:rsidRPr="0034170A">
        <w:rPr>
          <w:b/>
          <w:bCs/>
          <w:sz w:val="20"/>
          <w:szCs w:val="20"/>
        </w:rPr>
        <w:t>Methods</w:t>
      </w:r>
      <w:r w:rsidRPr="0034170A">
        <w:rPr>
          <w:sz w:val="20"/>
          <w:szCs w:val="20"/>
        </w:rPr>
        <w:t xml:space="preserve">: The two common serological tests for histoplasmosis are the complement fixation (CF) and immunodiffusion (ID) tests, which detect antibodies to </w:t>
      </w:r>
      <w:r w:rsidRPr="0034170A">
        <w:rPr>
          <w:i/>
          <w:iCs/>
          <w:sz w:val="20"/>
          <w:szCs w:val="20"/>
        </w:rPr>
        <w:t>H</w:t>
      </w:r>
      <w:r w:rsidRPr="0034170A">
        <w:rPr>
          <w:sz w:val="20"/>
          <w:szCs w:val="20"/>
        </w:rPr>
        <w:t xml:space="preserve">. </w:t>
      </w:r>
      <w:r w:rsidRPr="0034170A">
        <w:rPr>
          <w:i/>
          <w:iCs/>
          <w:sz w:val="20"/>
          <w:szCs w:val="20"/>
        </w:rPr>
        <w:t>capsulatum</w:t>
      </w:r>
      <w:r w:rsidRPr="0034170A">
        <w:rPr>
          <w:sz w:val="20"/>
          <w:szCs w:val="20"/>
        </w:rPr>
        <w:t xml:space="preserve"> antigens. CF detects antibodies that bind to fungal antigens, while ID detects antibodies against specific fungal proteins, called H and M bands, providing more sensitive results. A method is antigen detection assays that can detect the presence of </w:t>
      </w:r>
      <w:r w:rsidRPr="0034170A">
        <w:rPr>
          <w:i/>
          <w:iCs/>
          <w:sz w:val="20"/>
          <w:szCs w:val="20"/>
        </w:rPr>
        <w:t>H</w:t>
      </w:r>
      <w:r w:rsidRPr="0034170A">
        <w:rPr>
          <w:sz w:val="20"/>
          <w:szCs w:val="20"/>
        </w:rPr>
        <w:t xml:space="preserve">. </w:t>
      </w:r>
      <w:r w:rsidRPr="0034170A">
        <w:rPr>
          <w:i/>
          <w:iCs/>
          <w:sz w:val="20"/>
          <w:szCs w:val="20"/>
        </w:rPr>
        <w:t>capsulatum</w:t>
      </w:r>
      <w:r w:rsidRPr="0034170A">
        <w:rPr>
          <w:sz w:val="20"/>
          <w:szCs w:val="20"/>
        </w:rPr>
        <w:t xml:space="preserve"> antigens in urine or serum, particularly in disseminated infections.</w:t>
      </w:r>
    </w:p>
    <w:p w:rsidR="00FB6361" w:rsidRPr="0034170A" w:rsidRDefault="008A7D70" w:rsidP="00151AB1">
      <w:pPr>
        <w:pStyle w:val="NormalWeb"/>
        <w:numPr>
          <w:ilvl w:val="0"/>
          <w:numId w:val="31"/>
        </w:numPr>
        <w:spacing w:before="0" w:beforeAutospacing="0" w:after="0" w:afterAutospacing="0"/>
        <w:jc w:val="both"/>
        <w:rPr>
          <w:sz w:val="20"/>
          <w:szCs w:val="20"/>
        </w:rPr>
      </w:pPr>
      <w:r w:rsidRPr="0034170A">
        <w:rPr>
          <w:b/>
          <w:bCs/>
          <w:sz w:val="20"/>
          <w:szCs w:val="20"/>
        </w:rPr>
        <w:t>Clinical Applications</w:t>
      </w:r>
      <w:r w:rsidRPr="0034170A">
        <w:rPr>
          <w:sz w:val="20"/>
          <w:szCs w:val="20"/>
        </w:rPr>
        <w:t>: Serology is very important and forms part of diagnosis for acute pulmonary histoplasmosis and chronic cavitary histoplasmosis. Identification of antigens in the urine or serum is highly sensitive in disseminated histoplasmosis.</w:t>
      </w:r>
      <w:r w:rsidR="00FB6361" w:rsidRPr="0034170A">
        <w:rPr>
          <w:sz w:val="20"/>
          <w:szCs w:val="20"/>
        </w:rPr>
        <w:t>It helps in monitoring the efficacy of antifungal treatment. Serological tests are crucial in the diagnosis of histoplasmosis in HIV/AIDS, as the infection may disseminate from the lungs and may be invisible to identify with conventional techniques.</w:t>
      </w:r>
    </w:p>
    <w:p w:rsidR="00FF37F7" w:rsidRPr="0034170A" w:rsidRDefault="00FB6361" w:rsidP="00151AB1">
      <w:pPr>
        <w:pStyle w:val="NormalWeb"/>
        <w:numPr>
          <w:ilvl w:val="0"/>
          <w:numId w:val="31"/>
        </w:numPr>
        <w:spacing w:before="0" w:beforeAutospacing="0" w:after="0" w:afterAutospacing="0"/>
        <w:jc w:val="both"/>
        <w:rPr>
          <w:sz w:val="20"/>
          <w:szCs w:val="20"/>
        </w:rPr>
      </w:pPr>
      <w:r w:rsidRPr="0034170A">
        <w:rPr>
          <w:b/>
          <w:bCs/>
          <w:sz w:val="20"/>
          <w:szCs w:val="20"/>
        </w:rPr>
        <w:t>Benefits and Drawbacks</w:t>
      </w:r>
      <w:r w:rsidRPr="0034170A">
        <w:rPr>
          <w:sz w:val="20"/>
          <w:szCs w:val="20"/>
        </w:rPr>
        <w:t xml:space="preserve">: Serologic tests for histoplasmosis are minimally invasive, and results could be returned within days of processing, while direct fungal cultures typically take weeks for results to yield. In some immunocompromised patients, antibody detection can be less sensitive, since it relies on production of sufficient immunity to form antibody that can be detected. On rare occasions cross-reactivity among other fungi causing disease, </w:t>
      </w:r>
      <w:r w:rsidRPr="0034170A">
        <w:rPr>
          <w:i/>
          <w:iCs/>
          <w:sz w:val="20"/>
          <w:szCs w:val="20"/>
        </w:rPr>
        <w:t>Blastomyces dermatitidis</w:t>
      </w:r>
      <w:r w:rsidRPr="0034170A">
        <w:rPr>
          <w:sz w:val="20"/>
          <w:szCs w:val="20"/>
        </w:rPr>
        <w:t xml:space="preserve"> will produce false positive results requiring more specific testing.</w:t>
      </w:r>
    </w:p>
    <w:p w:rsidR="00FF37F7" w:rsidRPr="0034170A" w:rsidRDefault="00FF37F7" w:rsidP="009A18F2">
      <w:pPr>
        <w:pStyle w:val="Heading5"/>
        <w:spacing w:before="0"/>
        <w:jc w:val="both"/>
        <w:rPr>
          <w:rFonts w:ascii="Times New Roman" w:hAnsi="Times New Roman" w:cs="Times New Roman"/>
          <w:sz w:val="20"/>
          <w:szCs w:val="20"/>
        </w:rPr>
      </w:pPr>
      <w:r w:rsidRPr="0034170A">
        <w:rPr>
          <w:rStyle w:val="Strong"/>
          <w:rFonts w:ascii="Times New Roman" w:hAnsi="Times New Roman" w:cs="Times New Roman"/>
          <w:b w:val="0"/>
          <w:bCs w:val="0"/>
          <w:sz w:val="20"/>
          <w:szCs w:val="20"/>
        </w:rPr>
        <w:t>Coccidioidomycosis Serology</w:t>
      </w:r>
    </w:p>
    <w:p w:rsidR="00FB6361" w:rsidRPr="0034170A" w:rsidRDefault="00FB6361" w:rsidP="009A18F2">
      <w:pPr>
        <w:pStyle w:val="NormalWeb"/>
        <w:spacing w:before="0" w:beforeAutospacing="0" w:after="0" w:afterAutospacing="0"/>
        <w:ind w:firstLine="720"/>
        <w:jc w:val="both"/>
        <w:rPr>
          <w:sz w:val="20"/>
          <w:szCs w:val="20"/>
          <w:lang w:val="en-US"/>
        </w:rPr>
      </w:pPr>
      <w:r w:rsidRPr="0034170A">
        <w:rPr>
          <w:sz w:val="20"/>
          <w:szCs w:val="20"/>
          <w:lang w:val="en-US"/>
        </w:rPr>
        <w:t xml:space="preserve">Coccidioidomycosis, commonly known as Valley fever, is a type of infection caused by the dimorphic fungi </w:t>
      </w:r>
      <w:r w:rsidRPr="0034170A">
        <w:rPr>
          <w:i/>
          <w:iCs/>
          <w:sz w:val="20"/>
          <w:szCs w:val="20"/>
          <w:lang w:val="en-US"/>
        </w:rPr>
        <w:t>Coccidioides immitis</w:t>
      </w:r>
      <w:r w:rsidRPr="0034170A">
        <w:rPr>
          <w:sz w:val="20"/>
          <w:szCs w:val="20"/>
          <w:lang w:val="en-US"/>
        </w:rPr>
        <w:t xml:space="preserve"> and </w:t>
      </w:r>
      <w:r w:rsidRPr="0034170A">
        <w:rPr>
          <w:i/>
          <w:iCs/>
          <w:sz w:val="20"/>
          <w:szCs w:val="20"/>
          <w:lang w:val="en-US"/>
        </w:rPr>
        <w:t>Coccidioides posadasii</w:t>
      </w:r>
      <w:r w:rsidRPr="0034170A">
        <w:rPr>
          <w:sz w:val="20"/>
          <w:szCs w:val="20"/>
          <w:lang w:val="en-US"/>
        </w:rPr>
        <w:t>. The disease affects mainly those people who stay in the south western United States and other areas of Latin America. Serological tests are highly useful for the diagnosis of coccidioidomycosis, since it can determine specific antibodies produced in the body after an infection.</w:t>
      </w:r>
    </w:p>
    <w:p w:rsidR="00FB6361" w:rsidRPr="0034170A" w:rsidRDefault="00FB6361" w:rsidP="00151AB1">
      <w:pPr>
        <w:pStyle w:val="NormalWeb"/>
        <w:numPr>
          <w:ilvl w:val="0"/>
          <w:numId w:val="32"/>
        </w:numPr>
        <w:spacing w:before="0" w:beforeAutospacing="0" w:after="0" w:afterAutospacing="0"/>
        <w:jc w:val="both"/>
        <w:rPr>
          <w:sz w:val="20"/>
          <w:szCs w:val="20"/>
          <w:lang w:val="en-US"/>
        </w:rPr>
      </w:pPr>
      <w:r w:rsidRPr="0034170A">
        <w:rPr>
          <w:b/>
          <w:bCs/>
          <w:sz w:val="20"/>
          <w:szCs w:val="20"/>
          <w:lang w:val="en-US"/>
        </w:rPr>
        <w:t>Techniques</w:t>
      </w:r>
      <w:r w:rsidRPr="0034170A">
        <w:rPr>
          <w:sz w:val="20"/>
          <w:szCs w:val="20"/>
          <w:lang w:val="en-US"/>
        </w:rPr>
        <w:t>: Among the commonly used serological tests for diagnosing coccidioidomycosis, CF, ID, and ELISA are of significant importance. CF detects those antibodies that fix with coccidioidal antigens, and the ID technique is based on detecting antibodies with fungal proteins. The ELISA is more useful for the determination of IgM and IgG, which allows differentiating acute and chronic phases of the infection.</w:t>
      </w:r>
    </w:p>
    <w:p w:rsidR="00FB6361" w:rsidRPr="0034170A" w:rsidRDefault="00FB6361" w:rsidP="00151AB1">
      <w:pPr>
        <w:pStyle w:val="NormalWeb"/>
        <w:numPr>
          <w:ilvl w:val="0"/>
          <w:numId w:val="32"/>
        </w:numPr>
        <w:spacing w:before="0" w:beforeAutospacing="0" w:after="0" w:afterAutospacing="0"/>
        <w:jc w:val="both"/>
        <w:rPr>
          <w:sz w:val="20"/>
          <w:szCs w:val="20"/>
        </w:rPr>
      </w:pPr>
      <w:r w:rsidRPr="0034170A">
        <w:rPr>
          <w:b/>
          <w:bCs/>
          <w:sz w:val="20"/>
          <w:szCs w:val="20"/>
          <w:lang w:val="en-US"/>
        </w:rPr>
        <w:lastRenderedPageBreak/>
        <w:t>Clinical Uses</w:t>
      </w:r>
      <w:r w:rsidRPr="0034170A">
        <w:rPr>
          <w:sz w:val="20"/>
          <w:szCs w:val="20"/>
          <w:lang w:val="en-US"/>
        </w:rPr>
        <w:t xml:space="preserve">: </w:t>
      </w:r>
      <w:r w:rsidR="008A7D70" w:rsidRPr="0034170A">
        <w:rPr>
          <w:sz w:val="20"/>
          <w:szCs w:val="20"/>
        </w:rPr>
        <w:t>Since the symptoms of acute coccidioidomycosis frequently mimic those of other respiratory infections, serology is essential for the diagnosis.</w:t>
      </w:r>
      <w:r w:rsidRPr="0034170A">
        <w:rPr>
          <w:sz w:val="20"/>
          <w:szCs w:val="20"/>
          <w:lang w:val="en-US"/>
        </w:rPr>
        <w:t xml:space="preserve"> For chronic or disseminated cases, serology is helpful in monitoring disease activity and response to antifungal therapy. The presence of IgM is indicative of recent infection, whereas IgG signifies either current or past infection.</w:t>
      </w:r>
    </w:p>
    <w:p w:rsidR="00FF37F7" w:rsidRPr="0034170A" w:rsidRDefault="00FB6361" w:rsidP="00151AB1">
      <w:pPr>
        <w:pStyle w:val="NormalWeb"/>
        <w:numPr>
          <w:ilvl w:val="0"/>
          <w:numId w:val="32"/>
        </w:numPr>
        <w:spacing w:before="0" w:beforeAutospacing="0" w:after="0" w:afterAutospacing="0"/>
        <w:jc w:val="both"/>
        <w:rPr>
          <w:sz w:val="20"/>
          <w:szCs w:val="20"/>
        </w:rPr>
      </w:pPr>
      <w:r w:rsidRPr="0034170A">
        <w:rPr>
          <w:b/>
          <w:bCs/>
          <w:sz w:val="20"/>
          <w:szCs w:val="20"/>
          <w:lang w:val="en-US"/>
        </w:rPr>
        <w:t>Advantages and Limitations</w:t>
      </w:r>
      <w:r w:rsidRPr="0034170A">
        <w:rPr>
          <w:sz w:val="20"/>
          <w:szCs w:val="20"/>
          <w:lang w:val="en-US"/>
        </w:rPr>
        <w:t>: Serological tests for coccidioidomycosis are very sensitive and provide rapid results, which makes them useful in diagnosing acute pulmonary infections. However, like other fungal infections, the reliability of antibody detection is reduced in immunocompromised patients, and false-positive results can occur due to cross-reactivity with other fungi. In disseminated disease, repeat testing may be necessary to confirm the diagnosis.</w:t>
      </w:r>
    </w:p>
    <w:p w:rsidR="00FF37F7" w:rsidRPr="0034170A" w:rsidRDefault="00FF37F7" w:rsidP="009A18F2">
      <w:pPr>
        <w:pStyle w:val="Heading5"/>
        <w:spacing w:before="0"/>
        <w:jc w:val="both"/>
        <w:rPr>
          <w:rFonts w:ascii="Times New Roman" w:hAnsi="Times New Roman" w:cs="Times New Roman"/>
          <w:sz w:val="20"/>
          <w:szCs w:val="20"/>
        </w:rPr>
      </w:pPr>
      <w:r w:rsidRPr="0034170A">
        <w:rPr>
          <w:rStyle w:val="Strong"/>
          <w:rFonts w:ascii="Times New Roman" w:hAnsi="Times New Roman" w:cs="Times New Roman"/>
          <w:b w:val="0"/>
          <w:bCs w:val="0"/>
          <w:sz w:val="20"/>
          <w:szCs w:val="20"/>
        </w:rPr>
        <w:t>Aspergillosis Serology</w:t>
      </w:r>
    </w:p>
    <w:p w:rsidR="00FB6361" w:rsidRPr="0034170A" w:rsidRDefault="00FB6361" w:rsidP="009A18F2">
      <w:pPr>
        <w:pStyle w:val="NormalWeb"/>
        <w:spacing w:before="0" w:beforeAutospacing="0" w:after="0" w:afterAutospacing="0"/>
        <w:ind w:firstLine="720"/>
        <w:jc w:val="both"/>
        <w:rPr>
          <w:sz w:val="20"/>
          <w:szCs w:val="20"/>
          <w:lang w:val="en-US"/>
        </w:rPr>
      </w:pPr>
      <w:r w:rsidRPr="0034170A">
        <w:rPr>
          <w:sz w:val="20"/>
          <w:szCs w:val="20"/>
          <w:lang w:val="en-US"/>
        </w:rPr>
        <w:t xml:space="preserve">Aspergillosis, caused by </w:t>
      </w:r>
      <w:r w:rsidRPr="0034170A">
        <w:rPr>
          <w:i/>
          <w:iCs/>
          <w:sz w:val="20"/>
          <w:szCs w:val="20"/>
          <w:lang w:val="en-US"/>
        </w:rPr>
        <w:t>Aspergillus</w:t>
      </w:r>
      <w:r w:rsidRPr="0034170A">
        <w:rPr>
          <w:sz w:val="20"/>
          <w:szCs w:val="20"/>
          <w:lang w:val="en-US"/>
        </w:rPr>
        <w:t xml:space="preserve"> species, can present in several forms: allergic bronchopulmonary aspergillosis (ABPA), chronic pulmonary aspergillosis (CPA), and invasive aspergillosis (IA). Serological testing is crucial for diagnosing both allergic and chronic forms of aspergillosis and also gives supporting evidence in cases of invasive disease.</w:t>
      </w:r>
    </w:p>
    <w:p w:rsidR="00FB6361" w:rsidRPr="0034170A" w:rsidRDefault="00FB6361" w:rsidP="00151AB1">
      <w:pPr>
        <w:pStyle w:val="NormalWeb"/>
        <w:numPr>
          <w:ilvl w:val="0"/>
          <w:numId w:val="33"/>
        </w:numPr>
        <w:spacing w:before="0" w:beforeAutospacing="0" w:after="0" w:afterAutospacing="0"/>
        <w:jc w:val="both"/>
        <w:rPr>
          <w:sz w:val="20"/>
          <w:szCs w:val="20"/>
          <w:lang w:val="en-US"/>
        </w:rPr>
      </w:pPr>
      <w:r w:rsidRPr="0034170A">
        <w:rPr>
          <w:b/>
          <w:bCs/>
          <w:sz w:val="20"/>
          <w:szCs w:val="20"/>
          <w:lang w:val="en-US"/>
        </w:rPr>
        <w:t>Methods</w:t>
      </w:r>
      <w:r w:rsidRPr="0034170A">
        <w:rPr>
          <w:sz w:val="20"/>
          <w:szCs w:val="20"/>
          <w:lang w:val="en-US"/>
        </w:rPr>
        <w:t>: Serological tests, in the form of measuring the total IgE and specific IgE against the Aspergillus antigens, are useful in the identification of elevated total IgE in ABPA. Precipitating antibodies, mostly IgG against Aspergillus, are also found in the serologic tests with methods like immunodiffusion and ELISA for IA along with antigen detection like galactomannan (as described later).</w:t>
      </w:r>
    </w:p>
    <w:p w:rsidR="00FB6361" w:rsidRPr="0034170A" w:rsidRDefault="00FB6361" w:rsidP="00151AB1">
      <w:pPr>
        <w:pStyle w:val="NormalWeb"/>
        <w:numPr>
          <w:ilvl w:val="0"/>
          <w:numId w:val="33"/>
        </w:numPr>
        <w:spacing w:before="0" w:beforeAutospacing="0" w:after="0" w:afterAutospacing="0"/>
        <w:jc w:val="both"/>
        <w:rPr>
          <w:sz w:val="20"/>
          <w:szCs w:val="20"/>
          <w:lang w:val="en-US"/>
        </w:rPr>
      </w:pPr>
      <w:r w:rsidRPr="0034170A">
        <w:rPr>
          <w:b/>
          <w:bCs/>
          <w:sz w:val="20"/>
          <w:szCs w:val="20"/>
          <w:lang w:val="en-US"/>
        </w:rPr>
        <w:t>Clinical Uses</w:t>
      </w:r>
      <w:r w:rsidRPr="0034170A">
        <w:rPr>
          <w:sz w:val="20"/>
          <w:szCs w:val="20"/>
          <w:lang w:val="en-US"/>
        </w:rPr>
        <w:t>: Serologic tests are an important component in the diagnosis of ABPA, particularly for asthma or cystic fibrosis patients where the prompt initiation of therapy will avert further lung injury. For CPA, specific Aspergillus IgG antibody identification helps in the differentiation between chronic infections and other forms of lung disease, such as tuberculosis. Serologic tests often form the core part of diagnostic tools, with antigen detection and imaging studies to establish a definitive diagnosis for patients with immunosuppression and suspected of IA.</w:t>
      </w:r>
    </w:p>
    <w:p w:rsidR="00FF37F7" w:rsidRPr="0034170A" w:rsidRDefault="00FB6361" w:rsidP="00151AB1">
      <w:pPr>
        <w:pStyle w:val="NormalWeb"/>
        <w:numPr>
          <w:ilvl w:val="0"/>
          <w:numId w:val="33"/>
        </w:numPr>
        <w:spacing w:before="0" w:beforeAutospacing="0" w:after="0" w:afterAutospacing="0"/>
        <w:jc w:val="both"/>
        <w:rPr>
          <w:sz w:val="20"/>
          <w:szCs w:val="20"/>
        </w:rPr>
      </w:pPr>
      <w:r w:rsidRPr="0034170A">
        <w:rPr>
          <w:b/>
          <w:bCs/>
          <w:sz w:val="20"/>
          <w:szCs w:val="20"/>
          <w:lang w:val="en-US"/>
        </w:rPr>
        <w:t>Advantages and Limitations</w:t>
      </w:r>
      <w:r w:rsidRPr="0034170A">
        <w:rPr>
          <w:sz w:val="20"/>
          <w:szCs w:val="20"/>
          <w:lang w:val="en-US"/>
        </w:rPr>
        <w:t>: Serological testing for ABPA and CPA is relatively simple and noninvasive. However, detection of antibodies is less reliable for diagnosing IA, especially in immunocompromised patients who may not have detectable antibody levels. In such patients, antigen detection and molecular techniques are preferred in diagnosis.</w:t>
      </w:r>
    </w:p>
    <w:p w:rsidR="00FF37F7" w:rsidRPr="0034170A" w:rsidRDefault="00FF37F7" w:rsidP="009A18F2">
      <w:pPr>
        <w:pStyle w:val="Heading4"/>
        <w:numPr>
          <w:ilvl w:val="2"/>
          <w:numId w:val="8"/>
        </w:numPr>
        <w:spacing w:before="0"/>
        <w:jc w:val="both"/>
        <w:rPr>
          <w:rFonts w:ascii="Times New Roman" w:hAnsi="Times New Roman" w:cs="Times New Roman"/>
          <w:i w:val="0"/>
          <w:iCs w:val="0"/>
          <w:sz w:val="20"/>
          <w:szCs w:val="20"/>
        </w:rPr>
      </w:pPr>
      <w:r w:rsidRPr="0034170A">
        <w:rPr>
          <w:rStyle w:val="Strong"/>
          <w:rFonts w:ascii="Times New Roman" w:hAnsi="Times New Roman" w:cs="Times New Roman"/>
          <w:b/>
          <w:bCs/>
          <w:i w:val="0"/>
          <w:iCs w:val="0"/>
          <w:sz w:val="20"/>
          <w:szCs w:val="20"/>
        </w:rPr>
        <w:t>Serology in Parasitic Diagnostics</w:t>
      </w:r>
    </w:p>
    <w:p w:rsidR="00FF37F7" w:rsidRPr="0034170A" w:rsidRDefault="00FB6361" w:rsidP="009A18F2">
      <w:pPr>
        <w:pStyle w:val="NormalWeb"/>
        <w:spacing w:before="0" w:beforeAutospacing="0" w:after="0" w:afterAutospacing="0"/>
        <w:ind w:firstLine="720"/>
        <w:jc w:val="both"/>
        <w:rPr>
          <w:sz w:val="20"/>
          <w:szCs w:val="20"/>
        </w:rPr>
      </w:pPr>
      <w:r w:rsidRPr="0034170A">
        <w:rPr>
          <w:sz w:val="20"/>
          <w:szCs w:val="20"/>
          <w:lang w:val="en-US"/>
        </w:rPr>
        <w:t>Serology has emerged as a real and effectively used diagnostic tool in the case of parasitic infections, where direct detection of parasites in the clinical samples prove to be difficult. The diagnosis and monitoring of disease progression in such infections as toxoplasmosis, schistosomiasis, and trypanosomiasis often rely on serological tests. Serological tests are effective in identifying chronic infections, asymptomatic carriers, and in conducting screening programs in at-risk populations.</w:t>
      </w:r>
    </w:p>
    <w:p w:rsidR="00FF37F7" w:rsidRPr="0034170A" w:rsidRDefault="00FF37F7" w:rsidP="009A18F2">
      <w:pPr>
        <w:pStyle w:val="Heading5"/>
        <w:spacing w:before="0"/>
        <w:jc w:val="both"/>
        <w:rPr>
          <w:rFonts w:ascii="Times New Roman" w:hAnsi="Times New Roman" w:cs="Times New Roman"/>
          <w:sz w:val="20"/>
          <w:szCs w:val="20"/>
        </w:rPr>
      </w:pPr>
      <w:r w:rsidRPr="0034170A">
        <w:rPr>
          <w:rStyle w:val="Strong"/>
          <w:rFonts w:ascii="Times New Roman" w:hAnsi="Times New Roman" w:cs="Times New Roman"/>
          <w:b w:val="0"/>
          <w:bCs w:val="0"/>
          <w:sz w:val="20"/>
          <w:szCs w:val="20"/>
        </w:rPr>
        <w:t>Toxoplasmosis Serology</w:t>
      </w:r>
    </w:p>
    <w:p w:rsidR="00FB6361" w:rsidRPr="0034170A" w:rsidRDefault="00FB6361" w:rsidP="009A18F2">
      <w:pPr>
        <w:pStyle w:val="NormalWeb"/>
        <w:spacing w:before="0" w:beforeAutospacing="0" w:after="0" w:afterAutospacing="0"/>
        <w:ind w:firstLine="720"/>
        <w:jc w:val="both"/>
        <w:rPr>
          <w:sz w:val="20"/>
          <w:szCs w:val="20"/>
          <w:lang w:val="en-US"/>
        </w:rPr>
      </w:pPr>
      <w:r w:rsidRPr="0034170A">
        <w:rPr>
          <w:sz w:val="20"/>
          <w:szCs w:val="20"/>
          <w:lang w:val="en-US"/>
        </w:rPr>
        <w:t xml:space="preserve">Toxoplasmosis is one of the most common parasitic infections worldwide and is caused by the protozoan parasite </w:t>
      </w:r>
      <w:r w:rsidRPr="0034170A">
        <w:rPr>
          <w:i/>
          <w:iCs/>
          <w:sz w:val="20"/>
          <w:szCs w:val="20"/>
          <w:lang w:val="en-US"/>
        </w:rPr>
        <w:t>Toxoplasma gondii</w:t>
      </w:r>
      <w:r w:rsidRPr="0034170A">
        <w:rPr>
          <w:sz w:val="20"/>
          <w:szCs w:val="20"/>
          <w:lang w:val="en-US"/>
        </w:rPr>
        <w:t>. The principal approach to diagnosing toxoplasmosis is serological testing during prenatal care, especially for pregnant women, immunocompromised individuals, and those suspected to have ocular or congenital toxoplasmosis.</w:t>
      </w:r>
    </w:p>
    <w:p w:rsidR="00FB6361" w:rsidRPr="0034170A" w:rsidRDefault="00FB6361" w:rsidP="00151AB1">
      <w:pPr>
        <w:pStyle w:val="NormalWeb"/>
        <w:numPr>
          <w:ilvl w:val="0"/>
          <w:numId w:val="34"/>
        </w:numPr>
        <w:spacing w:before="0" w:beforeAutospacing="0" w:after="0" w:afterAutospacing="0"/>
        <w:jc w:val="both"/>
        <w:rPr>
          <w:sz w:val="20"/>
          <w:szCs w:val="20"/>
          <w:lang w:val="en-US"/>
        </w:rPr>
      </w:pPr>
      <w:r w:rsidRPr="0034170A">
        <w:rPr>
          <w:b/>
          <w:bCs/>
          <w:sz w:val="20"/>
          <w:szCs w:val="20"/>
          <w:lang w:val="en-US"/>
        </w:rPr>
        <w:t>Methods</w:t>
      </w:r>
      <w:r w:rsidRPr="0034170A">
        <w:rPr>
          <w:sz w:val="20"/>
          <w:szCs w:val="20"/>
          <w:lang w:val="en-US"/>
        </w:rPr>
        <w:t>: ELISA and IFA are the principal serological tests for toxoplasmosis, and these tests can identify IgM and IgG antibodies against T. gondii. The presence of IgM antibodies generally appears during the acute phase of infection, and IgG antibodies are present lifelong and indicate prior exposure. Avidity testing distinguishes between new and remote infections by evaluating the strength of binding of IgG to the antigen.</w:t>
      </w:r>
    </w:p>
    <w:p w:rsidR="00FB6361" w:rsidRPr="0034170A" w:rsidRDefault="00FB6361" w:rsidP="00151AB1">
      <w:pPr>
        <w:pStyle w:val="NormalWeb"/>
        <w:numPr>
          <w:ilvl w:val="0"/>
          <w:numId w:val="34"/>
        </w:numPr>
        <w:spacing w:before="0" w:beforeAutospacing="0" w:after="0" w:afterAutospacing="0"/>
        <w:jc w:val="both"/>
        <w:rPr>
          <w:sz w:val="20"/>
          <w:szCs w:val="20"/>
          <w:lang w:val="en-US"/>
        </w:rPr>
      </w:pPr>
      <w:r w:rsidRPr="0034170A">
        <w:rPr>
          <w:b/>
          <w:bCs/>
          <w:sz w:val="20"/>
          <w:szCs w:val="20"/>
          <w:lang w:val="en-US"/>
        </w:rPr>
        <w:t>Clinical Implications</w:t>
      </w:r>
      <w:r w:rsidRPr="0034170A">
        <w:rPr>
          <w:sz w:val="20"/>
          <w:szCs w:val="20"/>
          <w:lang w:val="en-US"/>
        </w:rPr>
        <w:t>: Serological diagnosis of toxoplasmosis in pregnant women is mandatory since congenital transmission may occur if the mother is acutely infected with the toxoplasma during pregnancy. In this setting, specific IgM antibodies, together with IgG avidity testing, can assist in the determination of whether the infection is recent and so put the fetus at risk. For immunocompromised patients, like HIV/AIDS patients, serological testing can even be used in order to identify the reactivation of latent toxoplasmosis, especially when used in conjunction with molecular methods such as PCR.</w:t>
      </w:r>
    </w:p>
    <w:p w:rsidR="00FF37F7" w:rsidRPr="0034170A" w:rsidRDefault="00FB6361" w:rsidP="00151AB1">
      <w:pPr>
        <w:pStyle w:val="NormalWeb"/>
        <w:numPr>
          <w:ilvl w:val="0"/>
          <w:numId w:val="34"/>
        </w:numPr>
        <w:spacing w:before="0" w:beforeAutospacing="0" w:after="0" w:afterAutospacing="0"/>
        <w:jc w:val="both"/>
        <w:rPr>
          <w:sz w:val="20"/>
          <w:szCs w:val="20"/>
        </w:rPr>
      </w:pPr>
      <w:r w:rsidRPr="0034170A">
        <w:rPr>
          <w:b/>
          <w:bCs/>
          <w:sz w:val="20"/>
          <w:szCs w:val="20"/>
          <w:lang w:val="en-US"/>
        </w:rPr>
        <w:t>Advantages and Limitations</w:t>
      </w:r>
      <w:r w:rsidRPr="0034170A">
        <w:rPr>
          <w:sz w:val="20"/>
          <w:szCs w:val="20"/>
          <w:lang w:val="en-US"/>
        </w:rPr>
        <w:t>: Serology is always very sensitive and specific for the diagnosis of toxoplasmosis. The two tests, IgM and IgG, can be used and help differentiate between recent and past infections. False positives can be caused by cross-reactivity with other pathogens. Sometimes, the antibody disappears late in the disease, which complicates the interpretation of such results. Serology is typically combined with molecular methods such as PCR to deliver a final diagnosis, particularly in the case of congenital toxoplasmosis.</w:t>
      </w:r>
    </w:p>
    <w:p w:rsidR="00FF37F7" w:rsidRPr="0034170A" w:rsidRDefault="00FF37F7" w:rsidP="009A18F2">
      <w:pPr>
        <w:pStyle w:val="Heading5"/>
        <w:spacing w:before="0"/>
        <w:jc w:val="both"/>
        <w:rPr>
          <w:rFonts w:ascii="Times New Roman" w:hAnsi="Times New Roman" w:cs="Times New Roman"/>
          <w:sz w:val="20"/>
          <w:szCs w:val="20"/>
        </w:rPr>
      </w:pPr>
      <w:r w:rsidRPr="0034170A">
        <w:rPr>
          <w:rStyle w:val="Strong"/>
          <w:rFonts w:ascii="Times New Roman" w:hAnsi="Times New Roman" w:cs="Times New Roman"/>
          <w:b w:val="0"/>
          <w:bCs w:val="0"/>
          <w:sz w:val="20"/>
          <w:szCs w:val="20"/>
        </w:rPr>
        <w:t>Schistosomiasis Serology</w:t>
      </w:r>
    </w:p>
    <w:p w:rsidR="008A7D70" w:rsidRPr="0034170A" w:rsidRDefault="00FB6361" w:rsidP="009A18F2">
      <w:pPr>
        <w:pStyle w:val="NormalWeb"/>
        <w:spacing w:before="0" w:beforeAutospacing="0" w:after="0" w:afterAutospacing="0"/>
        <w:ind w:firstLine="720"/>
        <w:jc w:val="both"/>
        <w:rPr>
          <w:sz w:val="20"/>
          <w:szCs w:val="20"/>
        </w:rPr>
      </w:pPr>
      <w:r w:rsidRPr="0034170A">
        <w:rPr>
          <w:sz w:val="20"/>
          <w:szCs w:val="20"/>
          <w:lang w:val="en-US"/>
        </w:rPr>
        <w:t xml:space="preserve">It is caused by parasitic flatworms belonging to the genus </w:t>
      </w:r>
      <w:r w:rsidRPr="0034170A">
        <w:rPr>
          <w:i/>
          <w:iCs/>
          <w:sz w:val="20"/>
          <w:szCs w:val="20"/>
          <w:lang w:val="en-US"/>
        </w:rPr>
        <w:t>Schistosoma</w:t>
      </w:r>
      <w:r w:rsidRPr="0034170A">
        <w:rPr>
          <w:sz w:val="20"/>
          <w:szCs w:val="20"/>
          <w:lang w:val="en-US"/>
        </w:rPr>
        <w:t xml:space="preserve">. Such an infection impacts millions worldwide and particularly occurs in tropical and subtropical areas. </w:t>
      </w:r>
      <w:r w:rsidR="008A7D70" w:rsidRPr="0034170A">
        <w:rPr>
          <w:sz w:val="20"/>
          <w:szCs w:val="20"/>
        </w:rPr>
        <w:t xml:space="preserve">When diagnosing schistosomiasis, </w:t>
      </w:r>
      <w:r w:rsidR="008A7D70" w:rsidRPr="0034170A">
        <w:rPr>
          <w:sz w:val="20"/>
          <w:szCs w:val="20"/>
        </w:rPr>
        <w:lastRenderedPageBreak/>
        <w:t>serological testing is essential, particularly when the patient may not have eggs in their urine or stool and when the illness may be persistent or subclinical.</w:t>
      </w:r>
    </w:p>
    <w:p w:rsidR="008A7D70" w:rsidRPr="0034170A" w:rsidRDefault="00FB6361" w:rsidP="00151AB1">
      <w:pPr>
        <w:pStyle w:val="NormalWeb"/>
        <w:numPr>
          <w:ilvl w:val="0"/>
          <w:numId w:val="35"/>
        </w:numPr>
        <w:spacing w:before="0" w:beforeAutospacing="0" w:after="0" w:afterAutospacing="0"/>
        <w:jc w:val="both"/>
        <w:rPr>
          <w:sz w:val="20"/>
          <w:szCs w:val="20"/>
        </w:rPr>
      </w:pPr>
      <w:r w:rsidRPr="0034170A">
        <w:rPr>
          <w:b/>
          <w:bCs/>
          <w:sz w:val="20"/>
          <w:szCs w:val="20"/>
          <w:lang w:val="en-US"/>
        </w:rPr>
        <w:t>Methods</w:t>
      </w:r>
      <w:r w:rsidRPr="0034170A">
        <w:rPr>
          <w:sz w:val="20"/>
          <w:szCs w:val="20"/>
          <w:lang w:val="en-US"/>
        </w:rPr>
        <w:t xml:space="preserve">: </w:t>
      </w:r>
      <w:r w:rsidR="008A7D70" w:rsidRPr="0034170A">
        <w:rPr>
          <w:sz w:val="20"/>
          <w:szCs w:val="20"/>
        </w:rPr>
        <w:t xml:space="preserve">For the serological detection of IgG antibodies to </w:t>
      </w:r>
      <w:r w:rsidR="008A7D70" w:rsidRPr="0034170A">
        <w:rPr>
          <w:i/>
          <w:iCs/>
          <w:sz w:val="20"/>
          <w:szCs w:val="20"/>
        </w:rPr>
        <w:t>Schistosoma</w:t>
      </w:r>
      <w:r w:rsidR="008A7D70" w:rsidRPr="0034170A">
        <w:rPr>
          <w:sz w:val="20"/>
          <w:szCs w:val="20"/>
        </w:rPr>
        <w:t xml:space="preserve"> antigens in serum, ELISA and IFA are frequently utilized. In cases of chronic schistosomiasis, where the load is typically very low and egg detection is impractical, this antibody detection is especially helpful. Additionally, identifying circulating </w:t>
      </w:r>
      <w:r w:rsidR="008A7D70" w:rsidRPr="0034170A">
        <w:rPr>
          <w:i/>
          <w:iCs/>
          <w:sz w:val="20"/>
          <w:szCs w:val="20"/>
        </w:rPr>
        <w:t>Schistosoma</w:t>
      </w:r>
      <w:r w:rsidR="008A7D70" w:rsidRPr="0034170A">
        <w:rPr>
          <w:sz w:val="20"/>
          <w:szCs w:val="20"/>
        </w:rPr>
        <w:t xml:space="preserve"> antigens in blood or urine could be useful in verifying an active infection.</w:t>
      </w:r>
    </w:p>
    <w:p w:rsidR="008A7D70" w:rsidRPr="0034170A" w:rsidRDefault="00FB6361" w:rsidP="00151AB1">
      <w:pPr>
        <w:pStyle w:val="NormalWeb"/>
        <w:numPr>
          <w:ilvl w:val="0"/>
          <w:numId w:val="35"/>
        </w:numPr>
        <w:spacing w:before="0" w:beforeAutospacing="0" w:after="0" w:afterAutospacing="0"/>
        <w:jc w:val="both"/>
        <w:rPr>
          <w:sz w:val="20"/>
          <w:szCs w:val="20"/>
        </w:rPr>
      </w:pPr>
      <w:r w:rsidRPr="0034170A">
        <w:rPr>
          <w:b/>
          <w:bCs/>
          <w:sz w:val="20"/>
          <w:szCs w:val="20"/>
          <w:lang w:val="en-US"/>
        </w:rPr>
        <w:t>Clinical Applications</w:t>
      </w:r>
      <w:r w:rsidRPr="0034170A">
        <w:rPr>
          <w:sz w:val="20"/>
          <w:szCs w:val="20"/>
          <w:lang w:val="en-US"/>
        </w:rPr>
        <w:t xml:space="preserve">: </w:t>
      </w:r>
      <w:r w:rsidR="008A7D70" w:rsidRPr="0034170A">
        <w:rPr>
          <w:sz w:val="20"/>
          <w:szCs w:val="20"/>
        </w:rPr>
        <w:t>In order to screen at-risk individuals in endemic locations and diagnose chronic schistosomiasis in travelers returning from those countries, serological testing is essential. When a patient has a history of exposure to tainted water or has vague symptoms but no identifiable eggs in his urine or feces, it is highly significant. Additionally, serology can be used to track therapy responses and identify reinfection in patients who have already received treatment.</w:t>
      </w:r>
    </w:p>
    <w:p w:rsidR="00FF37F7" w:rsidRPr="0034170A" w:rsidRDefault="00FB6361" w:rsidP="00151AB1">
      <w:pPr>
        <w:pStyle w:val="NormalWeb"/>
        <w:numPr>
          <w:ilvl w:val="0"/>
          <w:numId w:val="35"/>
        </w:numPr>
        <w:spacing w:before="0" w:beforeAutospacing="0" w:after="0" w:afterAutospacing="0"/>
        <w:jc w:val="both"/>
        <w:rPr>
          <w:sz w:val="20"/>
          <w:szCs w:val="20"/>
        </w:rPr>
      </w:pPr>
      <w:r w:rsidRPr="0034170A">
        <w:rPr>
          <w:b/>
          <w:bCs/>
          <w:sz w:val="20"/>
          <w:szCs w:val="20"/>
          <w:lang w:val="en-US"/>
        </w:rPr>
        <w:t>Advantages and Limitations</w:t>
      </w:r>
      <w:r w:rsidRPr="0034170A">
        <w:rPr>
          <w:sz w:val="20"/>
          <w:szCs w:val="20"/>
          <w:lang w:val="en-US"/>
        </w:rPr>
        <w:t xml:space="preserve">: </w:t>
      </w:r>
      <w:r w:rsidR="008A7D70" w:rsidRPr="0034170A">
        <w:rPr>
          <w:sz w:val="20"/>
          <w:szCs w:val="20"/>
        </w:rPr>
        <w:t>Even in the absence of egg shedding, serological testing can detect both acute and chronic illnesses due to its great sensitivity.</w:t>
      </w:r>
      <w:r w:rsidRPr="0034170A">
        <w:rPr>
          <w:sz w:val="20"/>
          <w:szCs w:val="20"/>
          <w:lang w:val="en-US"/>
        </w:rPr>
        <w:t xml:space="preserve"> However, neither active nor past infection can be differentiated because antibodies may remain for many years after infection has been resolved. In these scenarios, antigens may need to be detected or molecular methods to confirm an active infection.</w:t>
      </w:r>
    </w:p>
    <w:p w:rsidR="00FF37F7" w:rsidRPr="0034170A" w:rsidRDefault="00FF37F7" w:rsidP="009A18F2">
      <w:pPr>
        <w:pStyle w:val="Heading5"/>
        <w:spacing w:before="0"/>
        <w:jc w:val="both"/>
        <w:rPr>
          <w:rFonts w:ascii="Times New Roman" w:hAnsi="Times New Roman" w:cs="Times New Roman"/>
          <w:sz w:val="20"/>
          <w:szCs w:val="20"/>
        </w:rPr>
      </w:pPr>
      <w:r w:rsidRPr="0034170A">
        <w:rPr>
          <w:rStyle w:val="Strong"/>
          <w:rFonts w:ascii="Times New Roman" w:hAnsi="Times New Roman" w:cs="Times New Roman"/>
          <w:b w:val="0"/>
          <w:bCs w:val="0"/>
          <w:sz w:val="20"/>
          <w:szCs w:val="20"/>
        </w:rPr>
        <w:t>Trypanosomiasis Serology</w:t>
      </w:r>
    </w:p>
    <w:p w:rsidR="002540B8" w:rsidRPr="0034170A" w:rsidRDefault="002540B8" w:rsidP="009A18F2">
      <w:pPr>
        <w:pStyle w:val="NormalWeb"/>
        <w:spacing w:before="0" w:beforeAutospacing="0" w:after="0" w:afterAutospacing="0"/>
        <w:ind w:firstLine="720"/>
        <w:jc w:val="both"/>
        <w:rPr>
          <w:sz w:val="20"/>
          <w:szCs w:val="20"/>
          <w:lang w:val="en-US"/>
        </w:rPr>
      </w:pPr>
      <w:r w:rsidRPr="0034170A">
        <w:rPr>
          <w:sz w:val="20"/>
          <w:szCs w:val="20"/>
          <w:lang w:val="en-US"/>
        </w:rPr>
        <w:t xml:space="preserve">Trypanosomiasis, caused by the species of </w:t>
      </w:r>
      <w:r w:rsidRPr="0034170A">
        <w:rPr>
          <w:i/>
          <w:iCs/>
          <w:sz w:val="20"/>
          <w:szCs w:val="20"/>
          <w:lang w:val="en-US"/>
        </w:rPr>
        <w:t>Trypanosoma</w:t>
      </w:r>
      <w:r w:rsidRPr="0034170A">
        <w:rPr>
          <w:sz w:val="20"/>
          <w:szCs w:val="20"/>
          <w:lang w:val="en-US"/>
        </w:rPr>
        <w:t>, is an important parasitic disease that comprises African trypanosomiasis, commonly known as sleeping sickness, and American trypanosomiasis, which is Chagas disease. The serological diagnosis is the cornerstone for diagnosing both types of the disease, especially in the chronic stages, when the parasitemia level is low.</w:t>
      </w:r>
    </w:p>
    <w:p w:rsidR="002540B8" w:rsidRPr="0034170A" w:rsidRDefault="002540B8" w:rsidP="00151AB1">
      <w:pPr>
        <w:pStyle w:val="NormalWeb"/>
        <w:numPr>
          <w:ilvl w:val="0"/>
          <w:numId w:val="36"/>
        </w:numPr>
        <w:spacing w:before="0" w:beforeAutospacing="0" w:after="0" w:afterAutospacing="0"/>
        <w:jc w:val="both"/>
        <w:rPr>
          <w:sz w:val="20"/>
          <w:szCs w:val="20"/>
          <w:lang w:val="en-US"/>
        </w:rPr>
      </w:pPr>
      <w:r w:rsidRPr="0034170A">
        <w:rPr>
          <w:b/>
          <w:bCs/>
          <w:sz w:val="20"/>
          <w:szCs w:val="20"/>
          <w:lang w:val="en-US"/>
        </w:rPr>
        <w:t>Methods</w:t>
      </w:r>
      <w:r w:rsidRPr="0034170A">
        <w:rPr>
          <w:sz w:val="20"/>
          <w:szCs w:val="20"/>
          <w:lang w:val="en-US"/>
        </w:rPr>
        <w:t xml:space="preserve">: Commonly serological approaches employed for detection include ELISA, IFA, and even western blot, intended to seek for antibodies present in the subjects towards </w:t>
      </w:r>
      <w:r w:rsidRPr="0034170A">
        <w:rPr>
          <w:i/>
          <w:iCs/>
          <w:sz w:val="20"/>
          <w:szCs w:val="20"/>
          <w:lang w:val="en-US"/>
        </w:rPr>
        <w:t>Trypanosoma</w:t>
      </w:r>
      <w:r w:rsidRPr="0034170A">
        <w:rPr>
          <w:sz w:val="20"/>
          <w:szCs w:val="20"/>
          <w:lang w:val="en-US"/>
        </w:rPr>
        <w:t xml:space="preserve"> antigens. As of Chagas, recombinant antigens have been incorporated usually to promote more specificity serologic tests for.</w:t>
      </w:r>
    </w:p>
    <w:p w:rsidR="002540B8" w:rsidRPr="0034170A" w:rsidRDefault="002540B8" w:rsidP="00151AB1">
      <w:pPr>
        <w:pStyle w:val="NormalWeb"/>
        <w:numPr>
          <w:ilvl w:val="0"/>
          <w:numId w:val="36"/>
        </w:numPr>
        <w:spacing w:before="0" w:beforeAutospacing="0" w:after="0" w:afterAutospacing="0"/>
        <w:jc w:val="both"/>
        <w:rPr>
          <w:sz w:val="20"/>
          <w:szCs w:val="20"/>
          <w:lang w:val="en-US"/>
        </w:rPr>
      </w:pPr>
      <w:r w:rsidRPr="0034170A">
        <w:rPr>
          <w:b/>
          <w:bCs/>
          <w:sz w:val="20"/>
          <w:szCs w:val="20"/>
          <w:lang w:val="en-US"/>
        </w:rPr>
        <w:t>Clinical Use</w:t>
      </w:r>
      <w:r w:rsidRPr="0034170A">
        <w:rPr>
          <w:sz w:val="20"/>
          <w:szCs w:val="20"/>
          <w:lang w:val="en-US"/>
        </w:rPr>
        <w:t>: In African trypanosomiasis, serology is useful in screening populations for the disease as well as the identification of asymptomatic carriers. For Chagas disease, the primary method used in diagnosing chronic infections includes serology especially in patients experiencing cardiac or gastrointestinal complications. Secondly, serology is used to monitor treatment response and detect relapses in individuals with chronic trypanosomiasis.</w:t>
      </w:r>
    </w:p>
    <w:p w:rsidR="00FF37F7" w:rsidRPr="0034170A" w:rsidRDefault="002540B8" w:rsidP="00151AB1">
      <w:pPr>
        <w:pStyle w:val="NormalWeb"/>
        <w:numPr>
          <w:ilvl w:val="0"/>
          <w:numId w:val="36"/>
        </w:numPr>
        <w:spacing w:before="0" w:beforeAutospacing="0" w:after="0" w:afterAutospacing="0"/>
        <w:jc w:val="both"/>
        <w:rPr>
          <w:sz w:val="20"/>
          <w:szCs w:val="20"/>
        </w:rPr>
      </w:pPr>
      <w:r w:rsidRPr="0034170A">
        <w:rPr>
          <w:b/>
          <w:bCs/>
          <w:sz w:val="20"/>
          <w:szCs w:val="20"/>
          <w:lang w:val="en-US"/>
        </w:rPr>
        <w:t>Advantages and Limitations</w:t>
      </w:r>
      <w:r w:rsidRPr="0034170A">
        <w:rPr>
          <w:sz w:val="20"/>
          <w:szCs w:val="20"/>
          <w:lang w:val="en-US"/>
        </w:rPr>
        <w:t>: Serological tests are sensitive to chronic trypanosomiasis; the tests also can detect latent infections in asymptomatic individuals residing in endemic areas. However, just like in any parasitic infection, the serological tests cannot distinguish between the active and latent infections; in addition, antibodies may remain positive for long periods after a cure. The diagnosis of an acute infection will need parasitological methods like microscopy or PCR to confirm.</w:t>
      </w:r>
    </w:p>
    <w:p w:rsidR="00FF37F7" w:rsidRPr="0034170A" w:rsidRDefault="00FF37F7" w:rsidP="009A18F2">
      <w:pPr>
        <w:pStyle w:val="Heading3"/>
        <w:numPr>
          <w:ilvl w:val="1"/>
          <w:numId w:val="8"/>
        </w:numPr>
        <w:spacing w:before="0"/>
        <w:jc w:val="both"/>
        <w:rPr>
          <w:rFonts w:ascii="Times New Roman" w:hAnsi="Times New Roman" w:cs="Times New Roman"/>
          <w:sz w:val="20"/>
          <w:szCs w:val="20"/>
        </w:rPr>
      </w:pPr>
      <w:r w:rsidRPr="0034170A">
        <w:rPr>
          <w:rStyle w:val="Strong"/>
          <w:rFonts w:ascii="Times New Roman" w:hAnsi="Times New Roman" w:cs="Times New Roman"/>
          <w:b/>
          <w:bCs/>
          <w:sz w:val="20"/>
          <w:szCs w:val="20"/>
        </w:rPr>
        <w:t>Histopathology in Fungal and Parasitic Diagnostics</w:t>
      </w:r>
    </w:p>
    <w:p w:rsidR="002540B8" w:rsidRPr="0034170A" w:rsidRDefault="002540B8" w:rsidP="009A18F2">
      <w:pPr>
        <w:pStyle w:val="NormalWeb"/>
        <w:spacing w:before="0" w:beforeAutospacing="0" w:after="0" w:afterAutospacing="0"/>
        <w:ind w:firstLine="720"/>
        <w:jc w:val="both"/>
        <w:rPr>
          <w:sz w:val="20"/>
          <w:szCs w:val="20"/>
          <w:lang w:val="en-US"/>
        </w:rPr>
      </w:pPr>
      <w:r w:rsidRPr="0034170A">
        <w:rPr>
          <w:sz w:val="20"/>
          <w:szCs w:val="20"/>
          <w:lang w:val="en-US"/>
        </w:rPr>
        <w:t>Histopathology is also the most reliable diagnostic tool when the results from culture, serology, or molecular techniques are unclear. The histopathology examination involves studying tissues under the microscope to find changes in structures because of infection as well as observing fungal elements or parasitic forms directly within tissues. This technique is quite efficient for invasive infections, which include pathogens invading tissues and organs with cellular damage, inflammation, and necrosis.</w:t>
      </w:r>
    </w:p>
    <w:p w:rsidR="00FF37F7" w:rsidRPr="0034170A" w:rsidRDefault="002540B8" w:rsidP="009A18F2">
      <w:pPr>
        <w:pStyle w:val="NormalWeb"/>
        <w:spacing w:before="0" w:beforeAutospacing="0" w:after="0" w:afterAutospacing="0"/>
        <w:ind w:firstLine="720"/>
        <w:jc w:val="both"/>
        <w:rPr>
          <w:sz w:val="20"/>
          <w:szCs w:val="20"/>
        </w:rPr>
      </w:pPr>
      <w:r w:rsidRPr="0034170A">
        <w:rPr>
          <w:sz w:val="20"/>
          <w:szCs w:val="20"/>
          <w:lang w:val="en-US"/>
        </w:rPr>
        <w:t>Histopathology provides key information on the extent of tissue damage, the type of immune response, and an accurate site of pathogens in infected tissues. Specialized stains and immunohistochemical techniques enable histopathologists to differentiate between different types of fungi and parasites, and specific forms of these pathogens can be identified. Histopathologists can further grade the severity of infection. This section looks at the history of histopathology in terms of diagnosing fungal and parasitic infections: common staining techniques, histopathological features of different pathogens, and clinical use of this form of diagnosis.</w:t>
      </w:r>
    </w:p>
    <w:p w:rsidR="00FF37F7" w:rsidRPr="0034170A" w:rsidRDefault="00FF37F7" w:rsidP="009A18F2">
      <w:pPr>
        <w:pStyle w:val="Heading4"/>
        <w:numPr>
          <w:ilvl w:val="2"/>
          <w:numId w:val="8"/>
        </w:numPr>
        <w:spacing w:before="0"/>
        <w:jc w:val="both"/>
        <w:rPr>
          <w:rFonts w:ascii="Times New Roman" w:hAnsi="Times New Roman" w:cs="Times New Roman"/>
          <w:i w:val="0"/>
          <w:iCs w:val="0"/>
          <w:sz w:val="20"/>
          <w:szCs w:val="20"/>
        </w:rPr>
      </w:pPr>
      <w:r w:rsidRPr="0034170A">
        <w:rPr>
          <w:rStyle w:val="Strong"/>
          <w:rFonts w:ascii="Times New Roman" w:hAnsi="Times New Roman" w:cs="Times New Roman"/>
          <w:b/>
          <w:bCs/>
          <w:i w:val="0"/>
          <w:iCs w:val="0"/>
          <w:sz w:val="20"/>
          <w:szCs w:val="20"/>
        </w:rPr>
        <w:t>Histopathology in Fungal Diagnostics</w:t>
      </w:r>
    </w:p>
    <w:p w:rsidR="008A7D70" w:rsidRPr="0034170A" w:rsidRDefault="002540B8" w:rsidP="009A18F2">
      <w:pPr>
        <w:pStyle w:val="NormalWeb"/>
        <w:spacing w:before="0" w:beforeAutospacing="0" w:after="0" w:afterAutospacing="0"/>
        <w:ind w:firstLine="720"/>
        <w:jc w:val="both"/>
        <w:rPr>
          <w:sz w:val="20"/>
          <w:szCs w:val="20"/>
        </w:rPr>
      </w:pPr>
      <w:r w:rsidRPr="0034170A">
        <w:rPr>
          <w:sz w:val="20"/>
          <w:szCs w:val="20"/>
          <w:lang w:val="en-US"/>
        </w:rPr>
        <w:t xml:space="preserve">Fungal infections can target almost any tissue, from the outermost layers of the skin to inner organs such as the lungs, brain, and liver. Histopathological examination typically proves crucial in the diagnosis of invasive fungal infections, especially in immunocompromised patients whose cultures may well be negative, or a rapid diagnosis may represent life or death in initiating antifungal therapy. </w:t>
      </w:r>
      <w:r w:rsidR="008A7D70" w:rsidRPr="0034170A">
        <w:rPr>
          <w:sz w:val="20"/>
          <w:szCs w:val="20"/>
        </w:rPr>
        <w:t>It enables the identification of the particular fungal species based on form and staining characteristics as well as the direct viewing of fungal elements, such as hyphae, spores, and yeast cells, in tissue sections.</w:t>
      </w:r>
    </w:p>
    <w:p w:rsidR="00FF37F7" w:rsidRPr="0034170A" w:rsidRDefault="00FF37F7" w:rsidP="009A18F2">
      <w:pPr>
        <w:pStyle w:val="Heading5"/>
        <w:spacing w:before="0"/>
        <w:jc w:val="both"/>
        <w:rPr>
          <w:rFonts w:ascii="Times New Roman" w:hAnsi="Times New Roman" w:cs="Times New Roman"/>
          <w:sz w:val="20"/>
          <w:szCs w:val="20"/>
        </w:rPr>
      </w:pPr>
      <w:r w:rsidRPr="0034170A">
        <w:rPr>
          <w:rStyle w:val="Strong"/>
          <w:rFonts w:ascii="Times New Roman" w:hAnsi="Times New Roman" w:cs="Times New Roman"/>
          <w:b w:val="0"/>
          <w:bCs w:val="0"/>
          <w:sz w:val="20"/>
          <w:szCs w:val="20"/>
        </w:rPr>
        <w:t>Common Stains Used in Fungal Histopathology</w:t>
      </w:r>
    </w:p>
    <w:p w:rsidR="002540B8" w:rsidRPr="0034170A" w:rsidRDefault="002540B8" w:rsidP="009A18F2">
      <w:pPr>
        <w:pStyle w:val="NormalWeb"/>
        <w:spacing w:before="0" w:beforeAutospacing="0" w:after="0" w:afterAutospacing="0"/>
        <w:ind w:firstLine="720"/>
        <w:jc w:val="both"/>
        <w:rPr>
          <w:sz w:val="20"/>
          <w:szCs w:val="20"/>
          <w:lang w:val="en-US"/>
        </w:rPr>
      </w:pPr>
      <w:r w:rsidRPr="0034170A">
        <w:rPr>
          <w:sz w:val="20"/>
          <w:szCs w:val="20"/>
          <w:lang w:val="en-US"/>
        </w:rPr>
        <w:t>Different stains are used to identify fungi in tissue sections, and each stain is used to highlight specific elements of the fungal cell wall or to distinguish fungal structures from the surrounding tissue. Among the most commonly used stains in fungal histopathology are:</w:t>
      </w:r>
    </w:p>
    <w:p w:rsidR="00175E44" w:rsidRPr="0034170A" w:rsidRDefault="002540B8" w:rsidP="00151AB1">
      <w:pPr>
        <w:pStyle w:val="NormalWeb"/>
        <w:numPr>
          <w:ilvl w:val="0"/>
          <w:numId w:val="37"/>
        </w:numPr>
        <w:spacing w:before="0" w:beforeAutospacing="0" w:after="0" w:afterAutospacing="0"/>
        <w:jc w:val="both"/>
        <w:rPr>
          <w:sz w:val="20"/>
          <w:szCs w:val="20"/>
          <w:lang w:val="en-US"/>
        </w:rPr>
      </w:pPr>
      <w:r w:rsidRPr="0034170A">
        <w:rPr>
          <w:b/>
          <w:bCs/>
          <w:sz w:val="20"/>
          <w:szCs w:val="20"/>
          <w:lang w:val="en-US"/>
        </w:rPr>
        <w:t>Gomori Methenamine Silver (GMS) Stain</w:t>
      </w:r>
      <w:r w:rsidRPr="0034170A">
        <w:rPr>
          <w:sz w:val="20"/>
          <w:szCs w:val="20"/>
          <w:lang w:val="en-US"/>
        </w:rPr>
        <w:t xml:space="preserve">: This staining is widely employed for the demonstration of fungal constituents in tissue biopsy. It selectively binds to the fungal cell wall, and accordingly, fungal hyphae, yeasts, or spores are visualized as black or dark brown color against a pale green background. </w:t>
      </w:r>
      <w:r w:rsidR="00175E44" w:rsidRPr="0034170A">
        <w:rPr>
          <w:sz w:val="20"/>
          <w:szCs w:val="20"/>
          <w:lang w:val="en-US"/>
        </w:rPr>
        <w:t xml:space="preserve">GMS </w:t>
      </w:r>
      <w:r w:rsidR="00175E44" w:rsidRPr="0034170A">
        <w:rPr>
          <w:sz w:val="20"/>
          <w:szCs w:val="20"/>
          <w:lang w:val="en-US"/>
        </w:rPr>
        <w:lastRenderedPageBreak/>
        <w:t>is very sensitive and forms one of the most dependable methods for the demonstration of fungi from histopathologic specimens, especially in invasive form of fungal diseases such as aspergillosis, candidiasis, and cryptococcosis.</w:t>
      </w:r>
    </w:p>
    <w:p w:rsidR="00175E44" w:rsidRPr="0034170A" w:rsidRDefault="00175E44" w:rsidP="00151AB1">
      <w:pPr>
        <w:pStyle w:val="NormalWeb"/>
        <w:numPr>
          <w:ilvl w:val="0"/>
          <w:numId w:val="37"/>
        </w:numPr>
        <w:spacing w:before="0" w:beforeAutospacing="0" w:after="0" w:afterAutospacing="0"/>
        <w:jc w:val="both"/>
        <w:rPr>
          <w:sz w:val="20"/>
          <w:szCs w:val="20"/>
          <w:lang w:val="en-US"/>
        </w:rPr>
      </w:pPr>
      <w:r w:rsidRPr="0034170A">
        <w:rPr>
          <w:b/>
          <w:bCs/>
          <w:sz w:val="20"/>
          <w:szCs w:val="20"/>
          <w:lang w:val="en-US"/>
        </w:rPr>
        <w:t>PAS Stain</w:t>
      </w:r>
      <w:r w:rsidRPr="0034170A">
        <w:rPr>
          <w:sz w:val="20"/>
          <w:szCs w:val="20"/>
          <w:lang w:val="en-US"/>
        </w:rPr>
        <w:t xml:space="preserve">: This is the other very popular stain that detects fungi in tissue. The stain stains the polysaccharide of the cell wall of fungi, and it stains fungal elements magenta or pink against the light purple background of tissue. It is highly useful in detecting a variety of fungal organisms that include yeasts such as </w:t>
      </w:r>
      <w:r w:rsidRPr="0034170A">
        <w:rPr>
          <w:i/>
          <w:iCs/>
          <w:sz w:val="20"/>
          <w:szCs w:val="20"/>
          <w:lang w:val="en-US"/>
        </w:rPr>
        <w:t>Candida</w:t>
      </w:r>
      <w:r w:rsidRPr="0034170A">
        <w:rPr>
          <w:sz w:val="20"/>
          <w:szCs w:val="20"/>
          <w:lang w:val="en-US"/>
        </w:rPr>
        <w:t xml:space="preserve"> and </w:t>
      </w:r>
      <w:r w:rsidRPr="0034170A">
        <w:rPr>
          <w:i/>
          <w:iCs/>
          <w:sz w:val="20"/>
          <w:szCs w:val="20"/>
          <w:lang w:val="en-US"/>
        </w:rPr>
        <w:t>Cryptococcus</w:t>
      </w:r>
      <w:r w:rsidRPr="0034170A">
        <w:rPr>
          <w:sz w:val="20"/>
          <w:szCs w:val="20"/>
          <w:lang w:val="en-US"/>
        </w:rPr>
        <w:t xml:space="preserve"> to filamentous species like </w:t>
      </w:r>
      <w:r w:rsidRPr="0034170A">
        <w:rPr>
          <w:i/>
          <w:iCs/>
          <w:sz w:val="20"/>
          <w:szCs w:val="20"/>
          <w:lang w:val="en-US"/>
        </w:rPr>
        <w:t>Aspergillus</w:t>
      </w:r>
      <w:r w:rsidRPr="0034170A">
        <w:rPr>
          <w:sz w:val="20"/>
          <w:szCs w:val="20"/>
          <w:lang w:val="en-US"/>
        </w:rPr>
        <w:t xml:space="preserve"> and </w:t>
      </w:r>
      <w:r w:rsidRPr="0034170A">
        <w:rPr>
          <w:i/>
          <w:iCs/>
          <w:sz w:val="20"/>
          <w:szCs w:val="20"/>
          <w:lang w:val="en-US"/>
        </w:rPr>
        <w:t>Mucor</w:t>
      </w:r>
      <w:r w:rsidRPr="0034170A">
        <w:rPr>
          <w:sz w:val="20"/>
          <w:szCs w:val="20"/>
          <w:lang w:val="en-US"/>
        </w:rPr>
        <w:t xml:space="preserve"> species. This stain is extremely useful for detection in patients that suffer from invasive candidiasis and cryptococcal meningitis.</w:t>
      </w:r>
    </w:p>
    <w:p w:rsidR="00175E44" w:rsidRPr="0034170A" w:rsidRDefault="00175E44" w:rsidP="00151AB1">
      <w:pPr>
        <w:pStyle w:val="NormalWeb"/>
        <w:numPr>
          <w:ilvl w:val="0"/>
          <w:numId w:val="37"/>
        </w:numPr>
        <w:spacing w:before="0" w:beforeAutospacing="0" w:after="0" w:afterAutospacing="0"/>
        <w:jc w:val="both"/>
        <w:rPr>
          <w:sz w:val="20"/>
          <w:szCs w:val="20"/>
          <w:lang w:val="en-US"/>
        </w:rPr>
      </w:pPr>
      <w:r w:rsidRPr="0034170A">
        <w:rPr>
          <w:b/>
          <w:bCs/>
          <w:sz w:val="20"/>
          <w:szCs w:val="20"/>
          <w:lang w:val="en-US"/>
        </w:rPr>
        <w:t>Hematoxylin and Eosin Stain</w:t>
      </w:r>
      <w:r w:rsidRPr="0034170A">
        <w:rPr>
          <w:sz w:val="20"/>
          <w:szCs w:val="20"/>
          <w:lang w:val="en-US"/>
        </w:rPr>
        <w:t>: Non-specific for the fungi, it is still considered the most generally used histologic stain to define general tissue architecture and pathology. It helps show the immune responses of the host to the pathogens, which would include inflammation and necrosis as well as possible granulomas. The staining of the Hematoxylin and Eosin may possibly reveal the fungus, but would not be apparent as easy and clear as special stains, particularly GMS and PAS.</w:t>
      </w:r>
    </w:p>
    <w:p w:rsidR="00FF37F7" w:rsidRPr="0034170A" w:rsidRDefault="00175E44" w:rsidP="00151AB1">
      <w:pPr>
        <w:pStyle w:val="NormalWeb"/>
        <w:numPr>
          <w:ilvl w:val="0"/>
          <w:numId w:val="37"/>
        </w:numPr>
        <w:spacing w:before="0" w:beforeAutospacing="0" w:after="0" w:afterAutospacing="0"/>
        <w:jc w:val="both"/>
        <w:rPr>
          <w:sz w:val="20"/>
          <w:szCs w:val="20"/>
        </w:rPr>
      </w:pPr>
      <w:r w:rsidRPr="0034170A">
        <w:rPr>
          <w:b/>
          <w:bCs/>
          <w:sz w:val="20"/>
          <w:szCs w:val="20"/>
          <w:lang w:val="en-US"/>
        </w:rPr>
        <w:t>Mucicarmine Stain</w:t>
      </w:r>
      <w:r w:rsidRPr="0034170A">
        <w:rPr>
          <w:sz w:val="20"/>
          <w:szCs w:val="20"/>
          <w:lang w:val="en-US"/>
        </w:rPr>
        <w:t xml:space="preserve">: The stain is best suited for the capsular polysaccharide of </w:t>
      </w:r>
      <w:r w:rsidRPr="0034170A">
        <w:rPr>
          <w:i/>
          <w:iCs/>
          <w:sz w:val="20"/>
          <w:szCs w:val="20"/>
          <w:lang w:val="en-US"/>
        </w:rPr>
        <w:t>Cryptococcus</w:t>
      </w:r>
      <w:r w:rsidRPr="0034170A">
        <w:rPr>
          <w:sz w:val="20"/>
          <w:szCs w:val="20"/>
          <w:lang w:val="en-US"/>
        </w:rPr>
        <w:t xml:space="preserve"> </w:t>
      </w:r>
      <w:r w:rsidRPr="0034170A">
        <w:rPr>
          <w:i/>
          <w:iCs/>
          <w:sz w:val="20"/>
          <w:szCs w:val="20"/>
          <w:lang w:val="en-US"/>
        </w:rPr>
        <w:t>neoformans</w:t>
      </w:r>
      <w:r w:rsidRPr="0034170A">
        <w:rPr>
          <w:sz w:val="20"/>
          <w:szCs w:val="20"/>
          <w:lang w:val="en-US"/>
        </w:rPr>
        <w:t>, which, stained, presents as bright red. It is a common test in diagnosing cryptococcal infections, mainly in immunocompromised patients, where an encapsulated yeast can be seen in tissue or CSF.</w:t>
      </w:r>
    </w:p>
    <w:p w:rsidR="00FF37F7" w:rsidRPr="0034170A" w:rsidRDefault="00FF37F7" w:rsidP="009A18F2">
      <w:pPr>
        <w:pStyle w:val="Heading5"/>
        <w:spacing w:before="0"/>
        <w:jc w:val="both"/>
        <w:rPr>
          <w:rFonts w:ascii="Times New Roman" w:hAnsi="Times New Roman" w:cs="Times New Roman"/>
          <w:sz w:val="20"/>
          <w:szCs w:val="20"/>
        </w:rPr>
      </w:pPr>
      <w:r w:rsidRPr="0034170A">
        <w:rPr>
          <w:rStyle w:val="Strong"/>
          <w:rFonts w:ascii="Times New Roman" w:hAnsi="Times New Roman" w:cs="Times New Roman"/>
          <w:b w:val="0"/>
          <w:bCs w:val="0"/>
          <w:sz w:val="20"/>
          <w:szCs w:val="20"/>
        </w:rPr>
        <w:t>Histopathological Features of Common Fungal Infections</w:t>
      </w:r>
    </w:p>
    <w:p w:rsidR="002540B8" w:rsidRPr="0034170A" w:rsidRDefault="002540B8" w:rsidP="009A18F2">
      <w:pPr>
        <w:pStyle w:val="NormalWeb"/>
        <w:spacing w:before="0" w:beforeAutospacing="0" w:after="0" w:afterAutospacing="0"/>
        <w:ind w:firstLine="720"/>
        <w:jc w:val="both"/>
        <w:rPr>
          <w:sz w:val="20"/>
          <w:szCs w:val="20"/>
          <w:lang w:val="en-US"/>
        </w:rPr>
      </w:pPr>
      <w:r w:rsidRPr="0034170A">
        <w:rPr>
          <w:sz w:val="20"/>
          <w:szCs w:val="20"/>
          <w:lang w:val="en-US"/>
        </w:rPr>
        <w:t>Histopathological examination can reveal the characteristic pattern of tissue invasion and the distinctive appearance of fungal elements, thus facilitating the diagnosis of the particular type of fungal infection:</w:t>
      </w:r>
    </w:p>
    <w:p w:rsidR="002540B8" w:rsidRPr="0034170A" w:rsidRDefault="002540B8" w:rsidP="00151AB1">
      <w:pPr>
        <w:pStyle w:val="NormalWeb"/>
        <w:numPr>
          <w:ilvl w:val="0"/>
          <w:numId w:val="38"/>
        </w:numPr>
        <w:spacing w:before="0" w:beforeAutospacing="0" w:after="0" w:afterAutospacing="0"/>
        <w:jc w:val="both"/>
        <w:rPr>
          <w:sz w:val="20"/>
          <w:szCs w:val="20"/>
          <w:lang w:val="en-US"/>
        </w:rPr>
      </w:pPr>
      <w:r w:rsidRPr="0034170A">
        <w:rPr>
          <w:b/>
          <w:bCs/>
          <w:sz w:val="20"/>
          <w:szCs w:val="20"/>
          <w:lang w:val="en-US"/>
        </w:rPr>
        <w:t>Candidiasis</w:t>
      </w:r>
      <w:r w:rsidRPr="0034170A">
        <w:rPr>
          <w:sz w:val="20"/>
          <w:szCs w:val="20"/>
          <w:lang w:val="en-US"/>
        </w:rPr>
        <w:t xml:space="preserve">: Tissue biopsies from the affected organs are usually examined under a microscope to diagnose invasive candidiasis. In these tissue sections, </w:t>
      </w:r>
      <w:r w:rsidRPr="0034170A">
        <w:rPr>
          <w:i/>
          <w:iCs/>
          <w:sz w:val="20"/>
          <w:szCs w:val="20"/>
          <w:lang w:val="en-US"/>
        </w:rPr>
        <w:t>Candida</w:t>
      </w:r>
      <w:r w:rsidRPr="0034170A">
        <w:rPr>
          <w:sz w:val="20"/>
          <w:szCs w:val="20"/>
          <w:lang w:val="en-US"/>
        </w:rPr>
        <w:t xml:space="preserve"> species are typically seen as budding yeast cells and pseudohyphae, which can be highlighted using GMS or PAS stains. This condition may result in necrosis, abscess formation, and neutrophilic infiltration in the affected tissues, including the liver, spleen, kidneys, or lungs. Histopathology might also help differentiate among superficial and invasive candidiasis, for it will be evident if the infection is merely along the mucosal surface or had penetrated deeper into tissue.</w:t>
      </w:r>
    </w:p>
    <w:p w:rsidR="00FF37F7" w:rsidRPr="0034170A" w:rsidRDefault="002540B8" w:rsidP="00151AB1">
      <w:pPr>
        <w:pStyle w:val="NormalWeb"/>
        <w:numPr>
          <w:ilvl w:val="0"/>
          <w:numId w:val="38"/>
        </w:numPr>
        <w:spacing w:before="0" w:beforeAutospacing="0" w:after="0" w:afterAutospacing="0"/>
        <w:jc w:val="both"/>
        <w:rPr>
          <w:sz w:val="20"/>
          <w:szCs w:val="20"/>
        </w:rPr>
      </w:pPr>
      <w:r w:rsidRPr="0034170A">
        <w:rPr>
          <w:b/>
          <w:bCs/>
          <w:sz w:val="20"/>
          <w:szCs w:val="20"/>
          <w:lang w:val="en-US"/>
        </w:rPr>
        <w:t>Aspergillosis</w:t>
      </w:r>
      <w:r w:rsidRPr="0034170A">
        <w:rPr>
          <w:sz w:val="20"/>
          <w:szCs w:val="20"/>
          <w:lang w:val="en-US"/>
        </w:rPr>
        <w:t xml:space="preserve">: Invasive aspergillosis, typically in immunocompromised individuals, is a disease characterized by the presence of septate hyphae having acute-angle branching, usually visualized in the lung tissue or other affected organs. The GMS stain excellently visualizes the hyphae of the </w:t>
      </w:r>
      <w:r w:rsidRPr="0034170A">
        <w:rPr>
          <w:i/>
          <w:iCs/>
          <w:sz w:val="20"/>
          <w:szCs w:val="20"/>
          <w:lang w:val="en-US"/>
        </w:rPr>
        <w:t>Aspergillus</w:t>
      </w:r>
      <w:r w:rsidRPr="0034170A">
        <w:rPr>
          <w:sz w:val="20"/>
          <w:szCs w:val="20"/>
          <w:lang w:val="en-US"/>
        </w:rPr>
        <w:t xml:space="preserve"> species appearing as dark branching structures within the tissue.</w:t>
      </w:r>
      <w:r w:rsidR="00FF37F7" w:rsidRPr="0034170A">
        <w:rPr>
          <w:sz w:val="20"/>
          <w:szCs w:val="20"/>
        </w:rPr>
        <w:t>Histopathological examination often reveals necrotic areas, hemorrhage, and angioinvasion (invasion of blood vessels), a hallmark of invasive aspergillosis. This angioinvasion can lead to thrombosis, tissue infarction, and dissemination of the infection to other organs.</w:t>
      </w:r>
    </w:p>
    <w:p w:rsidR="00FF37F7" w:rsidRPr="0034170A" w:rsidRDefault="00FF37F7" w:rsidP="00151AB1">
      <w:pPr>
        <w:pStyle w:val="NormalWeb"/>
        <w:numPr>
          <w:ilvl w:val="0"/>
          <w:numId w:val="38"/>
        </w:numPr>
        <w:spacing w:before="0" w:beforeAutospacing="0" w:after="0" w:afterAutospacing="0"/>
        <w:jc w:val="both"/>
        <w:rPr>
          <w:sz w:val="20"/>
          <w:szCs w:val="20"/>
        </w:rPr>
      </w:pPr>
      <w:r w:rsidRPr="0034170A">
        <w:rPr>
          <w:rStyle w:val="Strong"/>
          <w:sz w:val="20"/>
          <w:szCs w:val="20"/>
        </w:rPr>
        <w:t>Cryptococcosis:</w:t>
      </w:r>
      <w:r w:rsidRPr="0034170A">
        <w:rPr>
          <w:sz w:val="20"/>
          <w:szCs w:val="20"/>
        </w:rPr>
        <w:t xml:space="preserve"> Cryptococcal infections are often diagnosed through histopathological examination of tissue or CSF samples. </w:t>
      </w:r>
      <w:r w:rsidRPr="0034170A">
        <w:rPr>
          <w:rStyle w:val="Emphasis"/>
          <w:rFonts w:eastAsiaTheme="majorEastAsia"/>
          <w:sz w:val="20"/>
          <w:szCs w:val="20"/>
        </w:rPr>
        <w:t>Cryptococcus neoformans</w:t>
      </w:r>
      <w:r w:rsidRPr="0034170A">
        <w:rPr>
          <w:sz w:val="20"/>
          <w:szCs w:val="20"/>
        </w:rPr>
        <w:t xml:space="preserve"> appears as spherical, encapsulated yeast cells, which are best visualized using mucicarmine or PAS stains. The capsule stains brightly red with mucicarmine, while the yeast cells themselves stain magenta with PAS. Histopathology often shows a minimal inflammatory response in immunocompromised patients, particularly those with HIV/AIDS, although granulomatous inflammation may be observed in immunocompetent individuals.</w:t>
      </w:r>
    </w:p>
    <w:p w:rsidR="00FF37F7" w:rsidRPr="0034170A" w:rsidRDefault="00FF37F7" w:rsidP="00151AB1">
      <w:pPr>
        <w:pStyle w:val="NormalWeb"/>
        <w:numPr>
          <w:ilvl w:val="0"/>
          <w:numId w:val="38"/>
        </w:numPr>
        <w:spacing w:before="0" w:beforeAutospacing="0" w:after="0" w:afterAutospacing="0"/>
        <w:jc w:val="both"/>
        <w:rPr>
          <w:sz w:val="20"/>
          <w:szCs w:val="20"/>
        </w:rPr>
      </w:pPr>
      <w:r w:rsidRPr="0034170A">
        <w:rPr>
          <w:rStyle w:val="Strong"/>
          <w:sz w:val="20"/>
          <w:szCs w:val="20"/>
        </w:rPr>
        <w:t>Mucormycosis (Zygomycosis):</w:t>
      </w:r>
      <w:r w:rsidRPr="0034170A">
        <w:rPr>
          <w:sz w:val="20"/>
          <w:szCs w:val="20"/>
        </w:rPr>
        <w:t xml:space="preserve"> Mucormycosis is an aggressive fungal infection caused by </w:t>
      </w:r>
      <w:r w:rsidRPr="0034170A">
        <w:rPr>
          <w:rStyle w:val="Emphasis"/>
          <w:rFonts w:eastAsiaTheme="majorEastAsia"/>
          <w:sz w:val="20"/>
          <w:szCs w:val="20"/>
        </w:rPr>
        <w:t>Mucorales</w:t>
      </w:r>
      <w:r w:rsidRPr="0034170A">
        <w:rPr>
          <w:sz w:val="20"/>
          <w:szCs w:val="20"/>
        </w:rPr>
        <w:t xml:space="preserve"> species, such as </w:t>
      </w:r>
      <w:r w:rsidRPr="0034170A">
        <w:rPr>
          <w:rStyle w:val="Emphasis"/>
          <w:rFonts w:eastAsiaTheme="majorEastAsia"/>
          <w:sz w:val="20"/>
          <w:szCs w:val="20"/>
        </w:rPr>
        <w:t>Rhizopus</w:t>
      </w:r>
      <w:r w:rsidRPr="0034170A">
        <w:rPr>
          <w:sz w:val="20"/>
          <w:szCs w:val="20"/>
        </w:rPr>
        <w:t xml:space="preserve"> and </w:t>
      </w:r>
      <w:r w:rsidRPr="0034170A">
        <w:rPr>
          <w:rStyle w:val="Emphasis"/>
          <w:rFonts w:eastAsiaTheme="majorEastAsia"/>
          <w:sz w:val="20"/>
          <w:szCs w:val="20"/>
        </w:rPr>
        <w:t>Mucor</w:t>
      </w:r>
      <w:r w:rsidRPr="0034170A">
        <w:rPr>
          <w:sz w:val="20"/>
          <w:szCs w:val="20"/>
        </w:rPr>
        <w:t>. Histopathology is critical for diagnosing mucormycosis, as the infection is often difficult to culture. The characteristic appearance of broad, non-septate hyphae with right-angle branching can be seen in tissue sections stained with GMS or PAS. Mucormycosis is associated with extensive tissue necrosis and angioinvasion, leading to thrombosis and infarction of the affected tissues. Early diagnosis through histopathology is essential for initiating prompt antifungal treatment and surgical debridement.</w:t>
      </w:r>
    </w:p>
    <w:p w:rsidR="00FF37F7" w:rsidRPr="0034170A" w:rsidRDefault="00FF37F7" w:rsidP="009A18F2">
      <w:pPr>
        <w:pStyle w:val="Heading5"/>
        <w:spacing w:before="0"/>
        <w:jc w:val="both"/>
        <w:rPr>
          <w:rFonts w:ascii="Times New Roman" w:hAnsi="Times New Roman" w:cs="Times New Roman"/>
          <w:sz w:val="20"/>
          <w:szCs w:val="20"/>
        </w:rPr>
      </w:pPr>
      <w:r w:rsidRPr="0034170A">
        <w:rPr>
          <w:rStyle w:val="Strong"/>
          <w:rFonts w:ascii="Times New Roman" w:hAnsi="Times New Roman" w:cs="Times New Roman"/>
          <w:b w:val="0"/>
          <w:bCs w:val="0"/>
          <w:sz w:val="20"/>
          <w:szCs w:val="20"/>
        </w:rPr>
        <w:t>Clinical Applications of Histopathology in Fungal Diagnostics</w:t>
      </w:r>
    </w:p>
    <w:p w:rsidR="00175E44" w:rsidRPr="0034170A" w:rsidRDefault="00FF37F7" w:rsidP="009A18F2">
      <w:pPr>
        <w:pStyle w:val="NormalWeb"/>
        <w:spacing w:before="0" w:beforeAutospacing="0" w:after="0" w:afterAutospacing="0"/>
        <w:ind w:firstLine="720"/>
        <w:jc w:val="both"/>
        <w:rPr>
          <w:sz w:val="20"/>
          <w:szCs w:val="20"/>
          <w:lang w:val="en-US"/>
        </w:rPr>
      </w:pPr>
      <w:r w:rsidRPr="0034170A">
        <w:rPr>
          <w:sz w:val="20"/>
          <w:szCs w:val="20"/>
        </w:rPr>
        <w:t xml:space="preserve">Histopathology is particularly valuable for diagnosing invasive fungal infections, where tissue invasion is a key feature of the disease. </w:t>
      </w:r>
      <w:r w:rsidR="007F41A2" w:rsidRPr="0034170A">
        <w:rPr>
          <w:sz w:val="20"/>
          <w:szCs w:val="20"/>
          <w:lang w:val="en-US"/>
        </w:rPr>
        <w:t xml:space="preserve">It is commonly utilized when fungal cultures yield negative results or when a quick diagnosis is essential for making treatment choices. </w:t>
      </w:r>
      <w:r w:rsidR="00175E44" w:rsidRPr="0034170A">
        <w:rPr>
          <w:sz w:val="20"/>
          <w:szCs w:val="20"/>
          <w:lang w:val="en-US"/>
        </w:rPr>
        <w:t>In immunocompromised patients, such as HIV/AIDS patients, cancer patients, or those who have received organ transplants, histopathology may reveal fungal infections that might not be diagnosed through blood cultures or other diagnostic tests.</w:t>
      </w:r>
    </w:p>
    <w:p w:rsidR="00FF37F7" w:rsidRPr="0034170A" w:rsidRDefault="00175E44" w:rsidP="009A18F2">
      <w:pPr>
        <w:pStyle w:val="NormalWeb"/>
        <w:spacing w:before="0" w:beforeAutospacing="0" w:after="0" w:afterAutospacing="0"/>
        <w:ind w:firstLine="720"/>
        <w:jc w:val="both"/>
        <w:rPr>
          <w:sz w:val="20"/>
          <w:szCs w:val="20"/>
        </w:rPr>
      </w:pPr>
      <w:r w:rsidRPr="0034170A">
        <w:rPr>
          <w:sz w:val="20"/>
          <w:szCs w:val="20"/>
          <w:lang w:val="en-US"/>
        </w:rPr>
        <w:t>Beyond diagnosing fungi, histopathology studies assess the extent of tissue destruction and host responses and the attendant potential for complications, such as necrosis, abscess formation, or spread to other organs. This information is crucial in formulating the management plan. Treatment options range from antifungal drugs, surgery, or mere supportive care only.</w:t>
      </w:r>
    </w:p>
    <w:p w:rsidR="00FF37F7" w:rsidRPr="0034170A" w:rsidRDefault="00FF37F7" w:rsidP="009A18F2">
      <w:pPr>
        <w:pStyle w:val="Heading4"/>
        <w:numPr>
          <w:ilvl w:val="2"/>
          <w:numId w:val="8"/>
        </w:numPr>
        <w:spacing w:before="0"/>
        <w:jc w:val="both"/>
        <w:rPr>
          <w:rFonts w:ascii="Times New Roman" w:hAnsi="Times New Roman" w:cs="Times New Roman"/>
          <w:i w:val="0"/>
          <w:iCs w:val="0"/>
          <w:sz w:val="20"/>
          <w:szCs w:val="20"/>
        </w:rPr>
      </w:pPr>
      <w:r w:rsidRPr="0034170A">
        <w:rPr>
          <w:rStyle w:val="Strong"/>
          <w:rFonts w:ascii="Times New Roman" w:hAnsi="Times New Roman" w:cs="Times New Roman"/>
          <w:b/>
          <w:bCs/>
          <w:i w:val="0"/>
          <w:iCs w:val="0"/>
          <w:sz w:val="20"/>
          <w:szCs w:val="20"/>
        </w:rPr>
        <w:t>Histopathology in Parasitic Diagnostics</w:t>
      </w:r>
    </w:p>
    <w:p w:rsidR="00175E44" w:rsidRPr="0034170A" w:rsidRDefault="00175E44" w:rsidP="009A18F2">
      <w:pPr>
        <w:pStyle w:val="NormalWeb"/>
        <w:spacing w:before="0" w:beforeAutospacing="0" w:after="0" w:afterAutospacing="0"/>
        <w:ind w:firstLine="720"/>
        <w:jc w:val="both"/>
        <w:rPr>
          <w:sz w:val="20"/>
          <w:szCs w:val="20"/>
        </w:rPr>
      </w:pPr>
      <w:r w:rsidRPr="0034170A">
        <w:rPr>
          <w:sz w:val="20"/>
          <w:szCs w:val="20"/>
        </w:rPr>
        <w:t xml:space="preserve">For the diagnosis of parasitic infections, histopathology is essential. Significant tissue damage or inflammation results from the parasites' invasion of tissues. Histopathologists can therefore look at tissue biopsies to observe the parasites at different phases of growth and assess how the host's immune system is reacting to the </w:t>
      </w:r>
      <w:r w:rsidRPr="0034170A">
        <w:rPr>
          <w:sz w:val="20"/>
          <w:szCs w:val="20"/>
        </w:rPr>
        <w:lastRenderedPageBreak/>
        <w:t>infection. When diagnosing tissue-invasive parasite illnesses such as trypanosomiasis, leishmaniasis, and schistosomiasis, the method is very helpful.</w:t>
      </w:r>
    </w:p>
    <w:p w:rsidR="00FF37F7" w:rsidRPr="0034170A" w:rsidRDefault="00FF37F7" w:rsidP="009A18F2">
      <w:pPr>
        <w:pStyle w:val="Heading5"/>
        <w:spacing w:before="0"/>
        <w:jc w:val="both"/>
        <w:rPr>
          <w:rFonts w:ascii="Times New Roman" w:hAnsi="Times New Roman" w:cs="Times New Roman"/>
          <w:sz w:val="20"/>
          <w:szCs w:val="20"/>
        </w:rPr>
      </w:pPr>
      <w:r w:rsidRPr="0034170A">
        <w:rPr>
          <w:rStyle w:val="Strong"/>
          <w:rFonts w:ascii="Times New Roman" w:hAnsi="Times New Roman" w:cs="Times New Roman"/>
          <w:b w:val="0"/>
          <w:bCs w:val="0"/>
          <w:sz w:val="20"/>
          <w:szCs w:val="20"/>
        </w:rPr>
        <w:t>Common Stains Used in Parasitic Histopathology</w:t>
      </w:r>
    </w:p>
    <w:p w:rsidR="00175E44" w:rsidRPr="0034170A" w:rsidRDefault="00175E44" w:rsidP="009A18F2">
      <w:pPr>
        <w:pStyle w:val="NormalWeb"/>
        <w:spacing w:before="0" w:beforeAutospacing="0" w:after="0" w:afterAutospacing="0"/>
        <w:ind w:firstLine="720"/>
        <w:jc w:val="both"/>
        <w:rPr>
          <w:sz w:val="20"/>
          <w:szCs w:val="20"/>
          <w:lang w:val="en-US"/>
        </w:rPr>
      </w:pPr>
      <w:r w:rsidRPr="0034170A">
        <w:rPr>
          <w:sz w:val="20"/>
          <w:szCs w:val="20"/>
          <w:lang w:val="en-US"/>
        </w:rPr>
        <w:t>In parasitic histopathology, a variety of stains are used in order to enhance the visualization of the different parts of the parasite in tissues. Among them, the following are the most common stains:</w:t>
      </w:r>
    </w:p>
    <w:p w:rsidR="00873409" w:rsidRPr="0034170A" w:rsidRDefault="00175E44" w:rsidP="00151AB1">
      <w:pPr>
        <w:pStyle w:val="NormalWeb"/>
        <w:numPr>
          <w:ilvl w:val="0"/>
          <w:numId w:val="39"/>
        </w:numPr>
        <w:spacing w:before="0" w:beforeAutospacing="0" w:after="0" w:afterAutospacing="0"/>
        <w:jc w:val="both"/>
        <w:rPr>
          <w:sz w:val="20"/>
          <w:szCs w:val="20"/>
          <w:lang w:val="en-US"/>
        </w:rPr>
      </w:pPr>
      <w:r w:rsidRPr="0034170A">
        <w:rPr>
          <w:b/>
          <w:bCs/>
          <w:sz w:val="20"/>
          <w:szCs w:val="20"/>
          <w:lang w:val="en-US"/>
        </w:rPr>
        <w:t>Hematoxylin and Eosin (H&amp;E) Stain</w:t>
      </w:r>
      <w:r w:rsidRPr="0034170A">
        <w:rPr>
          <w:sz w:val="20"/>
          <w:szCs w:val="20"/>
          <w:lang w:val="en-US"/>
        </w:rPr>
        <w:t>: This is the most common stain utilized in parasitic histopathology. It will give a rich contrast between parasites and the adjacent tissue, such that structures may be identified with cysts, larvae, or adult worms.</w:t>
      </w:r>
      <w:r w:rsidR="00873409" w:rsidRPr="0034170A">
        <w:rPr>
          <w:sz w:val="20"/>
          <w:szCs w:val="20"/>
          <w:lang w:val="en-US"/>
        </w:rPr>
        <w:t xml:space="preserve"> In addition, H&amp;E staining is helpful in assessing the inflammatory reaction, tissue necrosis, and fibrosis associated with parasitic infections.</w:t>
      </w:r>
    </w:p>
    <w:p w:rsidR="00873409" w:rsidRPr="0034170A" w:rsidRDefault="00873409" w:rsidP="00151AB1">
      <w:pPr>
        <w:pStyle w:val="NormalWeb"/>
        <w:numPr>
          <w:ilvl w:val="0"/>
          <w:numId w:val="39"/>
        </w:numPr>
        <w:spacing w:before="0" w:beforeAutospacing="0" w:after="0" w:afterAutospacing="0"/>
        <w:jc w:val="both"/>
        <w:rPr>
          <w:sz w:val="20"/>
          <w:szCs w:val="20"/>
          <w:lang w:val="en-US"/>
        </w:rPr>
      </w:pPr>
      <w:r w:rsidRPr="0034170A">
        <w:rPr>
          <w:b/>
          <w:bCs/>
          <w:sz w:val="20"/>
          <w:szCs w:val="20"/>
          <w:lang w:val="en-US"/>
        </w:rPr>
        <w:t>Giemsa Stain</w:t>
      </w:r>
      <w:r w:rsidRPr="0034170A">
        <w:rPr>
          <w:sz w:val="20"/>
          <w:szCs w:val="20"/>
          <w:lang w:val="en-US"/>
        </w:rPr>
        <w:t xml:space="preserve">: Giemsa stain is used to identify protozoan parasites, such as </w:t>
      </w:r>
      <w:r w:rsidRPr="0034170A">
        <w:rPr>
          <w:i/>
          <w:iCs/>
          <w:sz w:val="20"/>
          <w:szCs w:val="20"/>
          <w:lang w:val="en-US"/>
        </w:rPr>
        <w:t>Leishmania</w:t>
      </w:r>
      <w:r w:rsidRPr="0034170A">
        <w:rPr>
          <w:sz w:val="20"/>
          <w:szCs w:val="20"/>
          <w:lang w:val="en-US"/>
        </w:rPr>
        <w:t xml:space="preserve"> and </w:t>
      </w:r>
      <w:r w:rsidRPr="0034170A">
        <w:rPr>
          <w:i/>
          <w:iCs/>
          <w:sz w:val="20"/>
          <w:szCs w:val="20"/>
          <w:lang w:val="en-US"/>
        </w:rPr>
        <w:t>Trypanosoma</w:t>
      </w:r>
      <w:r w:rsidRPr="0034170A">
        <w:rPr>
          <w:sz w:val="20"/>
          <w:szCs w:val="20"/>
          <w:lang w:val="en-US"/>
        </w:rPr>
        <w:t xml:space="preserve"> species, in tissue samples or in blood smears. It helps to highlight the nucleus and cytoplasm of the parasites, making them easily distinguishable under the microscope. The presence of </w:t>
      </w:r>
      <w:r w:rsidRPr="0034170A">
        <w:rPr>
          <w:i/>
          <w:iCs/>
          <w:sz w:val="20"/>
          <w:szCs w:val="20"/>
          <w:lang w:val="en-US"/>
        </w:rPr>
        <w:t>Leishmania</w:t>
      </w:r>
      <w:r w:rsidRPr="0034170A">
        <w:rPr>
          <w:sz w:val="20"/>
          <w:szCs w:val="20"/>
          <w:lang w:val="en-US"/>
        </w:rPr>
        <w:t xml:space="preserve"> </w:t>
      </w:r>
      <w:r w:rsidRPr="0034170A">
        <w:rPr>
          <w:i/>
          <w:iCs/>
          <w:sz w:val="20"/>
          <w:szCs w:val="20"/>
          <w:lang w:val="en-US"/>
        </w:rPr>
        <w:t>amastigotes</w:t>
      </w:r>
      <w:r w:rsidRPr="0034170A">
        <w:rPr>
          <w:sz w:val="20"/>
          <w:szCs w:val="20"/>
          <w:lang w:val="en-US"/>
        </w:rPr>
        <w:t xml:space="preserve"> within macrophages in liver, spleen, or bone marrow biopsies is especially helpful for the diagnosis of visceral leishmaniasis due to Giemsa staining.</w:t>
      </w:r>
    </w:p>
    <w:p w:rsidR="00FF37F7" w:rsidRPr="0034170A" w:rsidRDefault="00873409" w:rsidP="00151AB1">
      <w:pPr>
        <w:pStyle w:val="NormalWeb"/>
        <w:numPr>
          <w:ilvl w:val="0"/>
          <w:numId w:val="39"/>
        </w:numPr>
        <w:spacing w:before="0" w:beforeAutospacing="0" w:after="0" w:afterAutospacing="0"/>
        <w:jc w:val="both"/>
        <w:rPr>
          <w:sz w:val="20"/>
          <w:szCs w:val="20"/>
        </w:rPr>
      </w:pPr>
      <w:r w:rsidRPr="0034170A">
        <w:rPr>
          <w:b/>
          <w:bCs/>
          <w:sz w:val="20"/>
          <w:szCs w:val="20"/>
          <w:lang w:val="en-US"/>
        </w:rPr>
        <w:t>Trichrome Stain</w:t>
      </w:r>
      <w:r w:rsidRPr="0034170A">
        <w:rPr>
          <w:sz w:val="20"/>
          <w:szCs w:val="20"/>
          <w:lang w:val="en-US"/>
        </w:rPr>
        <w:t xml:space="preserve">: It is used very often to recognize intestinal parasites through stool samples as well as from tissue biopsies. Through trichrome stain, protozoa will stand out since their cytoplasmic structure will be depicted while the remainder debris and the cells will get faded. Its diagnosis is significant for amoebiasis which is caused due to </w:t>
      </w:r>
      <w:r w:rsidRPr="0034170A">
        <w:rPr>
          <w:i/>
          <w:iCs/>
          <w:sz w:val="20"/>
          <w:szCs w:val="20"/>
          <w:lang w:val="en-US"/>
        </w:rPr>
        <w:t>Entamoeba</w:t>
      </w:r>
      <w:r w:rsidRPr="0034170A">
        <w:rPr>
          <w:sz w:val="20"/>
          <w:szCs w:val="20"/>
          <w:lang w:val="en-US"/>
        </w:rPr>
        <w:t xml:space="preserve"> </w:t>
      </w:r>
      <w:r w:rsidRPr="0034170A">
        <w:rPr>
          <w:i/>
          <w:iCs/>
          <w:sz w:val="20"/>
          <w:szCs w:val="20"/>
          <w:lang w:val="en-US"/>
        </w:rPr>
        <w:t>histolytica</w:t>
      </w:r>
      <w:r w:rsidRPr="0034170A">
        <w:rPr>
          <w:sz w:val="20"/>
          <w:szCs w:val="20"/>
          <w:lang w:val="en-US"/>
        </w:rPr>
        <w:t>.</w:t>
      </w:r>
    </w:p>
    <w:p w:rsidR="00FF37F7" w:rsidRPr="0034170A" w:rsidRDefault="00FF37F7" w:rsidP="009A18F2">
      <w:pPr>
        <w:pStyle w:val="Heading5"/>
        <w:spacing w:before="0"/>
        <w:jc w:val="both"/>
        <w:rPr>
          <w:rFonts w:ascii="Times New Roman" w:hAnsi="Times New Roman" w:cs="Times New Roman"/>
          <w:sz w:val="20"/>
          <w:szCs w:val="20"/>
        </w:rPr>
      </w:pPr>
      <w:r w:rsidRPr="0034170A">
        <w:rPr>
          <w:rStyle w:val="Strong"/>
          <w:rFonts w:ascii="Times New Roman" w:hAnsi="Times New Roman" w:cs="Times New Roman"/>
          <w:b w:val="0"/>
          <w:bCs w:val="0"/>
          <w:sz w:val="20"/>
          <w:szCs w:val="20"/>
        </w:rPr>
        <w:t>Histopathological Features of Common Parasitic Infections</w:t>
      </w:r>
    </w:p>
    <w:p w:rsidR="00873409" w:rsidRPr="0034170A" w:rsidRDefault="00873409" w:rsidP="009A18F2">
      <w:pPr>
        <w:pStyle w:val="NormalWeb"/>
        <w:spacing w:before="0" w:beforeAutospacing="0" w:after="0" w:afterAutospacing="0"/>
        <w:ind w:firstLine="720"/>
        <w:jc w:val="both"/>
        <w:rPr>
          <w:sz w:val="20"/>
          <w:szCs w:val="20"/>
          <w:lang w:val="en-US"/>
        </w:rPr>
      </w:pPr>
      <w:r w:rsidRPr="0034170A">
        <w:rPr>
          <w:sz w:val="20"/>
          <w:szCs w:val="20"/>
          <w:lang w:val="en-US"/>
        </w:rPr>
        <w:t>Histopathological examination may reveal specific patterns of tissue invasion and inflammation associated with particular parasites, thus providing valuable diagnostic information:</w:t>
      </w:r>
    </w:p>
    <w:p w:rsidR="00FF37F7" w:rsidRPr="0034170A" w:rsidRDefault="00873409" w:rsidP="00151AB1">
      <w:pPr>
        <w:pStyle w:val="NormalWeb"/>
        <w:numPr>
          <w:ilvl w:val="0"/>
          <w:numId w:val="40"/>
        </w:numPr>
        <w:spacing w:before="0" w:beforeAutospacing="0" w:after="0" w:afterAutospacing="0"/>
        <w:jc w:val="both"/>
        <w:rPr>
          <w:sz w:val="20"/>
          <w:szCs w:val="20"/>
        </w:rPr>
      </w:pPr>
      <w:r w:rsidRPr="0034170A">
        <w:rPr>
          <w:b/>
          <w:bCs/>
          <w:sz w:val="20"/>
          <w:szCs w:val="20"/>
          <w:lang w:val="en-US"/>
        </w:rPr>
        <w:t>Schistosomiasis</w:t>
      </w:r>
      <w:r w:rsidRPr="0034170A">
        <w:rPr>
          <w:sz w:val="20"/>
          <w:szCs w:val="20"/>
          <w:lang w:val="en-US"/>
        </w:rPr>
        <w:t xml:space="preserve">: The disorder is identified based on the demonstration of eggs within tissue biopsies. Various species of the genus </w:t>
      </w:r>
      <w:r w:rsidRPr="0034170A">
        <w:rPr>
          <w:i/>
          <w:iCs/>
          <w:sz w:val="20"/>
          <w:szCs w:val="20"/>
          <w:lang w:val="en-US"/>
        </w:rPr>
        <w:t>Schistosoma</w:t>
      </w:r>
      <w:r w:rsidRPr="0034170A">
        <w:rPr>
          <w:sz w:val="20"/>
          <w:szCs w:val="20"/>
          <w:lang w:val="en-US"/>
        </w:rPr>
        <w:t xml:space="preserve"> contain eggs within specific organs like liver, intestines, and the bladder. There is typically histopathological presence of granulomatous inflammation around the egg, besides having fibrosis if it's a chronic one. The eggs have a characteristic spine (for example, the lateral spine in </w:t>
      </w:r>
      <w:r w:rsidRPr="0034170A">
        <w:rPr>
          <w:i/>
          <w:iCs/>
          <w:sz w:val="20"/>
          <w:szCs w:val="20"/>
          <w:lang w:val="en-US"/>
        </w:rPr>
        <w:t>Schistosoma</w:t>
      </w:r>
      <w:r w:rsidRPr="0034170A">
        <w:rPr>
          <w:sz w:val="20"/>
          <w:szCs w:val="20"/>
          <w:lang w:val="en-US"/>
        </w:rPr>
        <w:t xml:space="preserve"> </w:t>
      </w:r>
      <w:r w:rsidRPr="0034170A">
        <w:rPr>
          <w:i/>
          <w:iCs/>
          <w:sz w:val="20"/>
          <w:szCs w:val="20"/>
          <w:lang w:val="en-US"/>
        </w:rPr>
        <w:t>mansoni</w:t>
      </w:r>
      <w:r w:rsidRPr="0034170A">
        <w:rPr>
          <w:sz w:val="20"/>
          <w:szCs w:val="20"/>
          <w:lang w:val="en-US"/>
        </w:rPr>
        <w:t xml:space="preserve"> or terminal spine in </w:t>
      </w:r>
      <w:r w:rsidRPr="0034170A">
        <w:rPr>
          <w:i/>
          <w:iCs/>
          <w:sz w:val="20"/>
          <w:szCs w:val="20"/>
          <w:lang w:val="en-US"/>
        </w:rPr>
        <w:t>Schistosoma</w:t>
      </w:r>
      <w:r w:rsidRPr="0034170A">
        <w:rPr>
          <w:sz w:val="20"/>
          <w:szCs w:val="20"/>
          <w:lang w:val="en-US"/>
        </w:rPr>
        <w:t xml:space="preserve"> </w:t>
      </w:r>
      <w:r w:rsidRPr="0034170A">
        <w:rPr>
          <w:i/>
          <w:iCs/>
          <w:sz w:val="20"/>
          <w:szCs w:val="20"/>
          <w:lang w:val="en-US"/>
        </w:rPr>
        <w:t>haematobium</w:t>
      </w:r>
      <w:r w:rsidRPr="0034170A">
        <w:rPr>
          <w:sz w:val="20"/>
          <w:szCs w:val="20"/>
          <w:lang w:val="en-US"/>
        </w:rPr>
        <w:t>), which can be used to identify the species. Granulomas that surround the eggs may cause organ damage, particularly in the liver, where it leads to fibrosis and portal hypertension.</w:t>
      </w:r>
    </w:p>
    <w:p w:rsidR="00FF37F7" w:rsidRPr="0034170A" w:rsidRDefault="00FF37F7" w:rsidP="00151AB1">
      <w:pPr>
        <w:pStyle w:val="NormalWeb"/>
        <w:numPr>
          <w:ilvl w:val="0"/>
          <w:numId w:val="40"/>
        </w:numPr>
        <w:spacing w:before="0" w:beforeAutospacing="0" w:after="0" w:afterAutospacing="0"/>
        <w:jc w:val="both"/>
        <w:rPr>
          <w:sz w:val="20"/>
          <w:szCs w:val="20"/>
        </w:rPr>
      </w:pPr>
      <w:r w:rsidRPr="0034170A">
        <w:rPr>
          <w:rStyle w:val="Strong"/>
          <w:sz w:val="20"/>
          <w:szCs w:val="20"/>
        </w:rPr>
        <w:t>Leishmaniasis:</w:t>
      </w:r>
      <w:r w:rsidRPr="0034170A">
        <w:rPr>
          <w:sz w:val="20"/>
          <w:szCs w:val="20"/>
        </w:rPr>
        <w:t xml:space="preserve"> In visceral leishmaniasis (kala-azar), histopathology reveals the presence of </w:t>
      </w:r>
      <w:r w:rsidRPr="0034170A">
        <w:rPr>
          <w:rStyle w:val="Emphasis"/>
          <w:rFonts w:eastAsiaTheme="majorEastAsia"/>
          <w:sz w:val="20"/>
          <w:szCs w:val="20"/>
        </w:rPr>
        <w:t>Leishmania</w:t>
      </w:r>
      <w:r w:rsidRPr="0034170A">
        <w:rPr>
          <w:sz w:val="20"/>
          <w:szCs w:val="20"/>
        </w:rPr>
        <w:t xml:space="preserve"> amastigotes within macrophages in the spleen, liver, or bone marrow. These amastigotes are small, intracellular forms of the parasite that stain well with Giemsa. In cutaneous leishmaniasis, histopathology shows a chronic inflammatory response in the skin, with parasitized macrophages present in the dermis. The presence of </w:t>
      </w:r>
      <w:r w:rsidRPr="0034170A">
        <w:rPr>
          <w:rStyle w:val="Emphasis"/>
          <w:rFonts w:eastAsiaTheme="majorEastAsia"/>
          <w:sz w:val="20"/>
          <w:szCs w:val="20"/>
        </w:rPr>
        <w:t>Leishmania</w:t>
      </w:r>
      <w:r w:rsidRPr="0034170A">
        <w:rPr>
          <w:sz w:val="20"/>
          <w:szCs w:val="20"/>
        </w:rPr>
        <w:t xml:space="preserve"> amastigotes within macrophages is diagnostic of the infection, and the degree of inflammation and tissue damage can provide insights into the severity of the disease.</w:t>
      </w:r>
    </w:p>
    <w:p w:rsidR="00FF37F7" w:rsidRPr="0034170A" w:rsidRDefault="00FF37F7" w:rsidP="00151AB1">
      <w:pPr>
        <w:pStyle w:val="NormalWeb"/>
        <w:numPr>
          <w:ilvl w:val="0"/>
          <w:numId w:val="40"/>
        </w:numPr>
        <w:spacing w:before="0" w:beforeAutospacing="0" w:after="0" w:afterAutospacing="0"/>
        <w:jc w:val="both"/>
        <w:rPr>
          <w:sz w:val="20"/>
          <w:szCs w:val="20"/>
        </w:rPr>
      </w:pPr>
      <w:r w:rsidRPr="0034170A">
        <w:rPr>
          <w:rStyle w:val="Strong"/>
          <w:sz w:val="20"/>
          <w:szCs w:val="20"/>
        </w:rPr>
        <w:t>Amoebiasis:</w:t>
      </w:r>
      <w:r w:rsidRPr="0034170A">
        <w:rPr>
          <w:sz w:val="20"/>
          <w:szCs w:val="20"/>
        </w:rPr>
        <w:t xml:space="preserve"> Amoebiasis, caused by </w:t>
      </w:r>
      <w:r w:rsidRPr="0034170A">
        <w:rPr>
          <w:rStyle w:val="Emphasis"/>
          <w:rFonts w:eastAsiaTheme="majorEastAsia"/>
          <w:sz w:val="20"/>
          <w:szCs w:val="20"/>
        </w:rPr>
        <w:t>Entamoeba histolytica</w:t>
      </w:r>
      <w:r w:rsidRPr="0034170A">
        <w:rPr>
          <w:sz w:val="20"/>
          <w:szCs w:val="20"/>
        </w:rPr>
        <w:t xml:space="preserve">, is a parasitic infection of the colon that can lead to ulceration and tissue invasion. Histopathological examination of colonic biopsies often shows flask-shaped ulcers, with </w:t>
      </w:r>
      <w:r w:rsidRPr="0034170A">
        <w:rPr>
          <w:rStyle w:val="Emphasis"/>
          <w:rFonts w:eastAsiaTheme="majorEastAsia"/>
          <w:sz w:val="20"/>
          <w:szCs w:val="20"/>
        </w:rPr>
        <w:t>E. histolytica</w:t>
      </w:r>
      <w:r w:rsidRPr="0034170A">
        <w:rPr>
          <w:sz w:val="20"/>
          <w:szCs w:val="20"/>
        </w:rPr>
        <w:t xml:space="preserve"> trophozoites invading the mucosa. The trophozoites can be seen phagocytosing red blood cells, which is a characteristic feature of the pathogenic species </w:t>
      </w:r>
      <w:r w:rsidRPr="0034170A">
        <w:rPr>
          <w:rStyle w:val="Emphasis"/>
          <w:rFonts w:eastAsiaTheme="majorEastAsia"/>
          <w:sz w:val="20"/>
          <w:szCs w:val="20"/>
        </w:rPr>
        <w:t>E. histolytica</w:t>
      </w:r>
      <w:r w:rsidRPr="0034170A">
        <w:rPr>
          <w:sz w:val="20"/>
          <w:szCs w:val="20"/>
        </w:rPr>
        <w:t xml:space="preserve"> (as opposed to the nonpathogenic </w:t>
      </w:r>
      <w:r w:rsidRPr="0034170A">
        <w:rPr>
          <w:rStyle w:val="Emphasis"/>
          <w:rFonts w:eastAsiaTheme="majorEastAsia"/>
          <w:sz w:val="20"/>
          <w:szCs w:val="20"/>
        </w:rPr>
        <w:t>E. dispar</w:t>
      </w:r>
      <w:r w:rsidRPr="0034170A">
        <w:rPr>
          <w:sz w:val="20"/>
          <w:szCs w:val="20"/>
        </w:rPr>
        <w:t>). In cases of amoebic liver abscess, histopathology reveals necrotic tissue with little inflammatory response, and the trophozoites may be found at the periphery of the abscess.</w:t>
      </w:r>
    </w:p>
    <w:p w:rsidR="00FF37F7" w:rsidRPr="0034170A" w:rsidRDefault="00FF37F7" w:rsidP="00151AB1">
      <w:pPr>
        <w:pStyle w:val="NormalWeb"/>
        <w:numPr>
          <w:ilvl w:val="0"/>
          <w:numId w:val="40"/>
        </w:numPr>
        <w:spacing w:before="0" w:beforeAutospacing="0" w:after="0" w:afterAutospacing="0"/>
        <w:jc w:val="both"/>
        <w:rPr>
          <w:sz w:val="20"/>
          <w:szCs w:val="20"/>
        </w:rPr>
      </w:pPr>
      <w:r w:rsidRPr="0034170A">
        <w:rPr>
          <w:rStyle w:val="Strong"/>
          <w:sz w:val="20"/>
          <w:szCs w:val="20"/>
        </w:rPr>
        <w:t>Trypanosomiasis:</w:t>
      </w:r>
      <w:r w:rsidRPr="0034170A">
        <w:rPr>
          <w:sz w:val="20"/>
          <w:szCs w:val="20"/>
        </w:rPr>
        <w:t xml:space="preserve"> In African trypanosomiasis (sleeping sickness), caused by </w:t>
      </w:r>
      <w:r w:rsidRPr="0034170A">
        <w:rPr>
          <w:rStyle w:val="Emphasis"/>
          <w:rFonts w:eastAsiaTheme="majorEastAsia"/>
          <w:sz w:val="20"/>
          <w:szCs w:val="20"/>
        </w:rPr>
        <w:t>Trypanosoma brucei</w:t>
      </w:r>
      <w:r w:rsidRPr="0034170A">
        <w:rPr>
          <w:sz w:val="20"/>
          <w:szCs w:val="20"/>
        </w:rPr>
        <w:t xml:space="preserve">, histopathology shows the presence of trypomastigotes in blood, lymph nodes, or cerebrospinal fluid. In chronic stages, particularly during the meningoencephalitic phase, histopathology of the brain may show inflammation, demyelination, and the presence of parasites in the cerebrospinal fluid. In American trypanosomiasis (Chagas disease), caused by </w:t>
      </w:r>
      <w:r w:rsidRPr="0034170A">
        <w:rPr>
          <w:rStyle w:val="Emphasis"/>
          <w:rFonts w:eastAsiaTheme="majorEastAsia"/>
          <w:sz w:val="20"/>
          <w:szCs w:val="20"/>
        </w:rPr>
        <w:t>Trypanosoma cruzi</w:t>
      </w:r>
      <w:r w:rsidRPr="0034170A">
        <w:rPr>
          <w:sz w:val="20"/>
          <w:szCs w:val="20"/>
        </w:rPr>
        <w:t>, histopathology often reveals amastigotes within cardiac muscle cells, leading to myocarditis and fibrosis in chronic cases.</w:t>
      </w:r>
    </w:p>
    <w:p w:rsidR="00FF37F7" w:rsidRPr="0034170A" w:rsidRDefault="00FF37F7" w:rsidP="009A18F2">
      <w:pPr>
        <w:pStyle w:val="Heading5"/>
        <w:spacing w:before="0"/>
        <w:jc w:val="both"/>
        <w:rPr>
          <w:rFonts w:ascii="Times New Roman" w:hAnsi="Times New Roman" w:cs="Times New Roman"/>
          <w:sz w:val="20"/>
          <w:szCs w:val="20"/>
        </w:rPr>
      </w:pPr>
      <w:r w:rsidRPr="0034170A">
        <w:rPr>
          <w:rStyle w:val="Strong"/>
          <w:rFonts w:ascii="Times New Roman" w:hAnsi="Times New Roman" w:cs="Times New Roman"/>
          <w:b w:val="0"/>
          <w:bCs w:val="0"/>
          <w:sz w:val="20"/>
          <w:szCs w:val="20"/>
        </w:rPr>
        <w:t>Clinical Applications of Histopathology in Parasitic Diagnostics</w:t>
      </w:r>
    </w:p>
    <w:p w:rsidR="00175E44" w:rsidRPr="0034170A" w:rsidRDefault="00FF37F7" w:rsidP="009A18F2">
      <w:pPr>
        <w:pStyle w:val="NormalWeb"/>
        <w:spacing w:before="0" w:beforeAutospacing="0" w:after="0" w:afterAutospacing="0"/>
        <w:ind w:firstLine="720"/>
        <w:jc w:val="both"/>
        <w:rPr>
          <w:sz w:val="20"/>
          <w:szCs w:val="20"/>
        </w:rPr>
      </w:pPr>
      <w:r w:rsidRPr="0034170A">
        <w:rPr>
          <w:sz w:val="20"/>
          <w:szCs w:val="20"/>
        </w:rPr>
        <w:t xml:space="preserve">Histopathology is invaluable for diagnosing tissue-invasive parasitic infections, especially in cases where direct detection methods (e.g., microscopy or serology) may not provide definitive results. </w:t>
      </w:r>
      <w:r w:rsidR="00175E44" w:rsidRPr="0034170A">
        <w:rPr>
          <w:sz w:val="20"/>
          <w:szCs w:val="20"/>
        </w:rPr>
        <w:t xml:space="preserve">The presence of parasites, their stages of growth, and any tissue damage can be revealed by tissue biopsies taken from afflicted organs such as the liver, lungs, skin, or intestines. </w:t>
      </w:r>
    </w:p>
    <w:p w:rsidR="00873409" w:rsidRDefault="00175E44" w:rsidP="009A18F2">
      <w:pPr>
        <w:pStyle w:val="NormalWeb"/>
        <w:spacing w:before="0" w:beforeAutospacing="0" w:after="0" w:afterAutospacing="0"/>
        <w:ind w:firstLine="720"/>
        <w:jc w:val="both"/>
        <w:rPr>
          <w:sz w:val="20"/>
          <w:szCs w:val="20"/>
        </w:rPr>
      </w:pPr>
      <w:r w:rsidRPr="0034170A">
        <w:rPr>
          <w:sz w:val="20"/>
          <w:szCs w:val="20"/>
        </w:rPr>
        <w:t xml:space="preserve">The appearance of granulomas, fibrosis, and necrosis—all of which are frequently connected to chronic parasitic infections—can provide important information about the host's immune response in addition to identifying the parasite. This information is essential for determining the severity of the disease and choosing the best course of therapy, especially in cases of widespread or persistent infections. </w:t>
      </w:r>
      <w:r w:rsidR="00873409" w:rsidRPr="0034170A">
        <w:rPr>
          <w:sz w:val="20"/>
          <w:szCs w:val="20"/>
        </w:rPr>
        <w:t>.</w:t>
      </w:r>
    </w:p>
    <w:p w:rsidR="003620BA" w:rsidRPr="003620BA" w:rsidRDefault="003620BA" w:rsidP="003620BA">
      <w:pPr>
        <w:pStyle w:val="NormalWeb"/>
        <w:spacing w:before="0" w:beforeAutospacing="0" w:after="0" w:afterAutospacing="0"/>
        <w:jc w:val="both"/>
        <w:rPr>
          <w:b/>
          <w:bCs/>
          <w:sz w:val="20"/>
          <w:szCs w:val="20"/>
        </w:rPr>
      </w:pPr>
      <w:r>
        <w:rPr>
          <w:b/>
          <w:bCs/>
          <w:sz w:val="20"/>
          <w:szCs w:val="20"/>
        </w:rPr>
        <w:t>Table 2</w:t>
      </w:r>
      <w:r w:rsidRPr="003620BA">
        <w:rPr>
          <w:b/>
          <w:bCs/>
          <w:sz w:val="20"/>
          <w:szCs w:val="20"/>
        </w:rPr>
        <w:t>: Comparison of Diagnostic Methods for Parasitic and Fungal Infections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387"/>
        <w:gridCol w:w="1041"/>
        <w:gridCol w:w="1101"/>
        <w:gridCol w:w="969"/>
        <w:gridCol w:w="969"/>
        <w:gridCol w:w="1498"/>
        <w:gridCol w:w="2051"/>
      </w:tblGrid>
      <w:tr w:rsidR="003620BA" w:rsidRPr="003620BA" w:rsidTr="003620BA">
        <w:trPr>
          <w:tblHeader/>
        </w:trPr>
        <w:tc>
          <w:tcPr>
            <w:tcW w:w="1387" w:type="dxa"/>
            <w:vAlign w:val="center"/>
            <w:hideMark/>
          </w:tcPr>
          <w:p w:rsidR="003620BA" w:rsidRPr="003620BA" w:rsidRDefault="003620BA" w:rsidP="003620BA">
            <w:pPr>
              <w:pStyle w:val="NormalWeb"/>
              <w:jc w:val="center"/>
              <w:rPr>
                <w:b/>
                <w:bCs/>
                <w:sz w:val="20"/>
                <w:szCs w:val="20"/>
              </w:rPr>
            </w:pPr>
            <w:r w:rsidRPr="003620BA">
              <w:rPr>
                <w:b/>
                <w:bCs/>
                <w:sz w:val="20"/>
                <w:szCs w:val="20"/>
              </w:rPr>
              <w:lastRenderedPageBreak/>
              <w:t>Diagnostic Method</w:t>
            </w:r>
          </w:p>
        </w:tc>
        <w:tc>
          <w:tcPr>
            <w:tcW w:w="1041" w:type="dxa"/>
            <w:vAlign w:val="center"/>
            <w:hideMark/>
          </w:tcPr>
          <w:p w:rsidR="003620BA" w:rsidRPr="003620BA" w:rsidRDefault="003620BA" w:rsidP="003620BA">
            <w:pPr>
              <w:pStyle w:val="NormalWeb"/>
              <w:jc w:val="center"/>
              <w:rPr>
                <w:b/>
                <w:bCs/>
                <w:sz w:val="20"/>
                <w:szCs w:val="20"/>
              </w:rPr>
            </w:pPr>
            <w:r w:rsidRPr="003620BA">
              <w:rPr>
                <w:b/>
                <w:bCs/>
                <w:sz w:val="20"/>
                <w:szCs w:val="20"/>
              </w:rPr>
              <w:t>Type of Infection</w:t>
            </w:r>
          </w:p>
        </w:tc>
        <w:tc>
          <w:tcPr>
            <w:tcW w:w="1101" w:type="dxa"/>
            <w:vAlign w:val="center"/>
            <w:hideMark/>
          </w:tcPr>
          <w:p w:rsidR="003620BA" w:rsidRPr="003620BA" w:rsidRDefault="003620BA" w:rsidP="003620BA">
            <w:pPr>
              <w:pStyle w:val="NormalWeb"/>
              <w:jc w:val="center"/>
              <w:rPr>
                <w:b/>
                <w:bCs/>
                <w:sz w:val="20"/>
                <w:szCs w:val="20"/>
              </w:rPr>
            </w:pPr>
            <w:r w:rsidRPr="003620BA">
              <w:rPr>
                <w:b/>
                <w:bCs/>
                <w:sz w:val="20"/>
                <w:szCs w:val="20"/>
              </w:rPr>
              <w:t>Sample Required</w:t>
            </w:r>
          </w:p>
        </w:tc>
        <w:tc>
          <w:tcPr>
            <w:tcW w:w="969" w:type="dxa"/>
            <w:vAlign w:val="center"/>
            <w:hideMark/>
          </w:tcPr>
          <w:p w:rsidR="003620BA" w:rsidRPr="003620BA" w:rsidRDefault="003620BA" w:rsidP="003620BA">
            <w:pPr>
              <w:pStyle w:val="NormalWeb"/>
              <w:jc w:val="center"/>
              <w:rPr>
                <w:b/>
                <w:bCs/>
                <w:sz w:val="20"/>
                <w:szCs w:val="20"/>
              </w:rPr>
            </w:pPr>
            <w:r w:rsidRPr="003620BA">
              <w:rPr>
                <w:b/>
                <w:bCs/>
                <w:sz w:val="20"/>
                <w:szCs w:val="20"/>
              </w:rPr>
              <w:t>Sensitivity</w:t>
            </w:r>
          </w:p>
        </w:tc>
        <w:tc>
          <w:tcPr>
            <w:tcW w:w="969" w:type="dxa"/>
            <w:vAlign w:val="center"/>
            <w:hideMark/>
          </w:tcPr>
          <w:p w:rsidR="003620BA" w:rsidRPr="003620BA" w:rsidRDefault="003620BA" w:rsidP="003620BA">
            <w:pPr>
              <w:pStyle w:val="NormalWeb"/>
              <w:jc w:val="center"/>
              <w:rPr>
                <w:b/>
                <w:bCs/>
                <w:sz w:val="20"/>
                <w:szCs w:val="20"/>
              </w:rPr>
            </w:pPr>
            <w:r w:rsidRPr="003620BA">
              <w:rPr>
                <w:b/>
                <w:bCs/>
                <w:sz w:val="20"/>
                <w:szCs w:val="20"/>
              </w:rPr>
              <w:t>Specificity</w:t>
            </w:r>
          </w:p>
        </w:tc>
        <w:tc>
          <w:tcPr>
            <w:tcW w:w="1498" w:type="dxa"/>
            <w:vAlign w:val="center"/>
            <w:hideMark/>
          </w:tcPr>
          <w:p w:rsidR="003620BA" w:rsidRPr="003620BA" w:rsidRDefault="003620BA" w:rsidP="003620BA">
            <w:pPr>
              <w:pStyle w:val="NormalWeb"/>
              <w:jc w:val="center"/>
              <w:rPr>
                <w:b/>
                <w:bCs/>
                <w:sz w:val="20"/>
                <w:szCs w:val="20"/>
              </w:rPr>
            </w:pPr>
            <w:r w:rsidRPr="003620BA">
              <w:rPr>
                <w:b/>
                <w:bCs/>
                <w:sz w:val="20"/>
                <w:szCs w:val="20"/>
              </w:rPr>
              <w:t>Advantages</w:t>
            </w:r>
          </w:p>
        </w:tc>
        <w:tc>
          <w:tcPr>
            <w:tcW w:w="2051" w:type="dxa"/>
            <w:vAlign w:val="center"/>
            <w:hideMark/>
          </w:tcPr>
          <w:p w:rsidR="003620BA" w:rsidRPr="003620BA" w:rsidRDefault="003620BA" w:rsidP="003620BA">
            <w:pPr>
              <w:pStyle w:val="NormalWeb"/>
              <w:jc w:val="center"/>
              <w:rPr>
                <w:b/>
                <w:bCs/>
                <w:sz w:val="20"/>
                <w:szCs w:val="20"/>
              </w:rPr>
            </w:pPr>
            <w:r w:rsidRPr="003620BA">
              <w:rPr>
                <w:b/>
                <w:bCs/>
                <w:sz w:val="20"/>
                <w:szCs w:val="20"/>
              </w:rPr>
              <w:t>Limitations</w:t>
            </w:r>
          </w:p>
        </w:tc>
      </w:tr>
      <w:tr w:rsidR="003620BA" w:rsidRPr="003620BA" w:rsidTr="003620BA">
        <w:tc>
          <w:tcPr>
            <w:tcW w:w="1387" w:type="dxa"/>
            <w:vAlign w:val="center"/>
            <w:hideMark/>
          </w:tcPr>
          <w:p w:rsidR="003620BA" w:rsidRPr="003620BA" w:rsidRDefault="003620BA" w:rsidP="003620BA">
            <w:pPr>
              <w:pStyle w:val="NormalWeb"/>
              <w:rPr>
                <w:sz w:val="20"/>
                <w:szCs w:val="20"/>
              </w:rPr>
            </w:pPr>
            <w:r w:rsidRPr="003620BA">
              <w:rPr>
                <w:sz w:val="20"/>
                <w:szCs w:val="20"/>
              </w:rPr>
              <w:t>Microscopy</w:t>
            </w:r>
          </w:p>
        </w:tc>
        <w:tc>
          <w:tcPr>
            <w:tcW w:w="1041" w:type="dxa"/>
            <w:vAlign w:val="center"/>
            <w:hideMark/>
          </w:tcPr>
          <w:p w:rsidR="003620BA" w:rsidRPr="003620BA" w:rsidRDefault="003620BA" w:rsidP="003620BA">
            <w:pPr>
              <w:pStyle w:val="NormalWeb"/>
              <w:rPr>
                <w:sz w:val="20"/>
                <w:szCs w:val="20"/>
              </w:rPr>
            </w:pPr>
            <w:r w:rsidRPr="003620BA">
              <w:rPr>
                <w:sz w:val="20"/>
                <w:szCs w:val="20"/>
              </w:rPr>
              <w:t>Parasitic &amp; Fungal</w:t>
            </w:r>
          </w:p>
        </w:tc>
        <w:tc>
          <w:tcPr>
            <w:tcW w:w="1101" w:type="dxa"/>
            <w:vAlign w:val="center"/>
            <w:hideMark/>
          </w:tcPr>
          <w:p w:rsidR="003620BA" w:rsidRPr="003620BA" w:rsidRDefault="003620BA" w:rsidP="003620BA">
            <w:pPr>
              <w:pStyle w:val="NormalWeb"/>
              <w:rPr>
                <w:sz w:val="20"/>
                <w:szCs w:val="20"/>
              </w:rPr>
            </w:pPr>
            <w:r w:rsidRPr="003620BA">
              <w:rPr>
                <w:sz w:val="20"/>
                <w:szCs w:val="20"/>
              </w:rPr>
              <w:t>Stool, Blood, Tissue</w:t>
            </w:r>
          </w:p>
        </w:tc>
        <w:tc>
          <w:tcPr>
            <w:tcW w:w="969" w:type="dxa"/>
            <w:vAlign w:val="center"/>
            <w:hideMark/>
          </w:tcPr>
          <w:p w:rsidR="003620BA" w:rsidRPr="003620BA" w:rsidRDefault="003620BA" w:rsidP="003620BA">
            <w:pPr>
              <w:pStyle w:val="NormalWeb"/>
              <w:rPr>
                <w:sz w:val="20"/>
                <w:szCs w:val="20"/>
              </w:rPr>
            </w:pPr>
            <w:r w:rsidRPr="003620BA">
              <w:rPr>
                <w:sz w:val="20"/>
                <w:szCs w:val="20"/>
              </w:rPr>
              <w:t>Moderate</w:t>
            </w:r>
          </w:p>
        </w:tc>
        <w:tc>
          <w:tcPr>
            <w:tcW w:w="969" w:type="dxa"/>
            <w:vAlign w:val="center"/>
            <w:hideMark/>
          </w:tcPr>
          <w:p w:rsidR="003620BA" w:rsidRPr="003620BA" w:rsidRDefault="003620BA" w:rsidP="003620BA">
            <w:pPr>
              <w:pStyle w:val="NormalWeb"/>
              <w:rPr>
                <w:sz w:val="20"/>
                <w:szCs w:val="20"/>
              </w:rPr>
            </w:pPr>
            <w:r w:rsidRPr="003620BA">
              <w:rPr>
                <w:sz w:val="20"/>
                <w:szCs w:val="20"/>
              </w:rPr>
              <w:t>Moderate</w:t>
            </w:r>
          </w:p>
        </w:tc>
        <w:tc>
          <w:tcPr>
            <w:tcW w:w="1498" w:type="dxa"/>
            <w:vAlign w:val="center"/>
            <w:hideMark/>
          </w:tcPr>
          <w:p w:rsidR="003620BA" w:rsidRPr="003620BA" w:rsidRDefault="003620BA" w:rsidP="003620BA">
            <w:pPr>
              <w:pStyle w:val="NormalWeb"/>
              <w:rPr>
                <w:sz w:val="20"/>
                <w:szCs w:val="20"/>
              </w:rPr>
            </w:pPr>
            <w:r w:rsidRPr="003620BA">
              <w:rPr>
                <w:sz w:val="20"/>
                <w:szCs w:val="20"/>
              </w:rPr>
              <w:t>Quick and inexpensive</w:t>
            </w:r>
          </w:p>
        </w:tc>
        <w:tc>
          <w:tcPr>
            <w:tcW w:w="2051" w:type="dxa"/>
            <w:vAlign w:val="center"/>
            <w:hideMark/>
          </w:tcPr>
          <w:p w:rsidR="003620BA" w:rsidRPr="003620BA" w:rsidRDefault="003620BA" w:rsidP="003620BA">
            <w:pPr>
              <w:pStyle w:val="NormalWeb"/>
              <w:rPr>
                <w:sz w:val="20"/>
                <w:szCs w:val="20"/>
              </w:rPr>
            </w:pPr>
            <w:r w:rsidRPr="003620BA">
              <w:rPr>
                <w:sz w:val="20"/>
                <w:szCs w:val="20"/>
              </w:rPr>
              <w:t>Requires expertise, low sensitivity for low-load infections</w:t>
            </w:r>
          </w:p>
        </w:tc>
      </w:tr>
      <w:tr w:rsidR="003620BA" w:rsidRPr="003620BA" w:rsidTr="003620BA">
        <w:tc>
          <w:tcPr>
            <w:tcW w:w="1387" w:type="dxa"/>
            <w:vAlign w:val="center"/>
            <w:hideMark/>
          </w:tcPr>
          <w:p w:rsidR="003620BA" w:rsidRPr="003620BA" w:rsidRDefault="003620BA" w:rsidP="003620BA">
            <w:pPr>
              <w:pStyle w:val="NormalWeb"/>
              <w:rPr>
                <w:sz w:val="20"/>
                <w:szCs w:val="20"/>
              </w:rPr>
            </w:pPr>
            <w:r w:rsidRPr="003620BA">
              <w:rPr>
                <w:sz w:val="20"/>
                <w:szCs w:val="20"/>
              </w:rPr>
              <w:t>Antigen Detection (ELISA)</w:t>
            </w:r>
          </w:p>
        </w:tc>
        <w:tc>
          <w:tcPr>
            <w:tcW w:w="1041" w:type="dxa"/>
            <w:vAlign w:val="center"/>
            <w:hideMark/>
          </w:tcPr>
          <w:p w:rsidR="003620BA" w:rsidRPr="003620BA" w:rsidRDefault="003620BA" w:rsidP="003620BA">
            <w:pPr>
              <w:pStyle w:val="NormalWeb"/>
              <w:rPr>
                <w:sz w:val="20"/>
                <w:szCs w:val="20"/>
              </w:rPr>
            </w:pPr>
            <w:r w:rsidRPr="003620BA">
              <w:rPr>
                <w:sz w:val="20"/>
                <w:szCs w:val="20"/>
              </w:rPr>
              <w:t>Parasitic &amp; Fungal</w:t>
            </w:r>
          </w:p>
        </w:tc>
        <w:tc>
          <w:tcPr>
            <w:tcW w:w="1101" w:type="dxa"/>
            <w:vAlign w:val="center"/>
            <w:hideMark/>
          </w:tcPr>
          <w:p w:rsidR="003620BA" w:rsidRPr="003620BA" w:rsidRDefault="003620BA" w:rsidP="003620BA">
            <w:pPr>
              <w:pStyle w:val="NormalWeb"/>
              <w:rPr>
                <w:sz w:val="20"/>
                <w:szCs w:val="20"/>
              </w:rPr>
            </w:pPr>
            <w:r w:rsidRPr="003620BA">
              <w:rPr>
                <w:sz w:val="20"/>
                <w:szCs w:val="20"/>
              </w:rPr>
              <w:t>Blood, Stool, CSF</w:t>
            </w:r>
          </w:p>
        </w:tc>
        <w:tc>
          <w:tcPr>
            <w:tcW w:w="969" w:type="dxa"/>
            <w:vAlign w:val="center"/>
            <w:hideMark/>
          </w:tcPr>
          <w:p w:rsidR="003620BA" w:rsidRPr="003620BA" w:rsidRDefault="003620BA" w:rsidP="003620BA">
            <w:pPr>
              <w:pStyle w:val="NormalWeb"/>
              <w:rPr>
                <w:sz w:val="20"/>
                <w:szCs w:val="20"/>
              </w:rPr>
            </w:pPr>
            <w:r w:rsidRPr="003620BA">
              <w:rPr>
                <w:sz w:val="20"/>
                <w:szCs w:val="20"/>
              </w:rPr>
              <w:t>High</w:t>
            </w:r>
          </w:p>
        </w:tc>
        <w:tc>
          <w:tcPr>
            <w:tcW w:w="969" w:type="dxa"/>
            <w:vAlign w:val="center"/>
            <w:hideMark/>
          </w:tcPr>
          <w:p w:rsidR="003620BA" w:rsidRPr="003620BA" w:rsidRDefault="003620BA" w:rsidP="003620BA">
            <w:pPr>
              <w:pStyle w:val="NormalWeb"/>
              <w:rPr>
                <w:sz w:val="20"/>
                <w:szCs w:val="20"/>
              </w:rPr>
            </w:pPr>
            <w:r w:rsidRPr="003620BA">
              <w:rPr>
                <w:sz w:val="20"/>
                <w:szCs w:val="20"/>
              </w:rPr>
              <w:t>High</w:t>
            </w:r>
          </w:p>
        </w:tc>
        <w:tc>
          <w:tcPr>
            <w:tcW w:w="1498" w:type="dxa"/>
            <w:vAlign w:val="center"/>
            <w:hideMark/>
          </w:tcPr>
          <w:p w:rsidR="003620BA" w:rsidRPr="003620BA" w:rsidRDefault="003620BA" w:rsidP="003620BA">
            <w:pPr>
              <w:pStyle w:val="NormalWeb"/>
              <w:rPr>
                <w:sz w:val="20"/>
                <w:szCs w:val="20"/>
              </w:rPr>
            </w:pPr>
            <w:r w:rsidRPr="003620BA">
              <w:rPr>
                <w:sz w:val="20"/>
                <w:szCs w:val="20"/>
              </w:rPr>
              <w:t>Rapid, good for acute infections</w:t>
            </w:r>
          </w:p>
        </w:tc>
        <w:tc>
          <w:tcPr>
            <w:tcW w:w="2051" w:type="dxa"/>
            <w:vAlign w:val="center"/>
            <w:hideMark/>
          </w:tcPr>
          <w:p w:rsidR="003620BA" w:rsidRPr="003620BA" w:rsidRDefault="003620BA" w:rsidP="003620BA">
            <w:pPr>
              <w:pStyle w:val="NormalWeb"/>
              <w:rPr>
                <w:sz w:val="20"/>
                <w:szCs w:val="20"/>
              </w:rPr>
            </w:pPr>
            <w:r w:rsidRPr="003620BA">
              <w:rPr>
                <w:sz w:val="20"/>
                <w:szCs w:val="20"/>
              </w:rPr>
              <w:t>Limited availability in low-resource settings</w:t>
            </w:r>
          </w:p>
        </w:tc>
      </w:tr>
      <w:tr w:rsidR="003620BA" w:rsidRPr="003620BA" w:rsidTr="003620BA">
        <w:tc>
          <w:tcPr>
            <w:tcW w:w="1387" w:type="dxa"/>
            <w:vAlign w:val="center"/>
            <w:hideMark/>
          </w:tcPr>
          <w:p w:rsidR="003620BA" w:rsidRPr="003620BA" w:rsidRDefault="003620BA" w:rsidP="003620BA">
            <w:pPr>
              <w:pStyle w:val="NormalWeb"/>
              <w:rPr>
                <w:sz w:val="20"/>
                <w:szCs w:val="20"/>
              </w:rPr>
            </w:pPr>
            <w:r w:rsidRPr="003620BA">
              <w:rPr>
                <w:sz w:val="20"/>
                <w:szCs w:val="20"/>
              </w:rPr>
              <w:t>PCR (Molecular Methods)</w:t>
            </w:r>
          </w:p>
        </w:tc>
        <w:tc>
          <w:tcPr>
            <w:tcW w:w="1041" w:type="dxa"/>
            <w:vAlign w:val="center"/>
            <w:hideMark/>
          </w:tcPr>
          <w:p w:rsidR="003620BA" w:rsidRPr="003620BA" w:rsidRDefault="003620BA" w:rsidP="003620BA">
            <w:pPr>
              <w:pStyle w:val="NormalWeb"/>
              <w:rPr>
                <w:sz w:val="20"/>
                <w:szCs w:val="20"/>
              </w:rPr>
            </w:pPr>
            <w:r w:rsidRPr="003620BA">
              <w:rPr>
                <w:sz w:val="20"/>
                <w:szCs w:val="20"/>
              </w:rPr>
              <w:t>Parasitic &amp; Fungal</w:t>
            </w:r>
          </w:p>
        </w:tc>
        <w:tc>
          <w:tcPr>
            <w:tcW w:w="1101" w:type="dxa"/>
            <w:vAlign w:val="center"/>
            <w:hideMark/>
          </w:tcPr>
          <w:p w:rsidR="003620BA" w:rsidRPr="003620BA" w:rsidRDefault="003620BA" w:rsidP="003620BA">
            <w:pPr>
              <w:pStyle w:val="NormalWeb"/>
              <w:rPr>
                <w:sz w:val="20"/>
                <w:szCs w:val="20"/>
              </w:rPr>
            </w:pPr>
            <w:r w:rsidRPr="003620BA">
              <w:rPr>
                <w:sz w:val="20"/>
                <w:szCs w:val="20"/>
              </w:rPr>
              <w:t>Blood, Tissue, CSF</w:t>
            </w:r>
          </w:p>
        </w:tc>
        <w:tc>
          <w:tcPr>
            <w:tcW w:w="969" w:type="dxa"/>
            <w:vAlign w:val="center"/>
            <w:hideMark/>
          </w:tcPr>
          <w:p w:rsidR="003620BA" w:rsidRPr="003620BA" w:rsidRDefault="003620BA" w:rsidP="003620BA">
            <w:pPr>
              <w:pStyle w:val="NormalWeb"/>
              <w:rPr>
                <w:sz w:val="20"/>
                <w:szCs w:val="20"/>
              </w:rPr>
            </w:pPr>
            <w:r w:rsidRPr="003620BA">
              <w:rPr>
                <w:sz w:val="20"/>
                <w:szCs w:val="20"/>
              </w:rPr>
              <w:t>Very High</w:t>
            </w:r>
          </w:p>
        </w:tc>
        <w:tc>
          <w:tcPr>
            <w:tcW w:w="969" w:type="dxa"/>
            <w:vAlign w:val="center"/>
            <w:hideMark/>
          </w:tcPr>
          <w:p w:rsidR="003620BA" w:rsidRPr="003620BA" w:rsidRDefault="003620BA" w:rsidP="003620BA">
            <w:pPr>
              <w:pStyle w:val="NormalWeb"/>
              <w:rPr>
                <w:sz w:val="20"/>
                <w:szCs w:val="20"/>
              </w:rPr>
            </w:pPr>
            <w:r w:rsidRPr="003620BA">
              <w:rPr>
                <w:sz w:val="20"/>
                <w:szCs w:val="20"/>
              </w:rPr>
              <w:t>Very High</w:t>
            </w:r>
          </w:p>
        </w:tc>
        <w:tc>
          <w:tcPr>
            <w:tcW w:w="1498" w:type="dxa"/>
            <w:vAlign w:val="center"/>
            <w:hideMark/>
          </w:tcPr>
          <w:p w:rsidR="003620BA" w:rsidRPr="003620BA" w:rsidRDefault="003620BA" w:rsidP="003620BA">
            <w:pPr>
              <w:pStyle w:val="NormalWeb"/>
              <w:rPr>
                <w:sz w:val="20"/>
                <w:szCs w:val="20"/>
              </w:rPr>
            </w:pPr>
            <w:r w:rsidRPr="003620BA">
              <w:rPr>
                <w:sz w:val="20"/>
                <w:szCs w:val="20"/>
              </w:rPr>
              <w:t>Detects low parasitemia</w:t>
            </w:r>
          </w:p>
        </w:tc>
        <w:tc>
          <w:tcPr>
            <w:tcW w:w="2051" w:type="dxa"/>
            <w:vAlign w:val="center"/>
            <w:hideMark/>
          </w:tcPr>
          <w:p w:rsidR="003620BA" w:rsidRPr="003620BA" w:rsidRDefault="003620BA" w:rsidP="003620BA">
            <w:pPr>
              <w:pStyle w:val="NormalWeb"/>
              <w:rPr>
                <w:sz w:val="20"/>
                <w:szCs w:val="20"/>
              </w:rPr>
            </w:pPr>
            <w:r w:rsidRPr="003620BA">
              <w:rPr>
                <w:sz w:val="20"/>
                <w:szCs w:val="20"/>
              </w:rPr>
              <w:t>Expensive, requires specialized equipment</w:t>
            </w:r>
          </w:p>
        </w:tc>
      </w:tr>
      <w:tr w:rsidR="003620BA" w:rsidRPr="003620BA" w:rsidTr="003620BA">
        <w:tc>
          <w:tcPr>
            <w:tcW w:w="1387" w:type="dxa"/>
            <w:vAlign w:val="center"/>
            <w:hideMark/>
          </w:tcPr>
          <w:p w:rsidR="003620BA" w:rsidRPr="003620BA" w:rsidRDefault="003620BA" w:rsidP="003620BA">
            <w:pPr>
              <w:pStyle w:val="NormalWeb"/>
              <w:rPr>
                <w:sz w:val="20"/>
                <w:szCs w:val="20"/>
              </w:rPr>
            </w:pPr>
            <w:r w:rsidRPr="003620BA">
              <w:rPr>
                <w:sz w:val="20"/>
                <w:szCs w:val="20"/>
              </w:rPr>
              <w:t>Serology</w:t>
            </w:r>
          </w:p>
        </w:tc>
        <w:tc>
          <w:tcPr>
            <w:tcW w:w="1041" w:type="dxa"/>
            <w:vAlign w:val="center"/>
            <w:hideMark/>
          </w:tcPr>
          <w:p w:rsidR="003620BA" w:rsidRPr="003620BA" w:rsidRDefault="003620BA" w:rsidP="003620BA">
            <w:pPr>
              <w:pStyle w:val="NormalWeb"/>
              <w:rPr>
                <w:sz w:val="20"/>
                <w:szCs w:val="20"/>
              </w:rPr>
            </w:pPr>
            <w:r w:rsidRPr="003620BA">
              <w:rPr>
                <w:sz w:val="20"/>
                <w:szCs w:val="20"/>
              </w:rPr>
              <w:t>Parasitic &amp; Fungal</w:t>
            </w:r>
          </w:p>
        </w:tc>
        <w:tc>
          <w:tcPr>
            <w:tcW w:w="1101" w:type="dxa"/>
            <w:vAlign w:val="center"/>
            <w:hideMark/>
          </w:tcPr>
          <w:p w:rsidR="003620BA" w:rsidRPr="003620BA" w:rsidRDefault="003620BA" w:rsidP="003620BA">
            <w:pPr>
              <w:pStyle w:val="NormalWeb"/>
              <w:rPr>
                <w:sz w:val="20"/>
                <w:szCs w:val="20"/>
              </w:rPr>
            </w:pPr>
            <w:r w:rsidRPr="003620BA">
              <w:rPr>
                <w:sz w:val="20"/>
                <w:szCs w:val="20"/>
              </w:rPr>
              <w:t>Blood</w:t>
            </w:r>
          </w:p>
        </w:tc>
        <w:tc>
          <w:tcPr>
            <w:tcW w:w="969" w:type="dxa"/>
            <w:vAlign w:val="center"/>
            <w:hideMark/>
          </w:tcPr>
          <w:p w:rsidR="003620BA" w:rsidRPr="003620BA" w:rsidRDefault="003620BA" w:rsidP="003620BA">
            <w:pPr>
              <w:pStyle w:val="NormalWeb"/>
              <w:rPr>
                <w:sz w:val="20"/>
                <w:szCs w:val="20"/>
              </w:rPr>
            </w:pPr>
            <w:r w:rsidRPr="003620BA">
              <w:rPr>
                <w:sz w:val="20"/>
                <w:szCs w:val="20"/>
              </w:rPr>
              <w:t>High</w:t>
            </w:r>
          </w:p>
        </w:tc>
        <w:tc>
          <w:tcPr>
            <w:tcW w:w="969" w:type="dxa"/>
            <w:vAlign w:val="center"/>
            <w:hideMark/>
          </w:tcPr>
          <w:p w:rsidR="003620BA" w:rsidRPr="003620BA" w:rsidRDefault="003620BA" w:rsidP="003620BA">
            <w:pPr>
              <w:pStyle w:val="NormalWeb"/>
              <w:rPr>
                <w:sz w:val="20"/>
                <w:szCs w:val="20"/>
              </w:rPr>
            </w:pPr>
            <w:r w:rsidRPr="003620BA">
              <w:rPr>
                <w:sz w:val="20"/>
                <w:szCs w:val="20"/>
              </w:rPr>
              <w:t>Moderate</w:t>
            </w:r>
          </w:p>
        </w:tc>
        <w:tc>
          <w:tcPr>
            <w:tcW w:w="1498" w:type="dxa"/>
            <w:vAlign w:val="center"/>
            <w:hideMark/>
          </w:tcPr>
          <w:p w:rsidR="003620BA" w:rsidRPr="003620BA" w:rsidRDefault="003620BA" w:rsidP="003620BA">
            <w:pPr>
              <w:pStyle w:val="NormalWeb"/>
              <w:rPr>
                <w:sz w:val="20"/>
                <w:szCs w:val="20"/>
              </w:rPr>
            </w:pPr>
            <w:r w:rsidRPr="003620BA">
              <w:rPr>
                <w:sz w:val="20"/>
                <w:szCs w:val="20"/>
              </w:rPr>
              <w:t>Useful for chronic infections</w:t>
            </w:r>
          </w:p>
        </w:tc>
        <w:tc>
          <w:tcPr>
            <w:tcW w:w="2051" w:type="dxa"/>
            <w:vAlign w:val="center"/>
            <w:hideMark/>
          </w:tcPr>
          <w:p w:rsidR="003620BA" w:rsidRPr="003620BA" w:rsidRDefault="003620BA" w:rsidP="003620BA">
            <w:pPr>
              <w:pStyle w:val="NormalWeb"/>
              <w:rPr>
                <w:sz w:val="20"/>
                <w:szCs w:val="20"/>
              </w:rPr>
            </w:pPr>
            <w:r w:rsidRPr="003620BA">
              <w:rPr>
                <w:sz w:val="20"/>
                <w:szCs w:val="20"/>
              </w:rPr>
              <w:t>Cannot distinguish between active and past infections</w:t>
            </w:r>
          </w:p>
        </w:tc>
      </w:tr>
    </w:tbl>
    <w:p w:rsidR="003620BA" w:rsidRPr="0034170A" w:rsidRDefault="003620BA" w:rsidP="003620BA">
      <w:pPr>
        <w:pStyle w:val="NormalWeb"/>
        <w:spacing w:before="0" w:beforeAutospacing="0" w:after="0" w:afterAutospacing="0"/>
        <w:jc w:val="both"/>
        <w:rPr>
          <w:sz w:val="20"/>
          <w:szCs w:val="20"/>
        </w:rPr>
      </w:pPr>
    </w:p>
    <w:p w:rsidR="00226086" w:rsidRPr="0034170A" w:rsidRDefault="00226086" w:rsidP="009A18F2">
      <w:pPr>
        <w:pStyle w:val="ListParagraph"/>
        <w:numPr>
          <w:ilvl w:val="0"/>
          <w:numId w:val="8"/>
        </w:numPr>
        <w:spacing w:after="0"/>
        <w:jc w:val="center"/>
        <w:rPr>
          <w:rFonts w:ascii="Times New Roman" w:eastAsiaTheme="majorEastAsia" w:hAnsi="Times New Roman" w:cs="Times New Roman"/>
          <w:b/>
          <w:bCs/>
          <w:color w:val="4F81BD" w:themeColor="accent1"/>
          <w:sz w:val="20"/>
          <w:szCs w:val="20"/>
        </w:rPr>
      </w:pPr>
      <w:r w:rsidRPr="0034170A">
        <w:rPr>
          <w:rFonts w:ascii="Times New Roman" w:eastAsiaTheme="majorEastAsia" w:hAnsi="Times New Roman" w:cs="Times New Roman"/>
          <w:b/>
          <w:bCs/>
          <w:color w:val="4F81BD" w:themeColor="accent1"/>
          <w:sz w:val="20"/>
          <w:szCs w:val="20"/>
        </w:rPr>
        <w:t>CHALLENGES IN DIAGNOSTICS FOR FUNGAL AND PARASITIC INFECTIONS</w:t>
      </w:r>
    </w:p>
    <w:p w:rsidR="00873409" w:rsidRPr="0034170A" w:rsidRDefault="00175E44" w:rsidP="009A18F2">
      <w:pPr>
        <w:pStyle w:val="NormalWeb"/>
        <w:spacing w:before="0" w:beforeAutospacing="0" w:after="0" w:afterAutospacing="0"/>
        <w:ind w:firstLine="720"/>
        <w:jc w:val="both"/>
        <w:rPr>
          <w:sz w:val="20"/>
          <w:szCs w:val="20"/>
        </w:rPr>
      </w:pPr>
      <w:r w:rsidRPr="0034170A">
        <w:rPr>
          <w:sz w:val="20"/>
          <w:szCs w:val="20"/>
        </w:rPr>
        <w:t>Different diagnostic skills are needed for fungal and parasite infections, which have a significant impact on patient management and results. Due to their geographic variability, tendency to affect people with compromised immune systems, and occasionally ambiguous symptoms, these infections can be difficult to diagnose because they might resemble other illnesses. Diagnosis is made more difficult by the complexity of organisms, their life cycles, and how they interact with their hosts.</w:t>
      </w:r>
      <w:r w:rsidR="00873409" w:rsidRPr="0034170A">
        <w:rPr>
          <w:sz w:val="20"/>
          <w:szCs w:val="20"/>
          <w:lang w:val="en-US"/>
        </w:rPr>
        <w:t xml:space="preserve"> </w:t>
      </w:r>
    </w:p>
    <w:p w:rsidR="00175E44" w:rsidRPr="0034170A" w:rsidRDefault="00175E44" w:rsidP="009A18F2">
      <w:pPr>
        <w:pStyle w:val="NormalWeb"/>
        <w:spacing w:before="0" w:beforeAutospacing="0" w:after="0" w:afterAutospacing="0"/>
        <w:ind w:firstLine="720"/>
        <w:jc w:val="both"/>
        <w:rPr>
          <w:sz w:val="20"/>
          <w:szCs w:val="20"/>
        </w:rPr>
      </w:pPr>
      <w:r w:rsidRPr="0034170A">
        <w:rPr>
          <w:sz w:val="20"/>
          <w:szCs w:val="20"/>
        </w:rPr>
        <w:t>Many fungal and parasite illnesses are still misdiagnosed or underdiagnosed, which delays treatment and raises mortality, particularly in locations with low resources, despite advancements in molecular diagnostics, serology, and antigen detection. It discusses the main obstacles to diagnosing fungal and parasite diseases, such as the limitations of existing diagnostic methods, immune response variability, co-infection, medication resistance, and related special challenges with patients who are immunocompromised. Finally, it covers the logistical and technical hurdles that prevent the effective detection of these illnesses in endemic places.</w:t>
      </w:r>
    </w:p>
    <w:p w:rsidR="00025744" w:rsidRPr="0034170A" w:rsidRDefault="00025744" w:rsidP="009A18F2">
      <w:pPr>
        <w:pStyle w:val="Heading4"/>
        <w:numPr>
          <w:ilvl w:val="1"/>
          <w:numId w:val="8"/>
        </w:numPr>
        <w:spacing w:before="0"/>
        <w:jc w:val="both"/>
        <w:rPr>
          <w:rFonts w:ascii="Times New Roman" w:hAnsi="Times New Roman" w:cs="Times New Roman"/>
          <w:i w:val="0"/>
          <w:iCs w:val="0"/>
          <w:sz w:val="20"/>
          <w:szCs w:val="20"/>
        </w:rPr>
      </w:pPr>
      <w:r w:rsidRPr="0034170A">
        <w:rPr>
          <w:rStyle w:val="Strong"/>
          <w:rFonts w:ascii="Times New Roman" w:hAnsi="Times New Roman" w:cs="Times New Roman"/>
          <w:b/>
          <w:bCs/>
          <w:i w:val="0"/>
          <w:iCs w:val="0"/>
          <w:sz w:val="20"/>
          <w:szCs w:val="20"/>
        </w:rPr>
        <w:t>Lack of Specific Clinical Symptoms</w:t>
      </w:r>
    </w:p>
    <w:p w:rsidR="00873409" w:rsidRPr="0034170A" w:rsidRDefault="00873409" w:rsidP="009A18F2">
      <w:pPr>
        <w:pStyle w:val="NormalWeb"/>
        <w:spacing w:before="0" w:beforeAutospacing="0" w:after="0" w:afterAutospacing="0"/>
        <w:ind w:firstLine="720"/>
        <w:jc w:val="both"/>
        <w:rPr>
          <w:sz w:val="20"/>
          <w:szCs w:val="20"/>
          <w:lang w:val="en-US"/>
        </w:rPr>
      </w:pPr>
      <w:r w:rsidRPr="0034170A">
        <w:rPr>
          <w:sz w:val="20"/>
          <w:szCs w:val="20"/>
          <w:lang w:val="en-US"/>
        </w:rPr>
        <w:t>One of the greatest difficulties involved in diagnosing fungal and parasitic infections relates to the presence of nonspecific clinical symptoms, where symptoms closely resemble those infections caused by other microorganisms including bacteria and viruses. Symptoms, such as fever, malaise, weight loss, or breathing difficulties, among others, closely resemble the nature of infections. For example, the clinical presentations of invasive aspergillosis may be indistinguishable from those of bacterial pneumonia. Similarly, symptoms of malaria include fever, chills, and fatigue, often mimicking the presentation of dengue or typhoid. This often makes it challenging for clinicians to suspect fungal or parasitic infections early, delaying the diagnostic tests that are often necessary. Additionally, most fungal and parasitic infections are asymptomatic or only slightly symptomatic and are often missed for long periods of time when in their chronic or latent phases.</w:t>
      </w:r>
    </w:p>
    <w:p w:rsidR="00025744" w:rsidRPr="0034170A" w:rsidRDefault="00873409" w:rsidP="009A18F2">
      <w:pPr>
        <w:pStyle w:val="NormalWeb"/>
        <w:spacing w:before="0" w:beforeAutospacing="0" w:after="0" w:afterAutospacing="0"/>
        <w:ind w:firstLine="720"/>
        <w:jc w:val="both"/>
        <w:rPr>
          <w:sz w:val="20"/>
          <w:szCs w:val="20"/>
        </w:rPr>
      </w:pPr>
      <w:r w:rsidRPr="0034170A">
        <w:rPr>
          <w:sz w:val="20"/>
          <w:szCs w:val="20"/>
          <w:lang w:val="en-US"/>
        </w:rPr>
        <w:t>For instance, it may be nearly asymptomatic and nonspecific when chronic schistosomiasis is just beginning, though it can potentially cause severe and long-term sequelae such as liver fibrosis and portal hypertension if left untreated. Similarly, latent toxoplasmosis is often silent in most immune competent hosts, but it becomes life-threatening to immunocompromised patients.</w:t>
      </w:r>
    </w:p>
    <w:p w:rsidR="00025744" w:rsidRPr="0034170A" w:rsidRDefault="00025744" w:rsidP="009A18F2">
      <w:pPr>
        <w:pStyle w:val="Heading4"/>
        <w:numPr>
          <w:ilvl w:val="1"/>
          <w:numId w:val="8"/>
        </w:numPr>
        <w:spacing w:before="0"/>
        <w:jc w:val="both"/>
        <w:rPr>
          <w:rFonts w:ascii="Times New Roman" w:hAnsi="Times New Roman" w:cs="Times New Roman"/>
          <w:i w:val="0"/>
          <w:iCs w:val="0"/>
          <w:sz w:val="20"/>
          <w:szCs w:val="20"/>
        </w:rPr>
      </w:pPr>
      <w:r w:rsidRPr="0034170A">
        <w:rPr>
          <w:rStyle w:val="Strong"/>
          <w:rFonts w:ascii="Times New Roman" w:hAnsi="Times New Roman" w:cs="Times New Roman"/>
          <w:b/>
          <w:bCs/>
          <w:i w:val="0"/>
          <w:iCs w:val="0"/>
          <w:sz w:val="20"/>
          <w:szCs w:val="20"/>
        </w:rPr>
        <w:t>Limitations of Conventional Diagnostic Methods</w:t>
      </w:r>
    </w:p>
    <w:p w:rsidR="00873409" w:rsidRPr="0034170A" w:rsidRDefault="00873409" w:rsidP="009A18F2">
      <w:pPr>
        <w:pStyle w:val="NormalWeb"/>
        <w:spacing w:before="0" w:beforeAutospacing="0" w:after="0" w:afterAutospacing="0"/>
        <w:ind w:firstLine="720"/>
        <w:jc w:val="both"/>
        <w:rPr>
          <w:sz w:val="20"/>
          <w:szCs w:val="20"/>
          <w:lang w:val="en-US"/>
        </w:rPr>
      </w:pPr>
      <w:r w:rsidRPr="0034170A">
        <w:rPr>
          <w:sz w:val="20"/>
          <w:szCs w:val="20"/>
          <w:lang w:val="en-US"/>
        </w:rPr>
        <w:t>Despite rapid progress in diagnostic technology, the traditional approaches of microscopy, culture, and histopathology remain in practice for diagnosing fungal and parasitic infections. Unfortunately, these methods carry several inherent disadvantages that delay accurate diagnosis.</w:t>
      </w:r>
    </w:p>
    <w:p w:rsidR="00873409" w:rsidRPr="0034170A" w:rsidRDefault="00873409" w:rsidP="00151AB1">
      <w:pPr>
        <w:pStyle w:val="NormalWeb"/>
        <w:numPr>
          <w:ilvl w:val="0"/>
          <w:numId w:val="41"/>
        </w:numPr>
        <w:spacing w:before="0" w:beforeAutospacing="0" w:after="0" w:afterAutospacing="0"/>
        <w:jc w:val="both"/>
        <w:rPr>
          <w:sz w:val="20"/>
          <w:szCs w:val="20"/>
          <w:lang w:val="en-US"/>
        </w:rPr>
      </w:pPr>
      <w:r w:rsidRPr="0034170A">
        <w:rPr>
          <w:b/>
          <w:bCs/>
          <w:sz w:val="20"/>
          <w:szCs w:val="20"/>
          <w:lang w:val="en-US"/>
        </w:rPr>
        <w:t>Microscopy</w:t>
      </w:r>
      <w:r w:rsidRPr="0034170A">
        <w:rPr>
          <w:sz w:val="20"/>
          <w:szCs w:val="20"/>
          <w:lang w:val="en-US"/>
        </w:rPr>
        <w:t>: Microscopy is the most widely used method for the identification of parasites in stool, blood, or tissue samples. However, it is very time-consuming and requires a high degree of expertise. Its sensitivity is often limited, especially in cases with a low parasite load or when eggs or cysts are shed intermittently. Thick and thin blood smear for diagnosing malaria parasite positivity is based strongly on operator ability, in developing countries that rely on less technology, with consequent lack of precision sometimes in microscopy causing a false negative diagnosis.</w:t>
      </w:r>
    </w:p>
    <w:p w:rsidR="00025744" w:rsidRPr="0034170A" w:rsidRDefault="00873409" w:rsidP="00151AB1">
      <w:pPr>
        <w:pStyle w:val="NormalWeb"/>
        <w:numPr>
          <w:ilvl w:val="0"/>
          <w:numId w:val="41"/>
        </w:numPr>
        <w:spacing w:before="0" w:beforeAutospacing="0" w:after="0" w:afterAutospacing="0"/>
        <w:jc w:val="both"/>
        <w:rPr>
          <w:sz w:val="20"/>
          <w:szCs w:val="20"/>
        </w:rPr>
      </w:pPr>
      <w:r w:rsidRPr="0034170A">
        <w:rPr>
          <w:b/>
          <w:bCs/>
          <w:sz w:val="20"/>
          <w:szCs w:val="20"/>
          <w:lang w:val="en-US"/>
        </w:rPr>
        <w:t>Culture</w:t>
      </w:r>
      <w:r w:rsidRPr="0034170A">
        <w:rPr>
          <w:sz w:val="20"/>
          <w:szCs w:val="20"/>
          <w:lang w:val="en-US"/>
        </w:rPr>
        <w:t>: Culturing fungi from clinical samples is usually slow and may take days to weeks, delaying diagnosis.</w:t>
      </w:r>
      <w:r w:rsidR="00025744" w:rsidRPr="0034170A">
        <w:rPr>
          <w:sz w:val="20"/>
          <w:szCs w:val="20"/>
        </w:rPr>
        <w:t xml:space="preserve"> Invasive fungal infections such as histoplasmosis or blastomycosis require prolonged incubation periods, and cultures may remain negative in cases where antifungal treatment has already been initiated. Additionally, some fungi, such as </w:t>
      </w:r>
      <w:r w:rsidR="00025744" w:rsidRPr="0034170A">
        <w:rPr>
          <w:rStyle w:val="Emphasis"/>
          <w:sz w:val="20"/>
          <w:szCs w:val="20"/>
        </w:rPr>
        <w:t>Pneumocystis jirovecii</w:t>
      </w:r>
      <w:r w:rsidR="00025744" w:rsidRPr="0034170A">
        <w:rPr>
          <w:sz w:val="20"/>
          <w:szCs w:val="20"/>
        </w:rPr>
        <w:t xml:space="preserve"> (causing PCP), cannot be cultured in routine clinical laboratories.</w:t>
      </w:r>
    </w:p>
    <w:p w:rsidR="00025744" w:rsidRPr="0034170A" w:rsidRDefault="00025744" w:rsidP="00151AB1">
      <w:pPr>
        <w:pStyle w:val="NormalWeb"/>
        <w:numPr>
          <w:ilvl w:val="0"/>
          <w:numId w:val="41"/>
        </w:numPr>
        <w:spacing w:before="0" w:beforeAutospacing="0" w:after="0" w:afterAutospacing="0"/>
        <w:jc w:val="both"/>
        <w:rPr>
          <w:sz w:val="20"/>
          <w:szCs w:val="20"/>
        </w:rPr>
      </w:pPr>
      <w:r w:rsidRPr="0034170A">
        <w:rPr>
          <w:rStyle w:val="Strong"/>
          <w:sz w:val="20"/>
          <w:szCs w:val="20"/>
        </w:rPr>
        <w:t>Histopathology:</w:t>
      </w:r>
      <w:r w:rsidRPr="0034170A">
        <w:rPr>
          <w:sz w:val="20"/>
          <w:szCs w:val="20"/>
        </w:rPr>
        <w:t xml:space="preserve"> Although histopathology provides valuable information on tissue invasion and immune response, it is not always definitive for identifying specific pathogens. Many fungal and parasitic infections cause nonspecific tissue reactions, such as granulomas or inflammation, which can be mistaken for other </w:t>
      </w:r>
      <w:r w:rsidRPr="0034170A">
        <w:rPr>
          <w:sz w:val="20"/>
          <w:szCs w:val="20"/>
        </w:rPr>
        <w:lastRenderedPageBreak/>
        <w:t>conditions. Moreover, the visualization of fungal or parasitic elements in tissue sections may be difficult, particularly in cases of low pathogen burden.</w:t>
      </w:r>
    </w:p>
    <w:p w:rsidR="00025744" w:rsidRPr="0034170A" w:rsidRDefault="00025744" w:rsidP="009A18F2">
      <w:pPr>
        <w:pStyle w:val="Heading4"/>
        <w:numPr>
          <w:ilvl w:val="1"/>
          <w:numId w:val="8"/>
        </w:numPr>
        <w:spacing w:before="0"/>
        <w:jc w:val="both"/>
        <w:rPr>
          <w:rFonts w:ascii="Times New Roman" w:hAnsi="Times New Roman" w:cs="Times New Roman"/>
          <w:i w:val="0"/>
          <w:iCs w:val="0"/>
          <w:sz w:val="20"/>
          <w:szCs w:val="20"/>
        </w:rPr>
      </w:pPr>
      <w:r w:rsidRPr="0034170A">
        <w:rPr>
          <w:rStyle w:val="Strong"/>
          <w:rFonts w:ascii="Times New Roman" w:hAnsi="Times New Roman" w:cs="Times New Roman"/>
          <w:b/>
          <w:bCs/>
          <w:i w:val="0"/>
          <w:iCs w:val="0"/>
          <w:sz w:val="20"/>
          <w:szCs w:val="20"/>
        </w:rPr>
        <w:t>Variability in Host Immune Response</w:t>
      </w:r>
    </w:p>
    <w:p w:rsidR="00873409" w:rsidRPr="0034170A" w:rsidRDefault="00025744" w:rsidP="009A18F2">
      <w:pPr>
        <w:pStyle w:val="NormalWeb"/>
        <w:spacing w:before="0" w:beforeAutospacing="0" w:after="0" w:afterAutospacing="0"/>
        <w:ind w:firstLine="720"/>
        <w:jc w:val="both"/>
        <w:rPr>
          <w:sz w:val="20"/>
          <w:szCs w:val="20"/>
          <w:lang w:val="en-US"/>
        </w:rPr>
      </w:pPr>
      <w:r w:rsidRPr="0034170A">
        <w:rPr>
          <w:sz w:val="20"/>
          <w:szCs w:val="20"/>
        </w:rPr>
        <w:t xml:space="preserve">Another significant challenge in the diagnosis of fungal and parasitic infections is the variability in the host’s immune response, which can affect the performance of serological tests and other immune-based assays. </w:t>
      </w:r>
      <w:r w:rsidR="00873409" w:rsidRPr="0034170A">
        <w:rPr>
          <w:sz w:val="20"/>
          <w:szCs w:val="20"/>
          <w:lang w:val="en-US"/>
        </w:rPr>
        <w:t>Patients with immunosuppression states, such as HIV/AIDS and organ transplant recipient or chemotherapy subject, are always challenged to create a good and robust antibody that fights infections within the body; thus, patients are likely to present false negative results in tests depending on antibody detection.</w:t>
      </w:r>
    </w:p>
    <w:p w:rsidR="00025744" w:rsidRPr="0034170A" w:rsidRDefault="00873409" w:rsidP="009A18F2">
      <w:pPr>
        <w:pStyle w:val="NormalWeb"/>
        <w:spacing w:before="0" w:beforeAutospacing="0" w:after="0" w:afterAutospacing="0"/>
        <w:ind w:firstLine="720"/>
        <w:jc w:val="both"/>
        <w:rPr>
          <w:sz w:val="20"/>
          <w:szCs w:val="20"/>
        </w:rPr>
      </w:pPr>
      <w:r w:rsidRPr="0034170A">
        <w:rPr>
          <w:sz w:val="20"/>
          <w:szCs w:val="20"/>
          <w:lang w:val="en-US"/>
        </w:rPr>
        <w:t>For instance, while diagnosing cryptococcosis, serological tests may not identify the cryptococcal antigens present in the serum of patients whose immune is highly compromised; hence, when an active infection is established. Similarly, patients whose invasiveness proves candidiasis or aspergillosis may lack detectable levels of antibodies, thereby complicating the traditional serological confirmation of their diagnosis. This immune response discrepancy warrants the use of alternative diagnostic techniques, including antigen detection or molecular methods, in order to increase the diagnostic value for immunocompromised patients.</w:t>
      </w:r>
    </w:p>
    <w:p w:rsidR="00025744" w:rsidRPr="0034170A" w:rsidRDefault="00025744" w:rsidP="009A18F2">
      <w:pPr>
        <w:pStyle w:val="Heading4"/>
        <w:numPr>
          <w:ilvl w:val="1"/>
          <w:numId w:val="8"/>
        </w:numPr>
        <w:spacing w:before="0"/>
        <w:jc w:val="both"/>
        <w:rPr>
          <w:rFonts w:ascii="Times New Roman" w:hAnsi="Times New Roman" w:cs="Times New Roman"/>
          <w:i w:val="0"/>
          <w:iCs w:val="0"/>
          <w:sz w:val="20"/>
          <w:szCs w:val="20"/>
        </w:rPr>
      </w:pPr>
      <w:r w:rsidRPr="0034170A">
        <w:rPr>
          <w:rStyle w:val="Strong"/>
          <w:rFonts w:ascii="Times New Roman" w:hAnsi="Times New Roman" w:cs="Times New Roman"/>
          <w:b/>
          <w:bCs/>
          <w:i w:val="0"/>
          <w:iCs w:val="0"/>
          <w:sz w:val="20"/>
          <w:szCs w:val="20"/>
        </w:rPr>
        <w:t>Co-Infections and Overlapping Pathologies</w:t>
      </w:r>
    </w:p>
    <w:p w:rsidR="00175E44" w:rsidRPr="0034170A" w:rsidRDefault="00873409" w:rsidP="009A18F2">
      <w:pPr>
        <w:pStyle w:val="NormalWeb"/>
        <w:spacing w:before="0" w:beforeAutospacing="0" w:after="0" w:afterAutospacing="0"/>
        <w:ind w:firstLine="720"/>
        <w:jc w:val="both"/>
        <w:rPr>
          <w:sz w:val="20"/>
          <w:szCs w:val="20"/>
          <w:lang w:val="en-US"/>
        </w:rPr>
      </w:pPr>
      <w:r w:rsidRPr="0034170A">
        <w:rPr>
          <w:sz w:val="20"/>
          <w:szCs w:val="20"/>
          <w:lang w:val="en-US"/>
        </w:rPr>
        <w:t xml:space="preserve">The main challenges arise when such fungal and parasitic infections coinfect, mainly with the hosts suffering from immuno-compromised conditions. </w:t>
      </w:r>
      <w:r w:rsidR="00175E44" w:rsidRPr="0034170A">
        <w:rPr>
          <w:sz w:val="20"/>
          <w:szCs w:val="20"/>
          <w:lang w:val="en-US"/>
        </w:rPr>
        <w:t>The victim of HIV/AIDS will, at a given point in time be diagnosed of suffering from other opportunistic infections other than that one might include; Tuberculosis cryptococcosis as well as PCP-all which portray varied symptoms; a diagnosis of one often overlaps to result in mistaken cases, meaning this leads to treatment delay when applied.</w:t>
      </w:r>
    </w:p>
    <w:p w:rsidR="00025744" w:rsidRPr="0034170A" w:rsidRDefault="00175E44" w:rsidP="009A18F2">
      <w:pPr>
        <w:pStyle w:val="NormalWeb"/>
        <w:spacing w:before="0" w:beforeAutospacing="0" w:after="0" w:afterAutospacing="0"/>
        <w:ind w:firstLine="720"/>
        <w:jc w:val="both"/>
        <w:rPr>
          <w:sz w:val="20"/>
          <w:szCs w:val="20"/>
        </w:rPr>
      </w:pPr>
      <w:r w:rsidRPr="0034170A">
        <w:rPr>
          <w:sz w:val="20"/>
          <w:szCs w:val="20"/>
          <w:lang w:val="en-US"/>
        </w:rPr>
        <w:t>Moreover, patients with a history of other diseases such as diabetes or chronic lung disease may have opportunistic infections by fungi or parasites, which makes the clinical presentation even more difficult to interpret. In endemic areas where a wide range of parasitic infections such as malaria or schistosomiasis may be found, the patients may often have co-infections by bacterial or viral pathogens, which might obscure their symptoms for the parasitic infection and results in a misdiagnosis or inappropriate treatment. This complex scenario underscores the need for comprehensive diagnostic techniques that can, at a glance, identify multiple pathogens and differentiate between primary and secondary infections.</w:t>
      </w:r>
    </w:p>
    <w:p w:rsidR="00025744" w:rsidRPr="0034170A" w:rsidRDefault="00025744" w:rsidP="009A18F2">
      <w:pPr>
        <w:pStyle w:val="Heading4"/>
        <w:numPr>
          <w:ilvl w:val="1"/>
          <w:numId w:val="8"/>
        </w:numPr>
        <w:spacing w:before="0"/>
        <w:jc w:val="both"/>
        <w:rPr>
          <w:rFonts w:ascii="Times New Roman" w:hAnsi="Times New Roman" w:cs="Times New Roman"/>
          <w:i w:val="0"/>
          <w:iCs w:val="0"/>
          <w:sz w:val="20"/>
          <w:szCs w:val="20"/>
        </w:rPr>
      </w:pPr>
      <w:r w:rsidRPr="0034170A">
        <w:rPr>
          <w:rStyle w:val="Strong"/>
          <w:rFonts w:ascii="Times New Roman" w:hAnsi="Times New Roman" w:cs="Times New Roman"/>
          <w:b/>
          <w:bCs/>
          <w:i w:val="0"/>
          <w:iCs w:val="0"/>
          <w:sz w:val="20"/>
          <w:szCs w:val="20"/>
        </w:rPr>
        <w:t>Drug Resistance and Its Impact on Diagnostics</w:t>
      </w:r>
    </w:p>
    <w:p w:rsidR="00873409" w:rsidRPr="0034170A" w:rsidRDefault="00175E44" w:rsidP="009A18F2">
      <w:pPr>
        <w:pStyle w:val="NormalWeb"/>
        <w:spacing w:before="0" w:beforeAutospacing="0" w:after="0" w:afterAutospacing="0"/>
        <w:ind w:firstLine="720"/>
        <w:jc w:val="both"/>
        <w:rPr>
          <w:sz w:val="20"/>
          <w:szCs w:val="20"/>
        </w:rPr>
      </w:pPr>
      <w:r w:rsidRPr="0034170A">
        <w:rPr>
          <w:sz w:val="20"/>
          <w:szCs w:val="20"/>
        </w:rPr>
        <w:t>Drug-resistant parasite and fungal strains have emerged as a significant diagnostic concern. Because infections caused by these resistant organisms do not react to standard therapies, specific diagnostic procedures are needed to find resistance indicators.</w:t>
      </w:r>
      <w:r w:rsidR="00873409" w:rsidRPr="0034170A">
        <w:rPr>
          <w:sz w:val="20"/>
          <w:szCs w:val="20"/>
          <w:lang w:val="en-US"/>
        </w:rPr>
        <w:t xml:space="preserve"> For example, resistance to antimalarial drugs such as chloroquine and artemisinin is increasingly becoming a cause for concern in many regions, which calls for molecular diagnostics to identify genetic mutations that are associated with drug resistance.</w:t>
      </w:r>
    </w:p>
    <w:p w:rsidR="00025744" w:rsidRPr="0034170A" w:rsidRDefault="00873409" w:rsidP="009A18F2">
      <w:pPr>
        <w:pStyle w:val="NormalWeb"/>
        <w:spacing w:before="0" w:beforeAutospacing="0" w:after="0" w:afterAutospacing="0"/>
        <w:ind w:firstLine="720"/>
        <w:jc w:val="both"/>
        <w:rPr>
          <w:sz w:val="20"/>
          <w:szCs w:val="20"/>
        </w:rPr>
      </w:pPr>
      <w:r w:rsidRPr="0034170A">
        <w:rPr>
          <w:sz w:val="20"/>
          <w:szCs w:val="20"/>
          <w:lang w:val="en-US"/>
        </w:rPr>
        <w:t xml:space="preserve">Drug-resistant fungal infections, particularly those by </w:t>
      </w:r>
      <w:r w:rsidRPr="0034170A">
        <w:rPr>
          <w:i/>
          <w:iCs/>
          <w:sz w:val="20"/>
          <w:szCs w:val="20"/>
          <w:lang w:val="en-US"/>
        </w:rPr>
        <w:t>Candida</w:t>
      </w:r>
      <w:r w:rsidRPr="0034170A">
        <w:rPr>
          <w:sz w:val="20"/>
          <w:szCs w:val="20"/>
          <w:lang w:val="en-US"/>
        </w:rPr>
        <w:t xml:space="preserve"> species like </w:t>
      </w:r>
      <w:r w:rsidRPr="0034170A">
        <w:rPr>
          <w:i/>
          <w:iCs/>
          <w:sz w:val="20"/>
          <w:szCs w:val="20"/>
          <w:lang w:val="en-US"/>
        </w:rPr>
        <w:t>Candida</w:t>
      </w:r>
      <w:r w:rsidRPr="0034170A">
        <w:rPr>
          <w:sz w:val="20"/>
          <w:szCs w:val="20"/>
          <w:lang w:val="en-US"/>
        </w:rPr>
        <w:t xml:space="preserve"> </w:t>
      </w:r>
      <w:r w:rsidRPr="0034170A">
        <w:rPr>
          <w:i/>
          <w:iCs/>
          <w:sz w:val="20"/>
          <w:szCs w:val="20"/>
          <w:lang w:val="en-US"/>
        </w:rPr>
        <w:t>auris</w:t>
      </w:r>
      <w:r w:rsidRPr="0034170A">
        <w:rPr>
          <w:sz w:val="20"/>
          <w:szCs w:val="20"/>
          <w:lang w:val="en-US"/>
        </w:rPr>
        <w:t>, are increasingly becoming common. Conventional methods of diagnosis are not sensitive enough to detect markers of resistance, and treatment failure occurs. In fact, this increases mortality rates. Hence, molecular assays for rapid detection of drug-resistant strains become important in giving the appropriate antifungal or antiparasitic treatment at the right time.</w:t>
      </w:r>
    </w:p>
    <w:p w:rsidR="00025744" w:rsidRPr="0034170A" w:rsidRDefault="00025744" w:rsidP="009A18F2">
      <w:pPr>
        <w:pStyle w:val="Heading4"/>
        <w:numPr>
          <w:ilvl w:val="1"/>
          <w:numId w:val="8"/>
        </w:numPr>
        <w:spacing w:before="0"/>
        <w:jc w:val="both"/>
        <w:rPr>
          <w:rFonts w:ascii="Times New Roman" w:hAnsi="Times New Roman" w:cs="Times New Roman"/>
          <w:i w:val="0"/>
          <w:iCs w:val="0"/>
          <w:sz w:val="20"/>
          <w:szCs w:val="20"/>
        </w:rPr>
      </w:pPr>
      <w:r w:rsidRPr="0034170A">
        <w:rPr>
          <w:rStyle w:val="Strong"/>
          <w:rFonts w:ascii="Times New Roman" w:hAnsi="Times New Roman" w:cs="Times New Roman"/>
          <w:b/>
          <w:bCs/>
          <w:i w:val="0"/>
          <w:iCs w:val="0"/>
          <w:sz w:val="20"/>
          <w:szCs w:val="20"/>
        </w:rPr>
        <w:t>Diagnostic Challenges in Resource-Limited Settings</w:t>
      </w:r>
    </w:p>
    <w:p w:rsidR="00F474B8" w:rsidRPr="0034170A" w:rsidRDefault="00F474B8" w:rsidP="009A18F2">
      <w:pPr>
        <w:pStyle w:val="NormalWeb"/>
        <w:spacing w:before="0" w:beforeAutospacing="0" w:after="0" w:afterAutospacing="0"/>
        <w:ind w:firstLine="720"/>
        <w:jc w:val="both"/>
        <w:rPr>
          <w:sz w:val="20"/>
          <w:szCs w:val="20"/>
          <w:lang w:val="en-US"/>
        </w:rPr>
      </w:pPr>
      <w:r w:rsidRPr="0034170A">
        <w:rPr>
          <w:sz w:val="20"/>
          <w:szCs w:val="20"/>
          <w:lang w:val="en-US"/>
        </w:rPr>
        <w:t>Additionally, diagnosing fungal and parasitic infections in resource-limited areas presents some added logistical and technical complications. Most areas where these infections are prevalent, including sub-Saharan Africa, Southeast Asia, and Latin America, have no access to state-of-the-art diagnostic equipment or have adequately trained laboratory staff. Thus, the diagnosis of most diseases like malaria, schistosomiasis, and histoplasmosis relies on outdated or insufficient methods.</w:t>
      </w:r>
    </w:p>
    <w:p w:rsidR="00F474B8" w:rsidRPr="0034170A" w:rsidRDefault="00F474B8" w:rsidP="009A18F2">
      <w:pPr>
        <w:pStyle w:val="NormalWeb"/>
        <w:spacing w:before="0" w:beforeAutospacing="0" w:after="0" w:afterAutospacing="0"/>
        <w:ind w:firstLine="720"/>
        <w:jc w:val="both"/>
        <w:rPr>
          <w:sz w:val="20"/>
          <w:szCs w:val="20"/>
          <w:lang w:val="en-US"/>
        </w:rPr>
      </w:pPr>
      <w:r w:rsidRPr="0034170A">
        <w:rPr>
          <w:sz w:val="20"/>
          <w:szCs w:val="20"/>
          <w:lang w:val="en-US"/>
        </w:rPr>
        <w:t>There has been, by far, reliance on microscopy with the current practices of reagent quality and provision of limited opportunities for confirmation at the sub-subnational level: molecular assays, antigen detection etc. Infrastructure or lack of specimen transportation and specimen storage often adds to delayed diagnostic results and leads to specimen deterioration, thus becoming a confounder in diagnosis processes.</w:t>
      </w:r>
    </w:p>
    <w:p w:rsidR="00025744" w:rsidRPr="0034170A" w:rsidRDefault="00F474B8" w:rsidP="00151AB1">
      <w:pPr>
        <w:pStyle w:val="NormalWeb"/>
        <w:numPr>
          <w:ilvl w:val="0"/>
          <w:numId w:val="42"/>
        </w:numPr>
        <w:spacing w:before="0" w:beforeAutospacing="0" w:after="0" w:afterAutospacing="0"/>
        <w:jc w:val="both"/>
        <w:rPr>
          <w:sz w:val="20"/>
          <w:szCs w:val="20"/>
        </w:rPr>
      </w:pPr>
      <w:r w:rsidRPr="0034170A">
        <w:rPr>
          <w:b/>
          <w:bCs/>
          <w:sz w:val="20"/>
          <w:szCs w:val="20"/>
          <w:lang w:val="en-US"/>
        </w:rPr>
        <w:t>Access to Advanced Diagnostics</w:t>
      </w:r>
      <w:r w:rsidRPr="0034170A">
        <w:rPr>
          <w:sz w:val="20"/>
          <w:szCs w:val="20"/>
          <w:lang w:val="en-US"/>
        </w:rPr>
        <w:t>: Many advanced diagnostic methods, including real-time PCR, antigen detection, and next-generation sequencing, are too costly for regular use in resource-poor environments. Even when such technologies are accessible, the scarcity of trained personnel and technical support often limits their effectiveness. Therefore, the time is critical to develop affordable, portable, and user-friendly diagnostics that can be used in resource-poor areas or even underdeveloped parts of the globe.</w:t>
      </w:r>
    </w:p>
    <w:p w:rsidR="00025744" w:rsidRPr="0034170A" w:rsidRDefault="00025744" w:rsidP="00151AB1">
      <w:pPr>
        <w:pStyle w:val="NormalWeb"/>
        <w:numPr>
          <w:ilvl w:val="0"/>
          <w:numId w:val="42"/>
        </w:numPr>
        <w:spacing w:before="0" w:beforeAutospacing="0" w:after="0" w:afterAutospacing="0"/>
        <w:jc w:val="both"/>
        <w:rPr>
          <w:sz w:val="20"/>
          <w:szCs w:val="20"/>
        </w:rPr>
      </w:pPr>
      <w:r w:rsidRPr="0034170A">
        <w:rPr>
          <w:rStyle w:val="Strong"/>
          <w:sz w:val="20"/>
          <w:szCs w:val="20"/>
        </w:rPr>
        <w:t>Point-of-Care Diagnostics:</w:t>
      </w:r>
      <w:r w:rsidRPr="0034170A">
        <w:rPr>
          <w:sz w:val="20"/>
          <w:szCs w:val="20"/>
        </w:rPr>
        <w:t xml:space="preserve"> </w:t>
      </w:r>
      <w:r w:rsidR="00705D28" w:rsidRPr="0034170A">
        <w:rPr>
          <w:sz w:val="20"/>
          <w:szCs w:val="20"/>
          <w:lang w:val="en-US"/>
        </w:rPr>
        <w:t xml:space="preserve">The introduction of rapid diagnostic tests (RDTs) for diseases such as malaria and leishmaniasis has enhanced diagnostic capabilities in resource-limited areas. </w:t>
      </w:r>
      <w:r w:rsidR="00175E44" w:rsidRPr="0034170A">
        <w:rPr>
          <w:sz w:val="20"/>
          <w:szCs w:val="20"/>
          <w:lang w:val="en-US"/>
        </w:rPr>
        <w:t>However, sensitivity depends on disease prevalence, quality of tests, and parasitemia levels. The outcomes show that there is a greater tendency for false negatives in low-transmission settings or among partially immune individuals, thereby missing diagnoses. Reliance on single-pathogen tests does not allow for detection of co-infections or differentiation between closely related species.</w:t>
      </w:r>
    </w:p>
    <w:p w:rsidR="00025744" w:rsidRPr="0034170A" w:rsidRDefault="00025744" w:rsidP="009A18F2">
      <w:pPr>
        <w:pStyle w:val="Heading4"/>
        <w:numPr>
          <w:ilvl w:val="1"/>
          <w:numId w:val="8"/>
        </w:numPr>
        <w:spacing w:before="0"/>
        <w:rPr>
          <w:rFonts w:ascii="Times New Roman" w:hAnsi="Times New Roman" w:cs="Times New Roman"/>
          <w:i w:val="0"/>
          <w:iCs w:val="0"/>
          <w:sz w:val="20"/>
          <w:szCs w:val="20"/>
        </w:rPr>
      </w:pPr>
      <w:r w:rsidRPr="0034170A">
        <w:rPr>
          <w:rStyle w:val="Strong"/>
          <w:rFonts w:ascii="Times New Roman" w:hAnsi="Times New Roman" w:cs="Times New Roman"/>
          <w:b/>
          <w:bCs/>
          <w:i w:val="0"/>
          <w:iCs w:val="0"/>
          <w:sz w:val="20"/>
          <w:szCs w:val="20"/>
        </w:rPr>
        <w:lastRenderedPageBreak/>
        <w:t>Delays in Diagnosis and Treatment</w:t>
      </w:r>
    </w:p>
    <w:p w:rsidR="00175E44" w:rsidRPr="0034170A" w:rsidRDefault="00175E44" w:rsidP="009A18F2">
      <w:pPr>
        <w:pStyle w:val="NormalWeb"/>
        <w:spacing w:before="0" w:beforeAutospacing="0" w:after="0" w:afterAutospacing="0"/>
        <w:ind w:firstLine="720"/>
        <w:jc w:val="both"/>
        <w:rPr>
          <w:sz w:val="20"/>
          <w:szCs w:val="20"/>
          <w:lang w:val="en-US"/>
        </w:rPr>
      </w:pPr>
      <w:r w:rsidRPr="0034170A">
        <w:rPr>
          <w:sz w:val="20"/>
          <w:szCs w:val="20"/>
          <w:lang w:val="en-US"/>
        </w:rPr>
        <w:t>Delayed diagnosis of infection is very prevalent, especially the invasive infections that are caused by fungi or parasites. Delaying the start of antifungal treatment increases mortality risk dramatically to patients who undergo immunosuppressive states associated with fungal infection, such as aspergillosis and candidiasis. Delay in the diagnosis of parasitic infection, such as malaria or trypanosomiasis can lead to multiple organ failure or death.</w:t>
      </w:r>
    </w:p>
    <w:p w:rsidR="00226086" w:rsidRPr="0034170A" w:rsidRDefault="00175E44" w:rsidP="009A18F2">
      <w:pPr>
        <w:pStyle w:val="NormalWeb"/>
        <w:spacing w:before="0" w:beforeAutospacing="0" w:after="0" w:afterAutospacing="0"/>
        <w:ind w:firstLine="720"/>
        <w:jc w:val="both"/>
        <w:rPr>
          <w:sz w:val="20"/>
          <w:szCs w:val="20"/>
        </w:rPr>
      </w:pPr>
      <w:r w:rsidRPr="0034170A">
        <w:rPr>
          <w:sz w:val="20"/>
          <w:szCs w:val="20"/>
          <w:lang w:val="en-US"/>
        </w:rPr>
        <w:t>Several factors have contributed to such delays in diagnosis. They include slow growth of fungi in culture, the nonspecific nature of many symptoms associated with many fungal and parasitic infections, and limitations of current methods for diagnosis. Where advanced diagnostics may not be available, sending samples to reference laboratories for confirmation adds to the delay in the process of reaching a diagnosis. These delays focus significant need in the development of point-of-care diagnostics toward quicker and more sensitive devices for results and subsequent quick decisions.</w:t>
      </w:r>
    </w:p>
    <w:p w:rsidR="00226086" w:rsidRPr="0034170A" w:rsidRDefault="00226086" w:rsidP="009A18F2">
      <w:pPr>
        <w:pStyle w:val="NormalWeb"/>
        <w:numPr>
          <w:ilvl w:val="0"/>
          <w:numId w:val="8"/>
        </w:numPr>
        <w:spacing w:before="0" w:beforeAutospacing="0" w:after="0" w:afterAutospacing="0"/>
        <w:jc w:val="center"/>
        <w:rPr>
          <w:rFonts w:eastAsiaTheme="majorEastAsia"/>
          <w:b/>
          <w:bCs/>
          <w:color w:val="4F81BD" w:themeColor="accent1"/>
          <w:sz w:val="20"/>
          <w:szCs w:val="20"/>
          <w:lang w:val="en-US" w:eastAsia="en-US" w:bidi="ar-SA"/>
        </w:rPr>
      </w:pPr>
      <w:r w:rsidRPr="0034170A">
        <w:rPr>
          <w:rFonts w:eastAsiaTheme="majorEastAsia"/>
          <w:b/>
          <w:bCs/>
          <w:color w:val="4F81BD" w:themeColor="accent1"/>
          <w:sz w:val="20"/>
          <w:szCs w:val="20"/>
          <w:lang w:val="en-US" w:eastAsia="en-US" w:bidi="ar-SA"/>
        </w:rPr>
        <w:t>CONCLUSION</w:t>
      </w:r>
    </w:p>
    <w:p w:rsidR="00175E44" w:rsidRPr="0034170A" w:rsidRDefault="00175E44" w:rsidP="009A18F2">
      <w:pPr>
        <w:pStyle w:val="NormalWeb"/>
        <w:spacing w:before="0" w:beforeAutospacing="0" w:after="0" w:afterAutospacing="0"/>
        <w:ind w:firstLine="720"/>
        <w:jc w:val="both"/>
        <w:rPr>
          <w:sz w:val="20"/>
          <w:szCs w:val="20"/>
          <w:lang w:val="en-US"/>
        </w:rPr>
      </w:pPr>
      <w:r w:rsidRPr="0034170A">
        <w:rPr>
          <w:sz w:val="20"/>
          <w:szCs w:val="20"/>
          <w:lang w:val="en-US"/>
        </w:rPr>
        <w:t>Diagnosis in the area of clinical microbiology, especially the diagnosis of fungal and parasitic infections, continues to be difficult and challenging, even with better diagnostic technology. The infections could be superficial or benign or very invasive and deadly. These organisms pose unique challenges in diagnosis primarily because of their wide variety and complex life cycles and the nonspecific clinical features they present with. This is especially true in immunocompromised patients whose risk for severe mycoses and protozoal infections is high, and diagnosis must be early and accurate to properly manage and improve outcomes. Fungal infections are notoriously difficult to diagnose because they are invasive and caused by pathogens like aspergillosis, candidiasis, and cryptococcosis, and the traditional methods of diagnosis through culture and histopathology are limited.</w:t>
      </w:r>
    </w:p>
    <w:p w:rsidR="00175E44" w:rsidRPr="0034170A" w:rsidRDefault="00175E44" w:rsidP="009A18F2">
      <w:pPr>
        <w:pStyle w:val="NormalWeb"/>
        <w:spacing w:before="0" w:beforeAutospacing="0" w:after="0" w:afterAutospacing="0"/>
        <w:ind w:firstLine="720"/>
        <w:jc w:val="both"/>
        <w:rPr>
          <w:sz w:val="20"/>
          <w:szCs w:val="20"/>
          <w:lang w:val="en-US"/>
        </w:rPr>
      </w:pPr>
      <w:r w:rsidRPr="0034170A">
        <w:rPr>
          <w:sz w:val="20"/>
          <w:szCs w:val="20"/>
          <w:lang w:val="en-US"/>
        </w:rPr>
        <w:t>While these methods help in the patient's condition evaluation, they consume time and sometimes lack sensitivity especially in immunocompromised patients with low pathogen burdens. Molecular diagnostics approaches, such as PCR and NGS, greatly accelerate the identification of fungal pathogens with higher accuracy and speed than ever before. Moreover, antigen detection tests like the galactomannan test for aspergillosis or cryptococcal antigen test have the advantage of a rapid and reliable diagnosis of invasive fungal infections along with clinical and imaging information. The problems are quite overwhelming in parasitic infections.</w:t>
      </w:r>
    </w:p>
    <w:p w:rsidR="00175E44" w:rsidRPr="0034170A" w:rsidRDefault="00175E44" w:rsidP="009A18F2">
      <w:pPr>
        <w:pStyle w:val="NormalWeb"/>
        <w:spacing w:before="0" w:beforeAutospacing="0" w:after="0" w:afterAutospacing="0"/>
        <w:ind w:firstLine="720"/>
        <w:jc w:val="both"/>
        <w:rPr>
          <w:sz w:val="20"/>
          <w:szCs w:val="20"/>
          <w:lang w:val="en-US"/>
        </w:rPr>
      </w:pPr>
      <w:r w:rsidRPr="0034170A">
        <w:rPr>
          <w:sz w:val="20"/>
          <w:szCs w:val="20"/>
          <w:lang w:val="en-US"/>
        </w:rPr>
        <w:t>While microscopy remains the best approach to diagnose many parasitic diseases, it is more labor-intensive and very reliant on the expertise of the microscopist in less resource areas. In regions where these diseases are common, serological methods may be useful for identifying chronic infections or latent infections but also cannot distinguish between active and past infections, making the diagnosis more challenging. Molecular diagnostics, including PCR-based techniques, are now important in detecting parasitic DNA or RNA in blood, tissue, or stool samples with greater sensitivity than traditional methods. However, gaps in the global diagnostic landscape remain for fungal and parasitic infections. In the resource-limited settings where these infections are most common, advanced diagnostic tools are often inaccessible due to financial, technical, and logistical challenges.</w:t>
      </w:r>
    </w:p>
    <w:p w:rsidR="00175E44" w:rsidRPr="0034170A" w:rsidRDefault="00175E44" w:rsidP="009A18F2">
      <w:pPr>
        <w:pStyle w:val="NormalWeb"/>
        <w:spacing w:before="0" w:beforeAutospacing="0" w:after="0" w:afterAutospacing="0"/>
        <w:ind w:firstLine="720"/>
        <w:jc w:val="both"/>
        <w:rPr>
          <w:sz w:val="20"/>
          <w:szCs w:val="20"/>
          <w:lang w:val="en-US"/>
        </w:rPr>
      </w:pPr>
      <w:r w:rsidRPr="0034170A">
        <w:rPr>
          <w:sz w:val="20"/>
          <w:szCs w:val="20"/>
          <w:lang w:val="en-US"/>
        </w:rPr>
        <w:t>Many regions are still using old and inappropriate methods for diagnosis, and this contributes to delayed diagnosis and higher illness and death rates. There is an urgent need for affordable, portable, and user-friendly diagnostic platforms, including point-of-care tests, in such regions. Such developments, coupled with lab infrastructure improvement and training of health care practitioners, are expected to greatly reduce the world's burden of fungal and parasitic infections. Emerging drug-resistant fungal and parasitic strains are increasingly challenging cases in diagnosis and treatment approaches. Advances in molecular techniques directed at detection of resistance markers now play key roles in informing patient treatment decisions and improving their outcomes.</w:t>
      </w:r>
    </w:p>
    <w:p w:rsidR="00175E44" w:rsidRPr="0034170A" w:rsidRDefault="00175E44" w:rsidP="009A18F2">
      <w:pPr>
        <w:pStyle w:val="NormalWeb"/>
        <w:spacing w:before="0" w:beforeAutospacing="0" w:after="0" w:afterAutospacing="0"/>
        <w:ind w:firstLine="720"/>
        <w:jc w:val="both"/>
        <w:rPr>
          <w:sz w:val="20"/>
          <w:szCs w:val="20"/>
          <w:lang w:val="en-US"/>
        </w:rPr>
      </w:pPr>
      <w:r w:rsidRPr="0034170A">
        <w:rPr>
          <w:sz w:val="20"/>
          <w:szCs w:val="20"/>
          <w:lang w:val="en-US"/>
        </w:rPr>
        <w:t>But integration of these sophisticated diagnostic tools into regular utilization is still a difficult challenge, particularly in resource-poor settings. The integration of disparities-which will increase the access of quality diagnostic resources in the world-will be addressed through collaborations among governments, health institutions, and global bodies. In general, whereas remarkable progress has been witnessed in the development of diagnostics for fungal and parasitic infections, these areas remain quite challenging in many ways. The infections are characterized by a very complex nature; besides shortcomings in the traditional diagnostic methods applied, there is also a need to integrate traditional diagnostic techniques with more modern molecular and antigen detection technologies. Continued efforts in innovative diagnosis, increased funding for healthcare facilities, and easy-to-use inexpensive diagnostic tools must be achieved for these challenges.</w:t>
      </w:r>
    </w:p>
    <w:p w:rsidR="0089122F" w:rsidRDefault="00175E44" w:rsidP="009A18F2">
      <w:pPr>
        <w:pStyle w:val="NormalWeb"/>
        <w:spacing w:before="0" w:beforeAutospacing="0" w:after="0" w:afterAutospacing="0"/>
        <w:ind w:firstLine="720"/>
        <w:jc w:val="both"/>
        <w:rPr>
          <w:sz w:val="20"/>
          <w:szCs w:val="20"/>
          <w:lang w:val="en-US"/>
        </w:rPr>
      </w:pPr>
      <w:r w:rsidRPr="0034170A">
        <w:rPr>
          <w:sz w:val="20"/>
          <w:szCs w:val="20"/>
          <w:lang w:val="en-US"/>
        </w:rPr>
        <w:t>Improving the diagnostic capabilities, especially in underserved areas, will improve the early detection of fungal and parasitic infections, enabling timely treatment, and thus lessen the global impact of these diseases.</w:t>
      </w:r>
    </w:p>
    <w:p w:rsidR="00DE70F2" w:rsidRDefault="00DE70F2" w:rsidP="00DE70F2">
      <w:pPr>
        <w:pStyle w:val="NormalWeb"/>
        <w:spacing w:before="0" w:beforeAutospacing="0" w:after="0" w:afterAutospacing="0"/>
        <w:jc w:val="both"/>
        <w:rPr>
          <w:sz w:val="20"/>
          <w:szCs w:val="20"/>
          <w:lang w:val="en-US"/>
        </w:rPr>
      </w:pPr>
    </w:p>
    <w:p w:rsidR="00DE70F2" w:rsidRDefault="00DE70F2" w:rsidP="00DE70F2">
      <w:pPr>
        <w:pStyle w:val="NormalWeb"/>
        <w:spacing w:before="0" w:beforeAutospacing="0" w:after="0" w:afterAutospacing="0"/>
        <w:jc w:val="both"/>
        <w:rPr>
          <w:b/>
          <w:bCs/>
          <w:sz w:val="20"/>
          <w:szCs w:val="20"/>
          <w:lang w:val="en-US"/>
        </w:rPr>
      </w:pPr>
      <w:r w:rsidRPr="00DE70F2">
        <w:rPr>
          <w:b/>
          <w:bCs/>
          <w:sz w:val="20"/>
          <w:szCs w:val="20"/>
          <w:lang w:val="en-US"/>
        </w:rPr>
        <w:t>References</w:t>
      </w:r>
    </w:p>
    <w:p w:rsidR="00DE70F2" w:rsidRPr="00DE70F2" w:rsidRDefault="00DE70F2" w:rsidP="00151AB1">
      <w:pPr>
        <w:pStyle w:val="NormalWeb"/>
        <w:numPr>
          <w:ilvl w:val="0"/>
          <w:numId w:val="43"/>
        </w:numPr>
        <w:spacing w:before="0" w:beforeAutospacing="0"/>
        <w:jc w:val="both"/>
        <w:rPr>
          <w:color w:val="404040"/>
          <w:sz w:val="16"/>
          <w:szCs w:val="16"/>
        </w:rPr>
      </w:pPr>
      <w:r w:rsidRPr="00DE70F2">
        <w:rPr>
          <w:color w:val="404040"/>
          <w:sz w:val="16"/>
          <w:szCs w:val="16"/>
        </w:rPr>
        <w:t>Brown, G. D., Denning, D. W., &amp; Levitz, S. M. (2012). Tackling human fungal infections. </w:t>
      </w:r>
      <w:r w:rsidRPr="00DE70F2">
        <w:rPr>
          <w:rStyle w:val="Emphasis"/>
          <w:color w:val="404040"/>
          <w:sz w:val="16"/>
          <w:szCs w:val="16"/>
        </w:rPr>
        <w:t>Science</w:t>
      </w:r>
      <w:r w:rsidRPr="00DE70F2">
        <w:rPr>
          <w:color w:val="404040"/>
          <w:sz w:val="16"/>
          <w:szCs w:val="16"/>
        </w:rPr>
        <w:t>, 336(6082), 647-651. </w:t>
      </w:r>
      <w:hyperlink r:id="rId10" w:tgtFrame="_blank" w:history="1">
        <w:r w:rsidRPr="00DE70F2">
          <w:rPr>
            <w:rStyle w:val="Hyperlink"/>
            <w:rFonts w:eastAsiaTheme="majorEastAsia"/>
            <w:sz w:val="16"/>
            <w:szCs w:val="16"/>
          </w:rPr>
          <w:t>https://doi.org/10.1126/science.1222236</w:t>
        </w:r>
      </w:hyperlink>
    </w:p>
    <w:p w:rsidR="00DE70F2" w:rsidRPr="00DE70F2" w:rsidRDefault="00DE70F2" w:rsidP="00151AB1">
      <w:pPr>
        <w:pStyle w:val="NormalWeb"/>
        <w:numPr>
          <w:ilvl w:val="0"/>
          <w:numId w:val="43"/>
        </w:numPr>
        <w:spacing w:before="0" w:beforeAutospacing="0"/>
        <w:jc w:val="both"/>
        <w:rPr>
          <w:color w:val="404040"/>
          <w:sz w:val="16"/>
          <w:szCs w:val="16"/>
        </w:rPr>
      </w:pPr>
      <w:r w:rsidRPr="00DE70F2">
        <w:rPr>
          <w:color w:val="404040"/>
          <w:sz w:val="16"/>
          <w:szCs w:val="16"/>
        </w:rPr>
        <w:t>Hotez, P. J., Brindley, P. J., Bethony, J. M., King, C. H., Pearce, E. J., &amp; Jacobson, J. (2008). Helminth infections: The great neglected tropical diseases. </w:t>
      </w:r>
      <w:r w:rsidRPr="00DE70F2">
        <w:rPr>
          <w:rStyle w:val="Emphasis"/>
          <w:color w:val="404040"/>
          <w:sz w:val="16"/>
          <w:szCs w:val="16"/>
        </w:rPr>
        <w:t>Journal of Clinical Investigation</w:t>
      </w:r>
      <w:r w:rsidRPr="00DE70F2">
        <w:rPr>
          <w:color w:val="404040"/>
          <w:sz w:val="16"/>
          <w:szCs w:val="16"/>
        </w:rPr>
        <w:t>, 118(4), 1311-1321. </w:t>
      </w:r>
      <w:hyperlink r:id="rId11" w:tgtFrame="_blank" w:history="1">
        <w:r w:rsidRPr="00DE70F2">
          <w:rPr>
            <w:rStyle w:val="Hyperlink"/>
            <w:rFonts w:eastAsiaTheme="majorEastAsia"/>
            <w:sz w:val="16"/>
            <w:szCs w:val="16"/>
          </w:rPr>
          <w:t>https://doi.org/10.1172/JCI34261</w:t>
        </w:r>
      </w:hyperlink>
    </w:p>
    <w:p w:rsidR="00DE70F2" w:rsidRPr="00DE70F2" w:rsidRDefault="00DE70F2" w:rsidP="00151AB1">
      <w:pPr>
        <w:pStyle w:val="NormalWeb"/>
        <w:numPr>
          <w:ilvl w:val="0"/>
          <w:numId w:val="43"/>
        </w:numPr>
        <w:spacing w:before="0" w:beforeAutospacing="0"/>
        <w:jc w:val="both"/>
        <w:rPr>
          <w:color w:val="404040"/>
          <w:sz w:val="16"/>
          <w:szCs w:val="16"/>
        </w:rPr>
      </w:pPr>
      <w:r w:rsidRPr="00DE70F2">
        <w:rPr>
          <w:color w:val="404040"/>
          <w:sz w:val="16"/>
          <w:szCs w:val="16"/>
        </w:rPr>
        <w:lastRenderedPageBreak/>
        <w:t>Bahr, N. C., &amp; Boulware, D. R. (2014). Methods of rapid diagnosis for the etiology of meningitis in adults. </w:t>
      </w:r>
      <w:r w:rsidRPr="00DE70F2">
        <w:rPr>
          <w:rStyle w:val="Emphasis"/>
          <w:color w:val="404040"/>
          <w:sz w:val="16"/>
          <w:szCs w:val="16"/>
        </w:rPr>
        <w:t>Biomarkers in Medicine</w:t>
      </w:r>
      <w:r w:rsidRPr="00DE70F2">
        <w:rPr>
          <w:color w:val="404040"/>
          <w:sz w:val="16"/>
          <w:szCs w:val="16"/>
        </w:rPr>
        <w:t>, 8(9), 1085-1103. </w:t>
      </w:r>
      <w:hyperlink r:id="rId12" w:tgtFrame="_blank" w:history="1">
        <w:r w:rsidRPr="00DE70F2">
          <w:rPr>
            <w:rStyle w:val="Hyperlink"/>
            <w:rFonts w:eastAsiaTheme="majorEastAsia"/>
            <w:sz w:val="16"/>
            <w:szCs w:val="16"/>
          </w:rPr>
          <w:t>https://doi.org/10.2217/bmm.14.67</w:t>
        </w:r>
      </w:hyperlink>
    </w:p>
    <w:p w:rsidR="00DE70F2" w:rsidRPr="00DE70F2" w:rsidRDefault="00DE70F2" w:rsidP="00151AB1">
      <w:pPr>
        <w:pStyle w:val="NormalWeb"/>
        <w:numPr>
          <w:ilvl w:val="0"/>
          <w:numId w:val="43"/>
        </w:numPr>
        <w:spacing w:before="0" w:beforeAutospacing="0"/>
        <w:jc w:val="both"/>
        <w:rPr>
          <w:color w:val="404040"/>
          <w:sz w:val="16"/>
          <w:szCs w:val="16"/>
        </w:rPr>
      </w:pPr>
      <w:r w:rsidRPr="00DE70F2">
        <w:rPr>
          <w:color w:val="404040"/>
          <w:sz w:val="16"/>
          <w:szCs w:val="16"/>
        </w:rPr>
        <w:t>Wilson, M. L. (2012). Malaria rapid diagnostic tests. </w:t>
      </w:r>
      <w:r w:rsidRPr="00DE70F2">
        <w:rPr>
          <w:rStyle w:val="Emphasis"/>
          <w:color w:val="404040"/>
          <w:sz w:val="16"/>
          <w:szCs w:val="16"/>
        </w:rPr>
        <w:t>Clinical Infectious Diseases</w:t>
      </w:r>
      <w:r w:rsidRPr="00DE70F2">
        <w:rPr>
          <w:color w:val="404040"/>
          <w:sz w:val="16"/>
          <w:szCs w:val="16"/>
        </w:rPr>
        <w:t>, 54(11), 1637-1641. </w:t>
      </w:r>
      <w:hyperlink r:id="rId13" w:tgtFrame="_blank" w:history="1">
        <w:r w:rsidRPr="00DE70F2">
          <w:rPr>
            <w:rStyle w:val="Hyperlink"/>
            <w:rFonts w:eastAsiaTheme="majorEastAsia"/>
            <w:sz w:val="16"/>
            <w:szCs w:val="16"/>
          </w:rPr>
          <w:t>https://doi.org/10.1093/cid/cis228</w:t>
        </w:r>
      </w:hyperlink>
    </w:p>
    <w:p w:rsidR="00DE70F2" w:rsidRPr="00DE70F2" w:rsidRDefault="00DE70F2" w:rsidP="00151AB1">
      <w:pPr>
        <w:pStyle w:val="NormalWeb"/>
        <w:numPr>
          <w:ilvl w:val="0"/>
          <w:numId w:val="43"/>
        </w:numPr>
        <w:spacing w:before="0" w:beforeAutospacing="0"/>
        <w:jc w:val="both"/>
        <w:rPr>
          <w:color w:val="404040"/>
          <w:sz w:val="16"/>
          <w:szCs w:val="16"/>
        </w:rPr>
      </w:pPr>
      <w:r w:rsidRPr="00DE70F2">
        <w:rPr>
          <w:color w:val="404040"/>
          <w:sz w:val="16"/>
          <w:szCs w:val="16"/>
        </w:rPr>
        <w:t>Cox, F. E. (2002). History of human parasitology. </w:t>
      </w:r>
      <w:r w:rsidRPr="00DE70F2">
        <w:rPr>
          <w:rStyle w:val="Emphasis"/>
          <w:color w:val="404040"/>
          <w:sz w:val="16"/>
          <w:szCs w:val="16"/>
        </w:rPr>
        <w:t>Clinical Microbiology Reviews</w:t>
      </w:r>
      <w:r w:rsidRPr="00DE70F2">
        <w:rPr>
          <w:color w:val="404040"/>
          <w:sz w:val="16"/>
          <w:szCs w:val="16"/>
        </w:rPr>
        <w:t>, 15(4), 595-612. </w:t>
      </w:r>
      <w:hyperlink r:id="rId14" w:tgtFrame="_blank" w:history="1">
        <w:r w:rsidRPr="00DE70F2">
          <w:rPr>
            <w:rStyle w:val="Hyperlink"/>
            <w:rFonts w:eastAsiaTheme="majorEastAsia"/>
            <w:sz w:val="16"/>
            <w:szCs w:val="16"/>
          </w:rPr>
          <w:t>https://doi.org/10.1128/CMR.15.4.595-612.2002</w:t>
        </w:r>
      </w:hyperlink>
    </w:p>
    <w:p w:rsidR="00DE70F2" w:rsidRPr="00DE70F2" w:rsidRDefault="00DE70F2" w:rsidP="00151AB1">
      <w:pPr>
        <w:pStyle w:val="NormalWeb"/>
        <w:numPr>
          <w:ilvl w:val="0"/>
          <w:numId w:val="43"/>
        </w:numPr>
        <w:spacing w:before="0" w:beforeAutospacing="0"/>
        <w:jc w:val="both"/>
        <w:rPr>
          <w:color w:val="404040"/>
          <w:sz w:val="16"/>
          <w:szCs w:val="16"/>
        </w:rPr>
      </w:pPr>
      <w:r w:rsidRPr="00DE70F2">
        <w:rPr>
          <w:color w:val="404040"/>
          <w:sz w:val="16"/>
          <w:szCs w:val="16"/>
        </w:rPr>
        <w:t>Stanley, S. L. (2003). Amoebiasis. </w:t>
      </w:r>
      <w:r w:rsidRPr="00DE70F2">
        <w:rPr>
          <w:rStyle w:val="Emphasis"/>
          <w:color w:val="404040"/>
          <w:sz w:val="16"/>
          <w:szCs w:val="16"/>
        </w:rPr>
        <w:t>The Lancet</w:t>
      </w:r>
      <w:r w:rsidRPr="00DE70F2">
        <w:rPr>
          <w:color w:val="404040"/>
          <w:sz w:val="16"/>
          <w:szCs w:val="16"/>
        </w:rPr>
        <w:t>, 361(9362), 1025-1034. </w:t>
      </w:r>
      <w:hyperlink r:id="rId15" w:tgtFrame="_blank" w:history="1">
        <w:r w:rsidRPr="00DE70F2">
          <w:rPr>
            <w:rStyle w:val="Hyperlink"/>
            <w:rFonts w:eastAsiaTheme="majorEastAsia"/>
            <w:sz w:val="16"/>
            <w:szCs w:val="16"/>
          </w:rPr>
          <w:t>https://doi.org/10.1016/S0140-6736(03)12830-9</w:t>
        </w:r>
      </w:hyperlink>
    </w:p>
    <w:p w:rsidR="00DE70F2" w:rsidRPr="00DE70F2" w:rsidRDefault="00DE70F2" w:rsidP="00151AB1">
      <w:pPr>
        <w:pStyle w:val="NormalWeb"/>
        <w:numPr>
          <w:ilvl w:val="0"/>
          <w:numId w:val="43"/>
        </w:numPr>
        <w:spacing w:before="0" w:beforeAutospacing="0"/>
        <w:jc w:val="both"/>
        <w:rPr>
          <w:color w:val="404040"/>
          <w:sz w:val="16"/>
          <w:szCs w:val="16"/>
        </w:rPr>
      </w:pPr>
      <w:r w:rsidRPr="00DE70F2">
        <w:rPr>
          <w:color w:val="404040"/>
          <w:sz w:val="16"/>
          <w:szCs w:val="16"/>
        </w:rPr>
        <w:t>Ankarklev, J., Jerlström-Hultqvist, J., Ringqvist, E., Troell, K., &amp; Svärd, S. G. (2010). Behind the smile: Cell biology and disease mechanisms of </w:t>
      </w:r>
      <w:r w:rsidRPr="00DE70F2">
        <w:rPr>
          <w:rStyle w:val="Emphasis"/>
          <w:color w:val="404040"/>
          <w:sz w:val="16"/>
          <w:szCs w:val="16"/>
        </w:rPr>
        <w:t>Giardia</w:t>
      </w:r>
      <w:r w:rsidRPr="00DE70F2">
        <w:rPr>
          <w:color w:val="404040"/>
          <w:sz w:val="16"/>
          <w:szCs w:val="16"/>
        </w:rPr>
        <w:t> species. </w:t>
      </w:r>
      <w:r w:rsidRPr="00DE70F2">
        <w:rPr>
          <w:rStyle w:val="Emphasis"/>
          <w:color w:val="404040"/>
          <w:sz w:val="16"/>
          <w:szCs w:val="16"/>
        </w:rPr>
        <w:t>Nature Reviews Microbiology</w:t>
      </w:r>
      <w:r w:rsidRPr="00DE70F2">
        <w:rPr>
          <w:color w:val="404040"/>
          <w:sz w:val="16"/>
          <w:szCs w:val="16"/>
        </w:rPr>
        <w:t>, 8(6), 413-422. </w:t>
      </w:r>
      <w:hyperlink r:id="rId16" w:tgtFrame="_blank" w:history="1">
        <w:r w:rsidRPr="00DE70F2">
          <w:rPr>
            <w:rStyle w:val="Hyperlink"/>
            <w:rFonts w:eastAsiaTheme="majorEastAsia"/>
            <w:sz w:val="16"/>
            <w:szCs w:val="16"/>
          </w:rPr>
          <w:t>https://doi.org/10.1038/nrmicro2317</w:t>
        </w:r>
      </w:hyperlink>
    </w:p>
    <w:p w:rsidR="00DE70F2" w:rsidRPr="00DE70F2" w:rsidRDefault="00DE70F2" w:rsidP="00151AB1">
      <w:pPr>
        <w:pStyle w:val="NormalWeb"/>
        <w:numPr>
          <w:ilvl w:val="0"/>
          <w:numId w:val="43"/>
        </w:numPr>
        <w:spacing w:before="0" w:beforeAutospacing="0"/>
        <w:jc w:val="both"/>
        <w:rPr>
          <w:color w:val="404040"/>
          <w:sz w:val="16"/>
          <w:szCs w:val="16"/>
        </w:rPr>
      </w:pPr>
      <w:r w:rsidRPr="00DE70F2">
        <w:rPr>
          <w:color w:val="404040"/>
          <w:sz w:val="16"/>
          <w:szCs w:val="16"/>
        </w:rPr>
        <w:t>Checkley, W., White, A. C., Jaganath, D., Arrowood, M. J., Chalmers, R. M., Chen, X. M., ... &amp; Houpt, E. R. (2015). A review of the global burden, novel diagnostics, therapeutics, and vaccine targets for </w:t>
      </w:r>
      <w:r w:rsidRPr="00DE70F2">
        <w:rPr>
          <w:rStyle w:val="Emphasis"/>
          <w:color w:val="404040"/>
          <w:sz w:val="16"/>
          <w:szCs w:val="16"/>
        </w:rPr>
        <w:t>Cryptosporidium</w:t>
      </w:r>
      <w:r w:rsidRPr="00DE70F2">
        <w:rPr>
          <w:color w:val="404040"/>
          <w:sz w:val="16"/>
          <w:szCs w:val="16"/>
        </w:rPr>
        <w:t>. </w:t>
      </w:r>
      <w:r w:rsidRPr="00DE70F2">
        <w:rPr>
          <w:rStyle w:val="Emphasis"/>
          <w:color w:val="404040"/>
          <w:sz w:val="16"/>
          <w:szCs w:val="16"/>
        </w:rPr>
        <w:t>The Lancet Infectious Diseases</w:t>
      </w:r>
      <w:r w:rsidRPr="00DE70F2">
        <w:rPr>
          <w:color w:val="404040"/>
          <w:sz w:val="16"/>
          <w:szCs w:val="16"/>
        </w:rPr>
        <w:t>, 15(1), 85-94. </w:t>
      </w:r>
      <w:hyperlink r:id="rId17" w:tgtFrame="_blank" w:history="1">
        <w:r w:rsidRPr="00DE70F2">
          <w:rPr>
            <w:rStyle w:val="Hyperlink"/>
            <w:rFonts w:eastAsiaTheme="majorEastAsia"/>
            <w:sz w:val="16"/>
            <w:szCs w:val="16"/>
          </w:rPr>
          <w:t>https://doi.org/10.1016/S1473-3099(14)70772-8</w:t>
        </w:r>
      </w:hyperlink>
    </w:p>
    <w:p w:rsidR="00DE70F2" w:rsidRPr="00DE70F2" w:rsidRDefault="00DE70F2" w:rsidP="00151AB1">
      <w:pPr>
        <w:pStyle w:val="NormalWeb"/>
        <w:numPr>
          <w:ilvl w:val="0"/>
          <w:numId w:val="43"/>
        </w:numPr>
        <w:spacing w:before="0" w:beforeAutospacing="0"/>
        <w:jc w:val="both"/>
        <w:rPr>
          <w:color w:val="404040"/>
          <w:sz w:val="16"/>
          <w:szCs w:val="16"/>
        </w:rPr>
      </w:pPr>
      <w:r w:rsidRPr="00DE70F2">
        <w:rPr>
          <w:color w:val="404040"/>
          <w:sz w:val="16"/>
          <w:szCs w:val="16"/>
        </w:rPr>
        <w:t>Cook, G. C. (1994). Enterobius vermicularis infection. </w:t>
      </w:r>
      <w:r w:rsidRPr="00DE70F2">
        <w:rPr>
          <w:rStyle w:val="Emphasis"/>
          <w:color w:val="404040"/>
          <w:sz w:val="16"/>
          <w:szCs w:val="16"/>
        </w:rPr>
        <w:t>Gut</w:t>
      </w:r>
      <w:r w:rsidRPr="00DE70F2">
        <w:rPr>
          <w:color w:val="404040"/>
          <w:sz w:val="16"/>
          <w:szCs w:val="16"/>
        </w:rPr>
        <w:t>, 35(9), 1159-1162. </w:t>
      </w:r>
      <w:hyperlink r:id="rId18" w:tgtFrame="_blank" w:history="1">
        <w:r w:rsidRPr="00DE70F2">
          <w:rPr>
            <w:rStyle w:val="Hyperlink"/>
            <w:rFonts w:eastAsiaTheme="majorEastAsia"/>
            <w:sz w:val="16"/>
            <w:szCs w:val="16"/>
          </w:rPr>
          <w:t>https://doi.org/10.1136/gut.35.9.1159</w:t>
        </w:r>
      </w:hyperlink>
    </w:p>
    <w:p w:rsidR="00DE70F2" w:rsidRPr="00DE70F2" w:rsidRDefault="00DE70F2" w:rsidP="00151AB1">
      <w:pPr>
        <w:pStyle w:val="NormalWeb"/>
        <w:numPr>
          <w:ilvl w:val="0"/>
          <w:numId w:val="43"/>
        </w:numPr>
        <w:spacing w:before="0" w:beforeAutospacing="0"/>
        <w:jc w:val="both"/>
        <w:rPr>
          <w:color w:val="404040"/>
          <w:sz w:val="16"/>
          <w:szCs w:val="16"/>
        </w:rPr>
      </w:pPr>
      <w:r w:rsidRPr="00DE70F2">
        <w:rPr>
          <w:color w:val="404040"/>
          <w:sz w:val="16"/>
          <w:szCs w:val="16"/>
        </w:rPr>
        <w:t>Bethony, J., Brooker, S., Albonico, M., Geiger, S. M., Loukas, A., Diemert, D., &amp; Hotez, P. J. (2006). Soil-transmitted helminth infections: Ascariasis, trichuriasis, and hookworm. </w:t>
      </w:r>
      <w:r w:rsidRPr="00DE70F2">
        <w:rPr>
          <w:rStyle w:val="Emphasis"/>
          <w:color w:val="404040"/>
          <w:sz w:val="16"/>
          <w:szCs w:val="16"/>
        </w:rPr>
        <w:t>The Lancet</w:t>
      </w:r>
      <w:r w:rsidRPr="00DE70F2">
        <w:rPr>
          <w:color w:val="404040"/>
          <w:sz w:val="16"/>
          <w:szCs w:val="16"/>
        </w:rPr>
        <w:t>, 367(9521), 1521-1532. </w:t>
      </w:r>
      <w:hyperlink r:id="rId19" w:tgtFrame="_blank" w:history="1">
        <w:r w:rsidRPr="00DE70F2">
          <w:rPr>
            <w:rStyle w:val="Hyperlink"/>
            <w:rFonts w:eastAsiaTheme="majorEastAsia"/>
            <w:sz w:val="16"/>
            <w:szCs w:val="16"/>
          </w:rPr>
          <w:t>https://doi.org/10.1016/S0140-6736(06)68653-4</w:t>
        </w:r>
      </w:hyperlink>
    </w:p>
    <w:p w:rsidR="00DE70F2" w:rsidRPr="00DE70F2" w:rsidRDefault="00DE70F2" w:rsidP="00151AB1">
      <w:pPr>
        <w:pStyle w:val="NormalWeb"/>
        <w:numPr>
          <w:ilvl w:val="0"/>
          <w:numId w:val="43"/>
        </w:numPr>
        <w:spacing w:before="0" w:beforeAutospacing="0"/>
        <w:jc w:val="both"/>
        <w:rPr>
          <w:color w:val="404040"/>
          <w:sz w:val="16"/>
          <w:szCs w:val="16"/>
        </w:rPr>
      </w:pPr>
      <w:r w:rsidRPr="00DE70F2">
        <w:rPr>
          <w:color w:val="404040"/>
          <w:sz w:val="16"/>
          <w:szCs w:val="16"/>
        </w:rPr>
        <w:t>Gryseels, B., Polman, K., Clerinx, J., &amp; Kestens, L. (2006). Human schistosomiasis. </w:t>
      </w:r>
      <w:r w:rsidRPr="00DE70F2">
        <w:rPr>
          <w:rStyle w:val="Emphasis"/>
          <w:color w:val="404040"/>
          <w:sz w:val="16"/>
          <w:szCs w:val="16"/>
        </w:rPr>
        <w:t>The Lancet</w:t>
      </w:r>
      <w:r w:rsidRPr="00DE70F2">
        <w:rPr>
          <w:color w:val="404040"/>
          <w:sz w:val="16"/>
          <w:szCs w:val="16"/>
        </w:rPr>
        <w:t>, 368(9541), 1106-1118. </w:t>
      </w:r>
      <w:hyperlink r:id="rId20" w:tgtFrame="_blank" w:history="1">
        <w:r w:rsidRPr="00DE70F2">
          <w:rPr>
            <w:rStyle w:val="Hyperlink"/>
            <w:rFonts w:eastAsiaTheme="majorEastAsia"/>
            <w:sz w:val="16"/>
            <w:szCs w:val="16"/>
          </w:rPr>
          <w:t>https://doi.org/10.1016/S0140-6736(06)69440-3</w:t>
        </w:r>
      </w:hyperlink>
    </w:p>
    <w:p w:rsidR="00DE70F2" w:rsidRPr="00DE70F2" w:rsidRDefault="00DE70F2" w:rsidP="00151AB1">
      <w:pPr>
        <w:pStyle w:val="NormalWeb"/>
        <w:numPr>
          <w:ilvl w:val="0"/>
          <w:numId w:val="43"/>
        </w:numPr>
        <w:spacing w:before="0" w:beforeAutospacing="0"/>
        <w:jc w:val="both"/>
        <w:rPr>
          <w:color w:val="404040"/>
          <w:sz w:val="16"/>
          <w:szCs w:val="16"/>
        </w:rPr>
      </w:pPr>
      <w:r w:rsidRPr="00DE70F2">
        <w:rPr>
          <w:color w:val="404040"/>
          <w:sz w:val="16"/>
          <w:szCs w:val="16"/>
        </w:rPr>
        <w:t>McManus, D. P., Zhang, W., Li, J., &amp; Bartley, P. B. (2003). Echinococcosis. </w:t>
      </w:r>
      <w:r w:rsidRPr="00DE70F2">
        <w:rPr>
          <w:rStyle w:val="Emphasis"/>
          <w:color w:val="404040"/>
          <w:sz w:val="16"/>
          <w:szCs w:val="16"/>
        </w:rPr>
        <w:t>The Lancet</w:t>
      </w:r>
      <w:r w:rsidRPr="00DE70F2">
        <w:rPr>
          <w:color w:val="404040"/>
          <w:sz w:val="16"/>
          <w:szCs w:val="16"/>
        </w:rPr>
        <w:t>, 362(9392), 1295-1304. </w:t>
      </w:r>
      <w:hyperlink r:id="rId21" w:tgtFrame="_blank" w:history="1">
        <w:r w:rsidRPr="00DE70F2">
          <w:rPr>
            <w:rStyle w:val="Hyperlink"/>
            <w:rFonts w:eastAsiaTheme="majorEastAsia"/>
            <w:sz w:val="16"/>
            <w:szCs w:val="16"/>
          </w:rPr>
          <w:t>https://doi.org/10.1016/S0140-6736(03)14573-4</w:t>
        </w:r>
      </w:hyperlink>
    </w:p>
    <w:p w:rsidR="00DE70F2" w:rsidRPr="00DE70F2" w:rsidRDefault="00DE70F2" w:rsidP="00151AB1">
      <w:pPr>
        <w:pStyle w:val="NormalWeb"/>
        <w:numPr>
          <w:ilvl w:val="0"/>
          <w:numId w:val="43"/>
        </w:numPr>
        <w:spacing w:before="0" w:beforeAutospacing="0"/>
        <w:jc w:val="both"/>
        <w:rPr>
          <w:color w:val="404040"/>
          <w:sz w:val="16"/>
          <w:szCs w:val="16"/>
        </w:rPr>
      </w:pPr>
      <w:r w:rsidRPr="00DE70F2">
        <w:rPr>
          <w:color w:val="404040"/>
          <w:sz w:val="16"/>
          <w:szCs w:val="16"/>
        </w:rPr>
        <w:t>Garcia, H. H., Gonzalez, A. E., Evans, C. A., &amp; Gilman, R. H. (2003). Taenia solium cysticercosis. </w:t>
      </w:r>
      <w:r w:rsidRPr="00DE70F2">
        <w:rPr>
          <w:rStyle w:val="Emphasis"/>
          <w:color w:val="404040"/>
          <w:sz w:val="16"/>
          <w:szCs w:val="16"/>
        </w:rPr>
        <w:t>The Lancet</w:t>
      </w:r>
      <w:r w:rsidRPr="00DE70F2">
        <w:rPr>
          <w:color w:val="404040"/>
          <w:sz w:val="16"/>
          <w:szCs w:val="16"/>
        </w:rPr>
        <w:t>, 362(9383), 547-556. </w:t>
      </w:r>
      <w:hyperlink r:id="rId22" w:tgtFrame="_blank" w:history="1">
        <w:r w:rsidRPr="00DE70F2">
          <w:rPr>
            <w:rStyle w:val="Hyperlink"/>
            <w:rFonts w:eastAsiaTheme="majorEastAsia"/>
            <w:sz w:val="16"/>
            <w:szCs w:val="16"/>
          </w:rPr>
          <w:t>https://doi.org/10.1016/S0140-6736(03)14117-7</w:t>
        </w:r>
      </w:hyperlink>
    </w:p>
    <w:p w:rsidR="00DE70F2" w:rsidRPr="00DE70F2" w:rsidRDefault="00DE70F2" w:rsidP="00151AB1">
      <w:pPr>
        <w:pStyle w:val="NormalWeb"/>
        <w:numPr>
          <w:ilvl w:val="0"/>
          <w:numId w:val="43"/>
        </w:numPr>
        <w:spacing w:before="0" w:beforeAutospacing="0"/>
        <w:jc w:val="both"/>
        <w:rPr>
          <w:color w:val="404040"/>
          <w:sz w:val="16"/>
          <w:szCs w:val="16"/>
        </w:rPr>
      </w:pPr>
      <w:r w:rsidRPr="00DE70F2">
        <w:rPr>
          <w:color w:val="404040"/>
          <w:sz w:val="16"/>
          <w:szCs w:val="16"/>
        </w:rPr>
        <w:t>Maizels, R. M. (2013). Toxocara canis: Molecular basis of immune recognition and evasion. </w:t>
      </w:r>
      <w:r w:rsidRPr="00DE70F2">
        <w:rPr>
          <w:rStyle w:val="Emphasis"/>
          <w:color w:val="404040"/>
          <w:sz w:val="16"/>
          <w:szCs w:val="16"/>
        </w:rPr>
        <w:t>Veterinary Parasitology</w:t>
      </w:r>
      <w:r w:rsidRPr="00DE70F2">
        <w:rPr>
          <w:color w:val="404040"/>
          <w:sz w:val="16"/>
          <w:szCs w:val="16"/>
        </w:rPr>
        <w:t>, 193(4), 365-374. </w:t>
      </w:r>
      <w:hyperlink r:id="rId23" w:tgtFrame="_blank" w:history="1">
        <w:r w:rsidRPr="00DE70F2">
          <w:rPr>
            <w:rStyle w:val="Hyperlink"/>
            <w:rFonts w:eastAsiaTheme="majorEastAsia"/>
            <w:sz w:val="16"/>
            <w:szCs w:val="16"/>
          </w:rPr>
          <w:t>https://doi.org/10.1016/j.vetpar.2012.12.032</w:t>
        </w:r>
      </w:hyperlink>
    </w:p>
    <w:p w:rsidR="00DE70F2" w:rsidRPr="00DE70F2" w:rsidRDefault="00DE70F2" w:rsidP="00151AB1">
      <w:pPr>
        <w:pStyle w:val="NormalWeb"/>
        <w:numPr>
          <w:ilvl w:val="0"/>
          <w:numId w:val="43"/>
        </w:numPr>
        <w:spacing w:before="0" w:beforeAutospacing="0"/>
        <w:jc w:val="both"/>
        <w:rPr>
          <w:color w:val="404040"/>
          <w:sz w:val="16"/>
          <w:szCs w:val="16"/>
        </w:rPr>
      </w:pPr>
      <w:r w:rsidRPr="00DE70F2">
        <w:rPr>
          <w:color w:val="404040"/>
          <w:sz w:val="16"/>
          <w:szCs w:val="16"/>
        </w:rPr>
        <w:t>Montoya, J. G., &amp; Liesenfeld, O. (2004). Toxoplasmosis. </w:t>
      </w:r>
      <w:r w:rsidRPr="00DE70F2">
        <w:rPr>
          <w:rStyle w:val="Emphasis"/>
          <w:color w:val="404040"/>
          <w:sz w:val="16"/>
          <w:szCs w:val="16"/>
        </w:rPr>
        <w:t>The Lancet</w:t>
      </w:r>
      <w:r w:rsidRPr="00DE70F2">
        <w:rPr>
          <w:color w:val="404040"/>
          <w:sz w:val="16"/>
          <w:szCs w:val="16"/>
        </w:rPr>
        <w:t>, 363(9425), 1965-1976. </w:t>
      </w:r>
      <w:hyperlink r:id="rId24" w:tgtFrame="_blank" w:history="1">
        <w:r w:rsidRPr="00DE70F2">
          <w:rPr>
            <w:rStyle w:val="Hyperlink"/>
            <w:rFonts w:eastAsiaTheme="majorEastAsia"/>
            <w:sz w:val="16"/>
            <w:szCs w:val="16"/>
          </w:rPr>
          <w:t>https://doi.org/10.1016/S0140-6736(04)16412-X</w:t>
        </w:r>
      </w:hyperlink>
    </w:p>
    <w:p w:rsidR="00DE70F2" w:rsidRPr="00DE70F2" w:rsidRDefault="00DE70F2" w:rsidP="00151AB1">
      <w:pPr>
        <w:pStyle w:val="NormalWeb"/>
        <w:numPr>
          <w:ilvl w:val="0"/>
          <w:numId w:val="43"/>
        </w:numPr>
        <w:spacing w:before="0" w:beforeAutospacing="0"/>
        <w:jc w:val="both"/>
        <w:rPr>
          <w:color w:val="404040"/>
          <w:sz w:val="16"/>
          <w:szCs w:val="16"/>
        </w:rPr>
      </w:pPr>
      <w:r w:rsidRPr="00DE70F2">
        <w:rPr>
          <w:color w:val="404040"/>
          <w:sz w:val="16"/>
          <w:szCs w:val="16"/>
        </w:rPr>
        <w:t>Alvar, J., Vélez, I. D., Bern, C., Herrero, M., Desjeux, P., Cano, J., ... &amp; Boer, M. (2012). Leishmaniasis worldwide and global estimates of its incidence. </w:t>
      </w:r>
      <w:r w:rsidRPr="00DE70F2">
        <w:rPr>
          <w:rStyle w:val="Emphasis"/>
          <w:color w:val="404040"/>
          <w:sz w:val="16"/>
          <w:szCs w:val="16"/>
        </w:rPr>
        <w:t>PLoS One</w:t>
      </w:r>
      <w:r w:rsidRPr="00DE70F2">
        <w:rPr>
          <w:color w:val="404040"/>
          <w:sz w:val="16"/>
          <w:szCs w:val="16"/>
        </w:rPr>
        <w:t>, 7(5), e35671. </w:t>
      </w:r>
      <w:hyperlink r:id="rId25" w:tgtFrame="_blank" w:history="1">
        <w:r w:rsidRPr="00DE70F2">
          <w:rPr>
            <w:rStyle w:val="Hyperlink"/>
            <w:rFonts w:eastAsiaTheme="majorEastAsia"/>
            <w:sz w:val="16"/>
            <w:szCs w:val="16"/>
          </w:rPr>
          <w:t>https://doi.org/10.1371/journal.pone.0035671</w:t>
        </w:r>
      </w:hyperlink>
    </w:p>
    <w:p w:rsidR="00DE70F2" w:rsidRPr="008E50E6" w:rsidRDefault="00DE70F2" w:rsidP="00151AB1">
      <w:pPr>
        <w:pStyle w:val="NormalWeb"/>
        <w:numPr>
          <w:ilvl w:val="0"/>
          <w:numId w:val="43"/>
        </w:numPr>
        <w:spacing w:before="0" w:beforeAutospacing="0"/>
        <w:jc w:val="both"/>
        <w:rPr>
          <w:rStyle w:val="Hyperlink"/>
          <w:color w:val="404040"/>
          <w:sz w:val="16"/>
          <w:szCs w:val="16"/>
          <w:u w:val="none"/>
        </w:rPr>
      </w:pPr>
      <w:r w:rsidRPr="00DE70F2">
        <w:rPr>
          <w:color w:val="404040"/>
          <w:sz w:val="16"/>
          <w:szCs w:val="16"/>
        </w:rPr>
        <w:t>White, N. J., Pukrittayakamee, S., Hien, T. T., Faiz, M. A., Mokuolu, O. A., &amp; Dondorp, A. M. (2014). Malaria. </w:t>
      </w:r>
      <w:r w:rsidRPr="00DE70F2">
        <w:rPr>
          <w:rStyle w:val="Emphasis"/>
          <w:color w:val="404040"/>
          <w:sz w:val="16"/>
          <w:szCs w:val="16"/>
        </w:rPr>
        <w:t>The Lancet</w:t>
      </w:r>
      <w:r w:rsidRPr="00DE70F2">
        <w:rPr>
          <w:color w:val="404040"/>
          <w:sz w:val="16"/>
          <w:szCs w:val="16"/>
        </w:rPr>
        <w:t>, 383(9918), 723-735. </w:t>
      </w:r>
      <w:hyperlink r:id="rId26" w:tgtFrame="_blank" w:history="1">
        <w:r w:rsidRPr="00DE70F2">
          <w:rPr>
            <w:rStyle w:val="Hyperlink"/>
            <w:rFonts w:eastAsiaTheme="majorEastAsia"/>
            <w:sz w:val="16"/>
            <w:szCs w:val="16"/>
          </w:rPr>
          <w:t>https://doi.org/10.1016/S0140-6736(13)60024-0</w:t>
        </w:r>
      </w:hyperlink>
    </w:p>
    <w:p w:rsidR="008E50E6" w:rsidRPr="008E50E6" w:rsidRDefault="008E50E6" w:rsidP="008E50E6">
      <w:pPr>
        <w:pStyle w:val="NormalWeb"/>
        <w:numPr>
          <w:ilvl w:val="0"/>
          <w:numId w:val="43"/>
        </w:numPr>
        <w:spacing w:before="0" w:beforeAutospacing="0"/>
        <w:jc w:val="both"/>
        <w:rPr>
          <w:color w:val="404040"/>
          <w:sz w:val="16"/>
          <w:szCs w:val="16"/>
        </w:rPr>
      </w:pPr>
      <w:r w:rsidRPr="008E50E6">
        <w:rPr>
          <w:color w:val="404040"/>
          <w:sz w:val="16"/>
          <w:szCs w:val="16"/>
          <w:lang w:val="en-US"/>
        </w:rPr>
        <w:t>Derbyshire, E. R., Mota, M. M., &amp; Clardy, J. (2011). The next opportunity in anti-malaria drug discovery: the liver stage. </w:t>
      </w:r>
      <w:r w:rsidRPr="008E50E6">
        <w:rPr>
          <w:i/>
          <w:iCs/>
          <w:color w:val="404040"/>
          <w:sz w:val="16"/>
          <w:szCs w:val="16"/>
          <w:lang w:val="en-US"/>
        </w:rPr>
        <w:t>PLoS pathogens</w:t>
      </w:r>
      <w:r w:rsidRPr="008E50E6">
        <w:rPr>
          <w:color w:val="404040"/>
          <w:sz w:val="16"/>
          <w:szCs w:val="16"/>
          <w:lang w:val="en-US"/>
        </w:rPr>
        <w:t>, </w:t>
      </w:r>
      <w:r w:rsidRPr="008E50E6">
        <w:rPr>
          <w:i/>
          <w:iCs/>
          <w:color w:val="404040"/>
          <w:sz w:val="16"/>
          <w:szCs w:val="16"/>
          <w:lang w:val="en-US"/>
        </w:rPr>
        <w:t>7</w:t>
      </w:r>
      <w:r w:rsidRPr="008E50E6">
        <w:rPr>
          <w:color w:val="404040"/>
          <w:sz w:val="16"/>
          <w:szCs w:val="16"/>
          <w:lang w:val="en-US"/>
        </w:rPr>
        <w:t>(9), e1002178.</w:t>
      </w:r>
      <w:r>
        <w:rPr>
          <w:color w:val="404040"/>
          <w:sz w:val="16"/>
          <w:szCs w:val="16"/>
          <w:lang w:val="en-US"/>
        </w:rPr>
        <w:t xml:space="preserve"> </w:t>
      </w:r>
      <w:hyperlink r:id="rId27" w:history="1">
        <w:r w:rsidRPr="008E50E6">
          <w:rPr>
            <w:rStyle w:val="Hyperlink"/>
            <w:sz w:val="16"/>
            <w:szCs w:val="16"/>
          </w:rPr>
          <w:t>https://doi.org/10.1371/journal.ppat.1002178</w:t>
        </w:r>
      </w:hyperlink>
    </w:p>
    <w:p w:rsidR="00DE70F2" w:rsidRPr="00DE70F2" w:rsidRDefault="00DE70F2" w:rsidP="00151AB1">
      <w:pPr>
        <w:pStyle w:val="NormalWeb"/>
        <w:numPr>
          <w:ilvl w:val="0"/>
          <w:numId w:val="43"/>
        </w:numPr>
        <w:spacing w:before="0" w:beforeAutospacing="0"/>
        <w:jc w:val="both"/>
        <w:rPr>
          <w:color w:val="404040"/>
          <w:sz w:val="16"/>
          <w:szCs w:val="16"/>
        </w:rPr>
      </w:pPr>
      <w:r w:rsidRPr="00DE70F2">
        <w:rPr>
          <w:color w:val="404040"/>
          <w:sz w:val="16"/>
          <w:szCs w:val="16"/>
        </w:rPr>
        <w:t>Brown, G. D., Denning, D. W., Gow, N. A., Levitz, S. M., Netea, M. G., &amp; White, T. C. (2012). Hidden killers: Human fungal infections. </w:t>
      </w:r>
      <w:r w:rsidRPr="00DE70F2">
        <w:rPr>
          <w:rStyle w:val="Emphasis"/>
          <w:color w:val="404040"/>
          <w:sz w:val="16"/>
          <w:szCs w:val="16"/>
        </w:rPr>
        <w:t>Science Translational Medicine</w:t>
      </w:r>
      <w:r w:rsidRPr="00DE70F2">
        <w:rPr>
          <w:color w:val="404040"/>
          <w:sz w:val="16"/>
          <w:szCs w:val="16"/>
        </w:rPr>
        <w:t>, 4(165), 165rv13. </w:t>
      </w:r>
      <w:hyperlink r:id="rId28" w:tgtFrame="_blank" w:history="1">
        <w:r w:rsidRPr="00DE70F2">
          <w:rPr>
            <w:rStyle w:val="Hyperlink"/>
            <w:rFonts w:eastAsiaTheme="majorEastAsia"/>
            <w:sz w:val="16"/>
            <w:szCs w:val="16"/>
          </w:rPr>
          <w:t>https://doi.org/10.1126/scitranslmed.3004404</w:t>
        </w:r>
      </w:hyperlink>
    </w:p>
    <w:p w:rsidR="00DE70F2" w:rsidRPr="00DE70F2" w:rsidRDefault="00486C43" w:rsidP="00151AB1">
      <w:pPr>
        <w:pStyle w:val="NormalWeb"/>
        <w:numPr>
          <w:ilvl w:val="0"/>
          <w:numId w:val="43"/>
        </w:numPr>
        <w:spacing w:before="0" w:beforeAutospacing="0"/>
        <w:jc w:val="both"/>
        <w:rPr>
          <w:color w:val="404040"/>
          <w:sz w:val="16"/>
          <w:szCs w:val="16"/>
        </w:rPr>
      </w:pPr>
      <w:r w:rsidRPr="00486C43">
        <w:rPr>
          <w:color w:val="404040"/>
          <w:sz w:val="16"/>
          <w:szCs w:val="16"/>
          <w:lang w:val="en-US"/>
        </w:rPr>
        <w:t xml:space="preserve">Richardson, M. D., &amp; Warnock, D. W. (2012). </w:t>
      </w:r>
      <w:r w:rsidRPr="00486C43">
        <w:rPr>
          <w:i/>
          <w:iCs/>
          <w:color w:val="404040"/>
          <w:sz w:val="16"/>
          <w:szCs w:val="16"/>
          <w:lang w:val="en-US"/>
        </w:rPr>
        <w:t>Fungal infection: Diagnosis and management</w:t>
      </w:r>
      <w:r w:rsidRPr="00486C43">
        <w:rPr>
          <w:color w:val="404040"/>
          <w:sz w:val="16"/>
          <w:szCs w:val="16"/>
          <w:lang w:val="en-US"/>
        </w:rPr>
        <w:t xml:space="preserve">. Wiley-Blackwell. </w:t>
      </w:r>
      <w:hyperlink r:id="rId29" w:history="1">
        <w:r w:rsidRPr="00652E5D">
          <w:rPr>
            <w:rStyle w:val="Hyperlink"/>
            <w:sz w:val="16"/>
            <w:szCs w:val="16"/>
            <w:lang w:val="en-US"/>
          </w:rPr>
          <w:t>https://doi.org/10.1002/9781118321492</w:t>
        </w:r>
      </w:hyperlink>
      <w:r>
        <w:rPr>
          <w:color w:val="404040"/>
          <w:sz w:val="16"/>
          <w:szCs w:val="16"/>
          <w:lang w:val="en-US"/>
        </w:rPr>
        <w:t xml:space="preserve"> </w:t>
      </w:r>
    </w:p>
    <w:p w:rsidR="00DE70F2" w:rsidRPr="00DE70F2" w:rsidRDefault="00DE70F2" w:rsidP="00151AB1">
      <w:pPr>
        <w:pStyle w:val="NormalWeb"/>
        <w:numPr>
          <w:ilvl w:val="0"/>
          <w:numId w:val="43"/>
        </w:numPr>
        <w:spacing w:before="0" w:beforeAutospacing="0"/>
        <w:jc w:val="both"/>
        <w:rPr>
          <w:color w:val="404040"/>
          <w:sz w:val="16"/>
          <w:szCs w:val="16"/>
        </w:rPr>
      </w:pPr>
      <w:r w:rsidRPr="00DE70F2">
        <w:rPr>
          <w:color w:val="404040"/>
          <w:sz w:val="16"/>
          <w:szCs w:val="16"/>
        </w:rPr>
        <w:t>Pappas, P. G., Kauffman, C. A., Andes, D. R., Clancy, C. J., Marr, K. A., Ostrosky-Zeichner, L., ... &amp; Sobel, J. D. (2016). Clinical practice guideline for the management of candidiasis: 2016 update by the Infectious Diseases Society of America. </w:t>
      </w:r>
      <w:r w:rsidRPr="00DE70F2">
        <w:rPr>
          <w:rStyle w:val="Emphasis"/>
          <w:color w:val="404040"/>
          <w:sz w:val="16"/>
          <w:szCs w:val="16"/>
        </w:rPr>
        <w:t>Clinical Infectious Diseases</w:t>
      </w:r>
      <w:r w:rsidRPr="00DE70F2">
        <w:rPr>
          <w:color w:val="404040"/>
          <w:sz w:val="16"/>
          <w:szCs w:val="16"/>
        </w:rPr>
        <w:t>, 62(4), e1-e50. </w:t>
      </w:r>
      <w:hyperlink r:id="rId30" w:tgtFrame="_blank" w:history="1">
        <w:r w:rsidRPr="00DE70F2">
          <w:rPr>
            <w:rStyle w:val="Hyperlink"/>
            <w:rFonts w:eastAsiaTheme="majorEastAsia"/>
            <w:sz w:val="16"/>
            <w:szCs w:val="16"/>
          </w:rPr>
          <w:t>https://doi.org/10.1093/cid/civ933</w:t>
        </w:r>
      </w:hyperlink>
    </w:p>
    <w:p w:rsidR="00DE70F2" w:rsidRPr="00DE70F2" w:rsidRDefault="00DE70F2" w:rsidP="00151AB1">
      <w:pPr>
        <w:pStyle w:val="NormalWeb"/>
        <w:numPr>
          <w:ilvl w:val="0"/>
          <w:numId w:val="43"/>
        </w:numPr>
        <w:spacing w:before="0" w:beforeAutospacing="0"/>
        <w:jc w:val="both"/>
        <w:rPr>
          <w:color w:val="404040"/>
          <w:sz w:val="16"/>
          <w:szCs w:val="16"/>
        </w:rPr>
      </w:pPr>
      <w:r w:rsidRPr="00DE70F2">
        <w:rPr>
          <w:color w:val="404040"/>
          <w:sz w:val="16"/>
          <w:szCs w:val="16"/>
        </w:rPr>
        <w:t>Perfect, J. R., Dismukes, W. E., Dromer, F., Goldman, D. L., Graybill, J. R., Hamill, R. J., ... &amp; Sobel, J. D. (2010). Clinical practice guidelines for the management of cryptococcal disease: 2010 update by the Infectious Diseases Society of America. </w:t>
      </w:r>
      <w:r w:rsidRPr="00DE70F2">
        <w:rPr>
          <w:rStyle w:val="Emphasis"/>
          <w:color w:val="404040"/>
          <w:sz w:val="16"/>
          <w:szCs w:val="16"/>
        </w:rPr>
        <w:t>Clinical Infectious Diseases</w:t>
      </w:r>
      <w:r w:rsidRPr="00DE70F2">
        <w:rPr>
          <w:color w:val="404040"/>
          <w:sz w:val="16"/>
          <w:szCs w:val="16"/>
        </w:rPr>
        <w:t>, 50(3), 291-322. </w:t>
      </w:r>
      <w:hyperlink r:id="rId31" w:tgtFrame="_blank" w:history="1">
        <w:r w:rsidRPr="00DE70F2">
          <w:rPr>
            <w:rStyle w:val="Hyperlink"/>
            <w:rFonts w:eastAsiaTheme="majorEastAsia"/>
            <w:sz w:val="16"/>
            <w:szCs w:val="16"/>
          </w:rPr>
          <w:t>https://doi.org/10.1086/649858</w:t>
        </w:r>
      </w:hyperlink>
    </w:p>
    <w:p w:rsidR="00DE70F2" w:rsidRPr="00DE70F2" w:rsidRDefault="00DE70F2" w:rsidP="00151AB1">
      <w:pPr>
        <w:pStyle w:val="NormalWeb"/>
        <w:numPr>
          <w:ilvl w:val="0"/>
          <w:numId w:val="43"/>
        </w:numPr>
        <w:spacing w:before="0" w:beforeAutospacing="0"/>
        <w:jc w:val="both"/>
        <w:rPr>
          <w:color w:val="404040"/>
          <w:sz w:val="16"/>
          <w:szCs w:val="16"/>
        </w:rPr>
      </w:pPr>
      <w:r w:rsidRPr="00DE70F2">
        <w:rPr>
          <w:color w:val="404040"/>
          <w:sz w:val="16"/>
          <w:szCs w:val="16"/>
        </w:rPr>
        <w:t>Patterson, T. F., Thompson, G. R., Denning, D. W., Fishman, J. A., Hadley, S., Herbrecht, R., ... &amp; Bennett, J. E. (2016). Practice guidelines for the diagnosis and management of aspergillosis: 2016 update by the Infectious Diseases Society of America. </w:t>
      </w:r>
      <w:r w:rsidRPr="00DE70F2">
        <w:rPr>
          <w:rStyle w:val="Emphasis"/>
          <w:color w:val="404040"/>
          <w:sz w:val="16"/>
          <w:szCs w:val="16"/>
        </w:rPr>
        <w:t>Clinical Infectious Diseases</w:t>
      </w:r>
      <w:r w:rsidRPr="00DE70F2">
        <w:rPr>
          <w:color w:val="404040"/>
          <w:sz w:val="16"/>
          <w:szCs w:val="16"/>
        </w:rPr>
        <w:t>, 63(4), e1-e60. </w:t>
      </w:r>
      <w:hyperlink r:id="rId32" w:tgtFrame="_blank" w:history="1">
        <w:r w:rsidRPr="00DE70F2">
          <w:rPr>
            <w:rStyle w:val="Hyperlink"/>
            <w:rFonts w:eastAsiaTheme="majorEastAsia"/>
            <w:sz w:val="16"/>
            <w:szCs w:val="16"/>
          </w:rPr>
          <w:t>https://doi.org/10.1093/cid/ciw326</w:t>
        </w:r>
      </w:hyperlink>
    </w:p>
    <w:p w:rsidR="00DE70F2" w:rsidRPr="00DE70F2" w:rsidRDefault="00DE70F2" w:rsidP="00151AB1">
      <w:pPr>
        <w:pStyle w:val="NormalWeb"/>
        <w:numPr>
          <w:ilvl w:val="0"/>
          <w:numId w:val="43"/>
        </w:numPr>
        <w:spacing w:before="0" w:beforeAutospacing="0"/>
        <w:jc w:val="both"/>
        <w:rPr>
          <w:color w:val="404040"/>
          <w:sz w:val="16"/>
          <w:szCs w:val="16"/>
        </w:rPr>
      </w:pPr>
      <w:r w:rsidRPr="00DE70F2">
        <w:rPr>
          <w:color w:val="404040"/>
          <w:sz w:val="16"/>
          <w:szCs w:val="16"/>
        </w:rPr>
        <w:t>Havlickova, B., Czaika, V. A., &amp; Friedrich, M. (2008). Epidemiological trends in skin mycoses worldwide. </w:t>
      </w:r>
      <w:r w:rsidRPr="00DE70F2">
        <w:rPr>
          <w:rStyle w:val="Emphasis"/>
          <w:color w:val="404040"/>
          <w:sz w:val="16"/>
          <w:szCs w:val="16"/>
        </w:rPr>
        <w:t>Mycoses</w:t>
      </w:r>
      <w:r w:rsidRPr="00DE70F2">
        <w:rPr>
          <w:color w:val="404040"/>
          <w:sz w:val="16"/>
          <w:szCs w:val="16"/>
        </w:rPr>
        <w:t>, 51(s4), 2-15. </w:t>
      </w:r>
      <w:hyperlink r:id="rId33" w:tgtFrame="_blank" w:history="1">
        <w:r w:rsidRPr="00DE70F2">
          <w:rPr>
            <w:rStyle w:val="Hyperlink"/>
            <w:rFonts w:eastAsiaTheme="majorEastAsia"/>
            <w:sz w:val="16"/>
            <w:szCs w:val="16"/>
          </w:rPr>
          <w:t>https://doi.org/10.1111/j.1439-0507.2008.01606.x</w:t>
        </w:r>
      </w:hyperlink>
    </w:p>
    <w:p w:rsidR="00DE70F2" w:rsidRPr="00DE70F2" w:rsidRDefault="00DE70F2" w:rsidP="00151AB1">
      <w:pPr>
        <w:pStyle w:val="NormalWeb"/>
        <w:numPr>
          <w:ilvl w:val="0"/>
          <w:numId w:val="43"/>
        </w:numPr>
        <w:spacing w:before="0" w:beforeAutospacing="0"/>
        <w:jc w:val="both"/>
        <w:rPr>
          <w:color w:val="404040"/>
          <w:sz w:val="16"/>
          <w:szCs w:val="16"/>
        </w:rPr>
      </w:pPr>
      <w:r w:rsidRPr="00DE70F2">
        <w:rPr>
          <w:color w:val="404040"/>
          <w:sz w:val="16"/>
          <w:szCs w:val="16"/>
        </w:rPr>
        <w:t>Gaitanis, G., Magiatis, P., Hantschke, M., Bassukas, I. D., &amp; Velegraki, A. (2012). The Malassezia genus in skin and systemic diseases. </w:t>
      </w:r>
      <w:r w:rsidRPr="00DE70F2">
        <w:rPr>
          <w:rStyle w:val="Emphasis"/>
          <w:color w:val="404040"/>
          <w:sz w:val="16"/>
          <w:szCs w:val="16"/>
        </w:rPr>
        <w:t>Clinical Microbiology Reviews</w:t>
      </w:r>
      <w:r w:rsidRPr="00DE70F2">
        <w:rPr>
          <w:color w:val="404040"/>
          <w:sz w:val="16"/>
          <w:szCs w:val="16"/>
        </w:rPr>
        <w:t>, 25(1), 106-141. </w:t>
      </w:r>
      <w:hyperlink r:id="rId34" w:tgtFrame="_blank" w:history="1">
        <w:r w:rsidRPr="00DE70F2">
          <w:rPr>
            <w:rStyle w:val="Hyperlink"/>
            <w:rFonts w:eastAsiaTheme="majorEastAsia"/>
            <w:sz w:val="16"/>
            <w:szCs w:val="16"/>
          </w:rPr>
          <w:t>https://doi.org/10.1128/CMR.00021-11</w:t>
        </w:r>
      </w:hyperlink>
    </w:p>
    <w:p w:rsidR="00DE70F2" w:rsidRPr="00DE70F2" w:rsidRDefault="00DE70F2" w:rsidP="00151AB1">
      <w:pPr>
        <w:pStyle w:val="NormalWeb"/>
        <w:numPr>
          <w:ilvl w:val="0"/>
          <w:numId w:val="43"/>
        </w:numPr>
        <w:spacing w:before="0" w:beforeAutospacing="0"/>
        <w:jc w:val="both"/>
        <w:rPr>
          <w:color w:val="404040"/>
          <w:sz w:val="16"/>
          <w:szCs w:val="16"/>
        </w:rPr>
      </w:pPr>
      <w:r w:rsidRPr="00DE70F2">
        <w:rPr>
          <w:color w:val="404040"/>
          <w:sz w:val="16"/>
          <w:szCs w:val="16"/>
        </w:rPr>
        <w:t>Thomas, C. F., &amp; Limper, A. H. (2004). Pneumocystis pneumonia. </w:t>
      </w:r>
      <w:r w:rsidRPr="00DE70F2">
        <w:rPr>
          <w:rStyle w:val="Emphasis"/>
          <w:color w:val="404040"/>
          <w:sz w:val="16"/>
          <w:szCs w:val="16"/>
        </w:rPr>
        <w:t>New England Journal of Medicine</w:t>
      </w:r>
      <w:r w:rsidRPr="00DE70F2">
        <w:rPr>
          <w:color w:val="404040"/>
          <w:sz w:val="16"/>
          <w:szCs w:val="16"/>
        </w:rPr>
        <w:t>, 350(24), 2487-2498. </w:t>
      </w:r>
      <w:hyperlink r:id="rId35" w:tgtFrame="_blank" w:history="1">
        <w:r w:rsidRPr="00DE70F2">
          <w:rPr>
            <w:rStyle w:val="Hyperlink"/>
            <w:rFonts w:eastAsiaTheme="majorEastAsia"/>
            <w:sz w:val="16"/>
            <w:szCs w:val="16"/>
          </w:rPr>
          <w:t>https://doi.org/10.1056/NEJMra032588</w:t>
        </w:r>
      </w:hyperlink>
    </w:p>
    <w:p w:rsidR="00DE70F2" w:rsidRPr="00DE70F2" w:rsidRDefault="00DE70F2" w:rsidP="00151AB1">
      <w:pPr>
        <w:pStyle w:val="NormalWeb"/>
        <w:numPr>
          <w:ilvl w:val="0"/>
          <w:numId w:val="43"/>
        </w:numPr>
        <w:spacing w:before="0" w:beforeAutospacing="0"/>
        <w:jc w:val="both"/>
        <w:rPr>
          <w:color w:val="404040"/>
          <w:sz w:val="16"/>
          <w:szCs w:val="16"/>
        </w:rPr>
      </w:pPr>
      <w:r w:rsidRPr="00DE70F2">
        <w:rPr>
          <w:color w:val="404040"/>
          <w:sz w:val="16"/>
          <w:szCs w:val="16"/>
        </w:rPr>
        <w:t>Roden, M. M., Zaoutis, T. E., Buchanan, W. L., Knudsen, T. A., Sarkisova, T. A., Schaufele, R. L., ... &amp; Walsh, T. J. (2005). Epidemiology and outcome of zygomycosis: A review of 929 reported cases. </w:t>
      </w:r>
      <w:r w:rsidRPr="00DE70F2">
        <w:rPr>
          <w:rStyle w:val="Emphasis"/>
          <w:color w:val="404040"/>
          <w:sz w:val="16"/>
          <w:szCs w:val="16"/>
        </w:rPr>
        <w:t>Clinical Infectious Diseases</w:t>
      </w:r>
      <w:r w:rsidRPr="00DE70F2">
        <w:rPr>
          <w:color w:val="404040"/>
          <w:sz w:val="16"/>
          <w:szCs w:val="16"/>
        </w:rPr>
        <w:t>, 41(5), 634-653. </w:t>
      </w:r>
      <w:hyperlink r:id="rId36" w:tgtFrame="_blank" w:history="1">
        <w:r w:rsidRPr="00DE70F2">
          <w:rPr>
            <w:rStyle w:val="Hyperlink"/>
            <w:rFonts w:eastAsiaTheme="majorEastAsia"/>
            <w:sz w:val="16"/>
            <w:szCs w:val="16"/>
          </w:rPr>
          <w:t>https://doi.org/10.1086/432579</w:t>
        </w:r>
      </w:hyperlink>
    </w:p>
    <w:p w:rsidR="00DE70F2" w:rsidRPr="00DE70F2" w:rsidRDefault="00DE70F2" w:rsidP="00151AB1">
      <w:pPr>
        <w:pStyle w:val="NormalWeb"/>
        <w:numPr>
          <w:ilvl w:val="0"/>
          <w:numId w:val="43"/>
        </w:numPr>
        <w:spacing w:before="0" w:beforeAutospacing="0"/>
        <w:jc w:val="both"/>
        <w:rPr>
          <w:color w:val="404040"/>
          <w:sz w:val="16"/>
          <w:szCs w:val="16"/>
        </w:rPr>
      </w:pPr>
      <w:r w:rsidRPr="00DE70F2">
        <w:rPr>
          <w:color w:val="404040"/>
          <w:sz w:val="16"/>
          <w:szCs w:val="16"/>
        </w:rPr>
        <w:t>Garcia, L. S., &amp; Shimizu, R. Y. (1997). Evaluation of nine immunoassay kits (enzyme immunoassay and direct fluorescence) for detection of </w:t>
      </w:r>
      <w:r w:rsidRPr="00DE70F2">
        <w:rPr>
          <w:rStyle w:val="Emphasis"/>
          <w:color w:val="404040"/>
          <w:sz w:val="16"/>
          <w:szCs w:val="16"/>
        </w:rPr>
        <w:t>Giardia lamblia</w:t>
      </w:r>
      <w:r w:rsidRPr="00DE70F2">
        <w:rPr>
          <w:color w:val="404040"/>
          <w:sz w:val="16"/>
          <w:szCs w:val="16"/>
        </w:rPr>
        <w:t> and </w:t>
      </w:r>
      <w:r w:rsidRPr="00DE70F2">
        <w:rPr>
          <w:rStyle w:val="Emphasis"/>
          <w:color w:val="404040"/>
          <w:sz w:val="16"/>
          <w:szCs w:val="16"/>
        </w:rPr>
        <w:t>Cryptosporidium parvum</w:t>
      </w:r>
      <w:r w:rsidRPr="00DE70F2">
        <w:rPr>
          <w:color w:val="404040"/>
          <w:sz w:val="16"/>
          <w:szCs w:val="16"/>
        </w:rPr>
        <w:t> in human fecal specimens. </w:t>
      </w:r>
      <w:r w:rsidRPr="00DE70F2">
        <w:rPr>
          <w:rStyle w:val="Emphasis"/>
          <w:color w:val="404040"/>
          <w:sz w:val="16"/>
          <w:szCs w:val="16"/>
        </w:rPr>
        <w:t>Journal of Clinical Microbiology</w:t>
      </w:r>
      <w:r w:rsidRPr="00DE70F2">
        <w:rPr>
          <w:color w:val="404040"/>
          <w:sz w:val="16"/>
          <w:szCs w:val="16"/>
        </w:rPr>
        <w:t>, 35(6), 1526-1529. </w:t>
      </w:r>
      <w:hyperlink r:id="rId37" w:tgtFrame="_blank" w:history="1">
        <w:r w:rsidRPr="00DE70F2">
          <w:rPr>
            <w:rStyle w:val="Hyperlink"/>
            <w:rFonts w:eastAsiaTheme="majorEastAsia"/>
            <w:sz w:val="16"/>
            <w:szCs w:val="16"/>
          </w:rPr>
          <w:t>https://doi.org/10.1128/JCM.35.6.1526-1529.1997</w:t>
        </w:r>
      </w:hyperlink>
    </w:p>
    <w:p w:rsidR="00DE70F2" w:rsidRPr="00DE70F2" w:rsidRDefault="00DE70F2" w:rsidP="00151AB1">
      <w:pPr>
        <w:pStyle w:val="NormalWeb"/>
        <w:numPr>
          <w:ilvl w:val="0"/>
          <w:numId w:val="43"/>
        </w:numPr>
        <w:spacing w:before="0" w:beforeAutospacing="0"/>
        <w:jc w:val="both"/>
        <w:rPr>
          <w:color w:val="404040"/>
          <w:sz w:val="16"/>
          <w:szCs w:val="16"/>
        </w:rPr>
      </w:pPr>
      <w:r w:rsidRPr="00DE70F2">
        <w:rPr>
          <w:color w:val="404040"/>
          <w:sz w:val="16"/>
          <w:szCs w:val="16"/>
        </w:rPr>
        <w:t>Wheat, L. J. (2006). Antigen detection, serology, and molecular diagnosis of invasive mycoses in the immunocompromised host. </w:t>
      </w:r>
      <w:r w:rsidRPr="00DE70F2">
        <w:rPr>
          <w:rStyle w:val="Emphasis"/>
          <w:color w:val="404040"/>
          <w:sz w:val="16"/>
          <w:szCs w:val="16"/>
        </w:rPr>
        <w:t>Transplant Infectious Disease</w:t>
      </w:r>
      <w:r w:rsidRPr="00DE70F2">
        <w:rPr>
          <w:color w:val="404040"/>
          <w:sz w:val="16"/>
          <w:szCs w:val="16"/>
        </w:rPr>
        <w:t>, 8(3), 128-139. </w:t>
      </w:r>
      <w:hyperlink r:id="rId38" w:tgtFrame="_blank" w:history="1">
        <w:r w:rsidRPr="00DE70F2">
          <w:rPr>
            <w:rStyle w:val="Hyperlink"/>
            <w:rFonts w:eastAsiaTheme="majorEastAsia"/>
            <w:sz w:val="16"/>
            <w:szCs w:val="16"/>
          </w:rPr>
          <w:t>https://doi.org/10.1111/j.1399-3062.2006.00153.x</w:t>
        </w:r>
      </w:hyperlink>
    </w:p>
    <w:p w:rsidR="00651A6B" w:rsidRPr="00651A6B" w:rsidRDefault="00651A6B" w:rsidP="00151AB1">
      <w:pPr>
        <w:pStyle w:val="NormalWeb"/>
        <w:numPr>
          <w:ilvl w:val="0"/>
          <w:numId w:val="43"/>
        </w:numPr>
        <w:spacing w:before="0" w:beforeAutospacing="0"/>
        <w:jc w:val="both"/>
        <w:rPr>
          <w:color w:val="404040"/>
          <w:sz w:val="16"/>
          <w:szCs w:val="16"/>
        </w:rPr>
      </w:pPr>
      <w:r w:rsidRPr="00651A6B">
        <w:rPr>
          <w:color w:val="404040"/>
          <w:sz w:val="16"/>
          <w:szCs w:val="16"/>
          <w:lang w:val="en-US"/>
        </w:rPr>
        <w:t>Mengoli, C., Cruciani, M., Barnes, R. A., Loeffler, J., &amp; Donnelly, J. P. (2009). Use of PCR for diagnosis of invasive aspergillosis: systematic review and meta-analysis. </w:t>
      </w:r>
      <w:r w:rsidRPr="00651A6B">
        <w:rPr>
          <w:i/>
          <w:iCs/>
          <w:color w:val="404040"/>
          <w:sz w:val="16"/>
          <w:szCs w:val="16"/>
          <w:lang w:val="en-US"/>
        </w:rPr>
        <w:t>The Lancet. Infectious diseases</w:t>
      </w:r>
      <w:r w:rsidRPr="00651A6B">
        <w:rPr>
          <w:color w:val="404040"/>
          <w:sz w:val="16"/>
          <w:szCs w:val="16"/>
          <w:lang w:val="en-US"/>
        </w:rPr>
        <w:t>, </w:t>
      </w:r>
      <w:r w:rsidRPr="00651A6B">
        <w:rPr>
          <w:i/>
          <w:iCs/>
          <w:color w:val="404040"/>
          <w:sz w:val="16"/>
          <w:szCs w:val="16"/>
          <w:lang w:val="en-US"/>
        </w:rPr>
        <w:t>9</w:t>
      </w:r>
      <w:r w:rsidRPr="00651A6B">
        <w:rPr>
          <w:color w:val="404040"/>
          <w:sz w:val="16"/>
          <w:szCs w:val="16"/>
          <w:lang w:val="en-US"/>
        </w:rPr>
        <w:t xml:space="preserve">(2), 89–96. </w:t>
      </w:r>
      <w:hyperlink r:id="rId39" w:history="1">
        <w:r w:rsidRPr="00652E5D">
          <w:rPr>
            <w:rStyle w:val="Hyperlink"/>
            <w:sz w:val="16"/>
            <w:szCs w:val="16"/>
            <w:lang w:val="en-US"/>
          </w:rPr>
          <w:t>https://doi.org/10.1016/S1473-3099(09)70019-2</w:t>
        </w:r>
      </w:hyperlink>
    </w:p>
    <w:p w:rsidR="00DE70F2" w:rsidRPr="00DE70F2" w:rsidRDefault="00DE70F2" w:rsidP="00151AB1">
      <w:pPr>
        <w:pStyle w:val="NormalWeb"/>
        <w:numPr>
          <w:ilvl w:val="0"/>
          <w:numId w:val="43"/>
        </w:numPr>
        <w:spacing w:before="0" w:beforeAutospacing="0"/>
        <w:jc w:val="both"/>
        <w:rPr>
          <w:color w:val="404040"/>
          <w:sz w:val="16"/>
          <w:szCs w:val="16"/>
        </w:rPr>
      </w:pPr>
      <w:r w:rsidRPr="00DE70F2">
        <w:rPr>
          <w:color w:val="404040"/>
          <w:sz w:val="16"/>
          <w:szCs w:val="16"/>
        </w:rPr>
        <w:t>Donnelly, J. P., Chen, S. C., Kauffman, C. A., Steinbach, W. J., Baddley, J. W., Verweij, P. E., ... &amp; Pappas, P. G. (2020). Revision and update of the consensus definitions of invasive fungal disease from the European Organization for Research and Treatment of Cancer and the Mycoses Study Group Education and Research Consortium. </w:t>
      </w:r>
      <w:r w:rsidRPr="00DE70F2">
        <w:rPr>
          <w:rStyle w:val="Emphasis"/>
          <w:color w:val="404040"/>
          <w:sz w:val="16"/>
          <w:szCs w:val="16"/>
        </w:rPr>
        <w:t>Clinical Infectious Diseases</w:t>
      </w:r>
      <w:r w:rsidRPr="00DE70F2">
        <w:rPr>
          <w:color w:val="404040"/>
          <w:sz w:val="16"/>
          <w:szCs w:val="16"/>
        </w:rPr>
        <w:t>, 71(6), 1367-1376. </w:t>
      </w:r>
      <w:hyperlink r:id="rId40" w:tgtFrame="_blank" w:history="1">
        <w:r w:rsidRPr="00DE70F2">
          <w:rPr>
            <w:rStyle w:val="Hyperlink"/>
            <w:rFonts w:eastAsiaTheme="majorEastAsia"/>
            <w:sz w:val="16"/>
            <w:szCs w:val="16"/>
          </w:rPr>
          <w:t>https://doi.org/10.1093/cid/ciz1008</w:t>
        </w:r>
      </w:hyperlink>
    </w:p>
    <w:p w:rsidR="00DE70F2" w:rsidRPr="00DE70F2" w:rsidRDefault="00DE70F2" w:rsidP="00151AB1">
      <w:pPr>
        <w:pStyle w:val="NormalWeb"/>
        <w:numPr>
          <w:ilvl w:val="0"/>
          <w:numId w:val="43"/>
        </w:numPr>
        <w:spacing w:before="0" w:beforeAutospacing="0"/>
        <w:jc w:val="both"/>
        <w:rPr>
          <w:color w:val="404040"/>
          <w:sz w:val="16"/>
          <w:szCs w:val="16"/>
        </w:rPr>
      </w:pPr>
      <w:r w:rsidRPr="00DE70F2">
        <w:rPr>
          <w:color w:val="404040"/>
          <w:sz w:val="16"/>
          <w:szCs w:val="16"/>
        </w:rPr>
        <w:lastRenderedPageBreak/>
        <w:t>Guarner, J., &amp; Brandt, M. E. (2011). Histopathologic diagnosis of fungal infections in the 21st century. </w:t>
      </w:r>
      <w:r w:rsidRPr="00DE70F2">
        <w:rPr>
          <w:rStyle w:val="Emphasis"/>
          <w:color w:val="404040"/>
          <w:sz w:val="16"/>
          <w:szCs w:val="16"/>
        </w:rPr>
        <w:t>Clinical Microbiology Reviews</w:t>
      </w:r>
      <w:r w:rsidRPr="00DE70F2">
        <w:rPr>
          <w:color w:val="404040"/>
          <w:sz w:val="16"/>
          <w:szCs w:val="16"/>
        </w:rPr>
        <w:t>, 24(2), 247-280. </w:t>
      </w:r>
      <w:hyperlink r:id="rId41" w:tgtFrame="_blank" w:history="1">
        <w:r w:rsidRPr="00DE70F2">
          <w:rPr>
            <w:rStyle w:val="Hyperlink"/>
            <w:rFonts w:eastAsiaTheme="majorEastAsia"/>
            <w:sz w:val="16"/>
            <w:szCs w:val="16"/>
          </w:rPr>
          <w:t>https://doi.org/10.1128/CMR.00053-10</w:t>
        </w:r>
      </w:hyperlink>
    </w:p>
    <w:p w:rsidR="00DE70F2" w:rsidRPr="00DE70F2" w:rsidRDefault="00DE70F2" w:rsidP="00151AB1">
      <w:pPr>
        <w:pStyle w:val="NormalWeb"/>
        <w:numPr>
          <w:ilvl w:val="0"/>
          <w:numId w:val="43"/>
        </w:numPr>
        <w:spacing w:before="0" w:beforeAutospacing="0"/>
        <w:jc w:val="both"/>
        <w:rPr>
          <w:color w:val="404040"/>
          <w:sz w:val="16"/>
          <w:szCs w:val="16"/>
        </w:rPr>
      </w:pPr>
      <w:r w:rsidRPr="00DE70F2">
        <w:rPr>
          <w:color w:val="404040"/>
          <w:sz w:val="16"/>
          <w:szCs w:val="16"/>
        </w:rPr>
        <w:t>Denning, D. W., &amp; Hope, W. W. (2010). Therapy for fungal diseases: Opportunities and priorities. </w:t>
      </w:r>
      <w:r w:rsidRPr="00DE70F2">
        <w:rPr>
          <w:rStyle w:val="Emphasis"/>
          <w:color w:val="404040"/>
          <w:sz w:val="16"/>
          <w:szCs w:val="16"/>
        </w:rPr>
        <w:t>Trends in Microbiology</w:t>
      </w:r>
      <w:r w:rsidRPr="00DE70F2">
        <w:rPr>
          <w:color w:val="404040"/>
          <w:sz w:val="16"/>
          <w:szCs w:val="16"/>
        </w:rPr>
        <w:t>, 18(5), 195-204. </w:t>
      </w:r>
      <w:hyperlink r:id="rId42" w:tgtFrame="_blank" w:history="1">
        <w:r w:rsidRPr="00DE70F2">
          <w:rPr>
            <w:rStyle w:val="Hyperlink"/>
            <w:rFonts w:eastAsiaTheme="majorEastAsia"/>
            <w:sz w:val="16"/>
            <w:szCs w:val="16"/>
          </w:rPr>
          <w:t>https://doi.org/10.1016/j.tim.2010.02.004</w:t>
        </w:r>
      </w:hyperlink>
    </w:p>
    <w:p w:rsidR="00DE70F2" w:rsidRPr="00DE70F2" w:rsidRDefault="00DE70F2" w:rsidP="00151AB1">
      <w:pPr>
        <w:pStyle w:val="NormalWeb"/>
        <w:numPr>
          <w:ilvl w:val="0"/>
          <w:numId w:val="43"/>
        </w:numPr>
        <w:spacing w:before="0" w:beforeAutospacing="0"/>
        <w:jc w:val="both"/>
        <w:rPr>
          <w:color w:val="404040"/>
          <w:sz w:val="16"/>
          <w:szCs w:val="16"/>
        </w:rPr>
      </w:pPr>
      <w:r w:rsidRPr="00DE70F2">
        <w:rPr>
          <w:color w:val="404040"/>
          <w:sz w:val="16"/>
          <w:szCs w:val="16"/>
        </w:rPr>
        <w:t>Hotez, P. J., Molyneux, D. H., Fenwick, A., Kumaresan, J., Sachs, S. E., Sachs, J. D., &amp; Savioli, L. (2007). Control of neglected tropical diseases. </w:t>
      </w:r>
      <w:r w:rsidRPr="00DE70F2">
        <w:rPr>
          <w:rStyle w:val="Emphasis"/>
          <w:color w:val="404040"/>
          <w:sz w:val="16"/>
          <w:szCs w:val="16"/>
        </w:rPr>
        <w:t>New England Journal of Medicine</w:t>
      </w:r>
      <w:r w:rsidRPr="00DE70F2">
        <w:rPr>
          <w:color w:val="404040"/>
          <w:sz w:val="16"/>
          <w:szCs w:val="16"/>
        </w:rPr>
        <w:t>, 357(10), 1018-1027. </w:t>
      </w:r>
      <w:hyperlink r:id="rId43" w:tgtFrame="_blank" w:history="1">
        <w:r w:rsidRPr="00DE70F2">
          <w:rPr>
            <w:rStyle w:val="Hyperlink"/>
            <w:rFonts w:eastAsiaTheme="majorEastAsia"/>
            <w:sz w:val="16"/>
            <w:szCs w:val="16"/>
          </w:rPr>
          <w:t>https://doi.org/10.1056/NEJMra064142</w:t>
        </w:r>
      </w:hyperlink>
    </w:p>
    <w:p w:rsidR="00DE70F2" w:rsidRPr="00DE70F2" w:rsidRDefault="00DE70F2" w:rsidP="00151AB1">
      <w:pPr>
        <w:pStyle w:val="NormalWeb"/>
        <w:numPr>
          <w:ilvl w:val="0"/>
          <w:numId w:val="43"/>
        </w:numPr>
        <w:spacing w:before="0" w:beforeAutospacing="0"/>
        <w:jc w:val="both"/>
        <w:rPr>
          <w:color w:val="404040"/>
          <w:sz w:val="16"/>
          <w:szCs w:val="16"/>
        </w:rPr>
      </w:pPr>
      <w:r w:rsidRPr="00DE70F2">
        <w:rPr>
          <w:color w:val="404040"/>
          <w:sz w:val="16"/>
          <w:szCs w:val="16"/>
        </w:rPr>
        <w:t>Bicanic, T., &amp; Harrison, T. S. (2004). Cryptococcal meningitis. </w:t>
      </w:r>
      <w:r w:rsidRPr="00DE70F2">
        <w:rPr>
          <w:rStyle w:val="Emphasis"/>
          <w:color w:val="404040"/>
          <w:sz w:val="16"/>
          <w:szCs w:val="16"/>
        </w:rPr>
        <w:t>British Medical Bulletin</w:t>
      </w:r>
      <w:r w:rsidRPr="00DE70F2">
        <w:rPr>
          <w:color w:val="404040"/>
          <w:sz w:val="16"/>
          <w:szCs w:val="16"/>
        </w:rPr>
        <w:t>, 72(1), 99-118. </w:t>
      </w:r>
      <w:hyperlink r:id="rId44" w:tgtFrame="_blank" w:history="1">
        <w:r w:rsidRPr="00DE70F2">
          <w:rPr>
            <w:rStyle w:val="Hyperlink"/>
            <w:rFonts w:eastAsiaTheme="majorEastAsia"/>
            <w:sz w:val="16"/>
            <w:szCs w:val="16"/>
          </w:rPr>
          <w:t>https://doi.org/10.1093/bmb/ldh043</w:t>
        </w:r>
      </w:hyperlink>
    </w:p>
    <w:p w:rsidR="00DE70F2" w:rsidRPr="00DE70F2" w:rsidRDefault="00DE70F2" w:rsidP="00151AB1">
      <w:pPr>
        <w:pStyle w:val="NormalWeb"/>
        <w:numPr>
          <w:ilvl w:val="0"/>
          <w:numId w:val="43"/>
        </w:numPr>
        <w:spacing w:before="0" w:beforeAutospacing="0"/>
        <w:jc w:val="both"/>
        <w:rPr>
          <w:color w:val="404040"/>
          <w:sz w:val="16"/>
          <w:szCs w:val="16"/>
        </w:rPr>
      </w:pPr>
      <w:r w:rsidRPr="00DE70F2">
        <w:rPr>
          <w:color w:val="404040"/>
          <w:sz w:val="16"/>
          <w:szCs w:val="16"/>
        </w:rPr>
        <w:t>Hotez, P. J., &amp; Gurwith, M. (2011). Europe’s neglected infections of poverty. </w:t>
      </w:r>
      <w:r w:rsidRPr="00DE70F2">
        <w:rPr>
          <w:rStyle w:val="Emphasis"/>
          <w:color w:val="404040"/>
          <w:sz w:val="16"/>
          <w:szCs w:val="16"/>
        </w:rPr>
        <w:t>International Journal of Infectious Diseases</w:t>
      </w:r>
      <w:r w:rsidRPr="00DE70F2">
        <w:rPr>
          <w:color w:val="404040"/>
          <w:sz w:val="16"/>
          <w:szCs w:val="16"/>
        </w:rPr>
        <w:t>, 15(9), e611-e619. </w:t>
      </w:r>
      <w:hyperlink r:id="rId45" w:tgtFrame="_blank" w:history="1">
        <w:r w:rsidRPr="00DE70F2">
          <w:rPr>
            <w:rStyle w:val="Hyperlink"/>
            <w:rFonts w:eastAsiaTheme="majorEastAsia"/>
            <w:sz w:val="16"/>
            <w:szCs w:val="16"/>
          </w:rPr>
          <w:t>https://doi.org/10.1016/j.ijid.2011.05.006</w:t>
        </w:r>
      </w:hyperlink>
    </w:p>
    <w:p w:rsidR="00226086" w:rsidRPr="0034170A" w:rsidRDefault="00226086" w:rsidP="009A18F2">
      <w:pPr>
        <w:pStyle w:val="NormalWeb"/>
        <w:spacing w:before="0" w:beforeAutospacing="0" w:after="0" w:afterAutospacing="0"/>
        <w:rPr>
          <w:sz w:val="20"/>
          <w:szCs w:val="20"/>
        </w:rPr>
      </w:pPr>
    </w:p>
    <w:sectPr w:rsidR="00226086" w:rsidRPr="0034170A" w:rsidSect="00994965">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307E" w:rsidRDefault="003F307E" w:rsidP="00E20709">
      <w:pPr>
        <w:spacing w:after="0" w:line="240" w:lineRule="auto"/>
      </w:pPr>
      <w:r>
        <w:separator/>
      </w:r>
    </w:p>
  </w:endnote>
  <w:endnote w:type="continuationSeparator" w:id="0">
    <w:p w:rsidR="003F307E" w:rsidRDefault="003F307E" w:rsidP="00E207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307E" w:rsidRDefault="003F307E" w:rsidP="00E20709">
      <w:pPr>
        <w:spacing w:after="0" w:line="240" w:lineRule="auto"/>
      </w:pPr>
      <w:r>
        <w:separator/>
      </w:r>
    </w:p>
  </w:footnote>
  <w:footnote w:type="continuationSeparator" w:id="0">
    <w:p w:rsidR="003F307E" w:rsidRDefault="003F307E" w:rsidP="00E207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2"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6" w15:restartNumberingAfterBreak="0">
    <w:nsid w:val="0033409C"/>
    <w:multiLevelType w:val="multilevel"/>
    <w:tmpl w:val="D53285B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032D0E3E"/>
    <w:multiLevelType w:val="multilevel"/>
    <w:tmpl w:val="3E50CED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058978F9"/>
    <w:multiLevelType w:val="multilevel"/>
    <w:tmpl w:val="62DACE7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05CD3884"/>
    <w:multiLevelType w:val="multilevel"/>
    <w:tmpl w:val="C70CAEF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05E84DC7"/>
    <w:multiLevelType w:val="multilevel"/>
    <w:tmpl w:val="FBBACB1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06094935"/>
    <w:multiLevelType w:val="multilevel"/>
    <w:tmpl w:val="78EECFD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06BE5797"/>
    <w:multiLevelType w:val="multilevel"/>
    <w:tmpl w:val="149282F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09EF3C8A"/>
    <w:multiLevelType w:val="multilevel"/>
    <w:tmpl w:val="7A9ACAE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0E335F78"/>
    <w:multiLevelType w:val="multilevel"/>
    <w:tmpl w:val="8366603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15:restartNumberingAfterBreak="0">
    <w:nsid w:val="13473AA8"/>
    <w:multiLevelType w:val="multilevel"/>
    <w:tmpl w:val="2392EB2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17CF17EE"/>
    <w:multiLevelType w:val="multilevel"/>
    <w:tmpl w:val="9294B2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15:restartNumberingAfterBreak="0">
    <w:nsid w:val="1830316A"/>
    <w:multiLevelType w:val="multilevel"/>
    <w:tmpl w:val="D36E9F2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1B1518B3"/>
    <w:multiLevelType w:val="multilevel"/>
    <w:tmpl w:val="A6DCE57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2AEF5DB7"/>
    <w:multiLevelType w:val="multilevel"/>
    <w:tmpl w:val="090C901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15:restartNumberingAfterBreak="0">
    <w:nsid w:val="2B62015B"/>
    <w:multiLevelType w:val="multilevel"/>
    <w:tmpl w:val="5E9029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333A6290"/>
    <w:multiLevelType w:val="multilevel"/>
    <w:tmpl w:val="0A6898E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15:restartNumberingAfterBreak="0">
    <w:nsid w:val="346F3A4B"/>
    <w:multiLevelType w:val="multilevel"/>
    <w:tmpl w:val="FBAEF3C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15:restartNumberingAfterBreak="0">
    <w:nsid w:val="347D698E"/>
    <w:multiLevelType w:val="multilevel"/>
    <w:tmpl w:val="9412181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37B309AB"/>
    <w:multiLevelType w:val="multilevel"/>
    <w:tmpl w:val="219847E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15:restartNumberingAfterBreak="0">
    <w:nsid w:val="38CF1709"/>
    <w:multiLevelType w:val="multilevel"/>
    <w:tmpl w:val="B0A6675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3ADE2399"/>
    <w:multiLevelType w:val="multilevel"/>
    <w:tmpl w:val="A8B4984A"/>
    <w:lvl w:ilvl="0">
      <w:start w:val="1"/>
      <w:numFmt w:val="upperRoman"/>
      <w:lvlText w:val="%1."/>
      <w:lvlJc w:val="right"/>
      <w:pPr>
        <w:ind w:left="720" w:hanging="360"/>
      </w:pPr>
      <w:rPr>
        <w:rFonts w:hint="default"/>
      </w:rPr>
    </w:lvl>
    <w:lvl w:ilvl="1">
      <w:start w:val="1"/>
      <w:numFmt w:val="upperLetter"/>
      <w:lvlText w:val="%2."/>
      <w:lvlJc w:val="left"/>
      <w:pPr>
        <w:ind w:left="720" w:hanging="360"/>
      </w:pPr>
      <w:rPr>
        <w:rFonts w:hint="default"/>
      </w:rPr>
    </w:lvl>
    <w:lvl w:ilvl="2">
      <w:start w:val="1"/>
      <w:numFmt w:val="lowerLetter"/>
      <w:lvlText w:val="%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41C61877"/>
    <w:multiLevelType w:val="multilevel"/>
    <w:tmpl w:val="929CEFB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15:restartNumberingAfterBreak="0">
    <w:nsid w:val="453F414A"/>
    <w:multiLevelType w:val="multilevel"/>
    <w:tmpl w:val="F2566AE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15:restartNumberingAfterBreak="0">
    <w:nsid w:val="469B7199"/>
    <w:multiLevelType w:val="multilevel"/>
    <w:tmpl w:val="615EC51C"/>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15:restartNumberingAfterBreak="0">
    <w:nsid w:val="4D6C708E"/>
    <w:multiLevelType w:val="multilevel"/>
    <w:tmpl w:val="88325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40F069A"/>
    <w:multiLevelType w:val="multilevel"/>
    <w:tmpl w:val="F77AC27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2" w15:restartNumberingAfterBreak="0">
    <w:nsid w:val="556552EA"/>
    <w:multiLevelType w:val="multilevel"/>
    <w:tmpl w:val="2F56590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 w15:restartNumberingAfterBreak="0">
    <w:nsid w:val="588F1CC3"/>
    <w:multiLevelType w:val="multilevel"/>
    <w:tmpl w:val="12025DB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4" w15:restartNumberingAfterBreak="0">
    <w:nsid w:val="5C777A8C"/>
    <w:multiLevelType w:val="multilevel"/>
    <w:tmpl w:val="5BC02DA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5" w15:restartNumberingAfterBreak="0">
    <w:nsid w:val="617759D0"/>
    <w:multiLevelType w:val="multilevel"/>
    <w:tmpl w:val="B93CD96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6" w15:restartNumberingAfterBreak="0">
    <w:nsid w:val="6EC953F2"/>
    <w:multiLevelType w:val="multilevel"/>
    <w:tmpl w:val="45D2F0D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7" w15:restartNumberingAfterBreak="0">
    <w:nsid w:val="70750E23"/>
    <w:multiLevelType w:val="multilevel"/>
    <w:tmpl w:val="15A818C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8" w15:restartNumberingAfterBreak="0">
    <w:nsid w:val="70E01E42"/>
    <w:multiLevelType w:val="multilevel"/>
    <w:tmpl w:val="F22C3F3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9" w15:restartNumberingAfterBreak="0">
    <w:nsid w:val="7191099C"/>
    <w:multiLevelType w:val="multilevel"/>
    <w:tmpl w:val="CC4295C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0" w15:restartNumberingAfterBreak="0">
    <w:nsid w:val="72015720"/>
    <w:multiLevelType w:val="multilevel"/>
    <w:tmpl w:val="65862D1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1" w15:restartNumberingAfterBreak="0">
    <w:nsid w:val="76DF2836"/>
    <w:multiLevelType w:val="multilevel"/>
    <w:tmpl w:val="F93AEA4A"/>
    <w:lvl w:ilvl="0">
      <w:start w:val="1"/>
      <w:numFmt w:val="decimal"/>
      <w:lvlText w:val="%1."/>
      <w:lvlJc w:val="left"/>
      <w:pPr>
        <w:tabs>
          <w:tab w:val="num" w:pos="360"/>
        </w:tabs>
        <w:ind w:left="360" w:hanging="360"/>
      </w:pPr>
      <w:rPr>
        <w:rFonts w:ascii="Segoe UI" w:eastAsia="Times New Roman" w:hAnsi="Segoe UI" w:cs="Segoe UI"/>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2" w15:restartNumberingAfterBreak="0">
    <w:nsid w:val="7B4F6AC7"/>
    <w:multiLevelType w:val="multilevel"/>
    <w:tmpl w:val="4EE4D3D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3" w15:restartNumberingAfterBreak="0">
    <w:nsid w:val="7DF3384B"/>
    <w:multiLevelType w:val="multilevel"/>
    <w:tmpl w:val="8AAC70B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5"/>
  </w:num>
  <w:num w:numId="2">
    <w:abstractNumId w:val="3"/>
  </w:num>
  <w:num w:numId="3">
    <w:abstractNumId w:val="2"/>
  </w:num>
  <w:num w:numId="4">
    <w:abstractNumId w:val="4"/>
  </w:num>
  <w:num w:numId="5">
    <w:abstractNumId w:val="1"/>
  </w:num>
  <w:num w:numId="6">
    <w:abstractNumId w:val="0"/>
  </w:num>
  <w:num w:numId="7">
    <w:abstractNumId w:val="14"/>
  </w:num>
  <w:num w:numId="8">
    <w:abstractNumId w:val="26"/>
  </w:num>
  <w:num w:numId="9">
    <w:abstractNumId w:val="17"/>
  </w:num>
  <w:num w:numId="10">
    <w:abstractNumId w:val="36"/>
  </w:num>
  <w:num w:numId="11">
    <w:abstractNumId w:val="13"/>
  </w:num>
  <w:num w:numId="12">
    <w:abstractNumId w:val="35"/>
  </w:num>
  <w:num w:numId="13">
    <w:abstractNumId w:val="8"/>
  </w:num>
  <w:num w:numId="14">
    <w:abstractNumId w:val="18"/>
  </w:num>
  <w:num w:numId="15">
    <w:abstractNumId w:val="33"/>
  </w:num>
  <w:num w:numId="16">
    <w:abstractNumId w:val="34"/>
  </w:num>
  <w:num w:numId="17">
    <w:abstractNumId w:val="38"/>
  </w:num>
  <w:num w:numId="18">
    <w:abstractNumId w:val="40"/>
  </w:num>
  <w:num w:numId="19">
    <w:abstractNumId w:val="15"/>
  </w:num>
  <w:num w:numId="20">
    <w:abstractNumId w:val="32"/>
  </w:num>
  <w:num w:numId="21">
    <w:abstractNumId w:val="16"/>
  </w:num>
  <w:num w:numId="22">
    <w:abstractNumId w:val="7"/>
  </w:num>
  <w:num w:numId="23">
    <w:abstractNumId w:val="12"/>
  </w:num>
  <w:num w:numId="24">
    <w:abstractNumId w:val="21"/>
  </w:num>
  <w:num w:numId="25">
    <w:abstractNumId w:val="10"/>
  </w:num>
  <w:num w:numId="26">
    <w:abstractNumId w:val="37"/>
  </w:num>
  <w:num w:numId="27">
    <w:abstractNumId w:val="39"/>
  </w:num>
  <w:num w:numId="28">
    <w:abstractNumId w:val="23"/>
  </w:num>
  <w:num w:numId="29">
    <w:abstractNumId w:val="24"/>
  </w:num>
  <w:num w:numId="30">
    <w:abstractNumId w:val="31"/>
  </w:num>
  <w:num w:numId="31">
    <w:abstractNumId w:val="27"/>
  </w:num>
  <w:num w:numId="32">
    <w:abstractNumId w:val="28"/>
  </w:num>
  <w:num w:numId="33">
    <w:abstractNumId w:val="25"/>
  </w:num>
  <w:num w:numId="34">
    <w:abstractNumId w:val="9"/>
  </w:num>
  <w:num w:numId="35">
    <w:abstractNumId w:val="42"/>
  </w:num>
  <w:num w:numId="36">
    <w:abstractNumId w:val="11"/>
  </w:num>
  <w:num w:numId="37">
    <w:abstractNumId w:val="6"/>
  </w:num>
  <w:num w:numId="38">
    <w:abstractNumId w:val="43"/>
  </w:num>
  <w:num w:numId="39">
    <w:abstractNumId w:val="20"/>
  </w:num>
  <w:num w:numId="40">
    <w:abstractNumId w:val="19"/>
  </w:num>
  <w:num w:numId="41">
    <w:abstractNumId w:val="22"/>
  </w:num>
  <w:num w:numId="42">
    <w:abstractNumId w:val="29"/>
  </w:num>
  <w:num w:numId="43">
    <w:abstractNumId w:val="41"/>
  </w:num>
  <w:num w:numId="44">
    <w:abstractNumId w:val="3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6"/>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730"/>
    <w:rsid w:val="00010FF6"/>
    <w:rsid w:val="00011E6C"/>
    <w:rsid w:val="000214AB"/>
    <w:rsid w:val="00025744"/>
    <w:rsid w:val="00034616"/>
    <w:rsid w:val="00042D8A"/>
    <w:rsid w:val="0006063C"/>
    <w:rsid w:val="00065CC7"/>
    <w:rsid w:val="0009045E"/>
    <w:rsid w:val="00095A24"/>
    <w:rsid w:val="00112C2B"/>
    <w:rsid w:val="00121B57"/>
    <w:rsid w:val="0013161B"/>
    <w:rsid w:val="0015074B"/>
    <w:rsid w:val="00151AB1"/>
    <w:rsid w:val="00161DEE"/>
    <w:rsid w:val="00163469"/>
    <w:rsid w:val="0016376D"/>
    <w:rsid w:val="00175E44"/>
    <w:rsid w:val="00182C35"/>
    <w:rsid w:val="001C1FB2"/>
    <w:rsid w:val="001E45B0"/>
    <w:rsid w:val="002026E3"/>
    <w:rsid w:val="00226086"/>
    <w:rsid w:val="00231700"/>
    <w:rsid w:val="002352B0"/>
    <w:rsid w:val="002515B7"/>
    <w:rsid w:val="00252FE5"/>
    <w:rsid w:val="002540B8"/>
    <w:rsid w:val="00256F7A"/>
    <w:rsid w:val="00265A1E"/>
    <w:rsid w:val="0027726A"/>
    <w:rsid w:val="002812EF"/>
    <w:rsid w:val="00295198"/>
    <w:rsid w:val="0029639D"/>
    <w:rsid w:val="00297304"/>
    <w:rsid w:val="002A0C40"/>
    <w:rsid w:val="002C0668"/>
    <w:rsid w:val="002C25B5"/>
    <w:rsid w:val="002C5140"/>
    <w:rsid w:val="002F1F1B"/>
    <w:rsid w:val="00326F90"/>
    <w:rsid w:val="00341042"/>
    <w:rsid w:val="0034170A"/>
    <w:rsid w:val="003620BA"/>
    <w:rsid w:val="003A332C"/>
    <w:rsid w:val="003A5A09"/>
    <w:rsid w:val="003E2214"/>
    <w:rsid w:val="003F307E"/>
    <w:rsid w:val="004055A9"/>
    <w:rsid w:val="004308FB"/>
    <w:rsid w:val="00445655"/>
    <w:rsid w:val="00453457"/>
    <w:rsid w:val="004867BB"/>
    <w:rsid w:val="00486C43"/>
    <w:rsid w:val="00493ACD"/>
    <w:rsid w:val="004B336B"/>
    <w:rsid w:val="004C069A"/>
    <w:rsid w:val="004E255B"/>
    <w:rsid w:val="0054173F"/>
    <w:rsid w:val="005426F9"/>
    <w:rsid w:val="0055407A"/>
    <w:rsid w:val="005A1D73"/>
    <w:rsid w:val="005B7096"/>
    <w:rsid w:val="005D7B99"/>
    <w:rsid w:val="006114F0"/>
    <w:rsid w:val="00625C11"/>
    <w:rsid w:val="00633F4B"/>
    <w:rsid w:val="00651A6B"/>
    <w:rsid w:val="006655EC"/>
    <w:rsid w:val="00687311"/>
    <w:rsid w:val="00695B7C"/>
    <w:rsid w:val="006A7741"/>
    <w:rsid w:val="006D5C92"/>
    <w:rsid w:val="006D6B36"/>
    <w:rsid w:val="006D77C6"/>
    <w:rsid w:val="006E016C"/>
    <w:rsid w:val="00705D28"/>
    <w:rsid w:val="00706F84"/>
    <w:rsid w:val="0074793E"/>
    <w:rsid w:val="00761862"/>
    <w:rsid w:val="00786A52"/>
    <w:rsid w:val="007A61FB"/>
    <w:rsid w:val="007F0A0F"/>
    <w:rsid w:val="007F41A2"/>
    <w:rsid w:val="008353B0"/>
    <w:rsid w:val="00844B49"/>
    <w:rsid w:val="008621A8"/>
    <w:rsid w:val="00862427"/>
    <w:rsid w:val="00873409"/>
    <w:rsid w:val="00884F8C"/>
    <w:rsid w:val="0089122F"/>
    <w:rsid w:val="008A7D70"/>
    <w:rsid w:val="008B0C1D"/>
    <w:rsid w:val="008D3626"/>
    <w:rsid w:val="008E237D"/>
    <w:rsid w:val="008E50E6"/>
    <w:rsid w:val="00913C5D"/>
    <w:rsid w:val="00932E41"/>
    <w:rsid w:val="00994965"/>
    <w:rsid w:val="009A18F2"/>
    <w:rsid w:val="009B65EE"/>
    <w:rsid w:val="009C6F91"/>
    <w:rsid w:val="009C7357"/>
    <w:rsid w:val="009E0A83"/>
    <w:rsid w:val="00A00D9D"/>
    <w:rsid w:val="00A7020E"/>
    <w:rsid w:val="00A85417"/>
    <w:rsid w:val="00A94826"/>
    <w:rsid w:val="00AA1D8D"/>
    <w:rsid w:val="00AE2E23"/>
    <w:rsid w:val="00AE6B6E"/>
    <w:rsid w:val="00B313F6"/>
    <w:rsid w:val="00B47730"/>
    <w:rsid w:val="00B93422"/>
    <w:rsid w:val="00BB194B"/>
    <w:rsid w:val="00BD01E5"/>
    <w:rsid w:val="00BD31A7"/>
    <w:rsid w:val="00BD4861"/>
    <w:rsid w:val="00BF3C35"/>
    <w:rsid w:val="00BF64D4"/>
    <w:rsid w:val="00BF7B52"/>
    <w:rsid w:val="00C12F12"/>
    <w:rsid w:val="00C405D9"/>
    <w:rsid w:val="00C443DE"/>
    <w:rsid w:val="00C56055"/>
    <w:rsid w:val="00C95B9C"/>
    <w:rsid w:val="00CB0664"/>
    <w:rsid w:val="00CC1DD3"/>
    <w:rsid w:val="00CF0F2E"/>
    <w:rsid w:val="00D67B07"/>
    <w:rsid w:val="00DA4921"/>
    <w:rsid w:val="00DB7286"/>
    <w:rsid w:val="00DC3551"/>
    <w:rsid w:val="00DD6E9B"/>
    <w:rsid w:val="00DD6FE4"/>
    <w:rsid w:val="00DE70F2"/>
    <w:rsid w:val="00E0608C"/>
    <w:rsid w:val="00E102D4"/>
    <w:rsid w:val="00E109FA"/>
    <w:rsid w:val="00E20709"/>
    <w:rsid w:val="00E46A41"/>
    <w:rsid w:val="00E74D03"/>
    <w:rsid w:val="00E80E88"/>
    <w:rsid w:val="00E938A4"/>
    <w:rsid w:val="00F17131"/>
    <w:rsid w:val="00F474B8"/>
    <w:rsid w:val="00F926E9"/>
    <w:rsid w:val="00F96D47"/>
    <w:rsid w:val="00FA13E6"/>
    <w:rsid w:val="00FB1008"/>
    <w:rsid w:val="00FB6361"/>
    <w:rsid w:val="00FC693F"/>
    <w:rsid w:val="00FF37F7"/>
    <w:rsid w:val="00FF69A5"/>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05F90F9"/>
  <w14:defaultImageDpi w14:val="300"/>
  <w15:docId w15:val="{E56996AD-9B42-4C89-A7FD-70F6E9233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4"/>
      </w:numPr>
      <w:contextualSpacing/>
    </w:pPr>
  </w:style>
  <w:style w:type="paragraph" w:styleId="ListNumber2">
    <w:name w:val="List Number 2"/>
    <w:basedOn w:val="Normal"/>
    <w:uiPriority w:val="99"/>
    <w:unhideWhenUsed/>
    <w:rsid w:val="0029639D"/>
    <w:pPr>
      <w:numPr>
        <w:numId w:val="5"/>
      </w:numPr>
      <w:contextualSpacing/>
    </w:pPr>
  </w:style>
  <w:style w:type="paragraph" w:styleId="ListNumber3">
    <w:name w:val="List Number 3"/>
    <w:basedOn w:val="Normal"/>
    <w:uiPriority w:val="99"/>
    <w:unhideWhenUsed/>
    <w:rsid w:val="0029639D"/>
    <w:pPr>
      <w:numPr>
        <w:numId w:val="6"/>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unhideWhenUsed/>
    <w:rsid w:val="00B93422"/>
    <w:pPr>
      <w:spacing w:before="100" w:beforeAutospacing="1" w:after="100" w:afterAutospacing="1" w:line="240" w:lineRule="auto"/>
    </w:pPr>
    <w:rPr>
      <w:rFonts w:ascii="Times New Roman" w:eastAsia="Times New Roman" w:hAnsi="Times New Roman" w:cs="Times New Roman"/>
      <w:sz w:val="24"/>
      <w:szCs w:val="24"/>
      <w:lang w:val="en-GB" w:eastAsia="en-GB" w:bidi="hi-IN"/>
    </w:rPr>
  </w:style>
  <w:style w:type="character" w:styleId="Hyperlink">
    <w:name w:val="Hyperlink"/>
    <w:basedOn w:val="DefaultParagraphFont"/>
    <w:uiPriority w:val="99"/>
    <w:unhideWhenUsed/>
    <w:rsid w:val="00121B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07311">
      <w:bodyDiv w:val="1"/>
      <w:marLeft w:val="0"/>
      <w:marRight w:val="0"/>
      <w:marTop w:val="0"/>
      <w:marBottom w:val="0"/>
      <w:divBdr>
        <w:top w:val="none" w:sz="0" w:space="0" w:color="auto"/>
        <w:left w:val="none" w:sz="0" w:space="0" w:color="auto"/>
        <w:bottom w:val="none" w:sz="0" w:space="0" w:color="auto"/>
        <w:right w:val="none" w:sz="0" w:space="0" w:color="auto"/>
      </w:divBdr>
    </w:div>
    <w:div w:id="11105478">
      <w:bodyDiv w:val="1"/>
      <w:marLeft w:val="0"/>
      <w:marRight w:val="0"/>
      <w:marTop w:val="0"/>
      <w:marBottom w:val="0"/>
      <w:divBdr>
        <w:top w:val="none" w:sz="0" w:space="0" w:color="auto"/>
        <w:left w:val="none" w:sz="0" w:space="0" w:color="auto"/>
        <w:bottom w:val="none" w:sz="0" w:space="0" w:color="auto"/>
        <w:right w:val="none" w:sz="0" w:space="0" w:color="auto"/>
      </w:divBdr>
    </w:div>
    <w:div w:id="11302656">
      <w:bodyDiv w:val="1"/>
      <w:marLeft w:val="0"/>
      <w:marRight w:val="0"/>
      <w:marTop w:val="0"/>
      <w:marBottom w:val="0"/>
      <w:divBdr>
        <w:top w:val="none" w:sz="0" w:space="0" w:color="auto"/>
        <w:left w:val="none" w:sz="0" w:space="0" w:color="auto"/>
        <w:bottom w:val="none" w:sz="0" w:space="0" w:color="auto"/>
        <w:right w:val="none" w:sz="0" w:space="0" w:color="auto"/>
      </w:divBdr>
    </w:div>
    <w:div w:id="25755795">
      <w:bodyDiv w:val="1"/>
      <w:marLeft w:val="0"/>
      <w:marRight w:val="0"/>
      <w:marTop w:val="0"/>
      <w:marBottom w:val="0"/>
      <w:divBdr>
        <w:top w:val="none" w:sz="0" w:space="0" w:color="auto"/>
        <w:left w:val="none" w:sz="0" w:space="0" w:color="auto"/>
        <w:bottom w:val="none" w:sz="0" w:space="0" w:color="auto"/>
        <w:right w:val="none" w:sz="0" w:space="0" w:color="auto"/>
      </w:divBdr>
    </w:div>
    <w:div w:id="39936084">
      <w:bodyDiv w:val="1"/>
      <w:marLeft w:val="0"/>
      <w:marRight w:val="0"/>
      <w:marTop w:val="0"/>
      <w:marBottom w:val="0"/>
      <w:divBdr>
        <w:top w:val="none" w:sz="0" w:space="0" w:color="auto"/>
        <w:left w:val="none" w:sz="0" w:space="0" w:color="auto"/>
        <w:bottom w:val="none" w:sz="0" w:space="0" w:color="auto"/>
        <w:right w:val="none" w:sz="0" w:space="0" w:color="auto"/>
      </w:divBdr>
    </w:div>
    <w:div w:id="47729093">
      <w:bodyDiv w:val="1"/>
      <w:marLeft w:val="0"/>
      <w:marRight w:val="0"/>
      <w:marTop w:val="0"/>
      <w:marBottom w:val="0"/>
      <w:divBdr>
        <w:top w:val="none" w:sz="0" w:space="0" w:color="auto"/>
        <w:left w:val="none" w:sz="0" w:space="0" w:color="auto"/>
        <w:bottom w:val="none" w:sz="0" w:space="0" w:color="auto"/>
        <w:right w:val="none" w:sz="0" w:space="0" w:color="auto"/>
      </w:divBdr>
    </w:div>
    <w:div w:id="94709991">
      <w:bodyDiv w:val="1"/>
      <w:marLeft w:val="0"/>
      <w:marRight w:val="0"/>
      <w:marTop w:val="0"/>
      <w:marBottom w:val="0"/>
      <w:divBdr>
        <w:top w:val="none" w:sz="0" w:space="0" w:color="auto"/>
        <w:left w:val="none" w:sz="0" w:space="0" w:color="auto"/>
        <w:bottom w:val="none" w:sz="0" w:space="0" w:color="auto"/>
        <w:right w:val="none" w:sz="0" w:space="0" w:color="auto"/>
      </w:divBdr>
    </w:div>
    <w:div w:id="95562133">
      <w:bodyDiv w:val="1"/>
      <w:marLeft w:val="0"/>
      <w:marRight w:val="0"/>
      <w:marTop w:val="0"/>
      <w:marBottom w:val="0"/>
      <w:divBdr>
        <w:top w:val="none" w:sz="0" w:space="0" w:color="auto"/>
        <w:left w:val="none" w:sz="0" w:space="0" w:color="auto"/>
        <w:bottom w:val="none" w:sz="0" w:space="0" w:color="auto"/>
        <w:right w:val="none" w:sz="0" w:space="0" w:color="auto"/>
      </w:divBdr>
    </w:div>
    <w:div w:id="125054900">
      <w:bodyDiv w:val="1"/>
      <w:marLeft w:val="0"/>
      <w:marRight w:val="0"/>
      <w:marTop w:val="0"/>
      <w:marBottom w:val="0"/>
      <w:divBdr>
        <w:top w:val="none" w:sz="0" w:space="0" w:color="auto"/>
        <w:left w:val="none" w:sz="0" w:space="0" w:color="auto"/>
        <w:bottom w:val="none" w:sz="0" w:space="0" w:color="auto"/>
        <w:right w:val="none" w:sz="0" w:space="0" w:color="auto"/>
      </w:divBdr>
    </w:div>
    <w:div w:id="135030944">
      <w:bodyDiv w:val="1"/>
      <w:marLeft w:val="0"/>
      <w:marRight w:val="0"/>
      <w:marTop w:val="0"/>
      <w:marBottom w:val="0"/>
      <w:divBdr>
        <w:top w:val="none" w:sz="0" w:space="0" w:color="auto"/>
        <w:left w:val="none" w:sz="0" w:space="0" w:color="auto"/>
        <w:bottom w:val="none" w:sz="0" w:space="0" w:color="auto"/>
        <w:right w:val="none" w:sz="0" w:space="0" w:color="auto"/>
      </w:divBdr>
    </w:div>
    <w:div w:id="160582288">
      <w:bodyDiv w:val="1"/>
      <w:marLeft w:val="0"/>
      <w:marRight w:val="0"/>
      <w:marTop w:val="0"/>
      <w:marBottom w:val="0"/>
      <w:divBdr>
        <w:top w:val="none" w:sz="0" w:space="0" w:color="auto"/>
        <w:left w:val="none" w:sz="0" w:space="0" w:color="auto"/>
        <w:bottom w:val="none" w:sz="0" w:space="0" w:color="auto"/>
        <w:right w:val="none" w:sz="0" w:space="0" w:color="auto"/>
      </w:divBdr>
    </w:div>
    <w:div w:id="165248866">
      <w:bodyDiv w:val="1"/>
      <w:marLeft w:val="0"/>
      <w:marRight w:val="0"/>
      <w:marTop w:val="0"/>
      <w:marBottom w:val="0"/>
      <w:divBdr>
        <w:top w:val="none" w:sz="0" w:space="0" w:color="auto"/>
        <w:left w:val="none" w:sz="0" w:space="0" w:color="auto"/>
        <w:bottom w:val="none" w:sz="0" w:space="0" w:color="auto"/>
        <w:right w:val="none" w:sz="0" w:space="0" w:color="auto"/>
      </w:divBdr>
    </w:div>
    <w:div w:id="211961157">
      <w:bodyDiv w:val="1"/>
      <w:marLeft w:val="0"/>
      <w:marRight w:val="0"/>
      <w:marTop w:val="0"/>
      <w:marBottom w:val="0"/>
      <w:divBdr>
        <w:top w:val="none" w:sz="0" w:space="0" w:color="auto"/>
        <w:left w:val="none" w:sz="0" w:space="0" w:color="auto"/>
        <w:bottom w:val="none" w:sz="0" w:space="0" w:color="auto"/>
        <w:right w:val="none" w:sz="0" w:space="0" w:color="auto"/>
      </w:divBdr>
    </w:div>
    <w:div w:id="217985396">
      <w:bodyDiv w:val="1"/>
      <w:marLeft w:val="0"/>
      <w:marRight w:val="0"/>
      <w:marTop w:val="0"/>
      <w:marBottom w:val="0"/>
      <w:divBdr>
        <w:top w:val="none" w:sz="0" w:space="0" w:color="auto"/>
        <w:left w:val="none" w:sz="0" w:space="0" w:color="auto"/>
        <w:bottom w:val="none" w:sz="0" w:space="0" w:color="auto"/>
        <w:right w:val="none" w:sz="0" w:space="0" w:color="auto"/>
      </w:divBdr>
    </w:div>
    <w:div w:id="220406635">
      <w:bodyDiv w:val="1"/>
      <w:marLeft w:val="0"/>
      <w:marRight w:val="0"/>
      <w:marTop w:val="0"/>
      <w:marBottom w:val="0"/>
      <w:divBdr>
        <w:top w:val="none" w:sz="0" w:space="0" w:color="auto"/>
        <w:left w:val="none" w:sz="0" w:space="0" w:color="auto"/>
        <w:bottom w:val="none" w:sz="0" w:space="0" w:color="auto"/>
        <w:right w:val="none" w:sz="0" w:space="0" w:color="auto"/>
      </w:divBdr>
    </w:div>
    <w:div w:id="225146765">
      <w:bodyDiv w:val="1"/>
      <w:marLeft w:val="0"/>
      <w:marRight w:val="0"/>
      <w:marTop w:val="0"/>
      <w:marBottom w:val="0"/>
      <w:divBdr>
        <w:top w:val="none" w:sz="0" w:space="0" w:color="auto"/>
        <w:left w:val="none" w:sz="0" w:space="0" w:color="auto"/>
        <w:bottom w:val="none" w:sz="0" w:space="0" w:color="auto"/>
        <w:right w:val="none" w:sz="0" w:space="0" w:color="auto"/>
      </w:divBdr>
    </w:div>
    <w:div w:id="225458047">
      <w:bodyDiv w:val="1"/>
      <w:marLeft w:val="0"/>
      <w:marRight w:val="0"/>
      <w:marTop w:val="0"/>
      <w:marBottom w:val="0"/>
      <w:divBdr>
        <w:top w:val="none" w:sz="0" w:space="0" w:color="auto"/>
        <w:left w:val="none" w:sz="0" w:space="0" w:color="auto"/>
        <w:bottom w:val="none" w:sz="0" w:space="0" w:color="auto"/>
        <w:right w:val="none" w:sz="0" w:space="0" w:color="auto"/>
      </w:divBdr>
    </w:div>
    <w:div w:id="232980624">
      <w:bodyDiv w:val="1"/>
      <w:marLeft w:val="0"/>
      <w:marRight w:val="0"/>
      <w:marTop w:val="0"/>
      <w:marBottom w:val="0"/>
      <w:divBdr>
        <w:top w:val="none" w:sz="0" w:space="0" w:color="auto"/>
        <w:left w:val="none" w:sz="0" w:space="0" w:color="auto"/>
        <w:bottom w:val="none" w:sz="0" w:space="0" w:color="auto"/>
        <w:right w:val="none" w:sz="0" w:space="0" w:color="auto"/>
      </w:divBdr>
    </w:div>
    <w:div w:id="262759980">
      <w:bodyDiv w:val="1"/>
      <w:marLeft w:val="0"/>
      <w:marRight w:val="0"/>
      <w:marTop w:val="0"/>
      <w:marBottom w:val="0"/>
      <w:divBdr>
        <w:top w:val="none" w:sz="0" w:space="0" w:color="auto"/>
        <w:left w:val="none" w:sz="0" w:space="0" w:color="auto"/>
        <w:bottom w:val="none" w:sz="0" w:space="0" w:color="auto"/>
        <w:right w:val="none" w:sz="0" w:space="0" w:color="auto"/>
      </w:divBdr>
    </w:div>
    <w:div w:id="288560498">
      <w:bodyDiv w:val="1"/>
      <w:marLeft w:val="0"/>
      <w:marRight w:val="0"/>
      <w:marTop w:val="0"/>
      <w:marBottom w:val="0"/>
      <w:divBdr>
        <w:top w:val="none" w:sz="0" w:space="0" w:color="auto"/>
        <w:left w:val="none" w:sz="0" w:space="0" w:color="auto"/>
        <w:bottom w:val="none" w:sz="0" w:space="0" w:color="auto"/>
        <w:right w:val="none" w:sz="0" w:space="0" w:color="auto"/>
      </w:divBdr>
    </w:div>
    <w:div w:id="304773780">
      <w:bodyDiv w:val="1"/>
      <w:marLeft w:val="0"/>
      <w:marRight w:val="0"/>
      <w:marTop w:val="0"/>
      <w:marBottom w:val="0"/>
      <w:divBdr>
        <w:top w:val="none" w:sz="0" w:space="0" w:color="auto"/>
        <w:left w:val="none" w:sz="0" w:space="0" w:color="auto"/>
        <w:bottom w:val="none" w:sz="0" w:space="0" w:color="auto"/>
        <w:right w:val="none" w:sz="0" w:space="0" w:color="auto"/>
      </w:divBdr>
    </w:div>
    <w:div w:id="306907280">
      <w:bodyDiv w:val="1"/>
      <w:marLeft w:val="0"/>
      <w:marRight w:val="0"/>
      <w:marTop w:val="0"/>
      <w:marBottom w:val="0"/>
      <w:divBdr>
        <w:top w:val="none" w:sz="0" w:space="0" w:color="auto"/>
        <w:left w:val="none" w:sz="0" w:space="0" w:color="auto"/>
        <w:bottom w:val="none" w:sz="0" w:space="0" w:color="auto"/>
        <w:right w:val="none" w:sz="0" w:space="0" w:color="auto"/>
      </w:divBdr>
    </w:div>
    <w:div w:id="314380425">
      <w:bodyDiv w:val="1"/>
      <w:marLeft w:val="0"/>
      <w:marRight w:val="0"/>
      <w:marTop w:val="0"/>
      <w:marBottom w:val="0"/>
      <w:divBdr>
        <w:top w:val="none" w:sz="0" w:space="0" w:color="auto"/>
        <w:left w:val="none" w:sz="0" w:space="0" w:color="auto"/>
        <w:bottom w:val="none" w:sz="0" w:space="0" w:color="auto"/>
        <w:right w:val="none" w:sz="0" w:space="0" w:color="auto"/>
      </w:divBdr>
    </w:div>
    <w:div w:id="329673325">
      <w:bodyDiv w:val="1"/>
      <w:marLeft w:val="0"/>
      <w:marRight w:val="0"/>
      <w:marTop w:val="0"/>
      <w:marBottom w:val="0"/>
      <w:divBdr>
        <w:top w:val="none" w:sz="0" w:space="0" w:color="auto"/>
        <w:left w:val="none" w:sz="0" w:space="0" w:color="auto"/>
        <w:bottom w:val="none" w:sz="0" w:space="0" w:color="auto"/>
        <w:right w:val="none" w:sz="0" w:space="0" w:color="auto"/>
      </w:divBdr>
    </w:div>
    <w:div w:id="333806209">
      <w:bodyDiv w:val="1"/>
      <w:marLeft w:val="0"/>
      <w:marRight w:val="0"/>
      <w:marTop w:val="0"/>
      <w:marBottom w:val="0"/>
      <w:divBdr>
        <w:top w:val="none" w:sz="0" w:space="0" w:color="auto"/>
        <w:left w:val="none" w:sz="0" w:space="0" w:color="auto"/>
        <w:bottom w:val="none" w:sz="0" w:space="0" w:color="auto"/>
        <w:right w:val="none" w:sz="0" w:space="0" w:color="auto"/>
      </w:divBdr>
    </w:div>
    <w:div w:id="335420414">
      <w:bodyDiv w:val="1"/>
      <w:marLeft w:val="0"/>
      <w:marRight w:val="0"/>
      <w:marTop w:val="0"/>
      <w:marBottom w:val="0"/>
      <w:divBdr>
        <w:top w:val="none" w:sz="0" w:space="0" w:color="auto"/>
        <w:left w:val="none" w:sz="0" w:space="0" w:color="auto"/>
        <w:bottom w:val="none" w:sz="0" w:space="0" w:color="auto"/>
        <w:right w:val="none" w:sz="0" w:space="0" w:color="auto"/>
      </w:divBdr>
    </w:div>
    <w:div w:id="346828971">
      <w:bodyDiv w:val="1"/>
      <w:marLeft w:val="0"/>
      <w:marRight w:val="0"/>
      <w:marTop w:val="0"/>
      <w:marBottom w:val="0"/>
      <w:divBdr>
        <w:top w:val="none" w:sz="0" w:space="0" w:color="auto"/>
        <w:left w:val="none" w:sz="0" w:space="0" w:color="auto"/>
        <w:bottom w:val="none" w:sz="0" w:space="0" w:color="auto"/>
        <w:right w:val="none" w:sz="0" w:space="0" w:color="auto"/>
      </w:divBdr>
    </w:div>
    <w:div w:id="364985513">
      <w:bodyDiv w:val="1"/>
      <w:marLeft w:val="0"/>
      <w:marRight w:val="0"/>
      <w:marTop w:val="0"/>
      <w:marBottom w:val="0"/>
      <w:divBdr>
        <w:top w:val="none" w:sz="0" w:space="0" w:color="auto"/>
        <w:left w:val="none" w:sz="0" w:space="0" w:color="auto"/>
        <w:bottom w:val="none" w:sz="0" w:space="0" w:color="auto"/>
        <w:right w:val="none" w:sz="0" w:space="0" w:color="auto"/>
      </w:divBdr>
    </w:div>
    <w:div w:id="365175553">
      <w:bodyDiv w:val="1"/>
      <w:marLeft w:val="0"/>
      <w:marRight w:val="0"/>
      <w:marTop w:val="0"/>
      <w:marBottom w:val="0"/>
      <w:divBdr>
        <w:top w:val="none" w:sz="0" w:space="0" w:color="auto"/>
        <w:left w:val="none" w:sz="0" w:space="0" w:color="auto"/>
        <w:bottom w:val="none" w:sz="0" w:space="0" w:color="auto"/>
        <w:right w:val="none" w:sz="0" w:space="0" w:color="auto"/>
      </w:divBdr>
    </w:div>
    <w:div w:id="369261012">
      <w:bodyDiv w:val="1"/>
      <w:marLeft w:val="0"/>
      <w:marRight w:val="0"/>
      <w:marTop w:val="0"/>
      <w:marBottom w:val="0"/>
      <w:divBdr>
        <w:top w:val="none" w:sz="0" w:space="0" w:color="auto"/>
        <w:left w:val="none" w:sz="0" w:space="0" w:color="auto"/>
        <w:bottom w:val="none" w:sz="0" w:space="0" w:color="auto"/>
        <w:right w:val="none" w:sz="0" w:space="0" w:color="auto"/>
      </w:divBdr>
      <w:divsChild>
        <w:div w:id="801314294">
          <w:marLeft w:val="0"/>
          <w:marRight w:val="0"/>
          <w:marTop w:val="0"/>
          <w:marBottom w:val="0"/>
          <w:divBdr>
            <w:top w:val="none" w:sz="0" w:space="0" w:color="auto"/>
            <w:left w:val="none" w:sz="0" w:space="0" w:color="auto"/>
            <w:bottom w:val="none" w:sz="0" w:space="0" w:color="auto"/>
            <w:right w:val="none" w:sz="0" w:space="0" w:color="auto"/>
          </w:divBdr>
          <w:divsChild>
            <w:div w:id="168751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943338">
      <w:bodyDiv w:val="1"/>
      <w:marLeft w:val="0"/>
      <w:marRight w:val="0"/>
      <w:marTop w:val="0"/>
      <w:marBottom w:val="0"/>
      <w:divBdr>
        <w:top w:val="none" w:sz="0" w:space="0" w:color="auto"/>
        <w:left w:val="none" w:sz="0" w:space="0" w:color="auto"/>
        <w:bottom w:val="none" w:sz="0" w:space="0" w:color="auto"/>
        <w:right w:val="none" w:sz="0" w:space="0" w:color="auto"/>
      </w:divBdr>
    </w:div>
    <w:div w:id="384641646">
      <w:bodyDiv w:val="1"/>
      <w:marLeft w:val="0"/>
      <w:marRight w:val="0"/>
      <w:marTop w:val="0"/>
      <w:marBottom w:val="0"/>
      <w:divBdr>
        <w:top w:val="none" w:sz="0" w:space="0" w:color="auto"/>
        <w:left w:val="none" w:sz="0" w:space="0" w:color="auto"/>
        <w:bottom w:val="none" w:sz="0" w:space="0" w:color="auto"/>
        <w:right w:val="none" w:sz="0" w:space="0" w:color="auto"/>
      </w:divBdr>
      <w:divsChild>
        <w:div w:id="1322655743">
          <w:marLeft w:val="0"/>
          <w:marRight w:val="0"/>
          <w:marTop w:val="0"/>
          <w:marBottom w:val="0"/>
          <w:divBdr>
            <w:top w:val="none" w:sz="0" w:space="0" w:color="auto"/>
            <w:left w:val="none" w:sz="0" w:space="0" w:color="auto"/>
            <w:bottom w:val="none" w:sz="0" w:space="0" w:color="auto"/>
            <w:right w:val="none" w:sz="0" w:space="0" w:color="auto"/>
          </w:divBdr>
          <w:divsChild>
            <w:div w:id="21312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966660">
      <w:bodyDiv w:val="1"/>
      <w:marLeft w:val="0"/>
      <w:marRight w:val="0"/>
      <w:marTop w:val="0"/>
      <w:marBottom w:val="0"/>
      <w:divBdr>
        <w:top w:val="none" w:sz="0" w:space="0" w:color="auto"/>
        <w:left w:val="none" w:sz="0" w:space="0" w:color="auto"/>
        <w:bottom w:val="none" w:sz="0" w:space="0" w:color="auto"/>
        <w:right w:val="none" w:sz="0" w:space="0" w:color="auto"/>
      </w:divBdr>
    </w:div>
    <w:div w:id="413011526">
      <w:bodyDiv w:val="1"/>
      <w:marLeft w:val="0"/>
      <w:marRight w:val="0"/>
      <w:marTop w:val="0"/>
      <w:marBottom w:val="0"/>
      <w:divBdr>
        <w:top w:val="none" w:sz="0" w:space="0" w:color="auto"/>
        <w:left w:val="none" w:sz="0" w:space="0" w:color="auto"/>
        <w:bottom w:val="none" w:sz="0" w:space="0" w:color="auto"/>
        <w:right w:val="none" w:sz="0" w:space="0" w:color="auto"/>
      </w:divBdr>
    </w:div>
    <w:div w:id="448933607">
      <w:bodyDiv w:val="1"/>
      <w:marLeft w:val="0"/>
      <w:marRight w:val="0"/>
      <w:marTop w:val="0"/>
      <w:marBottom w:val="0"/>
      <w:divBdr>
        <w:top w:val="none" w:sz="0" w:space="0" w:color="auto"/>
        <w:left w:val="none" w:sz="0" w:space="0" w:color="auto"/>
        <w:bottom w:val="none" w:sz="0" w:space="0" w:color="auto"/>
        <w:right w:val="none" w:sz="0" w:space="0" w:color="auto"/>
      </w:divBdr>
    </w:div>
    <w:div w:id="483162453">
      <w:bodyDiv w:val="1"/>
      <w:marLeft w:val="0"/>
      <w:marRight w:val="0"/>
      <w:marTop w:val="0"/>
      <w:marBottom w:val="0"/>
      <w:divBdr>
        <w:top w:val="none" w:sz="0" w:space="0" w:color="auto"/>
        <w:left w:val="none" w:sz="0" w:space="0" w:color="auto"/>
        <w:bottom w:val="none" w:sz="0" w:space="0" w:color="auto"/>
        <w:right w:val="none" w:sz="0" w:space="0" w:color="auto"/>
      </w:divBdr>
    </w:div>
    <w:div w:id="529100662">
      <w:bodyDiv w:val="1"/>
      <w:marLeft w:val="0"/>
      <w:marRight w:val="0"/>
      <w:marTop w:val="0"/>
      <w:marBottom w:val="0"/>
      <w:divBdr>
        <w:top w:val="none" w:sz="0" w:space="0" w:color="auto"/>
        <w:left w:val="none" w:sz="0" w:space="0" w:color="auto"/>
        <w:bottom w:val="none" w:sz="0" w:space="0" w:color="auto"/>
        <w:right w:val="none" w:sz="0" w:space="0" w:color="auto"/>
      </w:divBdr>
    </w:div>
    <w:div w:id="555120914">
      <w:bodyDiv w:val="1"/>
      <w:marLeft w:val="0"/>
      <w:marRight w:val="0"/>
      <w:marTop w:val="0"/>
      <w:marBottom w:val="0"/>
      <w:divBdr>
        <w:top w:val="none" w:sz="0" w:space="0" w:color="auto"/>
        <w:left w:val="none" w:sz="0" w:space="0" w:color="auto"/>
        <w:bottom w:val="none" w:sz="0" w:space="0" w:color="auto"/>
        <w:right w:val="none" w:sz="0" w:space="0" w:color="auto"/>
      </w:divBdr>
    </w:div>
    <w:div w:id="582497588">
      <w:bodyDiv w:val="1"/>
      <w:marLeft w:val="0"/>
      <w:marRight w:val="0"/>
      <w:marTop w:val="0"/>
      <w:marBottom w:val="0"/>
      <w:divBdr>
        <w:top w:val="none" w:sz="0" w:space="0" w:color="auto"/>
        <w:left w:val="none" w:sz="0" w:space="0" w:color="auto"/>
        <w:bottom w:val="none" w:sz="0" w:space="0" w:color="auto"/>
        <w:right w:val="none" w:sz="0" w:space="0" w:color="auto"/>
      </w:divBdr>
    </w:div>
    <w:div w:id="587348627">
      <w:bodyDiv w:val="1"/>
      <w:marLeft w:val="0"/>
      <w:marRight w:val="0"/>
      <w:marTop w:val="0"/>
      <w:marBottom w:val="0"/>
      <w:divBdr>
        <w:top w:val="none" w:sz="0" w:space="0" w:color="auto"/>
        <w:left w:val="none" w:sz="0" w:space="0" w:color="auto"/>
        <w:bottom w:val="none" w:sz="0" w:space="0" w:color="auto"/>
        <w:right w:val="none" w:sz="0" w:space="0" w:color="auto"/>
      </w:divBdr>
    </w:div>
    <w:div w:id="599877684">
      <w:bodyDiv w:val="1"/>
      <w:marLeft w:val="0"/>
      <w:marRight w:val="0"/>
      <w:marTop w:val="0"/>
      <w:marBottom w:val="0"/>
      <w:divBdr>
        <w:top w:val="none" w:sz="0" w:space="0" w:color="auto"/>
        <w:left w:val="none" w:sz="0" w:space="0" w:color="auto"/>
        <w:bottom w:val="none" w:sz="0" w:space="0" w:color="auto"/>
        <w:right w:val="none" w:sz="0" w:space="0" w:color="auto"/>
      </w:divBdr>
    </w:div>
    <w:div w:id="633414843">
      <w:bodyDiv w:val="1"/>
      <w:marLeft w:val="0"/>
      <w:marRight w:val="0"/>
      <w:marTop w:val="0"/>
      <w:marBottom w:val="0"/>
      <w:divBdr>
        <w:top w:val="none" w:sz="0" w:space="0" w:color="auto"/>
        <w:left w:val="none" w:sz="0" w:space="0" w:color="auto"/>
        <w:bottom w:val="none" w:sz="0" w:space="0" w:color="auto"/>
        <w:right w:val="none" w:sz="0" w:space="0" w:color="auto"/>
      </w:divBdr>
    </w:div>
    <w:div w:id="737746078">
      <w:bodyDiv w:val="1"/>
      <w:marLeft w:val="0"/>
      <w:marRight w:val="0"/>
      <w:marTop w:val="0"/>
      <w:marBottom w:val="0"/>
      <w:divBdr>
        <w:top w:val="none" w:sz="0" w:space="0" w:color="auto"/>
        <w:left w:val="none" w:sz="0" w:space="0" w:color="auto"/>
        <w:bottom w:val="none" w:sz="0" w:space="0" w:color="auto"/>
        <w:right w:val="none" w:sz="0" w:space="0" w:color="auto"/>
      </w:divBdr>
    </w:div>
    <w:div w:id="753359863">
      <w:bodyDiv w:val="1"/>
      <w:marLeft w:val="0"/>
      <w:marRight w:val="0"/>
      <w:marTop w:val="0"/>
      <w:marBottom w:val="0"/>
      <w:divBdr>
        <w:top w:val="none" w:sz="0" w:space="0" w:color="auto"/>
        <w:left w:val="none" w:sz="0" w:space="0" w:color="auto"/>
        <w:bottom w:val="none" w:sz="0" w:space="0" w:color="auto"/>
        <w:right w:val="none" w:sz="0" w:space="0" w:color="auto"/>
      </w:divBdr>
    </w:div>
    <w:div w:id="781732174">
      <w:bodyDiv w:val="1"/>
      <w:marLeft w:val="0"/>
      <w:marRight w:val="0"/>
      <w:marTop w:val="0"/>
      <w:marBottom w:val="0"/>
      <w:divBdr>
        <w:top w:val="none" w:sz="0" w:space="0" w:color="auto"/>
        <w:left w:val="none" w:sz="0" w:space="0" w:color="auto"/>
        <w:bottom w:val="none" w:sz="0" w:space="0" w:color="auto"/>
        <w:right w:val="none" w:sz="0" w:space="0" w:color="auto"/>
      </w:divBdr>
    </w:div>
    <w:div w:id="796416438">
      <w:bodyDiv w:val="1"/>
      <w:marLeft w:val="0"/>
      <w:marRight w:val="0"/>
      <w:marTop w:val="0"/>
      <w:marBottom w:val="0"/>
      <w:divBdr>
        <w:top w:val="none" w:sz="0" w:space="0" w:color="auto"/>
        <w:left w:val="none" w:sz="0" w:space="0" w:color="auto"/>
        <w:bottom w:val="none" w:sz="0" w:space="0" w:color="auto"/>
        <w:right w:val="none" w:sz="0" w:space="0" w:color="auto"/>
      </w:divBdr>
    </w:div>
    <w:div w:id="797455605">
      <w:bodyDiv w:val="1"/>
      <w:marLeft w:val="0"/>
      <w:marRight w:val="0"/>
      <w:marTop w:val="0"/>
      <w:marBottom w:val="0"/>
      <w:divBdr>
        <w:top w:val="none" w:sz="0" w:space="0" w:color="auto"/>
        <w:left w:val="none" w:sz="0" w:space="0" w:color="auto"/>
        <w:bottom w:val="none" w:sz="0" w:space="0" w:color="auto"/>
        <w:right w:val="none" w:sz="0" w:space="0" w:color="auto"/>
      </w:divBdr>
    </w:div>
    <w:div w:id="831680733">
      <w:bodyDiv w:val="1"/>
      <w:marLeft w:val="0"/>
      <w:marRight w:val="0"/>
      <w:marTop w:val="0"/>
      <w:marBottom w:val="0"/>
      <w:divBdr>
        <w:top w:val="none" w:sz="0" w:space="0" w:color="auto"/>
        <w:left w:val="none" w:sz="0" w:space="0" w:color="auto"/>
        <w:bottom w:val="none" w:sz="0" w:space="0" w:color="auto"/>
        <w:right w:val="none" w:sz="0" w:space="0" w:color="auto"/>
      </w:divBdr>
    </w:div>
    <w:div w:id="837042149">
      <w:bodyDiv w:val="1"/>
      <w:marLeft w:val="0"/>
      <w:marRight w:val="0"/>
      <w:marTop w:val="0"/>
      <w:marBottom w:val="0"/>
      <w:divBdr>
        <w:top w:val="none" w:sz="0" w:space="0" w:color="auto"/>
        <w:left w:val="none" w:sz="0" w:space="0" w:color="auto"/>
        <w:bottom w:val="none" w:sz="0" w:space="0" w:color="auto"/>
        <w:right w:val="none" w:sz="0" w:space="0" w:color="auto"/>
      </w:divBdr>
    </w:div>
    <w:div w:id="856501235">
      <w:bodyDiv w:val="1"/>
      <w:marLeft w:val="0"/>
      <w:marRight w:val="0"/>
      <w:marTop w:val="0"/>
      <w:marBottom w:val="0"/>
      <w:divBdr>
        <w:top w:val="none" w:sz="0" w:space="0" w:color="auto"/>
        <w:left w:val="none" w:sz="0" w:space="0" w:color="auto"/>
        <w:bottom w:val="none" w:sz="0" w:space="0" w:color="auto"/>
        <w:right w:val="none" w:sz="0" w:space="0" w:color="auto"/>
      </w:divBdr>
    </w:div>
    <w:div w:id="902524484">
      <w:bodyDiv w:val="1"/>
      <w:marLeft w:val="0"/>
      <w:marRight w:val="0"/>
      <w:marTop w:val="0"/>
      <w:marBottom w:val="0"/>
      <w:divBdr>
        <w:top w:val="none" w:sz="0" w:space="0" w:color="auto"/>
        <w:left w:val="none" w:sz="0" w:space="0" w:color="auto"/>
        <w:bottom w:val="none" w:sz="0" w:space="0" w:color="auto"/>
        <w:right w:val="none" w:sz="0" w:space="0" w:color="auto"/>
      </w:divBdr>
    </w:div>
    <w:div w:id="907377901">
      <w:bodyDiv w:val="1"/>
      <w:marLeft w:val="0"/>
      <w:marRight w:val="0"/>
      <w:marTop w:val="0"/>
      <w:marBottom w:val="0"/>
      <w:divBdr>
        <w:top w:val="none" w:sz="0" w:space="0" w:color="auto"/>
        <w:left w:val="none" w:sz="0" w:space="0" w:color="auto"/>
        <w:bottom w:val="none" w:sz="0" w:space="0" w:color="auto"/>
        <w:right w:val="none" w:sz="0" w:space="0" w:color="auto"/>
      </w:divBdr>
    </w:div>
    <w:div w:id="942568775">
      <w:bodyDiv w:val="1"/>
      <w:marLeft w:val="0"/>
      <w:marRight w:val="0"/>
      <w:marTop w:val="0"/>
      <w:marBottom w:val="0"/>
      <w:divBdr>
        <w:top w:val="none" w:sz="0" w:space="0" w:color="auto"/>
        <w:left w:val="none" w:sz="0" w:space="0" w:color="auto"/>
        <w:bottom w:val="none" w:sz="0" w:space="0" w:color="auto"/>
        <w:right w:val="none" w:sz="0" w:space="0" w:color="auto"/>
      </w:divBdr>
    </w:div>
    <w:div w:id="986393264">
      <w:bodyDiv w:val="1"/>
      <w:marLeft w:val="0"/>
      <w:marRight w:val="0"/>
      <w:marTop w:val="0"/>
      <w:marBottom w:val="0"/>
      <w:divBdr>
        <w:top w:val="none" w:sz="0" w:space="0" w:color="auto"/>
        <w:left w:val="none" w:sz="0" w:space="0" w:color="auto"/>
        <w:bottom w:val="none" w:sz="0" w:space="0" w:color="auto"/>
        <w:right w:val="none" w:sz="0" w:space="0" w:color="auto"/>
      </w:divBdr>
    </w:div>
    <w:div w:id="1028137894">
      <w:bodyDiv w:val="1"/>
      <w:marLeft w:val="0"/>
      <w:marRight w:val="0"/>
      <w:marTop w:val="0"/>
      <w:marBottom w:val="0"/>
      <w:divBdr>
        <w:top w:val="none" w:sz="0" w:space="0" w:color="auto"/>
        <w:left w:val="none" w:sz="0" w:space="0" w:color="auto"/>
        <w:bottom w:val="none" w:sz="0" w:space="0" w:color="auto"/>
        <w:right w:val="none" w:sz="0" w:space="0" w:color="auto"/>
      </w:divBdr>
    </w:div>
    <w:div w:id="1043214563">
      <w:bodyDiv w:val="1"/>
      <w:marLeft w:val="0"/>
      <w:marRight w:val="0"/>
      <w:marTop w:val="0"/>
      <w:marBottom w:val="0"/>
      <w:divBdr>
        <w:top w:val="none" w:sz="0" w:space="0" w:color="auto"/>
        <w:left w:val="none" w:sz="0" w:space="0" w:color="auto"/>
        <w:bottom w:val="none" w:sz="0" w:space="0" w:color="auto"/>
        <w:right w:val="none" w:sz="0" w:space="0" w:color="auto"/>
      </w:divBdr>
    </w:div>
    <w:div w:id="1046756059">
      <w:bodyDiv w:val="1"/>
      <w:marLeft w:val="0"/>
      <w:marRight w:val="0"/>
      <w:marTop w:val="0"/>
      <w:marBottom w:val="0"/>
      <w:divBdr>
        <w:top w:val="none" w:sz="0" w:space="0" w:color="auto"/>
        <w:left w:val="none" w:sz="0" w:space="0" w:color="auto"/>
        <w:bottom w:val="none" w:sz="0" w:space="0" w:color="auto"/>
        <w:right w:val="none" w:sz="0" w:space="0" w:color="auto"/>
      </w:divBdr>
      <w:divsChild>
        <w:div w:id="350375292">
          <w:marLeft w:val="0"/>
          <w:marRight w:val="0"/>
          <w:marTop w:val="0"/>
          <w:marBottom w:val="0"/>
          <w:divBdr>
            <w:top w:val="none" w:sz="0" w:space="0" w:color="auto"/>
            <w:left w:val="none" w:sz="0" w:space="0" w:color="auto"/>
            <w:bottom w:val="none" w:sz="0" w:space="0" w:color="auto"/>
            <w:right w:val="none" w:sz="0" w:space="0" w:color="auto"/>
          </w:divBdr>
          <w:divsChild>
            <w:div w:id="34999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948751">
      <w:bodyDiv w:val="1"/>
      <w:marLeft w:val="0"/>
      <w:marRight w:val="0"/>
      <w:marTop w:val="0"/>
      <w:marBottom w:val="0"/>
      <w:divBdr>
        <w:top w:val="none" w:sz="0" w:space="0" w:color="auto"/>
        <w:left w:val="none" w:sz="0" w:space="0" w:color="auto"/>
        <w:bottom w:val="none" w:sz="0" w:space="0" w:color="auto"/>
        <w:right w:val="none" w:sz="0" w:space="0" w:color="auto"/>
      </w:divBdr>
    </w:div>
    <w:div w:id="1084300510">
      <w:bodyDiv w:val="1"/>
      <w:marLeft w:val="0"/>
      <w:marRight w:val="0"/>
      <w:marTop w:val="0"/>
      <w:marBottom w:val="0"/>
      <w:divBdr>
        <w:top w:val="none" w:sz="0" w:space="0" w:color="auto"/>
        <w:left w:val="none" w:sz="0" w:space="0" w:color="auto"/>
        <w:bottom w:val="none" w:sz="0" w:space="0" w:color="auto"/>
        <w:right w:val="none" w:sz="0" w:space="0" w:color="auto"/>
      </w:divBdr>
    </w:div>
    <w:div w:id="1103844620">
      <w:bodyDiv w:val="1"/>
      <w:marLeft w:val="0"/>
      <w:marRight w:val="0"/>
      <w:marTop w:val="0"/>
      <w:marBottom w:val="0"/>
      <w:divBdr>
        <w:top w:val="none" w:sz="0" w:space="0" w:color="auto"/>
        <w:left w:val="none" w:sz="0" w:space="0" w:color="auto"/>
        <w:bottom w:val="none" w:sz="0" w:space="0" w:color="auto"/>
        <w:right w:val="none" w:sz="0" w:space="0" w:color="auto"/>
      </w:divBdr>
    </w:div>
    <w:div w:id="1123420322">
      <w:bodyDiv w:val="1"/>
      <w:marLeft w:val="0"/>
      <w:marRight w:val="0"/>
      <w:marTop w:val="0"/>
      <w:marBottom w:val="0"/>
      <w:divBdr>
        <w:top w:val="none" w:sz="0" w:space="0" w:color="auto"/>
        <w:left w:val="none" w:sz="0" w:space="0" w:color="auto"/>
        <w:bottom w:val="none" w:sz="0" w:space="0" w:color="auto"/>
        <w:right w:val="none" w:sz="0" w:space="0" w:color="auto"/>
      </w:divBdr>
      <w:divsChild>
        <w:div w:id="241333721">
          <w:marLeft w:val="0"/>
          <w:marRight w:val="0"/>
          <w:marTop w:val="0"/>
          <w:marBottom w:val="0"/>
          <w:divBdr>
            <w:top w:val="none" w:sz="0" w:space="0" w:color="auto"/>
            <w:left w:val="none" w:sz="0" w:space="0" w:color="auto"/>
            <w:bottom w:val="none" w:sz="0" w:space="0" w:color="auto"/>
            <w:right w:val="none" w:sz="0" w:space="0" w:color="auto"/>
          </w:divBdr>
          <w:divsChild>
            <w:div w:id="147255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19359">
      <w:bodyDiv w:val="1"/>
      <w:marLeft w:val="0"/>
      <w:marRight w:val="0"/>
      <w:marTop w:val="0"/>
      <w:marBottom w:val="0"/>
      <w:divBdr>
        <w:top w:val="none" w:sz="0" w:space="0" w:color="auto"/>
        <w:left w:val="none" w:sz="0" w:space="0" w:color="auto"/>
        <w:bottom w:val="none" w:sz="0" w:space="0" w:color="auto"/>
        <w:right w:val="none" w:sz="0" w:space="0" w:color="auto"/>
      </w:divBdr>
    </w:div>
    <w:div w:id="1134368590">
      <w:bodyDiv w:val="1"/>
      <w:marLeft w:val="0"/>
      <w:marRight w:val="0"/>
      <w:marTop w:val="0"/>
      <w:marBottom w:val="0"/>
      <w:divBdr>
        <w:top w:val="none" w:sz="0" w:space="0" w:color="auto"/>
        <w:left w:val="none" w:sz="0" w:space="0" w:color="auto"/>
        <w:bottom w:val="none" w:sz="0" w:space="0" w:color="auto"/>
        <w:right w:val="none" w:sz="0" w:space="0" w:color="auto"/>
      </w:divBdr>
    </w:div>
    <w:div w:id="1136291929">
      <w:bodyDiv w:val="1"/>
      <w:marLeft w:val="0"/>
      <w:marRight w:val="0"/>
      <w:marTop w:val="0"/>
      <w:marBottom w:val="0"/>
      <w:divBdr>
        <w:top w:val="none" w:sz="0" w:space="0" w:color="auto"/>
        <w:left w:val="none" w:sz="0" w:space="0" w:color="auto"/>
        <w:bottom w:val="none" w:sz="0" w:space="0" w:color="auto"/>
        <w:right w:val="none" w:sz="0" w:space="0" w:color="auto"/>
      </w:divBdr>
    </w:div>
    <w:div w:id="1156990596">
      <w:bodyDiv w:val="1"/>
      <w:marLeft w:val="0"/>
      <w:marRight w:val="0"/>
      <w:marTop w:val="0"/>
      <w:marBottom w:val="0"/>
      <w:divBdr>
        <w:top w:val="none" w:sz="0" w:space="0" w:color="auto"/>
        <w:left w:val="none" w:sz="0" w:space="0" w:color="auto"/>
        <w:bottom w:val="none" w:sz="0" w:space="0" w:color="auto"/>
        <w:right w:val="none" w:sz="0" w:space="0" w:color="auto"/>
      </w:divBdr>
    </w:div>
    <w:div w:id="1175530922">
      <w:bodyDiv w:val="1"/>
      <w:marLeft w:val="0"/>
      <w:marRight w:val="0"/>
      <w:marTop w:val="0"/>
      <w:marBottom w:val="0"/>
      <w:divBdr>
        <w:top w:val="none" w:sz="0" w:space="0" w:color="auto"/>
        <w:left w:val="none" w:sz="0" w:space="0" w:color="auto"/>
        <w:bottom w:val="none" w:sz="0" w:space="0" w:color="auto"/>
        <w:right w:val="none" w:sz="0" w:space="0" w:color="auto"/>
      </w:divBdr>
    </w:div>
    <w:div w:id="1206333468">
      <w:bodyDiv w:val="1"/>
      <w:marLeft w:val="0"/>
      <w:marRight w:val="0"/>
      <w:marTop w:val="0"/>
      <w:marBottom w:val="0"/>
      <w:divBdr>
        <w:top w:val="none" w:sz="0" w:space="0" w:color="auto"/>
        <w:left w:val="none" w:sz="0" w:space="0" w:color="auto"/>
        <w:bottom w:val="none" w:sz="0" w:space="0" w:color="auto"/>
        <w:right w:val="none" w:sz="0" w:space="0" w:color="auto"/>
      </w:divBdr>
    </w:div>
    <w:div w:id="1222474095">
      <w:bodyDiv w:val="1"/>
      <w:marLeft w:val="0"/>
      <w:marRight w:val="0"/>
      <w:marTop w:val="0"/>
      <w:marBottom w:val="0"/>
      <w:divBdr>
        <w:top w:val="none" w:sz="0" w:space="0" w:color="auto"/>
        <w:left w:val="none" w:sz="0" w:space="0" w:color="auto"/>
        <w:bottom w:val="none" w:sz="0" w:space="0" w:color="auto"/>
        <w:right w:val="none" w:sz="0" w:space="0" w:color="auto"/>
      </w:divBdr>
    </w:div>
    <w:div w:id="1239247358">
      <w:bodyDiv w:val="1"/>
      <w:marLeft w:val="0"/>
      <w:marRight w:val="0"/>
      <w:marTop w:val="0"/>
      <w:marBottom w:val="0"/>
      <w:divBdr>
        <w:top w:val="none" w:sz="0" w:space="0" w:color="auto"/>
        <w:left w:val="none" w:sz="0" w:space="0" w:color="auto"/>
        <w:bottom w:val="none" w:sz="0" w:space="0" w:color="auto"/>
        <w:right w:val="none" w:sz="0" w:space="0" w:color="auto"/>
      </w:divBdr>
    </w:div>
    <w:div w:id="1266302412">
      <w:bodyDiv w:val="1"/>
      <w:marLeft w:val="0"/>
      <w:marRight w:val="0"/>
      <w:marTop w:val="0"/>
      <w:marBottom w:val="0"/>
      <w:divBdr>
        <w:top w:val="none" w:sz="0" w:space="0" w:color="auto"/>
        <w:left w:val="none" w:sz="0" w:space="0" w:color="auto"/>
        <w:bottom w:val="none" w:sz="0" w:space="0" w:color="auto"/>
        <w:right w:val="none" w:sz="0" w:space="0" w:color="auto"/>
      </w:divBdr>
    </w:div>
    <w:div w:id="1272740217">
      <w:bodyDiv w:val="1"/>
      <w:marLeft w:val="0"/>
      <w:marRight w:val="0"/>
      <w:marTop w:val="0"/>
      <w:marBottom w:val="0"/>
      <w:divBdr>
        <w:top w:val="none" w:sz="0" w:space="0" w:color="auto"/>
        <w:left w:val="none" w:sz="0" w:space="0" w:color="auto"/>
        <w:bottom w:val="none" w:sz="0" w:space="0" w:color="auto"/>
        <w:right w:val="none" w:sz="0" w:space="0" w:color="auto"/>
      </w:divBdr>
    </w:div>
    <w:div w:id="1280407133">
      <w:bodyDiv w:val="1"/>
      <w:marLeft w:val="0"/>
      <w:marRight w:val="0"/>
      <w:marTop w:val="0"/>
      <w:marBottom w:val="0"/>
      <w:divBdr>
        <w:top w:val="none" w:sz="0" w:space="0" w:color="auto"/>
        <w:left w:val="none" w:sz="0" w:space="0" w:color="auto"/>
        <w:bottom w:val="none" w:sz="0" w:space="0" w:color="auto"/>
        <w:right w:val="none" w:sz="0" w:space="0" w:color="auto"/>
      </w:divBdr>
    </w:div>
    <w:div w:id="1287353845">
      <w:bodyDiv w:val="1"/>
      <w:marLeft w:val="0"/>
      <w:marRight w:val="0"/>
      <w:marTop w:val="0"/>
      <w:marBottom w:val="0"/>
      <w:divBdr>
        <w:top w:val="none" w:sz="0" w:space="0" w:color="auto"/>
        <w:left w:val="none" w:sz="0" w:space="0" w:color="auto"/>
        <w:bottom w:val="none" w:sz="0" w:space="0" w:color="auto"/>
        <w:right w:val="none" w:sz="0" w:space="0" w:color="auto"/>
      </w:divBdr>
    </w:div>
    <w:div w:id="1302926920">
      <w:bodyDiv w:val="1"/>
      <w:marLeft w:val="0"/>
      <w:marRight w:val="0"/>
      <w:marTop w:val="0"/>
      <w:marBottom w:val="0"/>
      <w:divBdr>
        <w:top w:val="none" w:sz="0" w:space="0" w:color="auto"/>
        <w:left w:val="none" w:sz="0" w:space="0" w:color="auto"/>
        <w:bottom w:val="none" w:sz="0" w:space="0" w:color="auto"/>
        <w:right w:val="none" w:sz="0" w:space="0" w:color="auto"/>
      </w:divBdr>
    </w:div>
    <w:div w:id="1313950092">
      <w:bodyDiv w:val="1"/>
      <w:marLeft w:val="0"/>
      <w:marRight w:val="0"/>
      <w:marTop w:val="0"/>
      <w:marBottom w:val="0"/>
      <w:divBdr>
        <w:top w:val="none" w:sz="0" w:space="0" w:color="auto"/>
        <w:left w:val="none" w:sz="0" w:space="0" w:color="auto"/>
        <w:bottom w:val="none" w:sz="0" w:space="0" w:color="auto"/>
        <w:right w:val="none" w:sz="0" w:space="0" w:color="auto"/>
      </w:divBdr>
    </w:div>
    <w:div w:id="1323662878">
      <w:bodyDiv w:val="1"/>
      <w:marLeft w:val="0"/>
      <w:marRight w:val="0"/>
      <w:marTop w:val="0"/>
      <w:marBottom w:val="0"/>
      <w:divBdr>
        <w:top w:val="none" w:sz="0" w:space="0" w:color="auto"/>
        <w:left w:val="none" w:sz="0" w:space="0" w:color="auto"/>
        <w:bottom w:val="none" w:sz="0" w:space="0" w:color="auto"/>
        <w:right w:val="none" w:sz="0" w:space="0" w:color="auto"/>
      </w:divBdr>
    </w:div>
    <w:div w:id="1345328491">
      <w:bodyDiv w:val="1"/>
      <w:marLeft w:val="0"/>
      <w:marRight w:val="0"/>
      <w:marTop w:val="0"/>
      <w:marBottom w:val="0"/>
      <w:divBdr>
        <w:top w:val="none" w:sz="0" w:space="0" w:color="auto"/>
        <w:left w:val="none" w:sz="0" w:space="0" w:color="auto"/>
        <w:bottom w:val="none" w:sz="0" w:space="0" w:color="auto"/>
        <w:right w:val="none" w:sz="0" w:space="0" w:color="auto"/>
      </w:divBdr>
      <w:divsChild>
        <w:div w:id="757218504">
          <w:marLeft w:val="0"/>
          <w:marRight w:val="0"/>
          <w:marTop w:val="0"/>
          <w:marBottom w:val="0"/>
          <w:divBdr>
            <w:top w:val="none" w:sz="0" w:space="0" w:color="auto"/>
            <w:left w:val="none" w:sz="0" w:space="0" w:color="auto"/>
            <w:bottom w:val="none" w:sz="0" w:space="0" w:color="auto"/>
            <w:right w:val="none" w:sz="0" w:space="0" w:color="auto"/>
          </w:divBdr>
          <w:divsChild>
            <w:div w:id="115849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5745">
      <w:bodyDiv w:val="1"/>
      <w:marLeft w:val="0"/>
      <w:marRight w:val="0"/>
      <w:marTop w:val="0"/>
      <w:marBottom w:val="0"/>
      <w:divBdr>
        <w:top w:val="none" w:sz="0" w:space="0" w:color="auto"/>
        <w:left w:val="none" w:sz="0" w:space="0" w:color="auto"/>
        <w:bottom w:val="none" w:sz="0" w:space="0" w:color="auto"/>
        <w:right w:val="none" w:sz="0" w:space="0" w:color="auto"/>
      </w:divBdr>
    </w:div>
    <w:div w:id="1454251856">
      <w:bodyDiv w:val="1"/>
      <w:marLeft w:val="0"/>
      <w:marRight w:val="0"/>
      <w:marTop w:val="0"/>
      <w:marBottom w:val="0"/>
      <w:divBdr>
        <w:top w:val="none" w:sz="0" w:space="0" w:color="auto"/>
        <w:left w:val="none" w:sz="0" w:space="0" w:color="auto"/>
        <w:bottom w:val="none" w:sz="0" w:space="0" w:color="auto"/>
        <w:right w:val="none" w:sz="0" w:space="0" w:color="auto"/>
      </w:divBdr>
    </w:div>
    <w:div w:id="1456800457">
      <w:bodyDiv w:val="1"/>
      <w:marLeft w:val="0"/>
      <w:marRight w:val="0"/>
      <w:marTop w:val="0"/>
      <w:marBottom w:val="0"/>
      <w:divBdr>
        <w:top w:val="none" w:sz="0" w:space="0" w:color="auto"/>
        <w:left w:val="none" w:sz="0" w:space="0" w:color="auto"/>
        <w:bottom w:val="none" w:sz="0" w:space="0" w:color="auto"/>
        <w:right w:val="none" w:sz="0" w:space="0" w:color="auto"/>
      </w:divBdr>
    </w:div>
    <w:div w:id="1476871214">
      <w:bodyDiv w:val="1"/>
      <w:marLeft w:val="0"/>
      <w:marRight w:val="0"/>
      <w:marTop w:val="0"/>
      <w:marBottom w:val="0"/>
      <w:divBdr>
        <w:top w:val="none" w:sz="0" w:space="0" w:color="auto"/>
        <w:left w:val="none" w:sz="0" w:space="0" w:color="auto"/>
        <w:bottom w:val="none" w:sz="0" w:space="0" w:color="auto"/>
        <w:right w:val="none" w:sz="0" w:space="0" w:color="auto"/>
      </w:divBdr>
    </w:div>
    <w:div w:id="1487941638">
      <w:bodyDiv w:val="1"/>
      <w:marLeft w:val="0"/>
      <w:marRight w:val="0"/>
      <w:marTop w:val="0"/>
      <w:marBottom w:val="0"/>
      <w:divBdr>
        <w:top w:val="none" w:sz="0" w:space="0" w:color="auto"/>
        <w:left w:val="none" w:sz="0" w:space="0" w:color="auto"/>
        <w:bottom w:val="none" w:sz="0" w:space="0" w:color="auto"/>
        <w:right w:val="none" w:sz="0" w:space="0" w:color="auto"/>
      </w:divBdr>
    </w:div>
    <w:div w:id="1553347306">
      <w:bodyDiv w:val="1"/>
      <w:marLeft w:val="0"/>
      <w:marRight w:val="0"/>
      <w:marTop w:val="0"/>
      <w:marBottom w:val="0"/>
      <w:divBdr>
        <w:top w:val="none" w:sz="0" w:space="0" w:color="auto"/>
        <w:left w:val="none" w:sz="0" w:space="0" w:color="auto"/>
        <w:bottom w:val="none" w:sz="0" w:space="0" w:color="auto"/>
        <w:right w:val="none" w:sz="0" w:space="0" w:color="auto"/>
      </w:divBdr>
    </w:div>
    <w:div w:id="1568565367">
      <w:bodyDiv w:val="1"/>
      <w:marLeft w:val="0"/>
      <w:marRight w:val="0"/>
      <w:marTop w:val="0"/>
      <w:marBottom w:val="0"/>
      <w:divBdr>
        <w:top w:val="none" w:sz="0" w:space="0" w:color="auto"/>
        <w:left w:val="none" w:sz="0" w:space="0" w:color="auto"/>
        <w:bottom w:val="none" w:sz="0" w:space="0" w:color="auto"/>
        <w:right w:val="none" w:sz="0" w:space="0" w:color="auto"/>
      </w:divBdr>
    </w:div>
    <w:div w:id="1591741710">
      <w:bodyDiv w:val="1"/>
      <w:marLeft w:val="0"/>
      <w:marRight w:val="0"/>
      <w:marTop w:val="0"/>
      <w:marBottom w:val="0"/>
      <w:divBdr>
        <w:top w:val="none" w:sz="0" w:space="0" w:color="auto"/>
        <w:left w:val="none" w:sz="0" w:space="0" w:color="auto"/>
        <w:bottom w:val="none" w:sz="0" w:space="0" w:color="auto"/>
        <w:right w:val="none" w:sz="0" w:space="0" w:color="auto"/>
      </w:divBdr>
    </w:div>
    <w:div w:id="1592085007">
      <w:bodyDiv w:val="1"/>
      <w:marLeft w:val="0"/>
      <w:marRight w:val="0"/>
      <w:marTop w:val="0"/>
      <w:marBottom w:val="0"/>
      <w:divBdr>
        <w:top w:val="none" w:sz="0" w:space="0" w:color="auto"/>
        <w:left w:val="none" w:sz="0" w:space="0" w:color="auto"/>
        <w:bottom w:val="none" w:sz="0" w:space="0" w:color="auto"/>
        <w:right w:val="none" w:sz="0" w:space="0" w:color="auto"/>
      </w:divBdr>
      <w:divsChild>
        <w:div w:id="1145312523">
          <w:marLeft w:val="0"/>
          <w:marRight w:val="0"/>
          <w:marTop w:val="0"/>
          <w:marBottom w:val="0"/>
          <w:divBdr>
            <w:top w:val="none" w:sz="0" w:space="0" w:color="auto"/>
            <w:left w:val="none" w:sz="0" w:space="0" w:color="auto"/>
            <w:bottom w:val="none" w:sz="0" w:space="0" w:color="auto"/>
            <w:right w:val="none" w:sz="0" w:space="0" w:color="auto"/>
          </w:divBdr>
          <w:divsChild>
            <w:div w:id="130882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76213">
      <w:bodyDiv w:val="1"/>
      <w:marLeft w:val="0"/>
      <w:marRight w:val="0"/>
      <w:marTop w:val="0"/>
      <w:marBottom w:val="0"/>
      <w:divBdr>
        <w:top w:val="none" w:sz="0" w:space="0" w:color="auto"/>
        <w:left w:val="none" w:sz="0" w:space="0" w:color="auto"/>
        <w:bottom w:val="none" w:sz="0" w:space="0" w:color="auto"/>
        <w:right w:val="none" w:sz="0" w:space="0" w:color="auto"/>
      </w:divBdr>
    </w:div>
    <w:div w:id="1652100235">
      <w:bodyDiv w:val="1"/>
      <w:marLeft w:val="0"/>
      <w:marRight w:val="0"/>
      <w:marTop w:val="0"/>
      <w:marBottom w:val="0"/>
      <w:divBdr>
        <w:top w:val="none" w:sz="0" w:space="0" w:color="auto"/>
        <w:left w:val="none" w:sz="0" w:space="0" w:color="auto"/>
        <w:bottom w:val="none" w:sz="0" w:space="0" w:color="auto"/>
        <w:right w:val="none" w:sz="0" w:space="0" w:color="auto"/>
      </w:divBdr>
    </w:div>
    <w:div w:id="1671713691">
      <w:bodyDiv w:val="1"/>
      <w:marLeft w:val="0"/>
      <w:marRight w:val="0"/>
      <w:marTop w:val="0"/>
      <w:marBottom w:val="0"/>
      <w:divBdr>
        <w:top w:val="none" w:sz="0" w:space="0" w:color="auto"/>
        <w:left w:val="none" w:sz="0" w:space="0" w:color="auto"/>
        <w:bottom w:val="none" w:sz="0" w:space="0" w:color="auto"/>
        <w:right w:val="none" w:sz="0" w:space="0" w:color="auto"/>
      </w:divBdr>
    </w:div>
    <w:div w:id="1699500815">
      <w:bodyDiv w:val="1"/>
      <w:marLeft w:val="0"/>
      <w:marRight w:val="0"/>
      <w:marTop w:val="0"/>
      <w:marBottom w:val="0"/>
      <w:divBdr>
        <w:top w:val="none" w:sz="0" w:space="0" w:color="auto"/>
        <w:left w:val="none" w:sz="0" w:space="0" w:color="auto"/>
        <w:bottom w:val="none" w:sz="0" w:space="0" w:color="auto"/>
        <w:right w:val="none" w:sz="0" w:space="0" w:color="auto"/>
      </w:divBdr>
    </w:div>
    <w:div w:id="1718122464">
      <w:bodyDiv w:val="1"/>
      <w:marLeft w:val="0"/>
      <w:marRight w:val="0"/>
      <w:marTop w:val="0"/>
      <w:marBottom w:val="0"/>
      <w:divBdr>
        <w:top w:val="none" w:sz="0" w:space="0" w:color="auto"/>
        <w:left w:val="none" w:sz="0" w:space="0" w:color="auto"/>
        <w:bottom w:val="none" w:sz="0" w:space="0" w:color="auto"/>
        <w:right w:val="none" w:sz="0" w:space="0" w:color="auto"/>
      </w:divBdr>
      <w:divsChild>
        <w:div w:id="226766480">
          <w:marLeft w:val="0"/>
          <w:marRight w:val="0"/>
          <w:marTop w:val="0"/>
          <w:marBottom w:val="0"/>
          <w:divBdr>
            <w:top w:val="none" w:sz="0" w:space="0" w:color="auto"/>
            <w:left w:val="none" w:sz="0" w:space="0" w:color="auto"/>
            <w:bottom w:val="none" w:sz="0" w:space="0" w:color="auto"/>
            <w:right w:val="none" w:sz="0" w:space="0" w:color="auto"/>
          </w:divBdr>
          <w:divsChild>
            <w:div w:id="210128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681132">
      <w:bodyDiv w:val="1"/>
      <w:marLeft w:val="0"/>
      <w:marRight w:val="0"/>
      <w:marTop w:val="0"/>
      <w:marBottom w:val="0"/>
      <w:divBdr>
        <w:top w:val="none" w:sz="0" w:space="0" w:color="auto"/>
        <w:left w:val="none" w:sz="0" w:space="0" w:color="auto"/>
        <w:bottom w:val="none" w:sz="0" w:space="0" w:color="auto"/>
        <w:right w:val="none" w:sz="0" w:space="0" w:color="auto"/>
      </w:divBdr>
    </w:div>
    <w:div w:id="1768571484">
      <w:bodyDiv w:val="1"/>
      <w:marLeft w:val="0"/>
      <w:marRight w:val="0"/>
      <w:marTop w:val="0"/>
      <w:marBottom w:val="0"/>
      <w:divBdr>
        <w:top w:val="none" w:sz="0" w:space="0" w:color="auto"/>
        <w:left w:val="none" w:sz="0" w:space="0" w:color="auto"/>
        <w:bottom w:val="none" w:sz="0" w:space="0" w:color="auto"/>
        <w:right w:val="none" w:sz="0" w:space="0" w:color="auto"/>
      </w:divBdr>
    </w:div>
    <w:div w:id="1771970112">
      <w:bodyDiv w:val="1"/>
      <w:marLeft w:val="0"/>
      <w:marRight w:val="0"/>
      <w:marTop w:val="0"/>
      <w:marBottom w:val="0"/>
      <w:divBdr>
        <w:top w:val="none" w:sz="0" w:space="0" w:color="auto"/>
        <w:left w:val="none" w:sz="0" w:space="0" w:color="auto"/>
        <w:bottom w:val="none" w:sz="0" w:space="0" w:color="auto"/>
        <w:right w:val="none" w:sz="0" w:space="0" w:color="auto"/>
      </w:divBdr>
    </w:div>
    <w:div w:id="1816406512">
      <w:bodyDiv w:val="1"/>
      <w:marLeft w:val="0"/>
      <w:marRight w:val="0"/>
      <w:marTop w:val="0"/>
      <w:marBottom w:val="0"/>
      <w:divBdr>
        <w:top w:val="none" w:sz="0" w:space="0" w:color="auto"/>
        <w:left w:val="none" w:sz="0" w:space="0" w:color="auto"/>
        <w:bottom w:val="none" w:sz="0" w:space="0" w:color="auto"/>
        <w:right w:val="none" w:sz="0" w:space="0" w:color="auto"/>
      </w:divBdr>
    </w:div>
    <w:div w:id="1899897005">
      <w:bodyDiv w:val="1"/>
      <w:marLeft w:val="0"/>
      <w:marRight w:val="0"/>
      <w:marTop w:val="0"/>
      <w:marBottom w:val="0"/>
      <w:divBdr>
        <w:top w:val="none" w:sz="0" w:space="0" w:color="auto"/>
        <w:left w:val="none" w:sz="0" w:space="0" w:color="auto"/>
        <w:bottom w:val="none" w:sz="0" w:space="0" w:color="auto"/>
        <w:right w:val="none" w:sz="0" w:space="0" w:color="auto"/>
      </w:divBdr>
    </w:div>
    <w:div w:id="1925456666">
      <w:bodyDiv w:val="1"/>
      <w:marLeft w:val="0"/>
      <w:marRight w:val="0"/>
      <w:marTop w:val="0"/>
      <w:marBottom w:val="0"/>
      <w:divBdr>
        <w:top w:val="none" w:sz="0" w:space="0" w:color="auto"/>
        <w:left w:val="none" w:sz="0" w:space="0" w:color="auto"/>
        <w:bottom w:val="none" w:sz="0" w:space="0" w:color="auto"/>
        <w:right w:val="none" w:sz="0" w:space="0" w:color="auto"/>
      </w:divBdr>
    </w:div>
    <w:div w:id="1942058031">
      <w:bodyDiv w:val="1"/>
      <w:marLeft w:val="0"/>
      <w:marRight w:val="0"/>
      <w:marTop w:val="0"/>
      <w:marBottom w:val="0"/>
      <w:divBdr>
        <w:top w:val="none" w:sz="0" w:space="0" w:color="auto"/>
        <w:left w:val="none" w:sz="0" w:space="0" w:color="auto"/>
        <w:bottom w:val="none" w:sz="0" w:space="0" w:color="auto"/>
        <w:right w:val="none" w:sz="0" w:space="0" w:color="auto"/>
      </w:divBdr>
    </w:div>
    <w:div w:id="1943343140">
      <w:bodyDiv w:val="1"/>
      <w:marLeft w:val="0"/>
      <w:marRight w:val="0"/>
      <w:marTop w:val="0"/>
      <w:marBottom w:val="0"/>
      <w:divBdr>
        <w:top w:val="none" w:sz="0" w:space="0" w:color="auto"/>
        <w:left w:val="none" w:sz="0" w:space="0" w:color="auto"/>
        <w:bottom w:val="none" w:sz="0" w:space="0" w:color="auto"/>
        <w:right w:val="none" w:sz="0" w:space="0" w:color="auto"/>
      </w:divBdr>
    </w:div>
    <w:div w:id="1966038116">
      <w:bodyDiv w:val="1"/>
      <w:marLeft w:val="0"/>
      <w:marRight w:val="0"/>
      <w:marTop w:val="0"/>
      <w:marBottom w:val="0"/>
      <w:divBdr>
        <w:top w:val="none" w:sz="0" w:space="0" w:color="auto"/>
        <w:left w:val="none" w:sz="0" w:space="0" w:color="auto"/>
        <w:bottom w:val="none" w:sz="0" w:space="0" w:color="auto"/>
        <w:right w:val="none" w:sz="0" w:space="0" w:color="auto"/>
      </w:divBdr>
    </w:div>
    <w:div w:id="1968271192">
      <w:bodyDiv w:val="1"/>
      <w:marLeft w:val="0"/>
      <w:marRight w:val="0"/>
      <w:marTop w:val="0"/>
      <w:marBottom w:val="0"/>
      <w:divBdr>
        <w:top w:val="none" w:sz="0" w:space="0" w:color="auto"/>
        <w:left w:val="none" w:sz="0" w:space="0" w:color="auto"/>
        <w:bottom w:val="none" w:sz="0" w:space="0" w:color="auto"/>
        <w:right w:val="none" w:sz="0" w:space="0" w:color="auto"/>
      </w:divBdr>
    </w:div>
    <w:div w:id="2021276114">
      <w:bodyDiv w:val="1"/>
      <w:marLeft w:val="0"/>
      <w:marRight w:val="0"/>
      <w:marTop w:val="0"/>
      <w:marBottom w:val="0"/>
      <w:divBdr>
        <w:top w:val="none" w:sz="0" w:space="0" w:color="auto"/>
        <w:left w:val="none" w:sz="0" w:space="0" w:color="auto"/>
        <w:bottom w:val="none" w:sz="0" w:space="0" w:color="auto"/>
        <w:right w:val="none" w:sz="0" w:space="0" w:color="auto"/>
      </w:divBdr>
    </w:div>
    <w:div w:id="2067795371">
      <w:bodyDiv w:val="1"/>
      <w:marLeft w:val="0"/>
      <w:marRight w:val="0"/>
      <w:marTop w:val="0"/>
      <w:marBottom w:val="0"/>
      <w:divBdr>
        <w:top w:val="none" w:sz="0" w:space="0" w:color="auto"/>
        <w:left w:val="none" w:sz="0" w:space="0" w:color="auto"/>
        <w:bottom w:val="none" w:sz="0" w:space="0" w:color="auto"/>
        <w:right w:val="none" w:sz="0" w:space="0" w:color="auto"/>
      </w:divBdr>
      <w:divsChild>
        <w:div w:id="1596555263">
          <w:marLeft w:val="0"/>
          <w:marRight w:val="0"/>
          <w:marTop w:val="0"/>
          <w:marBottom w:val="0"/>
          <w:divBdr>
            <w:top w:val="none" w:sz="0" w:space="0" w:color="auto"/>
            <w:left w:val="none" w:sz="0" w:space="0" w:color="auto"/>
            <w:bottom w:val="none" w:sz="0" w:space="0" w:color="auto"/>
            <w:right w:val="none" w:sz="0" w:space="0" w:color="auto"/>
          </w:divBdr>
          <w:divsChild>
            <w:div w:id="56426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819560">
      <w:bodyDiv w:val="1"/>
      <w:marLeft w:val="0"/>
      <w:marRight w:val="0"/>
      <w:marTop w:val="0"/>
      <w:marBottom w:val="0"/>
      <w:divBdr>
        <w:top w:val="none" w:sz="0" w:space="0" w:color="auto"/>
        <w:left w:val="none" w:sz="0" w:space="0" w:color="auto"/>
        <w:bottom w:val="none" w:sz="0" w:space="0" w:color="auto"/>
        <w:right w:val="none" w:sz="0" w:space="0" w:color="auto"/>
      </w:divBdr>
    </w:div>
    <w:div w:id="2078702333">
      <w:bodyDiv w:val="1"/>
      <w:marLeft w:val="0"/>
      <w:marRight w:val="0"/>
      <w:marTop w:val="0"/>
      <w:marBottom w:val="0"/>
      <w:divBdr>
        <w:top w:val="none" w:sz="0" w:space="0" w:color="auto"/>
        <w:left w:val="none" w:sz="0" w:space="0" w:color="auto"/>
        <w:bottom w:val="none" w:sz="0" w:space="0" w:color="auto"/>
        <w:right w:val="none" w:sz="0" w:space="0" w:color="auto"/>
      </w:divBdr>
    </w:div>
    <w:div w:id="209107519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ianas1470@gmail.com" TargetMode="External"/><Relationship Id="rId13" Type="http://schemas.openxmlformats.org/officeDocument/2006/relationships/hyperlink" Target="https://doi.org/10.1093/cid/cis228" TargetMode="External"/><Relationship Id="rId18" Type="http://schemas.openxmlformats.org/officeDocument/2006/relationships/hyperlink" Target="https://doi.org/10.1136/gut.35.9.1159" TargetMode="External"/><Relationship Id="rId26" Type="http://schemas.openxmlformats.org/officeDocument/2006/relationships/hyperlink" Target="https://doi.org/10.1016/S0140-6736(13)60024-0" TargetMode="External"/><Relationship Id="rId39" Type="http://schemas.openxmlformats.org/officeDocument/2006/relationships/hyperlink" Target="https://doi.org/10.1016/S1473-3099(09)70019-2" TargetMode="External"/><Relationship Id="rId3" Type="http://schemas.openxmlformats.org/officeDocument/2006/relationships/styles" Target="styles.xml"/><Relationship Id="rId21" Type="http://schemas.openxmlformats.org/officeDocument/2006/relationships/hyperlink" Target="https://doi.org/10.1016/S0140-6736(03)14573-4" TargetMode="External"/><Relationship Id="rId34" Type="http://schemas.openxmlformats.org/officeDocument/2006/relationships/hyperlink" Target="https://doi.org/10.1128/CMR.00021-11" TargetMode="External"/><Relationship Id="rId42" Type="http://schemas.openxmlformats.org/officeDocument/2006/relationships/hyperlink" Target="https://doi.org/10.1016/j.tim.2010.02.004"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doi.org/10.2217/bmm.14.67" TargetMode="External"/><Relationship Id="rId17" Type="http://schemas.openxmlformats.org/officeDocument/2006/relationships/hyperlink" Target="https://doi.org/10.1016/S1473-3099(14)70772-8" TargetMode="External"/><Relationship Id="rId25" Type="http://schemas.openxmlformats.org/officeDocument/2006/relationships/hyperlink" Target="https://doi.org/10.1371/journal.pone.0035671" TargetMode="External"/><Relationship Id="rId33" Type="http://schemas.openxmlformats.org/officeDocument/2006/relationships/hyperlink" Target="https://doi.org/10.1111/j.1439-0507.2008.01606.x" TargetMode="External"/><Relationship Id="rId38" Type="http://schemas.openxmlformats.org/officeDocument/2006/relationships/hyperlink" Target="https://doi.org/10.1111/j.1399-3062.2006.00153.x"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1038/nrmicro2317" TargetMode="External"/><Relationship Id="rId20" Type="http://schemas.openxmlformats.org/officeDocument/2006/relationships/hyperlink" Target="https://doi.org/10.1016/S0140-6736(06)69440-3" TargetMode="External"/><Relationship Id="rId29" Type="http://schemas.openxmlformats.org/officeDocument/2006/relationships/hyperlink" Target="https://doi.org/10.1002/9781118321492" TargetMode="External"/><Relationship Id="rId41" Type="http://schemas.openxmlformats.org/officeDocument/2006/relationships/hyperlink" Target="https://doi.org/10.1128/CMR.00053-1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172/JCI34261" TargetMode="External"/><Relationship Id="rId24" Type="http://schemas.openxmlformats.org/officeDocument/2006/relationships/hyperlink" Target="https://doi.org/10.1016/S0140-6736(04)16412-X" TargetMode="External"/><Relationship Id="rId32" Type="http://schemas.openxmlformats.org/officeDocument/2006/relationships/hyperlink" Target="https://doi.org/10.1093/cid/ciw326" TargetMode="External"/><Relationship Id="rId37" Type="http://schemas.openxmlformats.org/officeDocument/2006/relationships/hyperlink" Target="https://doi.org/10.1128/JCM.35.6.1526-1529.1997" TargetMode="External"/><Relationship Id="rId40" Type="http://schemas.openxmlformats.org/officeDocument/2006/relationships/hyperlink" Target="https://doi.org/10.1093/cid/ciz1008" TargetMode="External"/><Relationship Id="rId45" Type="http://schemas.openxmlformats.org/officeDocument/2006/relationships/hyperlink" Target="https://doi.org/10.1016/j.ijid.2011.05.006" TargetMode="External"/><Relationship Id="rId5" Type="http://schemas.openxmlformats.org/officeDocument/2006/relationships/webSettings" Target="webSettings.xml"/><Relationship Id="rId15" Type="http://schemas.openxmlformats.org/officeDocument/2006/relationships/hyperlink" Target="https://doi.org/10.1016/S0140-6736(03)12830-9" TargetMode="External"/><Relationship Id="rId23" Type="http://schemas.openxmlformats.org/officeDocument/2006/relationships/hyperlink" Target="https://doi.org/10.1016/j.vetpar.2012.12.032" TargetMode="External"/><Relationship Id="rId28" Type="http://schemas.openxmlformats.org/officeDocument/2006/relationships/hyperlink" Target="https://doi.org/10.1126/scitranslmed.3004404" TargetMode="External"/><Relationship Id="rId36" Type="http://schemas.openxmlformats.org/officeDocument/2006/relationships/hyperlink" Target="https://doi.org/10.1086/432579" TargetMode="External"/><Relationship Id="rId10" Type="http://schemas.openxmlformats.org/officeDocument/2006/relationships/hyperlink" Target="https://doi.org/10.1126/science.1222236" TargetMode="External"/><Relationship Id="rId19" Type="http://schemas.openxmlformats.org/officeDocument/2006/relationships/hyperlink" Target="https://doi.org/10.1016/S0140-6736(06)68653-4" TargetMode="External"/><Relationship Id="rId31" Type="http://schemas.openxmlformats.org/officeDocument/2006/relationships/hyperlink" Target="https://doi.org/10.1086/649858" TargetMode="External"/><Relationship Id="rId44" Type="http://schemas.openxmlformats.org/officeDocument/2006/relationships/hyperlink" Target="https://doi.org/10.1093/bmb/ldh043"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doi.org/10.1128/CMR.15.4.595-612.2002" TargetMode="External"/><Relationship Id="rId22" Type="http://schemas.openxmlformats.org/officeDocument/2006/relationships/hyperlink" Target="https://doi.org/10.1016/S0140-6736(03)14117-7" TargetMode="External"/><Relationship Id="rId27" Type="http://schemas.openxmlformats.org/officeDocument/2006/relationships/hyperlink" Target="https://doi.org/10.1371/journal.ppat.1002178" TargetMode="External"/><Relationship Id="rId30" Type="http://schemas.openxmlformats.org/officeDocument/2006/relationships/hyperlink" Target="https://doi.org/10.1093/cid/civ933" TargetMode="External"/><Relationship Id="rId35" Type="http://schemas.openxmlformats.org/officeDocument/2006/relationships/hyperlink" Target="https://doi.org/10.1056/NEJMra032588" TargetMode="External"/><Relationship Id="rId43" Type="http://schemas.openxmlformats.org/officeDocument/2006/relationships/hyperlink" Target="https://doi.org/10.1056/NEJMra06414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1BD9A2-B7AF-4099-A62B-7AF50C0A7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807</TotalTime>
  <Pages>37</Pages>
  <Words>28952</Words>
  <Characters>165031</Characters>
  <Application>Microsoft Office Word</Application>
  <DocSecurity>0</DocSecurity>
  <Lines>1375</Lines>
  <Paragraphs>387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193596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MAHAKAAL</cp:lastModifiedBy>
  <cp:revision>37</cp:revision>
  <dcterms:created xsi:type="dcterms:W3CDTF">2025-01-29T03:26:00Z</dcterms:created>
  <dcterms:modified xsi:type="dcterms:W3CDTF">2025-02-06T15:04:00Z</dcterms:modified>
  <cp:category/>
</cp:coreProperties>
</file>